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8" w:lineRule="exact"/>
        <w:rPr>
          <w:sz w:val="24"/>
          <w:szCs w:val="24"/>
          <w:color w:val="auto"/>
        </w:rPr>
      </w:pPr>
    </w:p>
    <w:p>
      <w:pPr>
        <w:ind w:right="4720" w:firstLine="5"/>
        <w:spacing w:after="0" w:line="256" w:lineRule="auto"/>
        <w:tabs>
          <w:tab w:leader="none" w:pos="269"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 xml:space="preserve">ANNUAL REPORT PURSUANT TO SECTION 13 OR 15(d) OF THE SECURITIES EXCHANGE ACT OF 1934 </w:t>
      </w:r>
      <w:r>
        <w:rPr>
          <w:rFonts w:ascii="Arial" w:cs="Arial" w:eastAsia="Arial" w:hAnsi="Arial"/>
          <w:sz w:val="13"/>
          <w:szCs w:val="13"/>
          <w:color w:val="auto"/>
        </w:rPr>
        <w:t>For the fiscal year ended August 31,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or</w:t>
      </w:r>
    </w:p>
    <w:p>
      <w:pPr>
        <w:spacing w:after="0" w:line="8" w:lineRule="exact"/>
        <w:rPr>
          <w:sz w:val="24"/>
          <w:szCs w:val="24"/>
          <w:color w:val="auto"/>
        </w:rPr>
      </w:pPr>
    </w:p>
    <w:p>
      <w:pPr>
        <w:ind w:right="4480" w:firstLine="5"/>
        <w:spacing w:after="0" w:line="281" w:lineRule="auto"/>
        <w:tabs>
          <w:tab w:leader="none" w:pos="269" w:val="left"/>
        </w:tabs>
        <w:numPr>
          <w:ilvl w:val="0"/>
          <w:numId w:val="2"/>
        </w:numPr>
        <w:rPr>
          <w:rFonts w:ascii="MS PGothic" w:cs="MS PGothic" w:eastAsia="MS PGothic" w:hAnsi="MS PGothic"/>
          <w:sz w:val="14"/>
          <w:szCs w:val="14"/>
          <w:color w:val="auto"/>
        </w:rPr>
      </w:pPr>
      <w:r>
        <w:rPr>
          <w:rFonts w:ascii="Arial" w:cs="Arial" w:eastAsia="Arial" w:hAnsi="Arial"/>
          <w:sz w:val="13"/>
          <w:szCs w:val="13"/>
          <w:b w:val="1"/>
          <w:bCs w:val="1"/>
          <w:color w:val="auto"/>
        </w:rPr>
        <w:t xml:space="preserve">TRANSITION REPORT PURSUANT TO SECTION 13 OR 15(d) OF THE SECURITIES EXCHANGE ACT OF 1934 </w:t>
      </w:r>
      <w:r>
        <w:rPr>
          <w:rFonts w:ascii="Arial" w:cs="Arial" w:eastAsia="Arial" w:hAnsi="Arial"/>
          <w:sz w:val="13"/>
          <w:szCs w:val="13"/>
          <w:color w:val="auto"/>
        </w:rPr>
        <w:t>For the transition period from ___________________ to _______________________</w:t>
      </w:r>
    </w:p>
    <w:p>
      <w:pPr>
        <w:jc w:val="center"/>
        <w:spacing w:after="0"/>
        <w:rPr>
          <w:sz w:val="20"/>
          <w:szCs w:val="20"/>
          <w:color w:val="auto"/>
        </w:rPr>
      </w:pPr>
      <w:r>
        <w:rPr>
          <w:rFonts w:ascii="Arial" w:cs="Arial" w:eastAsia="Arial" w:hAnsi="Arial"/>
          <w:sz w:val="13"/>
          <w:szCs w:val="13"/>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2239645</wp:posOffset>
            </wp:positionH>
            <wp:positionV relativeFrom="paragraph">
              <wp:posOffset>33020</wp:posOffset>
            </wp:positionV>
            <wp:extent cx="2687955" cy="774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7955" cy="774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WINNEBAGO INDUSTRIES, INC.</w:t>
      </w:r>
    </w:p>
    <w:p>
      <w:pPr>
        <w:spacing w:after="0" w:line="40" w:lineRule="exact"/>
        <w:rPr>
          <w:sz w:val="24"/>
          <w:szCs w:val="24"/>
          <w:color w:val="auto"/>
        </w:rPr>
      </w:pPr>
    </w:p>
    <w:tbl>
      <w:tblPr>
        <w:tblLayout w:type="fixed"/>
        <w:tblInd w:w="380" w:type="dxa"/>
        <w:tblCellMar>
          <w:top w:w="0" w:type="dxa"/>
          <w:left w:w="0" w:type="dxa"/>
          <w:bottom w:w="0" w:type="dxa"/>
          <w:right w:w="0" w:type="dxa"/>
        </w:tblCellMar>
      </w:tblPr>
      <w:tr>
        <w:trPr>
          <w:trHeight w:val="145"/>
        </w:trPr>
        <w:tc>
          <w:tcPr>
            <w:tcW w:w="1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320" w:type="dxa"/>
            <w:vAlign w:val="bottom"/>
            <w:gridSpan w:val="3"/>
          </w:tcPr>
          <w:p>
            <w:pPr>
              <w:ind w:left="400"/>
              <w:spacing w:after="0"/>
              <w:rPr>
                <w:sz w:val="20"/>
                <w:szCs w:val="20"/>
                <w:color w:val="auto"/>
              </w:rPr>
            </w:pPr>
            <w:r>
              <w:rPr>
                <w:rFonts w:ascii="Arial" w:cs="Arial" w:eastAsia="Arial" w:hAnsi="Arial"/>
                <w:sz w:val="11"/>
                <w:szCs w:val="11"/>
                <w:color w:val="auto"/>
              </w:rPr>
              <w:t>(Exact name of registrant as specified in its charter)</w:t>
            </w:r>
          </w:p>
        </w:tc>
        <w:tc>
          <w:tcPr>
            <w:tcW w:w="3640" w:type="dxa"/>
            <w:vAlign w:val="bottom"/>
          </w:tcPr>
          <w:p>
            <w:pPr>
              <w:spacing w:after="0"/>
              <w:rPr>
                <w:sz w:val="12"/>
                <w:szCs w:val="12"/>
                <w:color w:val="auto"/>
              </w:rPr>
            </w:pPr>
          </w:p>
        </w:tc>
      </w:tr>
      <w:tr>
        <w:trPr>
          <w:trHeight w:val="168"/>
        </w:trPr>
        <w:tc>
          <w:tcPr>
            <w:tcW w:w="1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center"/>
              <w:ind w:right="256"/>
              <w:spacing w:after="0"/>
              <w:rPr>
                <w:sz w:val="20"/>
                <w:szCs w:val="20"/>
                <w:color w:val="auto"/>
              </w:rPr>
            </w:pPr>
            <w:r>
              <w:rPr>
                <w:rFonts w:ascii="Arial" w:cs="Arial" w:eastAsia="Arial" w:hAnsi="Arial"/>
                <w:sz w:val="13"/>
                <w:szCs w:val="13"/>
                <w:color w:val="auto"/>
                <w:w w:val="96"/>
              </w:rPr>
              <w:t>Minnesota</w:t>
            </w:r>
          </w:p>
        </w:tc>
        <w:tc>
          <w:tcPr>
            <w:tcW w:w="116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tcPr>
          <w:p>
            <w:pPr>
              <w:jc w:val="right"/>
              <w:ind w:right="1896"/>
              <w:spacing w:after="0"/>
              <w:rPr>
                <w:sz w:val="20"/>
                <w:szCs w:val="20"/>
                <w:color w:val="auto"/>
              </w:rPr>
            </w:pPr>
            <w:r>
              <w:rPr>
                <w:rFonts w:ascii="Arial" w:cs="Arial" w:eastAsia="Arial" w:hAnsi="Arial"/>
                <w:sz w:val="13"/>
                <w:szCs w:val="13"/>
                <w:color w:val="auto"/>
              </w:rPr>
              <w:t>42-0802678</w:t>
            </w:r>
          </w:p>
        </w:tc>
      </w:tr>
      <w:tr>
        <w:trPr>
          <w:trHeight w:val="159"/>
        </w:trPr>
        <w:tc>
          <w:tcPr>
            <w:tcW w:w="1480" w:type="dxa"/>
            <w:vAlign w:val="bottom"/>
          </w:tcPr>
          <w:p>
            <w:pPr>
              <w:spacing w:after="0"/>
              <w:rPr>
                <w:sz w:val="13"/>
                <w:szCs w:val="13"/>
                <w:color w:val="auto"/>
              </w:rPr>
            </w:pPr>
          </w:p>
        </w:tc>
        <w:tc>
          <w:tcPr>
            <w:tcW w:w="2100" w:type="dxa"/>
            <w:vAlign w:val="bottom"/>
          </w:tcPr>
          <w:p>
            <w:pPr>
              <w:jc w:val="center"/>
              <w:ind w:right="256"/>
              <w:spacing w:after="0"/>
              <w:rPr>
                <w:sz w:val="20"/>
                <w:szCs w:val="20"/>
                <w:color w:val="auto"/>
              </w:rPr>
            </w:pPr>
            <w:r>
              <w:rPr>
                <w:rFonts w:ascii="Arial" w:cs="Arial" w:eastAsia="Arial" w:hAnsi="Arial"/>
                <w:sz w:val="13"/>
                <w:szCs w:val="13"/>
                <w:color w:val="auto"/>
                <w:w w:val="97"/>
              </w:rPr>
              <w:t>(State or other jurisdiction of</w:t>
            </w: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40" w:type="dxa"/>
            <w:vAlign w:val="bottom"/>
          </w:tcPr>
          <w:p>
            <w:pPr>
              <w:jc w:val="center"/>
              <w:ind w:right="896"/>
              <w:spacing w:after="0"/>
              <w:rPr>
                <w:sz w:val="20"/>
                <w:szCs w:val="20"/>
                <w:color w:val="auto"/>
              </w:rPr>
            </w:pPr>
            <w:r>
              <w:rPr>
                <w:rFonts w:ascii="Arial" w:cs="Arial" w:eastAsia="Arial" w:hAnsi="Arial"/>
                <w:sz w:val="13"/>
                <w:szCs w:val="13"/>
                <w:color w:val="auto"/>
                <w:w w:val="97"/>
              </w:rPr>
              <w:t>(I.R.S. Employer Identification No.)</w:t>
            </w:r>
          </w:p>
        </w:tc>
      </w:tr>
      <w:tr>
        <w:trPr>
          <w:trHeight w:val="170"/>
        </w:trPr>
        <w:tc>
          <w:tcPr>
            <w:tcW w:w="1480" w:type="dxa"/>
            <w:vAlign w:val="bottom"/>
          </w:tcPr>
          <w:p>
            <w:pPr>
              <w:spacing w:after="0"/>
              <w:rPr>
                <w:sz w:val="14"/>
                <w:szCs w:val="14"/>
                <w:color w:val="auto"/>
              </w:rPr>
            </w:pPr>
          </w:p>
        </w:tc>
        <w:tc>
          <w:tcPr>
            <w:tcW w:w="2100" w:type="dxa"/>
            <w:vAlign w:val="bottom"/>
          </w:tcPr>
          <w:p>
            <w:pPr>
              <w:jc w:val="center"/>
              <w:ind w:right="256"/>
              <w:spacing w:after="0"/>
              <w:rPr>
                <w:sz w:val="20"/>
                <w:szCs w:val="20"/>
                <w:color w:val="auto"/>
              </w:rPr>
            </w:pPr>
            <w:r>
              <w:rPr>
                <w:rFonts w:ascii="Arial" w:cs="Arial" w:eastAsia="Arial" w:hAnsi="Arial"/>
                <w:sz w:val="13"/>
                <w:szCs w:val="13"/>
                <w:color w:val="auto"/>
                <w:w w:val="98"/>
              </w:rPr>
              <w:t>incorporation or organization)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288"/>
        </w:trPr>
        <w:tc>
          <w:tcPr>
            <w:tcW w:w="1480" w:type="dxa"/>
            <w:vAlign w:val="bottom"/>
          </w:tcPr>
          <w:p>
            <w:pPr>
              <w:ind w:left="320"/>
              <w:spacing w:after="0"/>
              <w:rPr>
                <w:sz w:val="20"/>
                <w:szCs w:val="20"/>
                <w:color w:val="auto"/>
              </w:rPr>
            </w:pPr>
            <w:r>
              <w:rPr>
                <w:rFonts w:ascii="Arial" w:cs="Arial" w:eastAsia="Arial" w:hAnsi="Arial"/>
                <w:sz w:val="13"/>
                <w:szCs w:val="13"/>
                <w:color w:val="auto"/>
              </w:rPr>
              <w:t>13200 Pioneer Trail</w:t>
            </w:r>
          </w:p>
        </w:tc>
        <w:tc>
          <w:tcPr>
            <w:tcW w:w="2100" w:type="dxa"/>
            <w:vAlign w:val="bottom"/>
          </w:tcPr>
          <w:p>
            <w:pPr>
              <w:ind w:left="680"/>
              <w:spacing w:after="0"/>
              <w:rPr>
                <w:sz w:val="20"/>
                <w:szCs w:val="20"/>
                <w:color w:val="auto"/>
              </w:rPr>
            </w:pPr>
            <w:r>
              <w:rPr>
                <w:rFonts w:ascii="Arial" w:cs="Arial" w:eastAsia="Arial" w:hAnsi="Arial"/>
                <w:sz w:val="13"/>
                <w:szCs w:val="13"/>
                <w:color w:val="auto"/>
              </w:rPr>
              <w:t>Eden Prairie</w:t>
            </w:r>
          </w:p>
        </w:tc>
        <w:tc>
          <w:tcPr>
            <w:tcW w:w="3320" w:type="dxa"/>
            <w:vAlign w:val="bottom"/>
            <w:gridSpan w:val="3"/>
          </w:tcPr>
          <w:p>
            <w:pPr>
              <w:ind w:left="120"/>
              <w:spacing w:after="0"/>
              <w:rPr>
                <w:sz w:val="20"/>
                <w:szCs w:val="20"/>
                <w:color w:val="auto"/>
              </w:rPr>
            </w:pPr>
            <w:r>
              <w:rPr>
                <w:rFonts w:ascii="Arial" w:cs="Arial" w:eastAsia="Arial" w:hAnsi="Arial"/>
                <w:sz w:val="13"/>
                <w:szCs w:val="13"/>
                <w:color w:val="auto"/>
              </w:rPr>
              <w:t>Minnesota</w:t>
            </w:r>
          </w:p>
        </w:tc>
        <w:tc>
          <w:tcPr>
            <w:tcW w:w="3640" w:type="dxa"/>
            <w:vAlign w:val="bottom"/>
          </w:tcPr>
          <w:p>
            <w:pPr>
              <w:jc w:val="right"/>
              <w:ind w:right="2056"/>
              <w:spacing w:after="0"/>
              <w:rPr>
                <w:sz w:val="20"/>
                <w:szCs w:val="20"/>
                <w:color w:val="auto"/>
              </w:rPr>
            </w:pPr>
            <w:r>
              <w:rPr>
                <w:rFonts w:ascii="Arial" w:cs="Arial" w:eastAsia="Arial" w:hAnsi="Arial"/>
                <w:sz w:val="13"/>
                <w:szCs w:val="13"/>
                <w:color w:val="auto"/>
              </w:rPr>
              <w:t>55347</w:t>
            </w:r>
          </w:p>
        </w:tc>
      </w:tr>
      <w:tr>
        <w:trPr>
          <w:trHeight w:val="159"/>
        </w:trPr>
        <w:tc>
          <w:tcPr>
            <w:tcW w:w="3580" w:type="dxa"/>
            <w:vAlign w:val="bottom"/>
            <w:tcBorders>
              <w:top w:val="single" w:sz="8" w:color="auto"/>
            </w:tcBorders>
            <w:gridSpan w:val="2"/>
          </w:tcPr>
          <w:p>
            <w:pPr>
              <w:jc w:val="center"/>
              <w:ind w:left="1096"/>
              <w:spacing w:after="0"/>
              <w:rPr>
                <w:sz w:val="20"/>
                <w:szCs w:val="20"/>
                <w:color w:val="auto"/>
              </w:rPr>
            </w:pPr>
            <w:r>
              <w:rPr>
                <w:rFonts w:ascii="Arial" w:cs="Arial" w:eastAsia="Arial" w:hAnsi="Arial"/>
                <w:sz w:val="13"/>
                <w:szCs w:val="13"/>
                <w:color w:val="auto"/>
                <w:w w:val="97"/>
              </w:rPr>
              <w:t>(Address of principal executive offices)</w:t>
            </w:r>
          </w:p>
        </w:tc>
        <w:tc>
          <w:tcPr>
            <w:tcW w:w="1160" w:type="dxa"/>
            <w:vAlign w:val="bottom"/>
            <w:tcBorders>
              <w:top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40" w:type="dxa"/>
            <w:vAlign w:val="bottom"/>
            <w:tcBorders>
              <w:top w:val="single" w:sz="8" w:color="auto"/>
            </w:tcBorders>
          </w:tcPr>
          <w:p>
            <w:pPr>
              <w:jc w:val="center"/>
              <w:ind w:right="896"/>
              <w:spacing w:after="0"/>
              <w:rPr>
                <w:sz w:val="20"/>
                <w:szCs w:val="20"/>
                <w:color w:val="auto"/>
              </w:rPr>
            </w:pPr>
            <w:r>
              <w:rPr>
                <w:rFonts w:ascii="Arial" w:cs="Arial" w:eastAsia="Arial" w:hAnsi="Arial"/>
                <w:sz w:val="13"/>
                <w:szCs w:val="13"/>
                <w:color w:val="auto"/>
                <w:w w:val="97"/>
              </w:rPr>
              <w:t>(Zip Code)</w:t>
            </w: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 (952) 829-8600</w:t>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179"/>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r>
      <w:tr>
        <w:trPr>
          <w:trHeight w:val="160"/>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Common Stock, $0.50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8"/>
              </w:rPr>
              <w:t>WGO</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New York Stock Exchange</w:t>
            </w:r>
          </w:p>
        </w:tc>
      </w:tr>
    </w:tbl>
    <w:p>
      <w:pPr>
        <w:spacing w:after="0" w:line="57" w:lineRule="exact"/>
        <w:rPr>
          <w:sz w:val="24"/>
          <w:szCs w:val="24"/>
          <w:color w:val="auto"/>
        </w:rPr>
      </w:pPr>
    </w:p>
    <w:p>
      <w:pPr>
        <w:ind w:left="4060"/>
        <w:spacing w:after="0"/>
        <w:rPr>
          <w:sz w:val="20"/>
          <w:szCs w:val="20"/>
          <w:color w:val="auto"/>
        </w:rPr>
      </w:pPr>
      <w:r>
        <w:rPr>
          <w:rFonts w:ascii="Arial" w:cs="Arial" w:eastAsia="Arial" w:hAnsi="Arial"/>
          <w:sz w:val="11"/>
          <w:szCs w:val="11"/>
          <w:color w:val="auto"/>
        </w:rPr>
        <w:t>Securities registered pursuant to Section 12(g) of the Act: None</w:t>
      </w:r>
    </w:p>
    <w:p>
      <w:pPr>
        <w:spacing w:after="0" w:line="57" w:lineRule="exact"/>
        <w:rPr>
          <w:sz w:val="24"/>
          <w:szCs w:val="24"/>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94" w:lineRule="exact"/>
        <w:rPr>
          <w:sz w:val="24"/>
          <w:szCs w:val="24"/>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129" w:lineRule="exact"/>
        <w:rPr>
          <w:sz w:val="24"/>
          <w:szCs w:val="24"/>
          <w:color w:val="auto"/>
        </w:rPr>
      </w:pPr>
    </w:p>
    <w:p>
      <w:pPr>
        <w:ind w:right="380"/>
        <w:spacing w:after="0" w:line="181" w:lineRule="exact"/>
        <w:rPr>
          <w:sz w:val="20"/>
          <w:szCs w:val="20"/>
          <w:color w:val="auto"/>
        </w:rPr>
      </w:pPr>
      <w:r>
        <w:rPr>
          <w:rFonts w:ascii="Arial" w:cs="Arial" w:eastAsia="Arial" w:hAnsi="Arial"/>
          <w:sz w:val="13"/>
          <w:szCs w:val="13"/>
          <w:color w:val="auto"/>
        </w:rPr>
        <w:t>I</w:t>
      </w:r>
      <w:r>
        <w:rPr>
          <w:rFonts w:ascii="Arial" w:cs="Arial" w:eastAsia="Arial" w:hAnsi="Arial"/>
          <w:sz w:val="11"/>
          <w:szCs w:val="11"/>
          <w:color w:val="auto"/>
        </w:rPr>
        <w:t>ndicate by check mark whether the registrant (1) has filed all reports required to be filed by Section 13 or 15(d) of the Securities Exchange Act of 1934 during the preceding 12 months (or for such shorter period that the</w:t>
      </w:r>
      <w:r>
        <w:rPr>
          <w:rFonts w:ascii="Arial" w:cs="Arial" w:eastAsia="Arial" w:hAnsi="Arial"/>
          <w:sz w:val="13"/>
          <w:szCs w:val="13"/>
          <w:color w:val="auto"/>
        </w:rPr>
        <w:t xml:space="preserve"> </w:t>
      </w:r>
      <w:r>
        <w:rPr>
          <w:rFonts w:ascii="Arial" w:cs="Arial" w:eastAsia="Arial" w:hAnsi="Arial"/>
          <w:sz w:val="11"/>
          <w:szCs w:val="11"/>
          <w:color w:val="auto"/>
        </w:rPr>
        <w:t xml:space="preserve">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57" w:lineRule="exact"/>
        <w:rPr>
          <w:sz w:val="24"/>
          <w:szCs w:val="24"/>
          <w:color w:val="auto"/>
        </w:rPr>
      </w:pPr>
    </w:p>
    <w:p>
      <w:pPr>
        <w:ind w:right="40"/>
        <w:spacing w:after="0" w:line="16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161" w:lineRule="exact"/>
        <w:tabs>
          <w:tab w:leader="none" w:pos="1440" w:val="left"/>
          <w:tab w:leader="none" w:pos="2560" w:val="left"/>
          <w:tab w:leader="none" w:pos="3880" w:val="left"/>
          <w:tab w:leader="none" w:pos="558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1"/>
          <w:szCs w:val="11"/>
          <w:color w:val="auto"/>
        </w:rPr>
        <w:tab/>
        <w:t xml:space="preserve">Accelerated Filer </w:t>
      </w:r>
      <w:r>
        <w:rPr>
          <w:rFonts w:ascii="MS PGothic" w:cs="MS PGothic" w:eastAsia="MS PGothic" w:hAnsi="MS PGothic"/>
          <w:sz w:val="14"/>
          <w:szCs w:val="14"/>
          <w:color w:val="auto"/>
        </w:rPr>
        <w:t>☐</w:t>
      </w:r>
      <w:r>
        <w:rPr>
          <w:rFonts w:ascii="Arial" w:cs="Arial" w:eastAsia="Arial" w:hAnsi="Arial"/>
          <w:sz w:val="11"/>
          <w:szCs w:val="11"/>
          <w:color w:val="auto"/>
        </w:rPr>
        <w:tab/>
        <w:t xml:space="preserve">Non-accelerated filer </w:t>
      </w:r>
      <w:r>
        <w:rPr>
          <w:rFonts w:ascii="MS PGothic" w:cs="MS PGothic" w:eastAsia="MS PGothic" w:hAnsi="MS PGothic"/>
          <w:sz w:val="14"/>
          <w:szCs w:val="14"/>
          <w:color w:val="auto"/>
        </w:rPr>
        <w:t>☐</w:t>
      </w:r>
      <w:r>
        <w:rPr>
          <w:rFonts w:ascii="Arial" w:cs="Arial" w:eastAsia="Arial" w:hAnsi="Arial"/>
          <w:sz w:val="11"/>
          <w:szCs w:val="11"/>
          <w:color w:val="auto"/>
        </w:rPr>
        <w:tab/>
        <w:t xml:space="preserve">Smaller Reporting Company </w:t>
      </w:r>
      <w:r>
        <w:rPr>
          <w:rFonts w:ascii="MS PGothic" w:cs="MS PGothic" w:eastAsia="MS PGothic" w:hAnsi="MS PGothic"/>
          <w:sz w:val="14"/>
          <w:szCs w:val="14"/>
          <w:color w:val="auto"/>
        </w:rPr>
        <w:t>☐</w:t>
      </w:r>
      <w:r>
        <w:rPr>
          <w:rFonts w:ascii="Arial" w:cs="Arial" w:eastAsia="Arial" w:hAnsi="Arial"/>
          <w:sz w:val="11"/>
          <w:szCs w:val="11"/>
          <w:color w:val="auto"/>
        </w:rPr>
        <w:tab/>
        <w:t xml:space="preserve">Emerging Growth Company </w:t>
      </w:r>
      <w:r>
        <w:rPr>
          <w:rFonts w:ascii="MS PGothic" w:cs="MS PGothic" w:eastAsia="MS PGothic" w:hAnsi="MS PGothic"/>
          <w:sz w:val="14"/>
          <w:szCs w:val="14"/>
          <w:color w:val="auto"/>
        </w:rPr>
        <w:t>☐</w:t>
      </w:r>
    </w:p>
    <w:p>
      <w:pPr>
        <w:spacing w:after="0" w:line="133" w:lineRule="exact"/>
        <w:rPr>
          <w:sz w:val="24"/>
          <w:szCs w:val="24"/>
          <w:color w:val="auto"/>
        </w:rPr>
      </w:pPr>
    </w:p>
    <w:p>
      <w:pPr>
        <w:ind w:right="100"/>
        <w:spacing w:after="0" w:line="16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7" w:lineRule="exact"/>
        <w:rPr>
          <w:sz w:val="24"/>
          <w:szCs w:val="24"/>
          <w:color w:val="auto"/>
        </w:rPr>
      </w:pPr>
    </w:p>
    <w:p>
      <w:pPr>
        <w:ind w:right="40"/>
        <w:spacing w:after="0" w:line="168"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7" w:lineRule="exact"/>
        <w:rPr>
          <w:sz w:val="24"/>
          <w:szCs w:val="24"/>
          <w:color w:val="auto"/>
        </w:rPr>
      </w:pPr>
    </w:p>
    <w:p>
      <w:pPr>
        <w:ind w:right="380"/>
        <w:spacing w:after="0" w:line="163"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465455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 w:name="page2"/>
    <w:bookmarkEnd w:id="1"/>
    <w:p>
      <w:pPr>
        <w:ind w:right="340"/>
        <w:spacing w:after="0" w:line="168"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0"/>
          <w:szCs w:val="20"/>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133" w:lineRule="exact"/>
        <w:rPr>
          <w:sz w:val="20"/>
          <w:szCs w:val="20"/>
          <w:color w:val="auto"/>
        </w:rPr>
      </w:pPr>
    </w:p>
    <w:p>
      <w:pPr>
        <w:ind w:right="40"/>
        <w:spacing w:after="0" w:line="303" w:lineRule="auto"/>
        <w:rPr>
          <w:sz w:val="20"/>
          <w:szCs w:val="20"/>
          <w:color w:val="auto"/>
        </w:rPr>
      </w:pPr>
      <w:r>
        <w:rPr>
          <w:rFonts w:ascii="Arial" w:cs="Arial" w:eastAsia="Arial" w:hAnsi="Arial"/>
          <w:sz w:val="11"/>
          <w:szCs w:val="11"/>
          <w:color w:val="auto"/>
        </w:rPr>
        <w:t>The aggregate market value of the registrant's common stock held by non-affiliates of the registrant was approximately $1,998,606,000 as of February 24, 2024, based upon the closing price of $70.55 as of February 23, 2024 as reported on the New York Stock Exchange.</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As of October 16, 2024, 28,918,183 shares of the registrant's common stock, par value $0.50 per share, were outstanding.</w:t>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11"/>
          <w:szCs w:val="11"/>
          <w:b w:val="1"/>
          <w:bCs w:val="1"/>
          <w:color w:val="auto"/>
        </w:rPr>
        <w:t>DOCUMENTS INCORPORATED BY REFERENCE</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Portions of the definitive Proxy Statement to be filed with the Securities and Exchange Commission within 120 days after the end of the fiscal year covered by this report for the registrant's 2024 Annual Meeting of Shareholders to be held on December 17, 2024 (the "2024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407670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7520" w:type="dxa"/>
            <w:vAlign w:val="bottom"/>
            <w:gridSpan w:val="28"/>
          </w:tcPr>
          <w:p>
            <w:pPr>
              <w:spacing w:after="0"/>
              <w:rPr>
                <w:sz w:val="20"/>
                <w:szCs w:val="20"/>
                <w:color w:val="auto"/>
              </w:rPr>
            </w:pPr>
            <w:r>
              <w:rPr>
                <w:rFonts w:ascii="Arial" w:cs="Arial" w:eastAsia="Arial" w:hAnsi="Arial"/>
                <w:sz w:val="13"/>
                <w:szCs w:val="13"/>
                <w:b w:val="1"/>
                <w:bCs w:val="1"/>
                <w:color w:val="auto"/>
              </w:rPr>
              <w:t>Winnebago Industries, Inc.</w:t>
            </w: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7520" w:type="dxa"/>
            <w:vAlign w:val="bottom"/>
            <w:gridSpan w:val="28"/>
          </w:tcPr>
          <w:p>
            <w:pPr>
              <w:spacing w:after="0"/>
              <w:rPr>
                <w:sz w:val="20"/>
                <w:szCs w:val="20"/>
                <w:color w:val="auto"/>
              </w:rPr>
            </w:pPr>
            <w:r>
              <w:rPr>
                <w:rFonts w:ascii="Arial" w:cs="Arial" w:eastAsia="Arial" w:hAnsi="Arial"/>
                <w:sz w:val="13"/>
                <w:szCs w:val="13"/>
                <w:b w:val="1"/>
                <w:bCs w:val="1"/>
                <w:color w:val="auto"/>
              </w:rPr>
              <w:t>Fiscal 2024 Annual Report on Form 10-K</w:t>
            </w:r>
          </w:p>
        </w:tc>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3"/>
        </w:trPr>
        <w:tc>
          <w:tcPr>
            <w:tcW w:w="7520" w:type="dxa"/>
            <w:vAlign w:val="bottom"/>
            <w:gridSpan w:val="28"/>
          </w:tcPr>
          <w:p>
            <w:pPr>
              <w:spacing w:after="0"/>
              <w:rPr>
                <w:sz w:val="20"/>
                <w:szCs w:val="20"/>
                <w:color w:val="auto"/>
              </w:rPr>
            </w:pPr>
            <w:r>
              <w:rPr>
                <w:rFonts w:ascii="Arial" w:cs="Arial" w:eastAsia="Arial" w:hAnsi="Arial"/>
                <w:sz w:val="13"/>
                <w:szCs w:val="13"/>
                <w:b w:val="1"/>
                <w:bCs w:val="1"/>
                <w:color w:val="auto"/>
              </w:rPr>
              <w:t>Table of Contents</w:t>
            </w:r>
          </w:p>
        </w:tc>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5"/>
        </w:trPr>
        <w:tc>
          <w:tcPr>
            <w:tcW w:w="20" w:type="dxa"/>
            <w:vAlign w:val="bottom"/>
          </w:tcPr>
          <w:p>
            <w:pPr>
              <w:spacing w:after="0"/>
              <w:rPr>
                <w:sz w:val="12"/>
                <w:szCs w:val="12"/>
                <w:color w:val="auto"/>
              </w:rPr>
            </w:pPr>
          </w:p>
        </w:tc>
        <w:tc>
          <w:tcPr>
            <w:tcW w:w="720" w:type="dxa"/>
            <w:vAlign w:val="bottom"/>
            <w:gridSpan w:val="4"/>
          </w:tcPr>
          <w:p>
            <w:pPr>
              <w:spacing w:after="0" w:line="145" w:lineRule="exact"/>
              <w:rPr>
                <w:sz w:val="20"/>
                <w:szCs w:val="20"/>
                <w:color w:val="auto"/>
              </w:rPr>
            </w:pPr>
            <w:r>
              <w:rPr>
                <w:rFonts w:ascii="Arial" w:cs="Arial" w:eastAsia="Arial" w:hAnsi="Arial"/>
                <w:sz w:val="13"/>
                <w:szCs w:val="13"/>
                <w:b w:val="1"/>
                <w:bCs w:val="1"/>
                <w:color w:val="0000FF"/>
              </w:rPr>
              <w:t>PART I</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gridSpan w:val="3"/>
          </w:tcPr>
          <w:p>
            <w:pPr>
              <w:jc w:val="right"/>
              <w:spacing w:after="0" w:line="145" w:lineRule="exact"/>
              <w:rPr>
                <w:sz w:val="20"/>
                <w:szCs w:val="20"/>
                <w:color w:val="auto"/>
              </w:rPr>
            </w:pPr>
            <w:r>
              <w:rPr>
                <w:rFonts w:ascii="Arial" w:cs="Arial" w:eastAsia="Arial" w:hAnsi="Arial"/>
                <w:sz w:val="13"/>
                <w:szCs w:val="13"/>
                <w:color w:val="0000FF"/>
              </w:rPr>
              <w:t>5</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0000FF"/>
                <w:w w:val="95"/>
              </w:rPr>
              <w:t>Item 1.</w:t>
            </w:r>
          </w:p>
        </w:tc>
        <w:tc>
          <w:tcPr>
            <w:tcW w:w="320" w:type="dxa"/>
            <w:vAlign w:val="bottom"/>
            <w:gridSpan w:val="2"/>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Business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1A.</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Risk Factors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11</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1B.</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Unresolved Staff Comments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1"/>
              </w:rPr>
              <w:t>Item 1C.</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Cybersecurity</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2.</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Properties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3"/>
                <w:szCs w:val="13"/>
                <w:color w:val="0000FF"/>
              </w:rPr>
              <w:t>Item 3.</w:t>
            </w: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Legal Proceedings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Arial" w:cs="Arial" w:eastAsia="Arial" w:hAnsi="Arial"/>
                <w:sz w:val="13"/>
                <w:szCs w:val="13"/>
                <w:color w:val="0000FF"/>
              </w:rPr>
              <w:t>Item 4.</w:t>
            </w: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Mine Safety Disclosures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19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Arial" w:cs="Arial" w:eastAsia="Arial" w:hAnsi="Arial"/>
                <w:sz w:val="13"/>
                <w:szCs w:val="13"/>
                <w:b w:val="1"/>
                <w:bCs w:val="1"/>
                <w:color w:val="0000FF"/>
              </w:rPr>
              <w:t>PART II</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20</w:t>
            </w:r>
          </w:p>
        </w:tc>
        <w:tc>
          <w:tcPr>
            <w:tcW w:w="2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44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rPr>
              <w:t>Item 5.</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w w:val="97"/>
              </w:rPr>
              <w:t>Market for the Registrant's Common Equity, Related Shareholder Matters, and Issuer Purchases of Equity Securities</w:t>
            </w:r>
          </w:p>
        </w:tc>
        <w:tc>
          <w:tcPr>
            <w:tcW w:w="3600" w:type="dxa"/>
            <w:vAlign w:val="bottom"/>
          </w:tcPr>
          <w:p>
            <w:pPr>
              <w:spacing w:after="0"/>
              <w:rPr>
                <w:sz w:val="13"/>
                <w:szCs w:val="13"/>
                <w:color w:val="auto"/>
              </w:rPr>
            </w:pPr>
          </w:p>
        </w:tc>
        <w:tc>
          <w:tcPr>
            <w:tcW w:w="140" w:type="dxa"/>
            <w:vAlign w:val="bottom"/>
            <w:tcBorders>
              <w:top w:val="single" w:sz="8" w:color="0000FF"/>
            </w:tcBorders>
            <w:gridSpan w:val="2"/>
          </w:tcPr>
          <w:p>
            <w:pPr>
              <w:jc w:val="right"/>
              <w:spacing w:after="0"/>
              <w:rPr>
                <w:sz w:val="20"/>
                <w:szCs w:val="20"/>
                <w:color w:val="auto"/>
              </w:rPr>
            </w:pPr>
            <w:r>
              <w:rPr>
                <w:rFonts w:ascii="Arial" w:cs="Arial" w:eastAsia="Arial" w:hAnsi="Arial"/>
                <w:sz w:val="13"/>
                <w:szCs w:val="13"/>
                <w:color w:val="0000FF"/>
                <w:w w:val="82"/>
              </w:rPr>
              <w:t>20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740" w:type="dxa"/>
            <w:vAlign w:val="bottom"/>
            <w:tcBorders>
              <w:righ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6.</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[Reserved]</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22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7.</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22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Borders>
              <w:righ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7A.</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Quantitative and Qualitative Disclosures About Market Risk</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32</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8.</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Financial Statements and Supplementary Data</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33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Borders>
              <w:righ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rPr>
              <w:t>Item 9.</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Changes in and Disagreements with Accountants on Accounting and Financial Disclosure</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9A.</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Controls and Procedures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2"/>
              </w:rPr>
              <w:t>Item 9B.</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Other Information</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7"/>
              </w:rPr>
              <w:t>Item 9C</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Disclosure Regarding Foreign Jurisdictions that Prevent Inspections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44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80"/>
              </w:rPr>
              <w:t>PART III</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3"/>
                <w:szCs w:val="13"/>
                <w:color w:val="0000FF"/>
                <w:w w:val="82"/>
              </w:rPr>
              <w:t>66</w:t>
            </w:r>
          </w:p>
        </w:tc>
        <w:tc>
          <w:tcPr>
            <w:tcW w:w="2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10.</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Directors, Executive Officers and Corporate Governance</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11.</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Executive Compensation</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12.</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Security Ownership of Certain Beneficial Owners and Management and Related Shareholder Matters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13.</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Certain Relationships and Related Transactions, and Director Independence</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14.</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Principal Accountant Fees and Services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66</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44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77"/>
              </w:rPr>
              <w:t>PART IV</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Arial" w:cs="Arial" w:eastAsia="Arial" w:hAnsi="Arial"/>
                <w:sz w:val="13"/>
                <w:szCs w:val="13"/>
                <w:color w:val="0000FF"/>
                <w:w w:val="82"/>
              </w:rPr>
              <w:t>67</w:t>
            </w:r>
          </w:p>
        </w:tc>
        <w:tc>
          <w:tcPr>
            <w:tcW w:w="20" w:type="dxa"/>
            <w:vAlign w:val="bottom"/>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15.</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Exhibits and Financial Statement Schedules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67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060" w:type="dxa"/>
            <w:vAlign w:val="bottom"/>
            <w:gridSpan w:val="9"/>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0000FF"/>
                <w:w w:val="85"/>
              </w:rPr>
              <w:t>Item 16.</w:t>
            </w:r>
          </w:p>
        </w:tc>
        <w:tc>
          <w:tcPr>
            <w:tcW w:w="280" w:type="dxa"/>
            <w:vAlign w:val="bottom"/>
          </w:tcPr>
          <w:p>
            <w:pPr>
              <w:spacing w:after="0"/>
              <w:rPr>
                <w:sz w:val="13"/>
                <w:szCs w:val="13"/>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color w:val="0000FF"/>
              </w:rPr>
              <w:t>Form 10-K Summary</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73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360" w:type="dxa"/>
            <w:vAlign w:val="bottom"/>
            <w:gridSpan w:val="14"/>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80" w:type="dxa"/>
            <w:vAlign w:val="bottom"/>
            <w:gridSpan w:val="23"/>
          </w:tcPr>
          <w:p>
            <w:pPr>
              <w:ind w:left="240"/>
              <w:spacing w:after="0"/>
              <w:rPr>
                <w:sz w:val="20"/>
                <w:szCs w:val="20"/>
                <w:color w:val="auto"/>
              </w:rPr>
            </w:pPr>
            <w:r>
              <w:rPr>
                <w:rFonts w:ascii="Arial" w:cs="Arial" w:eastAsia="Arial" w:hAnsi="Arial"/>
                <w:sz w:val="13"/>
                <w:szCs w:val="13"/>
                <w:b w:val="1"/>
                <w:bCs w:val="1"/>
                <w:color w:val="0000FF"/>
              </w:rPr>
              <w:t>SIGNATURES</w:t>
            </w:r>
          </w:p>
        </w:tc>
        <w:tc>
          <w:tcPr>
            <w:tcW w:w="3740" w:type="dxa"/>
            <w:vAlign w:val="bottom"/>
            <w:gridSpan w:val="3"/>
          </w:tcPr>
          <w:p>
            <w:pPr>
              <w:jc w:val="right"/>
              <w:spacing w:after="0"/>
              <w:rPr>
                <w:sz w:val="20"/>
                <w:szCs w:val="20"/>
                <w:color w:val="auto"/>
              </w:rPr>
            </w:pPr>
            <w:r>
              <w:rPr>
                <w:rFonts w:ascii="Arial" w:cs="Arial" w:eastAsia="Arial" w:hAnsi="Arial"/>
                <w:sz w:val="13"/>
                <w:szCs w:val="13"/>
                <w:color w:val="0000FF"/>
              </w:rPr>
              <w:t>74</w:t>
            </w:r>
          </w:p>
        </w:tc>
        <w:tc>
          <w:tcPr>
            <w:tcW w:w="20" w:type="dxa"/>
            <w:vAlign w:val="bottom"/>
          </w:tcPr>
          <w:p>
            <w:pPr>
              <w:spacing w:after="0"/>
              <w:rPr>
                <w:sz w:val="24"/>
                <w:szCs w:val="24"/>
                <w:color w:val="auto"/>
              </w:rPr>
            </w:pPr>
          </w:p>
        </w:tc>
      </w:tr>
      <w:tr>
        <w:trPr>
          <w:trHeight w:val="87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top w:val="single" w:sz="8" w:color="0000FF"/>
            </w:tcBorders>
            <w:gridSpan w:val="6"/>
          </w:tcPr>
          <w:p>
            <w:pPr>
              <w:spacing w:after="0"/>
              <w:rPr>
                <w:sz w:val="24"/>
                <w:szCs w:val="24"/>
                <w:color w:val="auto"/>
              </w:rPr>
            </w:pPr>
          </w:p>
        </w:tc>
        <w:tc>
          <w:tcPr>
            <w:tcW w:w="4180" w:type="dxa"/>
            <w:vAlign w:val="bottom"/>
            <w:gridSpan w:val="13"/>
          </w:tcPr>
          <w:p>
            <w:pPr>
              <w:jc w:val="right"/>
              <w:ind w:right="300"/>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 w:name="page4"/>
    <w:bookmarkEnd w:id="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WINNEBAGO INDUSTRIES,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FORM 10-K</w:t>
      </w:r>
    </w:p>
    <w:p>
      <w:pPr>
        <w:spacing w:after="0" w:line="6" w:lineRule="exact"/>
        <w:rPr>
          <w:sz w:val="20"/>
          <w:szCs w:val="20"/>
          <w:color w:val="auto"/>
        </w:rPr>
      </w:pPr>
    </w:p>
    <w:p>
      <w:pPr>
        <w:ind w:left="4240"/>
        <w:spacing w:after="0"/>
        <w:rPr>
          <w:sz w:val="20"/>
          <w:szCs w:val="20"/>
          <w:color w:val="auto"/>
        </w:rPr>
      </w:pPr>
      <w:r>
        <w:rPr>
          <w:rFonts w:ascii="Arial" w:cs="Arial" w:eastAsia="Arial" w:hAnsi="Arial"/>
          <w:sz w:val="13"/>
          <w:szCs w:val="13"/>
          <w:color w:val="auto"/>
        </w:rPr>
        <w:t>Report for the Fiscal Year Ended August 31, 2024</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 Under the Private Securities Litigation Reform Act</w:t>
      </w:r>
    </w:p>
    <w:p>
      <w:pPr>
        <w:spacing w:after="0" w:line="201" w:lineRule="exact"/>
        <w:rPr>
          <w:sz w:val="20"/>
          <w:szCs w:val="20"/>
          <w:color w:val="auto"/>
        </w:rPr>
      </w:pPr>
    </w:p>
    <w:p>
      <w:pPr>
        <w:spacing w:after="0" w:line="267" w:lineRule="auto"/>
        <w:rPr>
          <w:sz w:val="20"/>
          <w:szCs w:val="20"/>
          <w:color w:val="auto"/>
        </w:rPr>
      </w:pPr>
      <w:r>
        <w:rPr>
          <w:rFonts w:ascii="Arial" w:cs="Arial" w:eastAsia="Arial" w:hAnsi="Arial"/>
          <w:sz w:val="12"/>
          <w:szCs w:val="12"/>
          <w:color w:val="auto"/>
        </w:rPr>
        <w:t xml:space="preserve">Certain of the matters discussed in this Annual Report on Form 10-K are "forward-looking statements" within the meaning of Section 27A of the Securities Act of 1933, as amended (“Securities Act”), and Section 21E of the Securities Exchange Act of 1934, as amended (“Exchange Act”), which involve risks and uncertainties. With the exception of historical information, the matters discussed in this Annual Report on Form 10-K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2"/>
          <w:szCs w:val="12"/>
          <w:i w:val="1"/>
          <w:iCs w:val="1"/>
          <w:color w:val="auto"/>
        </w:rPr>
        <w:t>Risk Factors</w:t>
      </w:r>
      <w:r>
        <w:rPr>
          <w:rFonts w:ascii="Arial" w:cs="Arial" w:eastAsia="Arial" w:hAnsi="Arial"/>
          <w:sz w:val="12"/>
          <w:szCs w:val="12"/>
          <w:color w:val="auto"/>
        </w:rPr>
        <w:t>, in this Annual Report on Form 10-K for the fiscal year ended August 31, 2024, for a description of important factors that could cause our actual results to differ materially from those contemplated by the forward-looking statements made in this Annual Report on Form 10-K. Among the factors that could cause actual results and outcomes to differ materially from those contained in such forward-looking statements are the following:</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General economic uncertainty in key markets and a worsening of domestic and global economic conditions or low levels of economic growth.</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Availability of financing for RV and marine dealers and retail purchasers.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Competition and new product introductions by competitors.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innovate and commercialize new products.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manage our inventory to meet demand.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related to cyclicality and seasonality of our business.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related to independent dealers.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 related to dealer consolidation or the loss of a significant dealer.</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Significant increase in repurchase obligations.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retain relationships with our suppliers and obtain components.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Business or production disruptions.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Inadequate management of dealer inventory levels.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material and component costs, including availability and price of fuel and other raw materials.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integrate mergers and acquisitions.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attract and retain qualified personnel and changes in market compensation rates.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Exposure to warranty claims and product recalls.</w:t>
      </w:r>
    </w:p>
    <w:p>
      <w:pPr>
        <w:spacing w:after="0" w:line="2" w:lineRule="exact"/>
        <w:rPr>
          <w:rFonts w:ascii="Arial" w:cs="Arial" w:eastAsia="Arial" w:hAnsi="Arial"/>
          <w:sz w:val="13"/>
          <w:szCs w:val="13"/>
          <w:color w:val="auto"/>
        </w:rPr>
      </w:pPr>
    </w:p>
    <w:p>
      <w:pPr>
        <w:ind w:left="520" w:right="600" w:hanging="260"/>
        <w:spacing w:after="0" w:line="243" w:lineRule="auto"/>
        <w:tabs>
          <w:tab w:leader="none" w:pos="511"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protect our information technology systems from data security, cyberattacks, and network disruption risks and the ability to successfully upgrade and evolve our information technology systems.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Ability to retain brand reputation and related exposure to product liability claims.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Governmental regulation, including for climate change.</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attention to environmental, social, and governance ("ESG") matters, and our ability to meet our commitments.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Impairment of goodwill and trade names.</w:t>
      </w: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Risks related to our 2025 Convertible Notes, 2030 Convertible Notes and Senior Secured Notes, including our ability to satisfy our obligations under these notes.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Changes in recommendations or a withdrawal of coverage by third party securities analysts.</w:t>
      </w:r>
    </w:p>
    <w:p>
      <w:pPr>
        <w:spacing w:after="0" w:line="182" w:lineRule="exact"/>
        <w:rPr>
          <w:sz w:val="20"/>
          <w:szCs w:val="20"/>
          <w:color w:val="auto"/>
        </w:rPr>
      </w:pPr>
    </w:p>
    <w:p>
      <w:pPr>
        <w:ind w:right="120"/>
        <w:spacing w:after="0" w:line="281" w:lineRule="auto"/>
        <w:rPr>
          <w:sz w:val="20"/>
          <w:szCs w:val="20"/>
          <w:color w:val="auto"/>
        </w:rPr>
      </w:pPr>
      <w:r>
        <w:rPr>
          <w:rFonts w:ascii="Arial" w:cs="Arial" w:eastAsia="Arial" w:hAnsi="Arial"/>
          <w:sz w:val="12"/>
          <w:szCs w:val="12"/>
          <w:color w:val="auto"/>
        </w:rPr>
        <w:t>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 We advise you to consult any further disclosures made on related subjects in future quarterly reports on Form 10-Q and current reports on Form 8-K that are filed or furnished with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 w:name="page5"/>
    <w:bookmarkEnd w:id="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Business.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84"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The use of the terms "Winnebago Industries," "Winnebago," "we," "our," and "us" in this Annual Report on Form 10-K, unless the context otherwise requires, refer to Winnebago Industries, Inc. and its wholly-owned subsidiaries.</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2"/>
          <w:szCs w:val="12"/>
          <w:color w:val="auto"/>
        </w:rPr>
        <w:t>Winnebago Industries, Inc. is one of the leading North American manufacturers of recreation vehicles ("RVs") and marine products with a diversified portfolio used primarily in leisure travel and outdoor recreational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towable RV units in Indiana; our motorhome RV units in Iowa and Indiana; our marine units in Indiana and Florida; and our battery solutions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155"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All references to Fiscal 2024 refer to the 53-week period ended August 31, 2024. Fiscal 2023 refers to the 52-week period ended August 26, 2023 and Fiscal 2022 refers to the 52-week period ended August 27, 2022.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84" w:lineRule="exact"/>
        <w:rPr>
          <w:sz w:val="20"/>
          <w:szCs w:val="20"/>
          <w:color w:val="auto"/>
        </w:rPr>
      </w:pPr>
    </w:p>
    <w:p>
      <w:pPr>
        <w:ind w:right="300"/>
        <w:spacing w:after="0" w:line="259" w:lineRule="auto"/>
        <w:rPr>
          <w:sz w:val="20"/>
          <w:szCs w:val="20"/>
          <w:color w:val="auto"/>
        </w:rPr>
      </w:pPr>
      <w:r>
        <w:rPr>
          <w:rFonts w:ascii="Arial" w:cs="Arial" w:eastAsia="Arial" w:hAnsi="Arial"/>
          <w:sz w:val="13"/>
          <w:szCs w:val="13"/>
          <w:color w:val="auto"/>
        </w:rPr>
        <w:t>Our internet website, located at www.winnebagoind.com, provides additional information about us. On our website you can obtain, free of charge, this and prior year Annual Reports on Form 10-K, Quarterly Reports on Form 10-Q, Current Reports on Form 8-K, and all other recent filings with the SEC. Our recent press releases and important information regarding our corporate governance practices are also available on our website. Information contained on our website is not incorporated into this Annual Report on Form 10-K. The SEC also maintains an internet site that contains reports, proxy and information statements, and other information regarding issuers that file electronically with the SEC which can be accessed at http://www.sec.gov.</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Products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Our operations are organized into three reportable segments, Towable RV, Motorhome RV, and Marine, based on similarities within their markets, products, operations and distributions.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 RV</w:t>
      </w:r>
    </w:p>
    <w:p>
      <w:pPr>
        <w:spacing w:after="0" w:line="82"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A towable RV is a non-motorized vehicle that is designed to be towed by automobiles, pickup trucks, SUVs, or vans and is used primarily as temporary living quarters during vacation and camping trips, or to support active and mobile lifestyles. The Recreation Vehicle Industry Association ("RVIA") classifies towable RVs into six types: conventional travel trailers, fifth wheels, travel trailers with expandable ends, folding camping trailers, truck campers, and park models. We manufacture and sell conventional travel trailers and fifth wheels under the Winnebago and Grand Design brand names, which are defined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Type</w:t>
            </w:r>
          </w:p>
        </w:tc>
        <w:tc>
          <w:tcPr>
            <w:tcW w:w="38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Description</w:t>
            </w:r>
          </w:p>
        </w:tc>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Winnebago product offerings</w:t>
            </w:r>
          </w:p>
        </w:tc>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Grand Design product offerings</w:t>
            </w:r>
          </w:p>
        </w:tc>
      </w:tr>
      <w:tr>
        <w:trPr>
          <w:trHeight w:val="118"/>
        </w:trPr>
        <w:tc>
          <w:tcPr>
            <w:tcW w:w="116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Travel trailer</w:t>
            </w:r>
          </w:p>
        </w:tc>
        <w:tc>
          <w:tcPr>
            <w:tcW w:w="3820" w:type="dxa"/>
            <w:vAlign w:val="bottom"/>
            <w:shd w:val="clear" w:color="auto" w:fill="CCEEFF"/>
          </w:tcPr>
          <w:p>
            <w:pPr>
              <w:ind w:left="420"/>
              <w:spacing w:after="0" w:line="118" w:lineRule="exact"/>
              <w:rPr>
                <w:sz w:val="20"/>
                <w:szCs w:val="20"/>
                <w:color w:val="auto"/>
              </w:rPr>
            </w:pPr>
            <w:r>
              <w:rPr>
                <w:rFonts w:ascii="Arial" w:cs="Arial" w:eastAsia="Arial" w:hAnsi="Arial"/>
                <w:sz w:val="13"/>
                <w:szCs w:val="13"/>
                <w:color w:val="auto"/>
              </w:rPr>
              <w:t>Towed by means of a hitch attached to the frame of the</w:t>
            </w:r>
          </w:p>
        </w:tc>
        <w:tc>
          <w:tcPr>
            <w:tcW w:w="3080" w:type="dxa"/>
            <w:vAlign w:val="bottom"/>
            <w:shd w:val="clear" w:color="auto" w:fill="CCEEFF"/>
          </w:tcPr>
          <w:p>
            <w:pPr>
              <w:ind w:left="40"/>
              <w:spacing w:after="0" w:line="118" w:lineRule="exact"/>
              <w:rPr>
                <w:sz w:val="20"/>
                <w:szCs w:val="20"/>
                <w:color w:val="auto"/>
              </w:rPr>
            </w:pPr>
            <w:r>
              <w:rPr>
                <w:rFonts w:ascii="Arial" w:cs="Arial" w:eastAsia="Arial" w:hAnsi="Arial"/>
                <w:sz w:val="13"/>
                <w:szCs w:val="13"/>
                <w:color w:val="auto"/>
              </w:rPr>
              <w:t>Access, HIKE, Micro Minnie, Minnie, M-Series, and</w:t>
            </w:r>
          </w:p>
        </w:tc>
        <w:tc>
          <w:tcPr>
            <w:tcW w:w="3220" w:type="dxa"/>
            <w:vAlign w:val="bottom"/>
            <w:shd w:val="clear" w:color="auto" w:fill="CCEEFF"/>
          </w:tcPr>
          <w:p>
            <w:pPr>
              <w:ind w:left="140"/>
              <w:spacing w:after="0" w:line="118" w:lineRule="exact"/>
              <w:rPr>
                <w:sz w:val="20"/>
                <w:szCs w:val="20"/>
                <w:color w:val="auto"/>
              </w:rPr>
            </w:pPr>
            <w:r>
              <w:rPr>
                <w:rFonts w:ascii="Arial" w:cs="Arial" w:eastAsia="Arial" w:hAnsi="Arial"/>
                <w:sz w:val="13"/>
                <w:szCs w:val="13"/>
                <w:color w:val="auto"/>
              </w:rPr>
              <w:t>Imagine, Momentum, Reflection, Serenova, and</w:t>
            </w:r>
          </w:p>
        </w:tc>
      </w:tr>
      <w:tr>
        <w:trPr>
          <w:trHeight w:val="170"/>
        </w:trPr>
        <w:tc>
          <w:tcPr>
            <w:tcW w:w="1160" w:type="dxa"/>
            <w:vAlign w:val="bottom"/>
            <w:shd w:val="clear" w:color="auto" w:fill="CCEEFF"/>
          </w:tcPr>
          <w:p>
            <w:pPr>
              <w:spacing w:after="0"/>
              <w:rPr>
                <w:sz w:val="14"/>
                <w:szCs w:val="14"/>
                <w:color w:val="auto"/>
              </w:rPr>
            </w:pPr>
          </w:p>
        </w:tc>
        <w:tc>
          <w:tcPr>
            <w:tcW w:w="3820" w:type="dxa"/>
            <w:vAlign w:val="bottom"/>
            <w:shd w:val="clear" w:color="auto" w:fill="CCEEFF"/>
          </w:tcPr>
          <w:p>
            <w:pPr>
              <w:ind w:left="420"/>
              <w:spacing w:after="0"/>
              <w:rPr>
                <w:sz w:val="20"/>
                <w:szCs w:val="20"/>
                <w:color w:val="auto"/>
              </w:rPr>
            </w:pPr>
            <w:r>
              <w:rPr>
                <w:rFonts w:ascii="Arial" w:cs="Arial" w:eastAsia="Arial" w:hAnsi="Arial"/>
                <w:sz w:val="13"/>
                <w:szCs w:val="13"/>
                <w:color w:val="auto"/>
              </w:rPr>
              <w:t>vehicle</w:t>
            </w:r>
          </w:p>
        </w:tc>
        <w:tc>
          <w:tcPr>
            <w:tcW w:w="3080" w:type="dxa"/>
            <w:vAlign w:val="bottom"/>
            <w:shd w:val="clear" w:color="auto" w:fill="CCEEFF"/>
          </w:tcPr>
          <w:p>
            <w:pPr>
              <w:ind w:left="40"/>
              <w:spacing w:after="0"/>
              <w:rPr>
                <w:sz w:val="20"/>
                <w:szCs w:val="20"/>
                <w:color w:val="auto"/>
              </w:rPr>
            </w:pPr>
            <w:r>
              <w:rPr>
                <w:rFonts w:ascii="Arial" w:cs="Arial" w:eastAsia="Arial" w:hAnsi="Arial"/>
                <w:sz w:val="13"/>
                <w:szCs w:val="13"/>
                <w:color w:val="auto"/>
              </w:rPr>
              <w:t>Voyage</w:t>
            </w: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Transcend</w:t>
            </w:r>
          </w:p>
        </w:tc>
      </w:tr>
      <w:tr>
        <w:trPr>
          <w:trHeight w:val="127"/>
        </w:trPr>
        <w:tc>
          <w:tcPr>
            <w:tcW w:w="1160" w:type="dxa"/>
            <w:vAlign w:val="bottom"/>
          </w:tcPr>
          <w:p>
            <w:pPr>
              <w:ind w:left="20"/>
              <w:spacing w:after="0" w:line="128" w:lineRule="exact"/>
              <w:rPr>
                <w:sz w:val="20"/>
                <w:szCs w:val="20"/>
                <w:color w:val="auto"/>
              </w:rPr>
            </w:pPr>
            <w:r>
              <w:rPr>
                <w:rFonts w:ascii="Arial" w:cs="Arial" w:eastAsia="Arial" w:hAnsi="Arial"/>
                <w:sz w:val="13"/>
                <w:szCs w:val="13"/>
                <w:color w:val="auto"/>
              </w:rPr>
              <w:t>Fifth wheel</w:t>
            </w:r>
          </w:p>
        </w:tc>
        <w:tc>
          <w:tcPr>
            <w:tcW w:w="3820" w:type="dxa"/>
            <w:vAlign w:val="bottom"/>
          </w:tcPr>
          <w:p>
            <w:pPr>
              <w:ind w:left="420"/>
              <w:spacing w:after="0" w:line="128" w:lineRule="exact"/>
              <w:rPr>
                <w:sz w:val="20"/>
                <w:szCs w:val="20"/>
                <w:color w:val="auto"/>
              </w:rPr>
            </w:pPr>
            <w:r>
              <w:rPr>
                <w:rFonts w:ascii="Arial" w:cs="Arial" w:eastAsia="Arial" w:hAnsi="Arial"/>
                <w:sz w:val="13"/>
                <w:szCs w:val="13"/>
                <w:color w:val="auto"/>
                <w:w w:val="99"/>
              </w:rPr>
              <w:t>Constructed with a raised forward section that is connected</w:t>
            </w:r>
          </w:p>
        </w:tc>
        <w:tc>
          <w:tcPr>
            <w:tcW w:w="3080" w:type="dxa"/>
            <w:vAlign w:val="bottom"/>
          </w:tcPr>
          <w:p>
            <w:pPr>
              <w:ind w:left="40"/>
              <w:spacing w:after="0" w:line="128" w:lineRule="exact"/>
              <w:rPr>
                <w:sz w:val="20"/>
                <w:szCs w:val="20"/>
                <w:color w:val="auto"/>
              </w:rPr>
            </w:pPr>
            <w:r>
              <w:rPr>
                <w:rFonts w:ascii="Arial" w:cs="Arial" w:eastAsia="Arial" w:hAnsi="Arial"/>
                <w:sz w:val="13"/>
                <w:szCs w:val="13"/>
                <w:color w:val="auto"/>
              </w:rPr>
              <w:t>N/A</w:t>
            </w:r>
          </w:p>
        </w:tc>
        <w:tc>
          <w:tcPr>
            <w:tcW w:w="3220" w:type="dxa"/>
            <w:vAlign w:val="bottom"/>
          </w:tcPr>
          <w:p>
            <w:pPr>
              <w:ind w:left="140"/>
              <w:spacing w:after="0" w:line="128" w:lineRule="exact"/>
              <w:rPr>
                <w:sz w:val="20"/>
                <w:szCs w:val="20"/>
                <w:color w:val="auto"/>
              </w:rPr>
            </w:pPr>
            <w:r>
              <w:rPr>
                <w:rFonts w:ascii="Arial" w:cs="Arial" w:eastAsia="Arial" w:hAnsi="Arial"/>
                <w:sz w:val="13"/>
                <w:szCs w:val="13"/>
                <w:color w:val="auto"/>
              </w:rPr>
              <w:t>Influence, Momentum, Reflection, and Solitude</w:t>
            </w:r>
          </w:p>
        </w:tc>
      </w:tr>
      <w:tr>
        <w:trPr>
          <w:trHeight w:val="167"/>
        </w:trPr>
        <w:tc>
          <w:tcPr>
            <w:tcW w:w="1160" w:type="dxa"/>
            <w:vAlign w:val="bottom"/>
          </w:tcPr>
          <w:p>
            <w:pPr>
              <w:spacing w:after="0"/>
              <w:rPr>
                <w:sz w:val="14"/>
                <w:szCs w:val="14"/>
                <w:color w:val="auto"/>
              </w:rPr>
            </w:pPr>
          </w:p>
        </w:tc>
        <w:tc>
          <w:tcPr>
            <w:tcW w:w="3820" w:type="dxa"/>
            <w:vAlign w:val="bottom"/>
          </w:tcPr>
          <w:p>
            <w:pPr>
              <w:ind w:left="420"/>
              <w:spacing w:after="0"/>
              <w:rPr>
                <w:sz w:val="20"/>
                <w:szCs w:val="20"/>
                <w:color w:val="auto"/>
              </w:rPr>
            </w:pPr>
            <w:r>
              <w:rPr>
                <w:rFonts w:ascii="Arial" w:cs="Arial" w:eastAsia="Arial" w:hAnsi="Arial"/>
                <w:sz w:val="13"/>
                <w:szCs w:val="13"/>
                <w:color w:val="auto"/>
              </w:rPr>
              <w:t>to the vehicle with a special fifth wheel hitch</w:t>
            </w:r>
          </w:p>
        </w:tc>
        <w:tc>
          <w:tcPr>
            <w:tcW w:w="3080" w:type="dxa"/>
            <w:vAlign w:val="bottom"/>
          </w:tcPr>
          <w:p>
            <w:pPr>
              <w:spacing w:after="0"/>
              <w:rPr>
                <w:sz w:val="14"/>
                <w:szCs w:val="14"/>
                <w:color w:val="auto"/>
              </w:rPr>
            </w:pPr>
          </w:p>
        </w:tc>
        <w:tc>
          <w:tcPr>
            <w:tcW w:w="3220" w:type="dxa"/>
            <w:vAlign w:val="bottom"/>
          </w:tcPr>
          <w:p>
            <w:pPr>
              <w:spacing w:after="0"/>
              <w:rPr>
                <w:sz w:val="14"/>
                <w:szCs w:val="14"/>
                <w:color w:val="auto"/>
              </w:rPr>
            </w:pPr>
          </w:p>
        </w:tc>
      </w:tr>
    </w:tbl>
    <w:p>
      <w:pPr>
        <w:spacing w:after="0" w:line="247" w:lineRule="exact"/>
        <w:rPr>
          <w:sz w:val="20"/>
          <w:szCs w:val="20"/>
          <w:color w:val="auto"/>
        </w:rPr>
      </w:pPr>
    </w:p>
    <w:p>
      <w:pPr>
        <w:ind w:right="420"/>
        <w:spacing w:after="0" w:line="283" w:lineRule="auto"/>
        <w:rPr>
          <w:sz w:val="20"/>
          <w:szCs w:val="20"/>
          <w:color w:val="auto"/>
        </w:rPr>
      </w:pPr>
      <w:r>
        <w:rPr>
          <w:rFonts w:ascii="Arial" w:cs="Arial" w:eastAsia="Arial" w:hAnsi="Arial"/>
          <w:sz w:val="13"/>
          <w:szCs w:val="13"/>
          <w:color w:val="auto"/>
        </w:rPr>
        <w:t>Our travel trailer and fifth wheel towable RVs are sold by dealers in the retail market with manufacturer's suggested retail prices ranging from approximately $20,000 to $154,000, which can vary depending on size and model, plus optional equipment and delivery charges.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Motorhome RV</w:t>
      </w:r>
    </w:p>
    <w:p>
      <w:pPr>
        <w:spacing w:after="0" w:line="82" w:lineRule="exact"/>
        <w:rPr>
          <w:sz w:val="20"/>
          <w:szCs w:val="20"/>
          <w:color w:val="auto"/>
        </w:rPr>
      </w:pPr>
    </w:p>
    <w:p>
      <w:pPr>
        <w:ind w:right="480"/>
        <w:spacing w:after="0" w:line="283" w:lineRule="auto"/>
        <w:rPr>
          <w:sz w:val="20"/>
          <w:szCs w:val="20"/>
          <w:color w:val="auto"/>
        </w:rPr>
      </w:pPr>
      <w:r>
        <w:rPr>
          <w:rFonts w:ascii="Arial" w:cs="Arial" w:eastAsia="Arial" w:hAnsi="Arial"/>
          <w:sz w:val="13"/>
          <w:szCs w:val="13"/>
          <w:color w:val="auto"/>
        </w:rPr>
        <w:t>A motorhome RV is a self-propelled mobile dwelling used primarily as temporary living quarters during vacation and camping trips, or to support active and mobile lifestyles. The RVIA classifies motorhome RVs into three types, all of which we manufacture and sell under the Winnebago and Newmar brand names, which are defined as follows:</w:t>
      </w:r>
    </w:p>
    <w:p>
      <w:pPr>
        <w:sectPr>
          <w:pgSz w:w="11900" w:h="16838" w:orient="portrait"/>
          <w:cols w:equalWidth="0" w:num="1">
            <w:col w:w="11280"/>
          </w:cols>
          <w:pgMar w:left="300" w:top="129" w:right="319" w:bottom="1440" w:gutter="0" w:footer="0" w:header="0"/>
        </w:sectPr>
      </w:pPr>
    </w:p>
    <w:p>
      <w:pPr>
        <w:spacing w:after="0" w:line="17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Type</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Class A</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Class B</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Class 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3200" w:type="dxa"/>
            <w:vAlign w:val="bottom"/>
          </w:tcPr>
          <w:p>
            <w:pPr>
              <w:ind w:left="80"/>
              <w:spacing w:after="0"/>
              <w:rPr>
                <w:sz w:val="20"/>
                <w:szCs w:val="20"/>
                <w:color w:val="auto"/>
              </w:rPr>
            </w:pPr>
            <w:r>
              <w:rPr>
                <w:rFonts w:ascii="Arial" w:cs="Arial" w:eastAsia="Arial" w:hAnsi="Arial"/>
                <w:sz w:val="13"/>
                <w:szCs w:val="13"/>
                <w:b w:val="1"/>
                <w:bCs w:val="1"/>
                <w:color w:val="auto"/>
              </w:rPr>
              <w:t>Winnebago product offerings</w:t>
            </w: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Newmar product offerings</w:t>
            </w:r>
          </w:p>
        </w:tc>
        <w:tc>
          <w:tcPr>
            <w:tcW w:w="0" w:type="dxa"/>
            <w:vAlign w:val="bottom"/>
          </w:tcPr>
          <w:p>
            <w:pPr>
              <w:spacing w:after="0"/>
              <w:rPr>
                <w:sz w:val="1"/>
                <w:szCs w:val="1"/>
                <w:color w:val="auto"/>
              </w:rPr>
            </w:pPr>
          </w:p>
        </w:tc>
      </w:tr>
      <w:tr>
        <w:trPr>
          <w:trHeight w:val="389"/>
        </w:trPr>
        <w:tc>
          <w:tcPr>
            <w:tcW w:w="3280" w:type="dxa"/>
            <w:vAlign w:val="bottom"/>
            <w:vMerge w:val="restart"/>
          </w:tcPr>
          <w:p>
            <w:pPr>
              <w:spacing w:after="0"/>
              <w:rPr>
                <w:sz w:val="20"/>
                <w:szCs w:val="20"/>
                <w:color w:val="auto"/>
              </w:rPr>
            </w:pPr>
            <w:r>
              <w:rPr>
                <w:rFonts w:ascii="Arial" w:cs="Arial" w:eastAsia="Arial" w:hAnsi="Arial"/>
                <w:sz w:val="13"/>
                <w:szCs w:val="13"/>
                <w:color w:val="auto"/>
              </w:rPr>
              <w:t>Built on a heavy truck chassis in both diesel and gas</w:t>
            </w:r>
          </w:p>
        </w:tc>
        <w:tc>
          <w:tcPr>
            <w:tcW w:w="3200" w:type="dxa"/>
            <w:vAlign w:val="bottom"/>
          </w:tcPr>
          <w:p>
            <w:pPr>
              <w:spacing w:after="0"/>
              <w:rPr>
                <w:sz w:val="24"/>
                <w:szCs w:val="24"/>
                <w:color w:val="auto"/>
              </w:rPr>
            </w:pPr>
          </w:p>
        </w:tc>
        <w:tc>
          <w:tcPr>
            <w:tcW w:w="3020" w:type="dxa"/>
            <w:vAlign w:val="bottom"/>
          </w:tcPr>
          <w:p>
            <w:pPr>
              <w:ind w:left="60"/>
              <w:spacing w:after="0"/>
              <w:rPr>
                <w:sz w:val="20"/>
                <w:szCs w:val="20"/>
                <w:color w:val="auto"/>
              </w:rPr>
            </w:pPr>
            <w:r>
              <w:rPr>
                <w:rFonts w:ascii="Arial" w:cs="Arial" w:eastAsia="Arial" w:hAnsi="Arial"/>
                <w:sz w:val="13"/>
                <w:szCs w:val="13"/>
                <w:color w:val="auto"/>
                <w:w w:val="96"/>
              </w:rPr>
              <w:t>Bay Star, Canyon Star, Dutch Star, Essex, King Aire,</w:t>
            </w:r>
          </w:p>
        </w:tc>
        <w:tc>
          <w:tcPr>
            <w:tcW w:w="0" w:type="dxa"/>
            <w:vAlign w:val="bottom"/>
          </w:tcPr>
          <w:p>
            <w:pPr>
              <w:spacing w:after="0"/>
              <w:rPr>
                <w:sz w:val="1"/>
                <w:szCs w:val="1"/>
                <w:color w:val="auto"/>
              </w:rPr>
            </w:pPr>
          </w:p>
        </w:tc>
      </w:tr>
      <w:tr>
        <w:trPr>
          <w:trHeight w:val="64"/>
        </w:trPr>
        <w:tc>
          <w:tcPr>
            <w:tcW w:w="3280" w:type="dxa"/>
            <w:vAlign w:val="bottom"/>
            <w:vMerge w:val="continue"/>
          </w:tcPr>
          <w:p>
            <w:pPr>
              <w:spacing w:after="0"/>
              <w:rPr>
                <w:sz w:val="5"/>
                <w:szCs w:val="5"/>
                <w:color w:val="auto"/>
              </w:rPr>
            </w:pPr>
          </w:p>
        </w:tc>
        <w:tc>
          <w:tcPr>
            <w:tcW w:w="3200" w:type="dxa"/>
            <w:vAlign w:val="bottom"/>
            <w:vMerge w:val="restart"/>
          </w:tcPr>
          <w:p>
            <w:pPr>
              <w:ind w:left="80"/>
              <w:spacing w:after="0" w:line="128" w:lineRule="exact"/>
              <w:rPr>
                <w:sz w:val="20"/>
                <w:szCs w:val="20"/>
                <w:color w:val="auto"/>
              </w:rPr>
            </w:pPr>
            <w:r>
              <w:rPr>
                <w:rFonts w:ascii="Arial" w:cs="Arial" w:eastAsia="Arial" w:hAnsi="Arial"/>
                <w:sz w:val="13"/>
                <w:szCs w:val="13"/>
                <w:color w:val="auto"/>
              </w:rPr>
              <w:t>Adventurer, Forza, Journey, Sunstar, and Vista</w:t>
            </w:r>
          </w:p>
        </w:tc>
        <w:tc>
          <w:tcPr>
            <w:tcW w:w="3020" w:type="dxa"/>
            <w:vAlign w:val="bottom"/>
            <w:vMerge w:val="restart"/>
          </w:tcPr>
          <w:p>
            <w:pPr>
              <w:ind w:left="60"/>
              <w:spacing w:after="0" w:line="128" w:lineRule="exact"/>
              <w:rPr>
                <w:sz w:val="20"/>
                <w:szCs w:val="20"/>
                <w:color w:val="auto"/>
              </w:rPr>
            </w:pPr>
            <w:r>
              <w:rPr>
                <w:rFonts w:ascii="Arial" w:cs="Arial" w:eastAsia="Arial" w:hAnsi="Arial"/>
                <w:sz w:val="13"/>
                <w:szCs w:val="13"/>
                <w:color w:val="auto"/>
                <w:w w:val="97"/>
              </w:rPr>
              <w:t>Kountry Star, London Aire, Mountain Aire, New Aire,</w:t>
            </w:r>
          </w:p>
        </w:tc>
        <w:tc>
          <w:tcPr>
            <w:tcW w:w="0" w:type="dxa"/>
            <w:vAlign w:val="bottom"/>
          </w:tcPr>
          <w:p>
            <w:pPr>
              <w:spacing w:after="0"/>
              <w:rPr>
                <w:sz w:val="1"/>
                <w:szCs w:val="1"/>
                <w:color w:val="auto"/>
              </w:rPr>
            </w:pPr>
          </w:p>
        </w:tc>
      </w:tr>
      <w:tr>
        <w:trPr>
          <w:trHeight w:val="64"/>
        </w:trPr>
        <w:tc>
          <w:tcPr>
            <w:tcW w:w="3280" w:type="dxa"/>
            <w:vAlign w:val="bottom"/>
            <w:vMerge w:val="restart"/>
          </w:tcPr>
          <w:p>
            <w:pPr>
              <w:spacing w:after="0"/>
              <w:rPr>
                <w:sz w:val="20"/>
                <w:szCs w:val="20"/>
                <w:color w:val="auto"/>
              </w:rPr>
            </w:pPr>
            <w:r>
              <w:rPr>
                <w:rFonts w:ascii="Arial" w:cs="Arial" w:eastAsia="Arial" w:hAnsi="Arial"/>
                <w:sz w:val="13"/>
                <w:szCs w:val="13"/>
                <w:color w:val="auto"/>
              </w:rPr>
              <w:t>models with the ability to tow a small vehicle</w:t>
            </w:r>
          </w:p>
        </w:tc>
        <w:tc>
          <w:tcPr>
            <w:tcW w:w="3200" w:type="dxa"/>
            <w:vAlign w:val="bottom"/>
            <w:vMerge w:val="continue"/>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280" w:type="dxa"/>
            <w:vAlign w:val="bottom"/>
            <w:vMerge w:val="continue"/>
          </w:tcPr>
          <w:p>
            <w:pPr>
              <w:spacing w:after="0"/>
              <w:rPr>
                <w:sz w:val="9"/>
                <w:szCs w:val="9"/>
                <w:color w:val="auto"/>
              </w:rPr>
            </w:pPr>
          </w:p>
        </w:tc>
        <w:tc>
          <w:tcPr>
            <w:tcW w:w="3200" w:type="dxa"/>
            <w:vAlign w:val="bottom"/>
          </w:tcPr>
          <w:p>
            <w:pPr>
              <w:spacing w:after="0"/>
              <w:rPr>
                <w:sz w:val="9"/>
                <w:szCs w:val="9"/>
                <w:color w:val="auto"/>
              </w:rPr>
            </w:pPr>
          </w:p>
        </w:tc>
        <w:tc>
          <w:tcPr>
            <w:tcW w:w="3020" w:type="dxa"/>
            <w:vAlign w:val="bottom"/>
            <w:vMerge w:val="restart"/>
          </w:tcPr>
          <w:p>
            <w:pPr>
              <w:ind w:left="60"/>
              <w:spacing w:after="0"/>
              <w:rPr>
                <w:sz w:val="20"/>
                <w:szCs w:val="20"/>
                <w:color w:val="auto"/>
              </w:rPr>
            </w:pPr>
            <w:r>
              <w:rPr>
                <w:rFonts w:ascii="Arial" w:cs="Arial" w:eastAsia="Arial" w:hAnsi="Arial"/>
                <w:sz w:val="13"/>
                <w:szCs w:val="13"/>
                <w:color w:val="auto"/>
              </w:rPr>
              <w:t>Northern Star, and Ventana</w:t>
            </w:r>
          </w:p>
        </w:tc>
        <w:tc>
          <w:tcPr>
            <w:tcW w:w="0" w:type="dxa"/>
            <w:vAlign w:val="bottom"/>
          </w:tcPr>
          <w:p>
            <w:pPr>
              <w:spacing w:after="0"/>
              <w:rPr>
                <w:sz w:val="1"/>
                <w:szCs w:val="1"/>
                <w:color w:val="auto"/>
              </w:rPr>
            </w:pPr>
          </w:p>
        </w:tc>
      </w:tr>
      <w:tr>
        <w:trPr>
          <w:trHeight w:val="64"/>
        </w:trPr>
        <w:tc>
          <w:tcPr>
            <w:tcW w:w="3280" w:type="dxa"/>
            <w:vAlign w:val="bottom"/>
          </w:tcPr>
          <w:p>
            <w:pPr>
              <w:spacing w:after="0"/>
              <w:rPr>
                <w:sz w:val="5"/>
                <w:szCs w:val="5"/>
                <w:color w:val="auto"/>
              </w:rPr>
            </w:pPr>
          </w:p>
        </w:tc>
        <w:tc>
          <w:tcPr>
            <w:tcW w:w="320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2"/>
        </w:trPr>
        <w:tc>
          <w:tcPr>
            <w:tcW w:w="3280" w:type="dxa"/>
            <w:vAlign w:val="bottom"/>
          </w:tcPr>
          <w:p>
            <w:pPr>
              <w:spacing w:after="0"/>
              <w:rPr>
                <w:sz w:val="20"/>
                <w:szCs w:val="20"/>
                <w:color w:val="auto"/>
              </w:rPr>
            </w:pPr>
            <w:r>
              <w:rPr>
                <w:rFonts w:ascii="Arial" w:cs="Arial" w:eastAsia="Arial" w:hAnsi="Arial"/>
                <w:sz w:val="13"/>
                <w:szCs w:val="13"/>
                <w:color w:val="auto"/>
              </w:rPr>
              <w:t>Built by adding a taller roof and amenities to an existing</w:t>
            </w: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Revel, Roam, Solis, Travato, and Winnebago +</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3280" w:type="dxa"/>
            <w:vAlign w:val="bottom"/>
            <w:vMerge w:val="restart"/>
          </w:tcPr>
          <w:p>
            <w:pPr>
              <w:spacing w:after="0" w:line="128" w:lineRule="exact"/>
              <w:rPr>
                <w:sz w:val="20"/>
                <w:szCs w:val="20"/>
                <w:color w:val="auto"/>
              </w:rPr>
            </w:pPr>
            <w:r>
              <w:rPr>
                <w:rFonts w:ascii="Arial" w:cs="Arial" w:eastAsia="Arial" w:hAnsi="Arial"/>
                <w:sz w:val="13"/>
                <w:szCs w:val="13"/>
                <w:color w:val="auto"/>
                <w:w w:val="99"/>
              </w:rPr>
              <w:t>van in both diesel and gas models, which allows for easy</w:t>
            </w:r>
          </w:p>
        </w:tc>
        <w:tc>
          <w:tcPr>
            <w:tcW w:w="3200" w:type="dxa"/>
            <w:vAlign w:val="bottom"/>
            <w:vMerge w:val="continue"/>
          </w:tcPr>
          <w:p>
            <w:pPr>
              <w:spacing w:after="0"/>
              <w:rPr>
                <w:sz w:val="5"/>
                <w:szCs w:val="5"/>
                <w:color w:val="auto"/>
              </w:rPr>
            </w:pPr>
          </w:p>
        </w:tc>
        <w:tc>
          <w:tcPr>
            <w:tcW w:w="3020" w:type="dxa"/>
            <w:vAlign w:val="bottom"/>
            <w:vMerge w:val="restart"/>
          </w:tcPr>
          <w:p>
            <w:pPr>
              <w:ind w:left="60"/>
              <w:spacing w:after="0" w:line="128"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64"/>
        </w:trPr>
        <w:tc>
          <w:tcPr>
            <w:tcW w:w="3280" w:type="dxa"/>
            <w:vAlign w:val="bottom"/>
            <w:vMerge w:val="continue"/>
          </w:tcPr>
          <w:p>
            <w:pPr>
              <w:spacing w:after="0"/>
              <w:rPr>
                <w:sz w:val="5"/>
                <w:szCs w:val="5"/>
                <w:color w:val="auto"/>
              </w:rPr>
            </w:pP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rPr>
              <w:t>Adventure Wagon</w:t>
            </w: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280" w:type="dxa"/>
            <w:vAlign w:val="bottom"/>
            <w:vMerge w:val="restart"/>
          </w:tcPr>
          <w:p>
            <w:pPr>
              <w:spacing w:after="0"/>
              <w:rPr>
                <w:sz w:val="20"/>
                <w:szCs w:val="20"/>
                <w:color w:val="auto"/>
              </w:rPr>
            </w:pPr>
            <w:r>
              <w:rPr>
                <w:rFonts w:ascii="Arial" w:cs="Arial" w:eastAsia="Arial" w:hAnsi="Arial"/>
                <w:sz w:val="13"/>
                <w:szCs w:val="13"/>
                <w:color w:val="auto"/>
              </w:rPr>
              <w:t>maneuvering</w:t>
            </w:r>
          </w:p>
        </w:tc>
        <w:tc>
          <w:tcPr>
            <w:tcW w:w="320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280" w:type="dxa"/>
            <w:vAlign w:val="bottom"/>
            <w:vMerge w:val="continue"/>
          </w:tcPr>
          <w:p>
            <w:pPr>
              <w:spacing w:after="0"/>
              <w:rPr>
                <w:sz w:val="5"/>
                <w:szCs w:val="5"/>
                <w:color w:val="auto"/>
              </w:rPr>
            </w:pPr>
          </w:p>
        </w:tc>
        <w:tc>
          <w:tcPr>
            <w:tcW w:w="32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6"/>
        </w:trPr>
        <w:tc>
          <w:tcPr>
            <w:tcW w:w="3280" w:type="dxa"/>
            <w:vAlign w:val="bottom"/>
          </w:tcPr>
          <w:p>
            <w:pPr>
              <w:spacing w:after="0"/>
              <w:rPr>
                <w:sz w:val="20"/>
                <w:szCs w:val="20"/>
                <w:color w:val="auto"/>
              </w:rPr>
            </w:pPr>
            <w:r>
              <w:rPr>
                <w:rFonts w:ascii="Arial" w:cs="Arial" w:eastAsia="Arial" w:hAnsi="Arial"/>
                <w:sz w:val="13"/>
                <w:szCs w:val="13"/>
                <w:color w:val="auto"/>
              </w:rPr>
              <w:t>Built on a medium truck chassis in both diesel and gas</w:t>
            </w:r>
          </w:p>
        </w:tc>
        <w:tc>
          <w:tcPr>
            <w:tcW w:w="3200" w:type="dxa"/>
            <w:vAlign w:val="bottom"/>
            <w:vMerge w:val="restart"/>
          </w:tcPr>
          <w:p>
            <w:pPr>
              <w:ind w:left="80"/>
              <w:spacing w:after="0"/>
              <w:rPr>
                <w:sz w:val="20"/>
                <w:szCs w:val="20"/>
                <w:color w:val="auto"/>
              </w:rPr>
            </w:pPr>
            <w:r>
              <w:rPr>
                <w:rFonts w:ascii="Arial" w:cs="Arial" w:eastAsia="Arial" w:hAnsi="Arial"/>
                <w:sz w:val="13"/>
                <w:szCs w:val="13"/>
                <w:color w:val="auto"/>
                <w:w w:val="99"/>
              </w:rPr>
              <w:t>EKKO, Minnie Winnie, Navion, Porto, Spirit, View, and</w:t>
            </w:r>
          </w:p>
        </w:tc>
        <w:tc>
          <w:tcPr>
            <w:tcW w:w="3020" w:type="dxa"/>
            <w:vAlign w:val="bottom"/>
            <w:vMerge w:val="restart"/>
          </w:tcPr>
          <w:p>
            <w:pPr>
              <w:ind w:left="60"/>
              <w:spacing w:after="0"/>
              <w:rPr>
                <w:sz w:val="20"/>
                <w:szCs w:val="20"/>
                <w:color w:val="auto"/>
              </w:rPr>
            </w:pPr>
            <w:r>
              <w:rPr>
                <w:rFonts w:ascii="Arial" w:cs="Arial" w:eastAsia="Arial" w:hAnsi="Arial"/>
                <w:sz w:val="13"/>
                <w:szCs w:val="13"/>
                <w:color w:val="auto"/>
              </w:rPr>
              <w:t>Super Star and Supreme Aire</w:t>
            </w:r>
          </w:p>
        </w:tc>
        <w:tc>
          <w:tcPr>
            <w:tcW w:w="0" w:type="dxa"/>
            <w:vAlign w:val="bottom"/>
          </w:tcPr>
          <w:p>
            <w:pPr>
              <w:spacing w:after="0"/>
              <w:rPr>
                <w:sz w:val="1"/>
                <w:szCs w:val="1"/>
                <w:color w:val="auto"/>
              </w:rPr>
            </w:pPr>
          </w:p>
        </w:tc>
      </w:tr>
      <w:tr>
        <w:trPr>
          <w:trHeight w:val="127"/>
        </w:trPr>
        <w:tc>
          <w:tcPr>
            <w:tcW w:w="3280" w:type="dxa"/>
            <w:vAlign w:val="bottom"/>
          </w:tcPr>
          <w:p>
            <w:pPr>
              <w:spacing w:after="0" w:line="128" w:lineRule="exact"/>
              <w:rPr>
                <w:sz w:val="20"/>
                <w:szCs w:val="20"/>
                <w:color w:val="auto"/>
              </w:rPr>
            </w:pPr>
            <w:r>
              <w:rPr>
                <w:rFonts w:ascii="Arial" w:cs="Arial" w:eastAsia="Arial" w:hAnsi="Arial"/>
                <w:sz w:val="13"/>
                <w:szCs w:val="13"/>
                <w:color w:val="auto"/>
              </w:rPr>
              <w:t>models with similar features and amenities to Class A</w:t>
            </w:r>
          </w:p>
        </w:tc>
        <w:tc>
          <w:tcPr>
            <w:tcW w:w="3200" w:type="dxa"/>
            <w:vAlign w:val="bottom"/>
            <w:vMerge w:val="continue"/>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280" w:type="dxa"/>
            <w:vAlign w:val="bottom"/>
            <w:vMerge w:val="restart"/>
          </w:tcPr>
          <w:p>
            <w:pPr>
              <w:spacing w:after="0"/>
              <w:rPr>
                <w:sz w:val="20"/>
                <w:szCs w:val="20"/>
                <w:color w:val="auto"/>
              </w:rPr>
            </w:pPr>
            <w:r>
              <w:rPr>
                <w:rFonts w:ascii="Arial" w:cs="Arial" w:eastAsia="Arial" w:hAnsi="Arial"/>
                <w:sz w:val="13"/>
                <w:szCs w:val="13"/>
                <w:color w:val="auto"/>
              </w:rPr>
              <w:t>models</w:t>
            </w:r>
          </w:p>
        </w:tc>
        <w:tc>
          <w:tcPr>
            <w:tcW w:w="3200" w:type="dxa"/>
            <w:vAlign w:val="bottom"/>
          </w:tcPr>
          <w:p>
            <w:pPr>
              <w:ind w:left="80"/>
              <w:spacing w:after="0" w:line="128" w:lineRule="exact"/>
              <w:rPr>
                <w:sz w:val="20"/>
                <w:szCs w:val="20"/>
                <w:color w:val="auto"/>
              </w:rPr>
            </w:pPr>
            <w:r>
              <w:rPr>
                <w:rFonts w:ascii="Arial" w:cs="Arial" w:eastAsia="Arial" w:hAnsi="Arial"/>
                <w:sz w:val="13"/>
                <w:szCs w:val="13"/>
                <w:color w:val="auto"/>
              </w:rPr>
              <w:t>Vita</w:t>
            </w:r>
          </w:p>
        </w:tc>
        <w:tc>
          <w:tcPr>
            <w:tcW w:w="3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280" w:type="dxa"/>
            <w:vAlign w:val="bottom"/>
            <w:vMerge w:val="continue"/>
          </w:tcPr>
          <w:p>
            <w:pPr>
              <w:spacing w:after="0"/>
              <w:rPr>
                <w:sz w:val="3"/>
                <w:szCs w:val="3"/>
                <w:color w:val="auto"/>
              </w:rPr>
            </w:pPr>
          </w:p>
        </w:tc>
        <w:tc>
          <w:tcPr>
            <w:tcW w:w="320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-368300</wp:posOffset>
            </wp:positionV>
            <wp:extent cx="7161530" cy="478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781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-1392555</wp:posOffset>
            </wp:positionV>
            <wp:extent cx="7161530" cy="606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064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720"/>
            <w:col w:w="9700"/>
          </w:cols>
          <w:pgMar w:left="300" w:top="129" w:right="319" w:bottom="1440" w:gutter="0" w:footer="0" w:header="0"/>
          <w:type w:val="continuous"/>
        </w:sectPr>
      </w:pPr>
    </w:p>
    <w:p>
      <w:pPr>
        <w:spacing w:after="0" w:line="227"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Our Class A, Class B, and Class C motorhome RVs are sold by dealers in the retail market with manufacturer's suggested retail prices ranging from approximately $143,000 to $1,847,000, which can vary depending on size and model, plus optional equipment and delivery charges. Our motorhome RVs range in length from approximately 18 to 45 feet.</w:t>
      </w:r>
    </w:p>
    <w:p>
      <w:pPr>
        <w:spacing w:after="0" w:line="167" w:lineRule="exact"/>
        <w:rPr>
          <w:sz w:val="20"/>
          <w:szCs w:val="20"/>
          <w:color w:val="auto"/>
        </w:rPr>
      </w:pPr>
    </w:p>
    <w:p>
      <w:pPr>
        <w:ind w:right="100"/>
        <w:spacing w:after="0" w:line="252" w:lineRule="auto"/>
        <w:rPr>
          <w:sz w:val="20"/>
          <w:szCs w:val="20"/>
          <w:color w:val="auto"/>
        </w:rPr>
      </w:pPr>
      <w:r>
        <w:rPr>
          <w:rFonts w:ascii="Arial" w:cs="Arial" w:eastAsia="Arial" w:hAnsi="Arial"/>
          <w:sz w:val="13"/>
          <w:szCs w:val="13"/>
          <w:color w:val="auto"/>
        </w:rPr>
        <w:t>Motorhome RV parts and service activities represent revenues generated by service work we perform for retail customers at our Forest City, Iowa and Nappanee, Indiana facilities as well as revenues from the sale of unit parts. Our competitive strategy is to provide proprietary manufactured parts through our dealer network, which we believe increases customer satisfaction and the value of our motorhome RVs.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Marine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We manufacture and sell premium quality recreational boats under our Chris-Craft and Barletta brands through an established network of independent authorized dealers.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Type</w:t>
            </w:r>
          </w:p>
        </w:tc>
        <w:tc>
          <w:tcPr>
            <w:tcW w:w="456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Chris-Craft product offerings</w:t>
            </w:r>
          </w:p>
        </w:tc>
        <w:tc>
          <w:tcPr>
            <w:tcW w:w="574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Barletta product offerings</w:t>
            </w:r>
          </w:p>
        </w:tc>
      </w:tr>
      <w:tr>
        <w:trPr>
          <w:trHeight w:val="160"/>
        </w:trPr>
        <w:tc>
          <w:tcPr>
            <w:tcW w:w="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Boats</w:t>
            </w:r>
          </w:p>
        </w:tc>
        <w:tc>
          <w:tcPr>
            <w:tcW w:w="45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Calypso, Catalina, Launch, Launch GT, and Sportster</w:t>
            </w:r>
          </w:p>
        </w:tc>
        <w:tc>
          <w:tcPr>
            <w:tcW w:w="5740" w:type="dxa"/>
            <w:vAlign w:val="bottom"/>
            <w:shd w:val="clear" w:color="auto" w:fill="CCEEFF"/>
          </w:tcPr>
          <w:p>
            <w:pPr>
              <w:ind w:left="920"/>
              <w:spacing w:after="0"/>
              <w:rPr>
                <w:sz w:val="20"/>
                <w:szCs w:val="20"/>
                <w:color w:val="auto"/>
              </w:rPr>
            </w:pPr>
            <w:r>
              <w:rPr>
                <w:rFonts w:ascii="Arial" w:cs="Arial" w:eastAsia="Arial" w:hAnsi="Arial"/>
                <w:sz w:val="13"/>
                <w:szCs w:val="13"/>
                <w:color w:val="auto"/>
              </w:rPr>
              <w:t>Aria, Cabrio, Corsa, Lusso, Reserve, and Reserve Leggera</w:t>
            </w:r>
          </w:p>
        </w:tc>
      </w:tr>
    </w:tbl>
    <w:p>
      <w:pPr>
        <w:spacing w:after="0" w:line="244" w:lineRule="exact"/>
        <w:rPr>
          <w:sz w:val="20"/>
          <w:szCs w:val="20"/>
          <w:color w:val="auto"/>
        </w:rPr>
      </w:pPr>
    </w:p>
    <w:p>
      <w:pPr>
        <w:ind w:right="380"/>
        <w:spacing w:after="0" w:line="283" w:lineRule="auto"/>
        <w:rPr>
          <w:sz w:val="20"/>
          <w:szCs w:val="20"/>
          <w:color w:val="auto"/>
        </w:rPr>
      </w:pPr>
      <w:r>
        <w:rPr>
          <w:rFonts w:ascii="Arial" w:cs="Arial" w:eastAsia="Arial" w:hAnsi="Arial"/>
          <w:sz w:val="13"/>
          <w:szCs w:val="13"/>
          <w:color w:val="auto"/>
        </w:rPr>
        <w:t>Our boats are sold by dealers in the retail market with manufacturer's suggested retail prices ranging from approximately $47,000 to $768,000, which can vary depending on size and model, plus optional equipment and delivery charges.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Winnebago Specialty Vehicles</w:t>
      </w:r>
    </w:p>
    <w:p>
      <w:pPr>
        <w:spacing w:after="0" w:line="82"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We manufacture specialty commercial vehicles custom designed for the buyer's specific needs and requirements, such as law enforcement command centers, mobile medical clinics, and mobile office space. We also provide commercial vehicles as bare shells to third-party upfitters for conversion at their facilities. These specialty commercial vehicles are manufactured in Forest City, Iowa and sold through our dealer network.</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Lithionics</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On April 28, 2023, we acquired 100% of the equity interests of Lithionics Battery, LLC and Lithionics LLC (collectively, "Lithionics"), a premier lithium-ion battery solutions provider to the recreational equipment and specialty vehicle markets. Using a proprietary battery management system called NeverDie® Technology, Lithionics offers a broad range of standard and custom-designed battery configurations delivering “house power” and supporting internal electrical features and appliances for a variety of outdoor products, including RVs, boats, specialty and other low-speed vehicles, as well as other industrial applications. These batteries are manufactured in Clearwater, Florida. Refer to Note 2 in the Notes to Consolidated Financial Statements, included in Item 8 of Part II in this Annual Report on Form 10-K, for further detail regarding the acquisition.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Production</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We generally produce towable RVs, motorhome RVs, and marine products made to order for dealers. We have some ability to increase our capacity by scheduling overtime and/or hiring additional production employees or to decrease our capacity through the use of shortened work weeks and/or reducing head count. We have long been known as an industry leader in innovation as each year we introduce new or redesigned products. These changes generally include new floor plans, features, functionality, and sizes as well as design and decor modifications. Most of our raw materials such as steel, aluminum, fiberglass, and wood products are obtainable from numerous sources.</w:t>
      </w:r>
    </w:p>
    <w:p>
      <w:pPr>
        <w:spacing w:after="0" w:line="161" w:lineRule="exact"/>
        <w:rPr>
          <w:sz w:val="20"/>
          <w:szCs w:val="20"/>
          <w:color w:val="auto"/>
        </w:rPr>
      </w:pPr>
    </w:p>
    <w:p>
      <w:pPr>
        <w:ind w:right="500"/>
        <w:spacing w:after="0" w:line="266" w:lineRule="auto"/>
        <w:rPr>
          <w:sz w:val="20"/>
          <w:szCs w:val="20"/>
          <w:color w:val="auto"/>
        </w:rPr>
      </w:pPr>
      <w:r>
        <w:rPr>
          <w:rFonts w:ascii="Arial" w:cs="Arial" w:eastAsia="Arial" w:hAnsi="Arial"/>
          <w:sz w:val="13"/>
          <w:szCs w:val="13"/>
          <w:color w:val="auto"/>
        </w:rPr>
        <w:t>Our towable RVs are produced at two assembly campuses located in Indiana. The majority of components are comprised of frames, appliances, and furniture, and are purchased from multiple suppliers.</w:t>
      </w:r>
    </w:p>
    <w:p>
      <w:pPr>
        <w:spacing w:after="0" w:line="167" w:lineRule="exact"/>
        <w:rPr>
          <w:sz w:val="20"/>
          <w:szCs w:val="20"/>
          <w:color w:val="auto"/>
        </w:rPr>
      </w:pPr>
    </w:p>
    <w:p>
      <w:pPr>
        <w:ind w:right="20"/>
        <w:spacing w:after="0" w:line="309" w:lineRule="auto"/>
        <w:rPr>
          <w:sz w:val="20"/>
          <w:szCs w:val="20"/>
          <w:color w:val="auto"/>
        </w:rPr>
      </w:pPr>
      <w:r>
        <w:rPr>
          <w:rFonts w:ascii="Arial" w:cs="Arial" w:eastAsia="Arial" w:hAnsi="Arial"/>
          <w:sz w:val="12"/>
          <w:szCs w:val="12"/>
          <w:color w:val="auto"/>
        </w:rPr>
        <w:t>Our motorhome RVs are produced in the states of Iowa and Indiana at five different assembly campuses. Our motorhome RV business utilizes vertically integrated supply streams, with the principal exceptions being chassis, engines, generators, and appliances that we purchase from multiple suppliers. Certain parts, especially motorhome RV chassis, are available from a small group of suppliers.</w:t>
      </w:r>
    </w:p>
    <w:p>
      <w:pPr>
        <w:spacing w:after="0" w:line="143"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Our marine products are produced in the states of Indiana and Florida at two different assembly campuses. We manufacture certain components and purchase other components from suppliers and install them on the boat. Certain parts, especially motors, are available from a small group of suppliers.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Backlog</w:t>
      </w:r>
    </w:p>
    <w:p>
      <w:pPr>
        <w:spacing w:after="0" w:line="95" w:lineRule="exact"/>
        <w:rPr>
          <w:sz w:val="20"/>
          <w:szCs w:val="20"/>
          <w:color w:val="auto"/>
        </w:rPr>
      </w:pPr>
    </w:p>
    <w:p>
      <w:pPr>
        <w:ind w:right="20"/>
        <w:spacing w:after="0" w:line="252" w:lineRule="auto"/>
        <w:rPr>
          <w:sz w:val="20"/>
          <w:szCs w:val="20"/>
          <w:color w:val="auto"/>
        </w:rPr>
      </w:pPr>
      <w:r>
        <w:rPr>
          <w:rFonts w:ascii="Arial" w:cs="Arial" w:eastAsia="Arial" w:hAnsi="Arial"/>
          <w:sz w:val="13"/>
          <w:szCs w:val="13"/>
          <w:color w:val="auto"/>
        </w:rPr>
        <w:t>We strive to balance timely order fulfillment to our dealers with the lead times suppliers require to efficiently source materials and manage costs. Production facility constraints at peak periods also lead to fluctuations in backlog orders, which we manage closely. A more detailed description of our Towable RV, Motorhome RV, and Marine order backlog is included in Item 7 of Part II in this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 and Financing</w:t>
      </w:r>
    </w:p>
    <w:p>
      <w:pPr>
        <w:spacing w:after="0" w:line="84"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 Foreign sales accounted for less than 10% of net revenues during each of the past three fiscal years.</w:t>
      </w:r>
    </w:p>
    <w:p>
      <w:pPr>
        <w:spacing w:after="0" w:line="1"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As of August 31, 2024, our RV and marine dealer network in the U.S. and Canada included over 750 physical dealer locations, many of which carry more than one of our brands. None of our dealer organizations accounted for more than 10% of our net revenues during each of the past three fiscal years.</w:t>
      </w:r>
    </w:p>
    <w:p>
      <w:pPr>
        <w:spacing w:after="0" w:line="158"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We have sales and service agreements with most dealers, which are subject to annual review. Many of the dealers are also engaged in other areas of business, including the sale of automobiles, trailers, or boats, and most dealers carry one or more competitive lines of products. We continue to place high emphasis on the capability of our dealers to provide complete service for our products. Dealers are obligated to provide full service for owners of our products or, in lieu thereof, to secure such service from other authorized providers.</w:t>
      </w:r>
    </w:p>
    <w:p>
      <w:pPr>
        <w:spacing w:after="0" w:line="159" w:lineRule="exact"/>
        <w:rPr>
          <w:sz w:val="20"/>
          <w:szCs w:val="20"/>
          <w:color w:val="auto"/>
        </w:rPr>
      </w:pPr>
    </w:p>
    <w:p>
      <w:pPr>
        <w:ind w:right="100"/>
        <w:spacing w:after="0" w:line="327" w:lineRule="auto"/>
        <w:rPr>
          <w:sz w:val="20"/>
          <w:szCs w:val="20"/>
          <w:color w:val="auto"/>
        </w:rPr>
      </w:pPr>
      <w:r>
        <w:rPr>
          <w:rFonts w:ascii="Arial" w:cs="Arial" w:eastAsia="Arial" w:hAnsi="Arial"/>
          <w:sz w:val="12"/>
          <w:szCs w:val="12"/>
          <w:color w:val="auto"/>
        </w:rPr>
        <w:t>We advertise and promote our products through national trade magazines, product brochures, the Go RVing national advertising campaign sponsored by RVIA, our websites, social media, direct-mail advertising campaigns, various national promotional opportunities, and on a local basis through trade shows, television, radio, and newspapers, primarily in connection with area dealers.</w:t>
      </w:r>
    </w:p>
    <w:p>
      <w:pPr>
        <w:spacing w:after="0" w:line="123"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Sales to dealers are made primarily on cash terms. Most dealers are financed on a "floorplan" basis under which a bank or finance company lends the dealer all, or substantially all, of the purchase price, collateralized by a security interest in the merchandise purchased. As is customary in the industries we serve,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an RV unit is financed and up to 24 months after a marine unit is financed, in the event of default by the dealer on the agreement to pay the lending institution and repossession of the unit(s) by the lending institution, we will repurchase the financed merchandise from the lender at the amount then due, which is often less than dealer invoice. Our maximum exposure for repurchases can vary significantly, depending upon the level of dealer inventory, general economic conditions, demand for our products, dealer location, and access to and the cost of financing. See Note 12 in the Notes to Consolidated Financial Statements, included in Item 8 of Part II in this Annual Report on Form 10-K, for more information.</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84" w:lineRule="exact"/>
        <w:rPr>
          <w:sz w:val="20"/>
          <w:szCs w:val="20"/>
          <w:color w:val="auto"/>
        </w:rPr>
      </w:pPr>
    </w:p>
    <w:p>
      <w:pPr>
        <w:ind w:right="80"/>
        <w:spacing w:after="0" w:line="259" w:lineRule="auto"/>
        <w:rPr>
          <w:sz w:val="20"/>
          <w:szCs w:val="20"/>
          <w:color w:val="auto"/>
        </w:rPr>
      </w:pPr>
      <w:r>
        <w:rPr>
          <w:rFonts w:ascii="Arial" w:cs="Arial" w:eastAsia="Arial" w:hAnsi="Arial"/>
          <w:sz w:val="13"/>
          <w:szCs w:val="13"/>
          <w:color w:val="auto"/>
        </w:rPr>
        <w:t>The RV and marine markets are highly competitive with many other manufacturers selling products which compete directly with our products. Some of our competitors are much larger than us, most notably in the towable RV market, which may provide these competitors additional purchasing power. The competition in our industries is based upon design, price, quality, features, and service of the products. We believe our principal competitive advantages are our brand strength, product differentiation, product quality, and our service after the sale. We also believe that our products have historically commanded a price premium as a result of these competitive advantages.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Seasonality</w:t>
      </w:r>
    </w:p>
    <w:p>
      <w:pPr>
        <w:spacing w:after="0" w:line="84"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The primary use of RVs and marine products for leisure travel and outdoor recreation has historically led to a peak retail selling season concentrated in the spring and summer months and lower sales during fall and winter months. Our sales are generally influenced by this pattern in retail sales, but sales can also be impacted by the level of dealer inventory. As a result, our sales are historically lowest during our second fiscal quarter, which ends in February.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Governmental Regulations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subject to a variety of federal, state, local, and, to a limited extent, international laws and regulations, including the federal Motor Vehicle Act ("MVA"), under which the National Highway Traffic Safety Administration ("NHTSA") may require manufacturers to recall RVs that contain safety-related defects, and numerous state consumer protection laws and regulations relating to the operation of motor vehicles, including so-called "Lemon Laws." The Boat Safety Act of 1971 has similar safety-related recall requirements for marine units. In addition, marine units sold in the U.S. and Europe must meet the certification standards of the U.S. Coast Guard and the European Community, respectively.</w:t>
      </w:r>
    </w:p>
    <w:p>
      <w:pPr>
        <w:spacing w:after="0" w:line="165" w:lineRule="exact"/>
        <w:rPr>
          <w:sz w:val="20"/>
          <w:szCs w:val="20"/>
          <w:color w:val="auto"/>
        </w:rPr>
      </w:pPr>
    </w:p>
    <w:p>
      <w:pPr>
        <w:jc w:val="both"/>
        <w:ind w:right="160"/>
        <w:spacing w:after="0" w:line="292" w:lineRule="auto"/>
        <w:rPr>
          <w:sz w:val="20"/>
          <w:szCs w:val="20"/>
          <w:color w:val="auto"/>
        </w:rPr>
      </w:pPr>
      <w:r>
        <w:rPr>
          <w:rFonts w:ascii="Arial" w:cs="Arial" w:eastAsia="Arial" w:hAnsi="Arial"/>
          <w:sz w:val="12"/>
          <w:szCs w:val="12"/>
          <w:color w:val="auto"/>
        </w:rPr>
        <w:t>We are also subject to regulations established by the Occupational Safety and Health Administration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154" w:lineRule="exact"/>
        <w:rPr>
          <w:sz w:val="20"/>
          <w:szCs w:val="20"/>
          <w:color w:val="auto"/>
        </w:rPr>
      </w:pPr>
    </w:p>
    <w:p>
      <w:pPr>
        <w:ind w:right="480"/>
        <w:spacing w:after="0" w:line="266" w:lineRule="auto"/>
        <w:rPr>
          <w:sz w:val="20"/>
          <w:szCs w:val="20"/>
          <w:color w:val="auto"/>
        </w:rPr>
      </w:pPr>
      <w:r>
        <w:rPr>
          <w:rFonts w:ascii="Arial" w:cs="Arial" w:eastAsia="Arial" w:hAnsi="Arial"/>
          <w:sz w:val="13"/>
          <w:szCs w:val="13"/>
          <w:color w:val="auto"/>
        </w:rPr>
        <w:t>Our operations are subject to a variety of federal and state environmental laws and regulations relating to the use, generation, storage, treatment, emission, labeling, and disposal of hazardous materials and wastes, and noise pollution. We believe that we are currently in compliance with applicable environmental laws and regulations in all material aspects.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Trademarks</w:t>
      </w:r>
    </w:p>
    <w:p>
      <w:pPr>
        <w:spacing w:after="0" w:line="95"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Our products are marketed under a variety of valuable trademarks. Some of the more important trademarks used in our business include Winnebago, Grand Design, Newmar, Chris-Craft, Barletta and Lithionics. We protect these trademarks as appropriate through registrations in the U.S. and other jurisdictions. Depending on jurisdiction, trademarks are generally valid as long as they are in use or their registrations are properly maintained and they have not been found to have become generic. Registrations of trademarks can also generally be renewed indefinitely for as long as the trademarks are in use.</w:t>
      </w:r>
    </w:p>
    <w:p>
      <w:pPr>
        <w:spacing w:after="0" w:line="165"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We continue our focus on developing and marketing innovative, proprietary products, many of which use proprietary expertise, trade secrets, and know-how. We consider the collective rights under our various patents, which expire from time to time, a valuable asset, but we do not believe that our businesses are materially dependent upon any single patent or group of related patents.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Capital Management</w:t>
      </w:r>
    </w:p>
    <w:p>
      <w:pPr>
        <w:spacing w:after="0" w:line="95"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One of our core values is to put people first. Our employees are our greatest strength and we are committed to providing a safe, inclusive, high-performance culture where our people thrive. We strive to recruit, develop, engage and protect our workforce. The following are key human capital measures and objectives that we currently focus on: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Experience – Leadership and Culture Development</w:t>
      </w:r>
    </w:p>
    <w:p>
      <w:pPr>
        <w:spacing w:after="0" w:line="93"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We believe our future success depends on our people. Attracting, engaging, retaining and developing diverse talent is a key priority. We strive to grow and develop all of our teams and bolster our talent pipeline. Our leadership expectations provide a shared understanding of the skills our teams develop through continuous learning opportunities and training. Our Code of Conduct and our human rights policy include shared values and guide relationships with our people and our stakeholders. To build and attract the next generation of leaders, we continue to support external partnerships that introduce high school and first-generation college students to potential career opportunities in the RV and marine industries. To increase the pipeline of diverse talent in the outdoor industry and beyond, we provided support to the South Bend Elkhart Regional Partnership and The BrandLab. These programs focus on developing the next generation of talent while engaging Black, Latino, Asian American and Pacific Islander, and</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Native/Indigenous students in meaningful paid summer internships. We also collaborate with regional education and workforce development partners to connect job seekers with on-the-job training and leadership development.</w:t>
      </w:r>
    </w:p>
    <w:p>
      <w:pPr>
        <w:spacing w:after="0" w:line="167"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Team members respond regularly to an engagement survey, administered at least every two years, that evaluates our employees’ thoughts about their experience working at Winnebago Industries. Responses are reviewed by team leaders and used to help build specific action plans to continually improve our employee engagement, satisfaction, and retention. We engage employees through community volunteerism, team-building, and employee resource groups. We strive to continually improve our employee experience, develop and grow our teams, and create a culture of inclusion and belonging.</w:t>
      </w:r>
    </w:p>
    <w:p>
      <w:pPr>
        <w:spacing w:after="0" w:line="165"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As of August 31, 2024, we employed approximately 5,700 persons, of which approximately 20% and 80% were salaried and hourly employees, respectively. None of our employees are covered under a collective bargaining agreement. We believe our relations with our employees are good.</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Commitment to Inclusion and Belonging</w:t>
      </w:r>
    </w:p>
    <w:p>
      <w:pPr>
        <w:spacing w:after="0" w:line="93"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We believe in the value of building a company and community where every person feels welcome, is treated fairly, and has an equal opportunity to succeed while bringing their authentic self to work. In our third year of implementing our “All In, Outdoors” roadmap, we continued to prioritize creating a better sense of belonging in our workplace, our communities, and the outdoors. We advanced our strategy by listening and learning, and expanding our Leadership Speaker Series, where subject matter experts provide inspiration, tools, and resources to create an inclusive culture based on our leadership expectations. We also continued to expand our employee resource groups which are open to all employees across our brands. For example, the Women’s Inclusion Network ("WIN"), which was established in 2022, supports the professional development of women by encouraging access to learning, mentoring, and networking. WIN’s goal is to provide programming and tools, increase women’s sense of belonging, and the percentage of women in leadership roles within our businesses. The Veterans Network Employee Resource Group, which was established in 2023, supports the professional development of our Veteran community by providing a space and place for employees who are Veterans, Active Military and Family &amp; Friends (also known as Allies) to discuss their experiences, address issues through learning, assistance and guidance, and conduct activities to support the growth and development of our Veteran community members in their professional careers. In 2024, we launched the Mosaic Multicultural Network to engage and connect our multicultural and black, indigenous, and persons of color team members and allies. The Mosaic Multicultural Network promotes connection, while helping to bolster an inclusive workplace for all employees, and career mobility, visibility, recruitment and retention. We remain involved with partners who help advance our goals including Society of Women Engineers, Women in Manufacturing, RV Women’s Alliance, and more.</w:t>
      </w:r>
    </w:p>
    <w:p>
      <w:pPr>
        <w:spacing w:after="0" w:line="182" w:lineRule="exact"/>
        <w:rPr>
          <w:sz w:val="20"/>
          <w:szCs w:val="20"/>
          <w:color w:val="auto"/>
        </w:rPr>
      </w:pPr>
    </w:p>
    <w:p>
      <w:pPr>
        <w:ind w:right="320"/>
        <w:spacing w:after="0" w:line="309" w:lineRule="auto"/>
        <w:rPr>
          <w:sz w:val="20"/>
          <w:szCs w:val="20"/>
          <w:color w:val="auto"/>
        </w:rPr>
      </w:pPr>
      <w:r>
        <w:rPr>
          <w:rFonts w:ascii="Arial" w:cs="Arial" w:eastAsia="Arial" w:hAnsi="Arial"/>
          <w:sz w:val="12"/>
          <w:szCs w:val="12"/>
          <w:color w:val="auto"/>
        </w:rPr>
        <w:t>We are committed to increasing inclusion across our industry and beyond. Approximately 25% of our executive and senior leadership team members are women and 12% are racially or ethnically diverse. We continue to expand our partnerships with nonprofit organizations led by and for communities of color and women and organizations helping to diversify the talent pipeline.</w:t>
      </w:r>
    </w:p>
    <w:p>
      <w:pPr>
        <w:spacing w:after="0" w:line="143" w:lineRule="exact"/>
        <w:rPr>
          <w:sz w:val="20"/>
          <w:szCs w:val="20"/>
          <w:color w:val="auto"/>
        </w:rPr>
      </w:pPr>
    </w:p>
    <w:p>
      <w:pPr>
        <w:ind w:right="60"/>
        <w:spacing w:after="0" w:line="252" w:lineRule="auto"/>
        <w:rPr>
          <w:sz w:val="20"/>
          <w:szCs w:val="20"/>
          <w:color w:val="auto"/>
        </w:rPr>
      </w:pPr>
      <w:r>
        <w:rPr>
          <w:rFonts w:ascii="Arial" w:cs="Arial" w:eastAsia="Arial" w:hAnsi="Arial"/>
          <w:sz w:val="13"/>
          <w:szCs w:val="13"/>
          <w:color w:val="auto"/>
        </w:rPr>
        <w:t>We also recognize the importance of having diverse perspectives on our Board of Directors as we build and refresh our Board of Directors. Our inclusion framework, which serves as a roadmap to guide us forward on our journey, includes the Board of Directors, leadership development, and engagement. As of August 31, 2024, 30% of our Board of Directors were women, and 20% were racially or ethnically diverse.</w:t>
      </w:r>
    </w:p>
    <w:p>
      <w:pPr>
        <w:spacing w:after="0" w:line="176"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We believe time together outdoors is priceless, and that our company and our brands should reflect the full spectrum of outdoor enthusiasts. We also believe we thrive and are more successful when we empower, value, and respect our employees and our communities. We are committed to continuing to build a stronger, more inclusive culture and workplace.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Employee Well-being and Safety</w:t>
      </w:r>
    </w:p>
    <w:p>
      <w:pPr>
        <w:spacing w:after="0" w:line="82"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Winnebago Industries is committed to designing, operating, and maintaining safe, controlled working conditions and a zero-harm culture. We operate under the principle that all workplace injuries and illnesses are preventable. We aspire to control all workplace exposures to risk on our road to zero-harm, and we embed safety as part of our DNA that guides our purpose, culture, and operations. With the mental, emotional, and physical well-being of our employees as a key focus, we have provided resources for employees to manage remote work and balance parental and other family responsibilities. We celebrated our second annual Safety Month in Fiscal 2024, focusing on the theme "Safer Together" across all locations. We continue focused improvement efforts to reduce both our facility and injury/illness incident risk potential, including contracting with health care providers to have physical (on-site) or virtual clinics for convenient access to health care for all employees and advance our hierarchy of control levels across our core risks.</w:t>
      </w:r>
    </w:p>
    <w:p>
      <w:pPr>
        <w:spacing w:after="0" w:line="169"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In Fiscal 2024, our total recordable incident rate ("TRIR") was 3.51, a 29% improvement compared to 4.93 in Fiscal 2023. In Fiscal 2024, our days away restricted transfer rate ("DART") was 1.75, an 18% improvement compared to 2.14 in Fiscal 2023. We continue to invest in workplace safety initiatives and our commitment to safety never stops.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164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620"/>
        </w:trPr>
        <w:tc>
          <w:tcPr>
            <w:tcW w:w="2640" w:type="dxa"/>
            <w:vAlign w:val="bottom"/>
            <w:gridSpan w:val="2"/>
          </w:tcPr>
          <w:p>
            <w:pPr>
              <w:spacing w:after="0"/>
              <w:rPr>
                <w:sz w:val="20"/>
                <w:szCs w:val="20"/>
                <w:color w:val="auto"/>
              </w:rPr>
            </w:pPr>
            <w:r>
              <w:rPr>
                <w:rFonts w:ascii="Arial" w:cs="Arial" w:eastAsia="Arial" w:hAnsi="Arial"/>
                <w:sz w:val="13"/>
                <w:szCs w:val="13"/>
                <w:b w:val="1"/>
                <w:bCs w:val="1"/>
                <w:color w:val="auto"/>
              </w:rPr>
              <w:t>Information about our Executive Officers</w:t>
            </w:r>
          </w:p>
        </w:tc>
        <w:tc>
          <w:tcPr>
            <w:tcW w:w="7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7"/>
        </w:trPr>
        <w:tc>
          <w:tcPr>
            <w:tcW w:w="2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78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Office (Year First Elected an Officer)</w:t>
            </w:r>
          </w:p>
        </w:tc>
        <w:tc>
          <w:tcPr>
            <w:tcW w:w="7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7"/>
              </w:rPr>
              <w:t>Age</w:t>
            </w:r>
          </w:p>
        </w:tc>
      </w:tr>
      <w:tr>
        <w:trPr>
          <w:trHeight w:val="16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Michael J. Happe</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and Chief Executive Officer (2016)</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53</w:t>
            </w:r>
          </w:p>
        </w:tc>
      </w:tr>
      <w:tr>
        <w:trPr>
          <w:trHeight w:val="169"/>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Ashis N. Bhattacharya</w:t>
            </w:r>
          </w:p>
        </w:tc>
        <w:tc>
          <w:tcPr>
            <w:tcW w:w="7820" w:type="dxa"/>
            <w:vAlign w:val="bottom"/>
          </w:tcPr>
          <w:p>
            <w:pPr>
              <w:ind w:left="140"/>
              <w:spacing w:after="0"/>
              <w:rPr>
                <w:sz w:val="20"/>
                <w:szCs w:val="20"/>
                <w:color w:val="auto"/>
              </w:rPr>
            </w:pPr>
            <w:r>
              <w:rPr>
                <w:rFonts w:ascii="Arial" w:cs="Arial" w:eastAsia="Arial" w:hAnsi="Arial"/>
                <w:sz w:val="13"/>
                <w:szCs w:val="13"/>
                <w:color w:val="auto"/>
              </w:rPr>
              <w:t>Senior Vice President, Business Development, Advanced Technology and Strategic Planning (2016)</w:t>
            </w:r>
          </w:p>
        </w:tc>
        <w:tc>
          <w:tcPr>
            <w:tcW w:w="720" w:type="dxa"/>
            <w:vAlign w:val="bottom"/>
          </w:tcPr>
          <w:p>
            <w:pPr>
              <w:jc w:val="center"/>
              <w:ind w:right="76"/>
              <w:spacing w:after="0"/>
              <w:rPr>
                <w:sz w:val="20"/>
                <w:szCs w:val="20"/>
                <w:color w:val="auto"/>
              </w:rPr>
            </w:pPr>
            <w:r>
              <w:rPr>
                <w:rFonts w:ascii="Arial" w:cs="Arial" w:eastAsia="Arial" w:hAnsi="Arial"/>
                <w:sz w:val="13"/>
                <w:szCs w:val="13"/>
                <w:color w:val="auto"/>
                <w:w w:val="96"/>
              </w:rPr>
              <w:t>62</w:t>
            </w:r>
          </w:p>
        </w:tc>
      </w:tr>
      <w:tr>
        <w:trPr>
          <w:trHeight w:val="171"/>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Stacy L. Bogart</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Vice President, General Counsel, Secretary and Corporate Responsibility President, Winnebago Industries Foundation (2018)</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61</w:t>
            </w:r>
          </w:p>
        </w:tc>
      </w:tr>
      <w:tr>
        <w:trPr>
          <w:trHeight w:val="169"/>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Donald J. Clark</w:t>
            </w:r>
          </w:p>
        </w:tc>
        <w:tc>
          <w:tcPr>
            <w:tcW w:w="7820" w:type="dxa"/>
            <w:vAlign w:val="bottom"/>
          </w:tcPr>
          <w:p>
            <w:pPr>
              <w:ind w:left="140"/>
              <w:spacing w:after="0"/>
              <w:rPr>
                <w:sz w:val="20"/>
                <w:szCs w:val="20"/>
                <w:color w:val="auto"/>
              </w:rPr>
            </w:pPr>
            <w:r>
              <w:rPr>
                <w:rFonts w:ascii="Arial" w:cs="Arial" w:eastAsia="Arial" w:hAnsi="Arial"/>
                <w:sz w:val="13"/>
                <w:szCs w:val="13"/>
                <w:color w:val="auto"/>
              </w:rPr>
              <w:t>President, Grand Design RV (2016)</w:t>
            </w:r>
          </w:p>
        </w:tc>
        <w:tc>
          <w:tcPr>
            <w:tcW w:w="720" w:type="dxa"/>
            <w:vAlign w:val="bottom"/>
          </w:tcPr>
          <w:p>
            <w:pPr>
              <w:jc w:val="center"/>
              <w:ind w:right="76"/>
              <w:spacing w:after="0"/>
              <w:rPr>
                <w:sz w:val="20"/>
                <w:szCs w:val="20"/>
                <w:color w:val="auto"/>
              </w:rPr>
            </w:pPr>
            <w:r>
              <w:rPr>
                <w:rFonts w:ascii="Arial" w:cs="Arial" w:eastAsia="Arial" w:hAnsi="Arial"/>
                <w:sz w:val="13"/>
                <w:szCs w:val="13"/>
                <w:color w:val="auto"/>
                <w:w w:val="96"/>
              </w:rPr>
              <w:t>64</w:t>
            </w:r>
          </w:p>
        </w:tc>
      </w:tr>
      <w:tr>
        <w:trPr>
          <w:trHeight w:val="171"/>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Bryan L. Hughes</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Chief Financial Officer; Senior Vice President, Finance, Investor Relations and Information Technology (2017)</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55</w:t>
            </w:r>
          </w:p>
        </w:tc>
      </w:tr>
      <w:tr>
        <w:trPr>
          <w:trHeight w:val="169"/>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Casey J. Tubman</w:t>
            </w:r>
          </w:p>
        </w:tc>
        <w:tc>
          <w:tcPr>
            <w:tcW w:w="7820" w:type="dxa"/>
            <w:vAlign w:val="bottom"/>
          </w:tcPr>
          <w:p>
            <w:pPr>
              <w:ind w:left="140"/>
              <w:spacing w:after="0"/>
              <w:rPr>
                <w:sz w:val="20"/>
                <w:szCs w:val="20"/>
                <w:color w:val="auto"/>
              </w:rPr>
            </w:pPr>
            <w:r>
              <w:rPr>
                <w:rFonts w:ascii="Arial" w:cs="Arial" w:eastAsia="Arial" w:hAnsi="Arial"/>
                <w:sz w:val="13"/>
                <w:szCs w:val="13"/>
                <w:color w:val="auto"/>
              </w:rPr>
              <w:t>President, Newmar Corporation (2022)</w:t>
            </w:r>
          </w:p>
        </w:tc>
        <w:tc>
          <w:tcPr>
            <w:tcW w:w="720" w:type="dxa"/>
            <w:vAlign w:val="bottom"/>
          </w:tcPr>
          <w:p>
            <w:pPr>
              <w:jc w:val="center"/>
              <w:ind w:right="76"/>
              <w:spacing w:after="0"/>
              <w:rPr>
                <w:sz w:val="20"/>
                <w:szCs w:val="20"/>
                <w:color w:val="auto"/>
              </w:rPr>
            </w:pPr>
            <w:r>
              <w:rPr>
                <w:rFonts w:ascii="Arial" w:cs="Arial" w:eastAsia="Arial" w:hAnsi="Arial"/>
                <w:sz w:val="13"/>
                <w:szCs w:val="13"/>
                <w:color w:val="auto"/>
                <w:w w:val="96"/>
              </w:rPr>
              <w:t>52</w:t>
            </w:r>
          </w:p>
        </w:tc>
      </w:tr>
      <w:tr>
        <w:trPr>
          <w:trHeight w:val="171"/>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Christopher D. West</w:t>
            </w:r>
          </w:p>
        </w:tc>
        <w:tc>
          <w:tcPr>
            <w:tcW w:w="7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President, Winnebago Outdoors (2016)</w:t>
            </w:r>
          </w:p>
        </w:tc>
        <w:tc>
          <w:tcPr>
            <w:tcW w:w="7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6"/>
              </w:rPr>
              <w:t>52</w:t>
            </w:r>
          </w:p>
        </w:tc>
      </w:tr>
      <w:tr>
        <w:trPr>
          <w:trHeight w:val="167"/>
        </w:trPr>
        <w:tc>
          <w:tcPr>
            <w:tcW w:w="2640" w:type="dxa"/>
            <w:vAlign w:val="bottom"/>
            <w:gridSpan w:val="2"/>
          </w:tcPr>
          <w:p>
            <w:pPr>
              <w:ind w:left="20"/>
              <w:spacing w:after="0"/>
              <w:rPr>
                <w:sz w:val="20"/>
                <w:szCs w:val="20"/>
                <w:color w:val="auto"/>
              </w:rPr>
            </w:pPr>
            <w:r>
              <w:rPr>
                <w:rFonts w:ascii="Arial" w:cs="Arial" w:eastAsia="Arial" w:hAnsi="Arial"/>
                <w:sz w:val="13"/>
                <w:szCs w:val="13"/>
                <w:color w:val="auto"/>
              </w:rPr>
              <w:t>Bret A. Woodson</w:t>
            </w:r>
          </w:p>
        </w:tc>
        <w:tc>
          <w:tcPr>
            <w:tcW w:w="7820" w:type="dxa"/>
            <w:vAlign w:val="bottom"/>
          </w:tcPr>
          <w:p>
            <w:pPr>
              <w:ind w:left="140"/>
              <w:spacing w:after="0"/>
              <w:rPr>
                <w:sz w:val="20"/>
                <w:szCs w:val="20"/>
                <w:color w:val="auto"/>
              </w:rPr>
            </w:pPr>
            <w:r>
              <w:rPr>
                <w:rFonts w:ascii="Arial" w:cs="Arial" w:eastAsia="Arial" w:hAnsi="Arial"/>
                <w:sz w:val="13"/>
                <w:szCs w:val="13"/>
                <w:color w:val="auto"/>
              </w:rPr>
              <w:t>Senior Vice President, Human Resources and Corporate Relations (2015)</w:t>
            </w:r>
          </w:p>
        </w:tc>
        <w:tc>
          <w:tcPr>
            <w:tcW w:w="720" w:type="dxa"/>
            <w:vAlign w:val="bottom"/>
          </w:tcPr>
          <w:p>
            <w:pPr>
              <w:jc w:val="center"/>
              <w:ind w:right="76"/>
              <w:spacing w:after="0"/>
              <w:rPr>
                <w:sz w:val="20"/>
                <w:szCs w:val="20"/>
                <w:color w:val="auto"/>
              </w:rPr>
            </w:pPr>
            <w:r>
              <w:rPr>
                <w:rFonts w:ascii="Arial" w:cs="Arial" w:eastAsia="Arial" w:hAnsi="Arial"/>
                <w:sz w:val="13"/>
                <w:szCs w:val="13"/>
                <w:color w:val="auto"/>
                <w:w w:val="96"/>
              </w:rPr>
              <w:t>54</w:t>
            </w:r>
          </w:p>
        </w:tc>
      </w:tr>
    </w:tbl>
    <w:p>
      <w:pPr>
        <w:spacing w:after="0" w:line="300" w:lineRule="exact"/>
        <w:rPr>
          <w:sz w:val="20"/>
          <w:szCs w:val="20"/>
          <w:color w:val="auto"/>
        </w:rPr>
      </w:pPr>
    </w:p>
    <w:p>
      <w:pPr>
        <w:ind w:right="380"/>
        <w:spacing w:after="0" w:line="266" w:lineRule="auto"/>
        <w:rPr>
          <w:sz w:val="20"/>
          <w:szCs w:val="20"/>
          <w:color w:val="auto"/>
        </w:rPr>
      </w:pPr>
      <w:r>
        <w:rPr>
          <w:rFonts w:ascii="Arial" w:cs="Arial" w:eastAsia="Arial" w:hAnsi="Arial"/>
          <w:sz w:val="13"/>
          <w:szCs w:val="13"/>
          <w:color w:val="auto"/>
        </w:rPr>
        <w:t>Officers are elected annually by the Board of Directors and hold office until their successors are chosen and qualify or until their death or resignation. There are no family relationships between or among any of the Executive Officers or Directors of the Company.</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Mr. Happe joined Winnebago Industries in January 2016 as President and Chief Executive Officer. Prior to joining Winnebago Industries, he had been employed by The Toro Company, a provider of outdoor maintenance and beautification products, from 1997 to 2016. He served as Executive Officer and Group Vice President of Toro's Residential and Contractor businesses from March 2012 to December 2015. From August 2010 to March 2012, he served as Toro's Vice President, Residential and Landscape Contractor Businesses. Prior to that, he held a series of senior leadership positions throughout his career across a variety of Toro's domestic and international divisions.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3"/>
          <w:szCs w:val="13"/>
          <w:color w:val="auto"/>
        </w:rPr>
        <w:t>Mr. Bhattacharya joined Winnebago Industries in June 2016 as Vice President, Strategic Planning and Development. He became Vice President, Business Development, Specialty Vehicles, and Advanced Technology in 2019 and Senior Vice President, Business Development, Advanced Technology, and Enterprise Marketing in September 2020. Prior to joining Winnebago Industries, Mr. Bhattacharya served at Honeywell International, Inc., a software industrial company, as Vice President, Strategy, Alliances &amp; Internet of Things for the Sensing and Productivity Solutions division from 2010 to 2016. Prior to that, he was employed with Moog, Motorola, and Bain &amp; Company in a variety of roles.</w:t>
      </w:r>
    </w:p>
    <w:p>
      <w:pPr>
        <w:spacing w:after="0" w:line="161" w:lineRule="exact"/>
        <w:rPr>
          <w:sz w:val="20"/>
          <w:szCs w:val="20"/>
          <w:color w:val="auto"/>
        </w:rPr>
      </w:pPr>
    </w:p>
    <w:p>
      <w:pPr>
        <w:ind w:right="340"/>
        <w:spacing w:after="0" w:line="253" w:lineRule="auto"/>
        <w:rPr>
          <w:sz w:val="20"/>
          <w:szCs w:val="20"/>
          <w:color w:val="auto"/>
        </w:rPr>
      </w:pPr>
      <w:r>
        <w:rPr>
          <w:rFonts w:ascii="Arial" w:cs="Arial" w:eastAsia="Arial" w:hAnsi="Arial"/>
          <w:sz w:val="13"/>
          <w:szCs w:val="13"/>
          <w:color w:val="auto"/>
        </w:rPr>
        <w:t>Ms. Bogart joined Winnebago Industries in January 2018 as Vice President, General Counsel and Secretary and was appointed Senior Vice President, General Counsel, Secretary and Corporate Responsibility and President, Winnebago Industries Foundation in October 2020. Prior to joining Winnebago Industries, Ms. Bogart was Senior Vice President, General Counsel and Compliance Officer, Corporate Secretary at Polaris Industries Inc., a manufacturer and marketer of powersports products, where she joined in November 2009. Previously, Ms. Bogart was General Counsel of Liberty Diversified International; Assistant General Counsel and Assistant Secretary at The Toro Company; and a Senior Attorney for Honeywell International, Inc.</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Mr. Clark, President of Grand Design RV, became an officer of Winnebago Industries in November 2016 in accordance with the terms of the Grand Design acquisition. He co-founded Grand Design RV, LLC in 2012 and built the team at Grand Design RV. Mr. Clark has over 30 years of successful RV industry experience. Pursuant to our previously announced leadership changes, Mr. Clark will become Group President, Towable RVs and President, Grand Design RV, effective November 1, 2024.</w:t>
      </w:r>
    </w:p>
    <w:p>
      <w:pPr>
        <w:spacing w:after="0" w:line="176"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Mr. Hughes joined Winnebago Industries as Vice President, Chief Financial Officer of the Company in May 2017 and was appointed Senior Vice President, Finance, Information Technology and Strategic Planning, and Chief Financial Officer, in October 2020. Mr. Hughes joined Winnebago Industries from Ecolab, Inc., a global sustainability leader offering water, hygiene and infection prevention solutions and services to customers in the food, healthcare, life sciences, hospitality and industrial markets, where he served as Senior Vice President and Corporate Controller from 2014 to 2017, Vice President of Finance from 2008 to 2014 and in various management positions from 1996 to 2008. Prior to his employment with Ecolab, he worked for Ernst &amp; Young, a public accounting firm.</w:t>
      </w:r>
    </w:p>
    <w:p>
      <w:pPr>
        <w:spacing w:after="0" w:line="179" w:lineRule="exact"/>
        <w:rPr>
          <w:sz w:val="20"/>
          <w:szCs w:val="20"/>
          <w:color w:val="auto"/>
        </w:rPr>
      </w:pPr>
    </w:p>
    <w:p>
      <w:pPr>
        <w:ind w:right="140"/>
        <w:spacing w:after="0" w:line="283" w:lineRule="auto"/>
        <w:rPr>
          <w:sz w:val="20"/>
          <w:szCs w:val="20"/>
          <w:color w:val="auto"/>
        </w:rPr>
      </w:pPr>
      <w:r>
        <w:rPr>
          <w:rFonts w:ascii="Arial" w:cs="Arial" w:eastAsia="Arial" w:hAnsi="Arial"/>
          <w:sz w:val="12"/>
          <w:szCs w:val="12"/>
          <w:color w:val="auto"/>
        </w:rPr>
        <w:t>Mr. Tubman joined Winnebago Industries in August 2022 as President of Newmar Corporation. Mr. Tubman joined Winnebago Industries from Whirlpool Corporation, a multinational manufacturer of home appliances, where he served in a variety of leadership and executive roles for over 25 years. Most recently, he served as Vice President and Global Platform Leader from February 2022 to July 2022. He also served as Vice President of Product Marketing from January 2020 to February 2022, and Vice President and General Manager from October 2015 to January 2020.</w:t>
      </w:r>
    </w:p>
    <w:p>
      <w:pPr>
        <w:spacing w:after="0" w:line="159"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Mr. West joined Winnebago Industries in September 2016 as Vice President, Operations. He became Senior Vice President, Enterprise Operations in October 2020 and President, Winnebago Outdoors in September 2024. Pursuant to our previously announced leadership changes, Mr. West will become President, Winnebago Motorhome and Specialty Vehicles, effective November 1, 2024. He previously was Vice President of Global Supply Chain for Joy Global, a worldwide mining equipment manufacturer, from 2014 to 2016, and Operations Director from 2012 to 2014. Mr. West served as Director of Manufacturing for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280"/>
        <w:spacing w:after="0" w:line="266" w:lineRule="auto"/>
        <w:rPr>
          <w:sz w:val="20"/>
          <w:szCs w:val="20"/>
          <w:color w:val="auto"/>
        </w:rPr>
      </w:pPr>
      <w:r>
        <w:rPr>
          <w:rFonts w:ascii="Arial" w:cs="Arial" w:eastAsia="Arial" w:hAnsi="Arial"/>
          <w:sz w:val="13"/>
          <w:szCs w:val="13"/>
          <w:color w:val="auto"/>
        </w:rPr>
        <w:t>AGCO Corporation, an agricultural equipment manufacturer, from 2008 to 2012 and as Director of Operations and in other management positions for the Nordam Group, a manufacturer of aircraft interiors, from 1999 to 2009.</w:t>
      </w:r>
    </w:p>
    <w:p>
      <w:pPr>
        <w:spacing w:after="0" w:line="210"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Mr. Woodson joined Winnebago Industries in January 2015 as Vice President, Administration and was appointed Senior Vice President, Human Resources and Corporate Relations in October 2020. Prior to joining Winnebago, Mr. Woodson was Vice President of Human Resources at Corbion N.V., a food and biochemicals company, from 2007 to 2014 and Director, Human Resources at Sara Lee Corporation from 1999 to 2007. Mr. Woodson has over 25 years of business and human resources experience.</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3"/>
          <w:szCs w:val="13"/>
          <w:color w:val="auto"/>
        </w:rPr>
        <w:t>Described below are certain risks that we believe apply to our business and the industries in which we operate. The following risk factors should be considered carefully in addition to the other information contained in this Annual Report on Form 10-K. The risks and uncertainties highlighted represent the most significant risk factors that we believe may adversely affect our business, financial condition, results of operations, cash flows, liquidity or access to sources of financing, and, consequently, the market value of our common stock. The risks and uncertainties discussed in this Annual Report on Form 10-K are not exclusive and other risk factors that we may consider immaterial or do not anticipate may emerge as significant risks and uncertainties.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Macroeconomic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may be sensitive to economic conditions, including those that impact consumer spending.</w:t>
      </w:r>
    </w:p>
    <w:p>
      <w:pPr>
        <w:spacing w:after="0" w:line="95" w:lineRule="exact"/>
        <w:rPr>
          <w:sz w:val="20"/>
          <w:szCs w:val="20"/>
          <w:color w:val="auto"/>
        </w:rPr>
      </w:pPr>
    </w:p>
    <w:p>
      <w:pPr>
        <w:ind w:right="180"/>
        <w:spacing w:after="0" w:line="249" w:lineRule="auto"/>
        <w:rPr>
          <w:sz w:val="20"/>
          <w:szCs w:val="20"/>
          <w:color w:val="auto"/>
        </w:rPr>
      </w:pPr>
      <w:r>
        <w:rPr>
          <w:rFonts w:ascii="Arial" w:cs="Arial" w:eastAsia="Arial" w:hAnsi="Arial"/>
          <w:sz w:val="13"/>
          <w:szCs w:val="13"/>
          <w:color w:val="auto"/>
        </w:rPr>
        <w:t>Companies within the RV and marine industries are subject to volatility in operating results due primarily to general economic conditions because the purchase of a RV or marine product is often viewed as a consumer discretionary purchase. Demand for discretionary goods in general can fluctuate with recessionary conditions, slow or negative economic growth rates, negative consumer confidence, reduced consumer spending levels resulting from tax increases or other factors, prolonged high unemployment rates, higher commodity and component costs, fuel prices, inflationary or deflationary pressures, reduced credit availability or unfavorable credit terms for dealers and end-user customers, higher short-term interest rates, and general economic and political conditions and expectations. Specific macroeconomic factors affecting the RV and marine industries include:</w:t>
      </w:r>
    </w:p>
    <w:p>
      <w:pPr>
        <w:spacing w:after="0" w:line="169" w:lineRule="exact"/>
        <w:rPr>
          <w:sz w:val="20"/>
          <w:szCs w:val="20"/>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Overall consumer confidence and the level of discretionary consumer spending;</w:t>
      </w:r>
    </w:p>
    <w:p>
      <w:pPr>
        <w:spacing w:after="0" w:line="17"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Inflationary pressures affecting disposable consumer income;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Interest rate fluctuations;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Employment trends;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Fuel prices;</w:t>
      </w: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adverse impact of global tensions on consumer spending and travel-related activities;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adverse impact on margins due to increases in raw material costs, which we are unable to pass on to customers without negatively affecting sales.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market deterioration and volatility may restrict the ability of our dealers and retail customers to finance the purchase of our products.</w:t>
      </w:r>
    </w:p>
    <w:p>
      <w:pPr>
        <w:spacing w:after="0" w:line="95"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Our business is affected by the availability and terms of the financing to dealers. Generally, RV and marine dealers finance their purchases of inventory with financing provided by lending institutions. A reduction in the availability of wholesale floorplan financing, or more restrictive lending practices, could have an adverse impact on our independent dealers and therefore our results of operations. In addition, an increase in the cost of financing due to interest rate fluctuations may incentivize dealers to reduce field inventory levels, which could negatively impact our sales and profitability. As of August 31, 2024, two financial flooring institutions held approximately 52% of our total outstanding financed dealer inventory dollars. In the event that either of these lending institutions limits or discontinue dealer financing, we could experience an adverse effect on our results of operations.</w:t>
      </w:r>
    </w:p>
    <w:p>
      <w:pPr>
        <w:spacing w:after="0" w:line="179" w:lineRule="exact"/>
        <w:rPr>
          <w:sz w:val="20"/>
          <w:szCs w:val="20"/>
          <w:color w:val="auto"/>
        </w:rPr>
      </w:pPr>
    </w:p>
    <w:p>
      <w:pPr>
        <w:ind w:right="140"/>
        <w:spacing w:after="0" w:line="252" w:lineRule="auto"/>
        <w:rPr>
          <w:sz w:val="20"/>
          <w:szCs w:val="20"/>
          <w:color w:val="auto"/>
        </w:rPr>
      </w:pPr>
      <w:r>
        <w:rPr>
          <w:rFonts w:ascii="Arial" w:cs="Arial" w:eastAsia="Arial" w:hAnsi="Arial"/>
          <w:sz w:val="13"/>
          <w:szCs w:val="13"/>
          <w:color w:val="auto"/>
        </w:rPr>
        <w:t>Our business is also affected by the availability and terms of financing to retail purchasers. Retail buyers purchasing one of our products from our dealers may elect to finance their purchase through the dealership or a financial institution of their choice. Substantial increases in interest rates or decreases in the availability of consumer credit may have an adverse impact upon our business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Industry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industries in which we operate are highly competitive. Failure to compete effectively against competitors could negatively impact our business and operating results.</w:t>
      </w:r>
    </w:p>
    <w:p>
      <w:pPr>
        <w:spacing w:after="0" w:line="84"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The markets for RVs and marine products are very competitive. Competitive factors in the industries include price, design, value, quality, service, brand awareness, and reputation. There can be no assurance that existing or new competitors will not develop products that are superior to our products or that achieve better consumer acceptance, thereby adversely affecting our market share, sales volume, and profit margins. Competitors may also seek an advantage through lower prices or promotional changes, which could reduce demand for our products or adversely affect our margins. Some of our competitors are much larger than we are, and this size advantage provides these competitors with more financial resources and access to capital, additional purchasing power, and greater leverage with the dealer networks. In addition, competition could increase if new companies enter the market, existing competitors consolidate their operations, or if existing competitors expand their product lines or intensify efforts within</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1" w:name="page12"/>
    <w:bookmarkEnd w:id="1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500"/>
        <w:spacing w:after="0" w:line="266" w:lineRule="auto"/>
        <w:rPr>
          <w:sz w:val="20"/>
          <w:szCs w:val="20"/>
          <w:color w:val="auto"/>
        </w:rPr>
      </w:pPr>
      <w:r>
        <w:rPr>
          <w:rFonts w:ascii="Arial" w:cs="Arial" w:eastAsia="Arial" w:hAnsi="Arial"/>
          <w:sz w:val="13"/>
          <w:szCs w:val="13"/>
          <w:color w:val="auto"/>
        </w:rPr>
        <w:t>existing product lines. Our current products, products under development, and our ability to develop new and improved products may be insufficient to enable us to compete effectively with our competitors. These competitive pressures may have a material adverse effect on our results of operations.</w:t>
      </w:r>
    </w:p>
    <w:p>
      <w:pPr>
        <w:spacing w:after="0" w:line="167"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b w:val="1"/>
          <w:bCs w:val="1"/>
          <w:color w:val="auto"/>
        </w:rPr>
        <w:t>If we are unable to continue to enhance existing products and develop and market new or enhanced products that respond to customer needs and preferences, we may experience a decrease in demand for our products and our business could suffer.</w:t>
      </w:r>
    </w:p>
    <w:p>
      <w:pPr>
        <w:spacing w:after="0" w:line="49" w:lineRule="exact"/>
        <w:rPr>
          <w:sz w:val="20"/>
          <w:szCs w:val="20"/>
          <w:color w:val="auto"/>
        </w:rPr>
      </w:pPr>
    </w:p>
    <w:p>
      <w:pPr>
        <w:ind w:right="80"/>
        <w:spacing w:after="0" w:line="272" w:lineRule="auto"/>
        <w:rPr>
          <w:sz w:val="20"/>
          <w:szCs w:val="20"/>
          <w:color w:val="auto"/>
        </w:rPr>
      </w:pPr>
      <w:r>
        <w:rPr>
          <w:rFonts w:ascii="Arial" w:cs="Arial" w:eastAsia="Arial" w:hAnsi="Arial"/>
          <w:sz w:val="12"/>
          <w:szCs w:val="12"/>
          <w:color w:val="auto"/>
        </w:rPr>
        <w:t>One of our growth strategies is to develop innovative, customer-valued products to generate revenue growth. We may not be able to compete as effectively with our competitors, and ultimately satisfy the needs and preferences of our customers, unless we can continue to enhance existing products and develop new innovative products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we are unable to properly forecast future demand of our products, our production levels may not meet demand, which could negatively impact our operating results.</w:t>
      </w:r>
    </w:p>
    <w:p>
      <w:pPr>
        <w:spacing w:after="0" w:line="95"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Our ability to manage our inventory levels to meet our customers' demand for our products is important for our business. For example, certain dealers are focused on the rental market which spikes over the summer vacation period while other dealers are focused on direct sales to the consumer at various price points. Our production levels and inventory management are based on demand estimates six to twelve months forward, taking into account supply lead times, production capacity, timing of shipments, and dealer inventory levels. If we overestimate or underestimate demand for any of our products during a given season, we may not maintain appropriate inventory levels, which could negatively impact our net sales or working capital, hinder our ability to meet customer demand, or cause us to incur excess and obsolete inventory charges.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is both cyclical and seasonal and is subject to fluctuations in sales and net income.</w:t>
      </w:r>
    </w:p>
    <w:p>
      <w:pPr>
        <w:spacing w:after="0" w:line="84"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The RV and marine industries have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Seasonal factors, over which we have no control, also have an effect on the demand for our products. Demand in the RV and marine industries generally declines over the winter season, while sales are generally highest during the spring and summer months. Also, unusually severe weather conditions may impact demand or disrupt our manufacturing and distribution facilities, as well as our supply chain, which could have an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business depends on the performance of independent dealers.</w:t>
      </w: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We rely on our dealers to develop and implement effective strategies to create retail demand for our products. If our independent dealers are unsuccessful in doing so, it could have an adverse effect on our results of operations.</w:t>
      </w:r>
    </w:p>
    <w:p>
      <w:pPr>
        <w:spacing w:after="0" w:line="170" w:lineRule="exact"/>
        <w:rPr>
          <w:sz w:val="20"/>
          <w:szCs w:val="20"/>
          <w:color w:val="auto"/>
        </w:rPr>
      </w:pPr>
    </w:p>
    <w:p>
      <w:pPr>
        <w:jc w:val="both"/>
        <w:ind w:right="80"/>
        <w:spacing w:after="0" w:line="252" w:lineRule="auto"/>
        <w:rPr>
          <w:sz w:val="20"/>
          <w:szCs w:val="20"/>
          <w:color w:val="auto"/>
        </w:rPr>
      </w:pPr>
      <w:r>
        <w:rPr>
          <w:rFonts w:ascii="Arial" w:cs="Arial" w:eastAsia="Arial" w:hAnsi="Arial"/>
          <w:sz w:val="13"/>
          <w:szCs w:val="13"/>
          <w:color w:val="auto"/>
        </w:rPr>
        <w:t>Our success is dependent on our ability to attract new dealers and maintain relationships with existing dealers. Our independent dealers maintain control over which products they carry and choose to sell, and they may promote other products, or terminate existing relationships if our products are not perceived as being desirable and profitable. Our results of operations can be adversely affected if we are unable to maintain and develop successful relationships with independent dealers.</w:t>
      </w:r>
    </w:p>
    <w:p>
      <w:pPr>
        <w:spacing w:after="0" w:line="176"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color w:val="auto"/>
        </w:rPr>
        <w:t>The financial condition of independent dealers is affected in large part by conditions and events that are beyond our control. Significant deterioration in the financial condition of independent dealers could materially and adversely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 increase in dealer consolidation or the loss of a significant dealer could have a material adverse effect on our business.</w:t>
      </w:r>
    </w:p>
    <w:p>
      <w:pPr>
        <w:spacing w:after="0" w:line="84"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In recent periods there has been an increase in acquisitions and consolidation across the U.S. RV independent dealer network. Although none of our dealer organizations accounted for more than 10% of our net revenues during each of the past three fiscal years, continued consolidation of independent dealers could have a material adverse impact on our operating results and our exposure to repurchase obligations. In addition, the loss of a significant dealer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140"/>
        <w:spacing w:after="0" w:line="276" w:lineRule="auto"/>
        <w:rPr>
          <w:sz w:val="20"/>
          <w:szCs w:val="20"/>
          <w:color w:val="auto"/>
        </w:rPr>
      </w:pPr>
      <w:r>
        <w:rPr>
          <w:rFonts w:ascii="Arial" w:cs="Arial" w:eastAsia="Arial" w:hAnsi="Arial"/>
          <w:sz w:val="13"/>
          <w:szCs w:val="13"/>
          <w:b w:val="1"/>
          <w:bCs w:val="1"/>
          <w:color w:val="auto"/>
        </w:rPr>
        <w:t>If we are obligated to repurchase a substantially larger number of our products in the future than estimated due to dealer default, these purchases could result in adverse effects on our results of operations, financial condition, and cash flows.</w:t>
      </w:r>
    </w:p>
    <w:p>
      <w:pPr>
        <w:spacing w:after="0" w:line="49"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In accordance with customary practice in our industries,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24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If we are obligated to repurchase a substantially larger number of units in the future than we estimate, this would increase our costs and could have a material adverse effect on our results of operations, financial condition,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Operational Risks</w:t>
      </w:r>
    </w:p>
    <w:p>
      <w:pPr>
        <w:spacing w:after="0" w:line="95"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b w:val="1"/>
          <w:bCs w:val="1"/>
          <w:color w:val="auto"/>
        </w:rPr>
        <w:t>For some of the components used in production, we depend on a small group of suppliers and the loss of any of these suppliers could affect our ability to obtain components timely or at competitive prices, which would decrease our results of operations, financial condition, and cash flows.</w:t>
      </w:r>
    </w:p>
    <w:p>
      <w:pPr>
        <w:spacing w:after="0" w:line="38"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Most of our RV and marine components are readily available from numerous sources. However, a few of our components are produced by a small group of suppliers. In Fiscal 2024, one of our suppliers individually accounted for approximately 16% of our consolidated raw material purchases. In the case of motorhome RV chassis, Mercedes-Benz (USA and Canada), Stellantis N.V., Freightliner Trucks, Ford Motor Company, and Spartan RV Chassis are our major suppliers. Our relationship with our chassis suppliers is similar to our other supplier relationships in that no specific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which could mean our larger competitors could receive more chassis in a time of scarcity. Sales of motorhome RVs rely on chassis supply and are affected by shortages, instability, or recalls from time to time. Within our marine businesses, we purchase a significant portion of our motors from Mercury Marine</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which makes us reliant on them for the supply of these engines. If we experience delays and disruptions in obtaining these engines, we may be unable to fulfill orders and deliver our products to our customers in a timely manner. Furthermore, decisions by our suppliers to decrease production, production delays or work stoppages by the employees of such suppliers, or price increases could have a material adverse effect on our ability to produce our products and ultimately, on our results of operations, financial condition, and cash flows.</w:t>
      </w:r>
    </w:p>
    <w:p>
      <w:pPr>
        <w:spacing w:after="0" w:line="183" w:lineRule="exact"/>
        <w:rPr>
          <w:sz w:val="20"/>
          <w:szCs w:val="20"/>
          <w:color w:val="auto"/>
        </w:rPr>
      </w:pPr>
    </w:p>
    <w:p>
      <w:pPr>
        <w:ind w:right="360"/>
        <w:spacing w:after="0" w:line="276" w:lineRule="auto"/>
        <w:rPr>
          <w:sz w:val="20"/>
          <w:szCs w:val="20"/>
          <w:color w:val="auto"/>
        </w:rPr>
      </w:pPr>
      <w:r>
        <w:rPr>
          <w:rFonts w:ascii="Arial" w:cs="Arial" w:eastAsia="Arial" w:hAnsi="Arial"/>
          <w:sz w:val="13"/>
          <w:szCs w:val="13"/>
          <w:b w:val="1"/>
          <w:bCs w:val="1"/>
          <w:color w:val="auto"/>
        </w:rPr>
        <w:t>Our operations are primarily centered in northern Iowa and northern Indiana. Any disruption or delay at our primary manufacturing facilities could adversely affect our business and operating results.</w:t>
      </w:r>
    </w:p>
    <w:p>
      <w:pPr>
        <w:spacing w:after="0" w:line="49"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We currently manufacture most of our products in northern Iowa and northern Indiana. We also have relatively small manufacturing operations on the Gulf Coast of Florida. These facilities may be affected by natural or man-made disasters and other external events. In the event that one of our manufacturing facilities was affected by a disaster or other event, we could be forced to shift production to one of our other manufacturing facilities or to cease operations. Although we maintain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could impair our ability to meet the demands of our customers, and our customers may cancel orders or purchase products from our competitors, which could adversely affect our business and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Unanticipated changes to our dealer inventory levels could negatively impact our operating results.</w:t>
      </w:r>
    </w:p>
    <w:p>
      <w:pPr>
        <w:spacing w:after="0" w:line="95"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We sell many of our products through our independent dealer network and are subject to risks relating to their inventory management decisions and operational and sourcing practices. Our dealers carry inventories of our products as part of their ongoing operations and adjust those inventories based on their assessments of future needs. Such adjustments may impact our inventory management and working capital goals as well as operating results. If the inventory levels of our dealers are higher than they desire, they may postpone product purchases from us, which could cause our sales to be lower than the end-user retail demand for our products and negatively impact our inventory management and working capital goals as well as our operating results.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Increases in raw material, commodity, and transportation costs and shortages of certain raw materials could negatively impact our business.</w:t>
      </w:r>
    </w:p>
    <w:p>
      <w:pPr>
        <w:spacing w:after="0" w:line="95"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We purchase raw materials such as steel, aluminum, and other commodities, and components, such as chassis, refrigerators, and televisions, for use in our products. In addition, we are a purchaser of components and parts containing various commodities, including steel, aluminum, copper, lead, rubber, lumber, and others that are integrated into our end products. Our profitability is affected by significant fluctuations in the prices of the raw materials and the components and parts we use in our products. Additionally, there continues to be uncertainty with respect to the implementation of current trade regulations, future trade regulations and existing international trade agreements, which could continue to increase our cost of goods sold, both directly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180"/>
        <w:spacing w:after="0" w:line="266" w:lineRule="auto"/>
        <w:rPr>
          <w:sz w:val="20"/>
          <w:szCs w:val="20"/>
          <w:color w:val="auto"/>
        </w:rPr>
      </w:pPr>
      <w:r>
        <w:rPr>
          <w:rFonts w:ascii="Arial" w:cs="Arial" w:eastAsia="Arial" w:hAnsi="Arial"/>
          <w:sz w:val="13"/>
          <w:szCs w:val="13"/>
          <w:color w:val="auto"/>
        </w:rPr>
        <w:t>as a result of price increases implemented by domestic suppliers, which we may not be able to pass on to our customers. The impact from these tariffs could also result in decreased demand for our products. All of these conditions could materially and adversely affect our results of operations and financial condition.</w:t>
      </w:r>
    </w:p>
    <w:p>
      <w:pPr>
        <w:spacing w:after="0" w:line="167"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In addition, increases in other costs of doing business may also adversely affect our profit margins and businesses. For example, an increase in fuel costs may result in an increase in our transportation costs, which also could adversely affect our operating results and businesses. Historically, we have mitigated cost increases, in part, by collaborating with suppliers, reviewing alternative sourcing options, substituting materials, engaging in internal cost reduction efforts, and increasing prices on some of our products, all as appropriate. However, we may not be able to fully offset such increased costs in the future. Further, if our price increases are not accepted by our customers and the market, our net sales, profit margins, earnings, and market share could be adversely affected.</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Failure to effectively manage strategic acquisitions and alliances, joint ventures, or partnerships could have a negative impact on our business.</w:t>
      </w:r>
    </w:p>
    <w:p>
      <w:pPr>
        <w:spacing w:after="0" w:line="95"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One of our growth strategies is to drive growth through targeted acquisitions and alliances, stronger customer relations, and new joint ventures and partnerships that contribute profitable growth while supplementing our existing brands and product portfolio. Our ability to grow through acquisitions depends, in part, on the availability of suitable candidates at acceptable prices, terms, and conditions, our ability to compete effectively for acquisition candidates, and the availability of capital and personnel to complete such acquisitions and run the acquired business effectively. Any acquisition, alliance, joint venture, or partnership could impair our business, financial condition, reputation, and operating results. The benefits of an acquisition, or new alliance, joint venture, or partnership may take more time than expected to develop or integrate into our operations, and we cannot guarantee that previous or future acquisitions, alliances, joint ventures, or partnerships will, in fact, produce any benefits. Such acquisitions, alliances, joint ventures, and partnerships may involve a number of risks, including:</w:t>
      </w:r>
    </w:p>
    <w:p>
      <w:pPr>
        <w:spacing w:after="0" w:line="169"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Diversion of management’s attention;</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Disruption to our existing operations and plans;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Inability to effectively manage our expanded operations;</w:t>
      </w:r>
    </w:p>
    <w:p>
      <w:pPr>
        <w:spacing w:after="0" w:line="2" w:lineRule="exact"/>
        <w:rPr>
          <w:rFonts w:ascii="Arial" w:cs="Arial" w:eastAsia="Arial" w:hAnsi="Arial"/>
          <w:sz w:val="13"/>
          <w:szCs w:val="13"/>
          <w:color w:val="auto"/>
        </w:rPr>
      </w:pPr>
    </w:p>
    <w:p>
      <w:pPr>
        <w:ind w:left="520" w:right="340" w:hanging="260"/>
        <w:spacing w:after="0" w:line="24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Inability to successfully integrate or develop a distribution channel for acquired product lines;</w:t>
      </w:r>
    </w:p>
    <w:p>
      <w:pPr>
        <w:ind w:left="520" w:right="40" w:hanging="260"/>
        <w:spacing w:after="0" w:line="246"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Potential loss of key employees, customers, distributors, or dealers of the acquired businesses or adverse effects on existing business relationships with suppliers, customers, distributors, and dealers;</w:t>
      </w:r>
    </w:p>
    <w:p>
      <w:pPr>
        <w:spacing w:after="0" w:line="1" w:lineRule="exact"/>
        <w:rPr>
          <w:rFonts w:ascii="Arial" w:cs="Arial" w:eastAsia="Arial" w:hAnsi="Arial"/>
          <w:sz w:val="13"/>
          <w:szCs w:val="13"/>
          <w:color w:val="auto"/>
        </w:rPr>
      </w:pPr>
    </w:p>
    <w:p>
      <w:pPr>
        <w:ind w:left="500" w:hanging="240"/>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Adverse impact on overall profitability, if our expanded operations do not achieve the financial results projected in our valuation model;</w:t>
      </w:r>
    </w:p>
    <w:p>
      <w:pPr>
        <w:spacing w:after="0" w:line="5" w:lineRule="exact"/>
        <w:rPr>
          <w:rFonts w:ascii="Arial" w:cs="Arial" w:eastAsia="Arial" w:hAnsi="Arial"/>
          <w:sz w:val="13"/>
          <w:szCs w:val="13"/>
          <w:color w:val="auto"/>
        </w:rPr>
      </w:pPr>
    </w:p>
    <w:p>
      <w:pPr>
        <w:ind w:left="520" w:right="620" w:hanging="260"/>
        <w:spacing w:after="0" w:line="241"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Inaccurate assessment of additional post-acquisition or business venture investments, undisclosed, contingent or other liabilities or problems, unanticipated costs associated with an acquisition or other business venture, and an inability to recover or manage such liabilities and costs; and</w:t>
      </w:r>
    </w:p>
    <w:p>
      <w:pPr>
        <w:ind w:left="520" w:right="60" w:hanging="260"/>
        <w:spacing w:after="0" w:line="264" w:lineRule="auto"/>
        <w:tabs>
          <w:tab w:leader="none" w:pos="511"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Incorrect estimates made in the accounting for acquisitions, occurrence of non-recurring charges, and write-off of significant amounts of goodwill or other assets that could adversely affect our operating results.</w:t>
      </w:r>
    </w:p>
    <w:p>
      <w:pPr>
        <w:spacing w:after="0" w:line="158" w:lineRule="exact"/>
        <w:rPr>
          <w:sz w:val="20"/>
          <w:szCs w:val="20"/>
          <w:color w:val="auto"/>
        </w:rPr>
      </w:pPr>
    </w:p>
    <w:p>
      <w:pPr>
        <w:ind w:right="440"/>
        <w:spacing w:after="0" w:line="293" w:lineRule="auto"/>
        <w:rPr>
          <w:sz w:val="20"/>
          <w:szCs w:val="20"/>
          <w:color w:val="auto"/>
        </w:rPr>
      </w:pPr>
      <w:r>
        <w:rPr>
          <w:rFonts w:ascii="Arial" w:cs="Arial" w:eastAsia="Arial" w:hAnsi="Arial"/>
          <w:sz w:val="13"/>
          <w:szCs w:val="13"/>
          <w:b w:val="1"/>
          <w:bCs w:val="1"/>
          <w:color w:val="auto"/>
        </w:rPr>
        <w:t>If we fail to identify, attract, and retain appropriately qualified employees, including employees in key positions, our operations and profitability may be harmed. Changes in market compensation rates may adversely affect our profitability.</w:t>
      </w:r>
    </w:p>
    <w:p>
      <w:pPr>
        <w:spacing w:after="0" w:line="28"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Our ability to meet our strategic objectives and otherwise grow our business will depend to a significant extent on the continued contributions of our leadership team. Our future success will also depend in large part on our ability to identify, attract, and retain other highly qualified managerial, technical, sales and marketing, operations, and customer service personnel. Competition for these individuals in our manufacturing markets is intense, and supply is limited. Since we operate in a competitive labor market, there is a risk that market increases in compensation could have an adverse effect on our business. We may not succeed in identifying, attracting, or retaining qualified personnel on a cost-effective basis. The loss or interruption of services of any of our key personnel, inability to identify, 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69" w:lineRule="exact"/>
        <w:rPr>
          <w:sz w:val="20"/>
          <w:szCs w:val="20"/>
          <w:color w:val="auto"/>
        </w:rPr>
      </w:pPr>
    </w:p>
    <w:p>
      <w:pPr>
        <w:ind w:right="400"/>
        <w:spacing w:after="0" w:line="293" w:lineRule="auto"/>
        <w:rPr>
          <w:sz w:val="20"/>
          <w:szCs w:val="20"/>
          <w:color w:val="auto"/>
        </w:rPr>
      </w:pPr>
      <w:r>
        <w:rPr>
          <w:rFonts w:ascii="Arial" w:cs="Arial" w:eastAsia="Arial" w:hAnsi="Arial"/>
          <w:sz w:val="13"/>
          <w:szCs w:val="13"/>
          <w:b w:val="1"/>
          <w:bCs w:val="1"/>
          <w:color w:val="auto"/>
        </w:rPr>
        <w:t>Significant product repair and/or replacement costs due to product warranty claims and product recalls could have a material adverse impact on our results of operations, financial condition, and cash flows.</w:t>
      </w:r>
    </w:p>
    <w:p>
      <w:pPr>
        <w:spacing w:after="0" w:line="28"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59" w:lineRule="exact"/>
        <w:rPr>
          <w:sz w:val="20"/>
          <w:szCs w:val="20"/>
          <w:color w:val="auto"/>
        </w:rPr>
      </w:pPr>
    </w:p>
    <w:p>
      <w:pPr>
        <w:ind w:right="520"/>
        <w:spacing w:after="0" w:line="283" w:lineRule="auto"/>
        <w:rPr>
          <w:sz w:val="20"/>
          <w:szCs w:val="20"/>
          <w:color w:val="auto"/>
        </w:rPr>
      </w:pPr>
      <w:r>
        <w:rPr>
          <w:rFonts w:ascii="Arial" w:cs="Arial" w:eastAsia="Arial" w:hAnsi="Arial"/>
          <w:sz w:val="13"/>
          <w:szCs w:val="13"/>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color w:val="auto"/>
        </w:rPr>
        <w:t>actions. Although we estimate and reserve for the cost of these service actions, there can be no assurance that expense levels will remain at current levels or such reserves will continue to be adequate.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Information Systems, Legal and Regulatory Risks</w:t>
      </w:r>
    </w:p>
    <w:p>
      <w:pPr>
        <w:spacing w:after="0" w:line="84" w:lineRule="exact"/>
        <w:rPr>
          <w:sz w:val="20"/>
          <w:szCs w:val="20"/>
          <w:color w:val="auto"/>
        </w:rPr>
      </w:pPr>
    </w:p>
    <w:p>
      <w:pPr>
        <w:ind w:right="340"/>
        <w:spacing w:after="0" w:line="266" w:lineRule="auto"/>
        <w:rPr>
          <w:sz w:val="20"/>
          <w:szCs w:val="20"/>
          <w:color w:val="auto"/>
        </w:rPr>
      </w:pPr>
      <w:r>
        <w:rPr>
          <w:rFonts w:ascii="Arial" w:cs="Arial" w:eastAsia="Arial" w:hAnsi="Arial"/>
          <w:sz w:val="13"/>
          <w:szCs w:val="13"/>
          <w:b w:val="1"/>
          <w:bCs w:val="1"/>
          <w:color w:val="auto"/>
        </w:rPr>
        <w:t>We may be subject to information technology system failures, inefficiencies associated with system implementations, network disruptions, and cybersecurity incidents that could adversely affect our business. Failure to prevent or effectively respond to a security breach or system failure could expose our customers' or suppliers' confidential information and expose us to substantial costs and reputational damage as well as litigation and enforcement actions.</w:t>
      </w:r>
    </w:p>
    <w:p>
      <w:pPr>
        <w:spacing w:after="0" w:line="44"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We rely extensively on information systems and other technology software, some of which are managed by third parties, to process, summarize, transmit, and store electronic information that is critical to operating our business efficiently and effectively. Our information systems and infrastructure are used to support our operations and manage key business processes, including but not limited to, procurement, supply chain, manufacturing, distribution, warranty administration, invoicing, collection of payments, sales, marketing, human resources, communication efforts and other administrative functions. Additionally, we rely on information systems to record and report our operational results.</w:t>
      </w:r>
    </w:p>
    <w:p>
      <w:pPr>
        <w:spacing w:after="0" w:line="161"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Due to our reliance on our information systems, our business processes may be negatively impacted in the event of substantial disruption of service. In addition, continued integration and development of new systems have resulted, and may in the future result in operational inefficiencies that adversely impact our results of operations.</w:t>
      </w:r>
    </w:p>
    <w:p>
      <w:pPr>
        <w:spacing w:after="0" w:line="167"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Operating these systems in a secure manner is critical to our business operations and strategy. We have implemented measures and incurred costs intended to protect and prevent unauthorized access to or loss of sensitive data. We also have security systems in place with the intent of maintaining the physical security of our facilities.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Despite our efforts to continuously mature our cybersecurity program, our information systems, and those of our third-party service providers, are still susceptible to system shutdowns, damage, degraded performance, disruptions or other security incidents. Because the technologies used to obtain unauthorized access are constantly changing and becoming increasingly more sophisticated and often are not recognized until launched against a target, we may be unable to anticipate these techniques or implement sufficient preventative measures. Misuse, leakage, falsification, or breach of security of information could result in a violation of privacy laws and damage our reputation which could, in turn, adversely affect our business or financial results. Amongst other things, the impact could include interruptions or delays in our ability to access information, data loss, processing inefficiencies, lost revenues or other costs resulting from shutdowns, unfavorable publicity, governmental inquiry and oversight, litigation by affected parties, and possible financial obligations for damages related to the theft or misuse of such information. Although these incidents have not historically had a significant impact on our business operations, there can be no guarantee that the actions and controls we have implemented and are implementing will be sufficient to protect our systems, information, or other property. While we maintain cybersecurity insurance to protect against potential losses arising from security incidents, the costs related to threats or disruption may not be fully insured.</w:t>
      </w:r>
    </w:p>
    <w:p>
      <w:pPr>
        <w:spacing w:after="0" w:line="166"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b w:val="1"/>
          <w:bCs w:val="1"/>
          <w:color w:val="auto"/>
        </w:rPr>
        <w:t>Our continued success is dependent on positive perceptions of our brands which, if impaired, could adversely affect our results of operations or financial condition. In addition, if the frequency and size of product liability and other claims against us increase, our reputation and business may be harmed.</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We believe that one of the strengths of our business is our brands, which are widely known around the world. We vigorously defend our brands and our other intellectual property rights against third parties on a global basis. We have, from time to time, had to bring claims against third parties to protect or prevent unauthorized use of our brand. If we are unable to protect and defend our brands or other intellectual property, it could have a material adverse effect on our results of operations or financial condition.</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Our success in maintaining, extending, and expanding our brand image depends on our ability to adapt to a rapidly changing media environment. The growing use of social and digital media platforms by us, our customers and third parties increases the speed and extent to which information, including misinformation and opinions can be shared. Negative posts or comments about us, our brands, our products, and in some cases, our competitors, on social or digital media, whether or not valid, could damage our brands and reputation. If we do not maintain, extend, and expand our reputation or brand image, then our operating results and financial condition could be materially and adversely affected.</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We are also subject, in the ordinary course of business, to litigation including a variety of warranty, "Lemon Law," and product liability claims typical in the RV and marine industries. Although we have an insurance policy covering product liability,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b w:val="1"/>
          <w:bCs w:val="1"/>
          <w:color w:val="auto"/>
        </w:rPr>
        <w:t>We are subject to certain government regulations that could have a material adverse impact on our business, including changing climate-related regulations that may require us to incur additional costs in order to be in compliance.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We are subject to numerous federal, state, and local regulations and the following summarizes some, but not all, of the laws and regulations that apply to us.</w:t>
      </w:r>
    </w:p>
    <w:p>
      <w:pPr>
        <w:spacing w:after="0" w:line="190"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Federal Motor Vehicle Safety Standards govern the design, manufacture and sale of our RV products, which standards are promulgated by the NHTSA. NHTSA requires manufacturers to recall and repair vehicles which are non-compliant with a Federal Motor Vehicle Safety Standard or contain safety defects. In addition, the U.S. Coast Guard maintains certification standards for the manufacture of our marine products, and the safety of recreational boats in the U.S. is subject to federal regulation under the Boat Safety Act of 1971, which requires boat manufacturers to recall products for replacement of parts or components that have demonstrated defects affecting safety. Any major recalls of our products, voluntary or involuntary, could have a material adverse effect on our results of operations, financial condition, and cash flows. While we believe we are in compliance with the foregoing laws and regulations as they currently exist, amendments to any of these regulations or the implementation of new regulations could significantly increase the cost of testing, manufacturing, purchasing, operating, or selling our products and could have a material adverse effect on our results of operations, financial condition, and cash flows. In addition, our failure to comply with present or future regulations could result in federal fines being imposed on us, potential civil and criminal liability, suspension of sales or production, or cessation of operations.</w:t>
      </w:r>
    </w:p>
    <w:p>
      <w:pPr>
        <w:spacing w:after="0" w:line="170" w:lineRule="exact"/>
        <w:rPr>
          <w:sz w:val="20"/>
          <w:szCs w:val="20"/>
          <w:color w:val="auto"/>
        </w:rPr>
      </w:pPr>
    </w:p>
    <w:p>
      <w:pPr>
        <w:jc w:val="both"/>
        <w:ind w:right="60"/>
        <w:spacing w:after="0" w:line="261" w:lineRule="auto"/>
        <w:rPr>
          <w:sz w:val="20"/>
          <w:szCs w:val="20"/>
          <w:color w:val="auto"/>
        </w:rPr>
      </w:pPr>
      <w:r>
        <w:rPr>
          <w:rFonts w:ascii="Arial" w:cs="Arial" w:eastAsia="Arial" w:hAnsi="Arial"/>
          <w:sz w:val="13"/>
          <w:szCs w:val="13"/>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 RVs that may be operated in certain jurisdictions or on certain roadways. Certain jurisdictions also prohibit the sale of vehicles exceeding length restrictions.</w:t>
      </w:r>
    </w:p>
    <w:p>
      <w:pPr>
        <w:spacing w:after="0" w:line="159" w:lineRule="exact"/>
        <w:rPr>
          <w:sz w:val="20"/>
          <w:szCs w:val="20"/>
          <w:color w:val="auto"/>
        </w:rPr>
      </w:pPr>
    </w:p>
    <w:p>
      <w:pPr>
        <w:ind w:right="600"/>
        <w:spacing w:after="0" w:line="283" w:lineRule="auto"/>
        <w:rPr>
          <w:sz w:val="20"/>
          <w:szCs w:val="20"/>
          <w:color w:val="auto"/>
        </w:rPr>
      </w:pPr>
      <w:r>
        <w:rPr>
          <w:rFonts w:ascii="Arial" w:cs="Arial" w:eastAsia="Arial" w:hAnsi="Arial"/>
          <w:sz w:val="13"/>
          <w:szCs w:val="13"/>
          <w:color w:val="auto"/>
        </w:rPr>
        <w:t>Failure to comply with the New York Stock Exchange and SEC laws or regulations could also have an adverse impact on our business. Additionally, amendments to these regulations and the implementation of new regulations could increase the cost of our operations and therefore could have an adverse impact on our business.</w:t>
      </w:r>
    </w:p>
    <w:p>
      <w:pPr>
        <w:spacing w:after="0" w:line="146"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We are subject to income and other tax laws and regulations in the U.S. and various foreign jurisdictions. In addition, we could be impacted by adjustments proposed by taxing authorities in connection with examinations, depending on their timing, nature and scope. Increases in tax rates, changes in tax laws or unfavorable resolution of tax matters could have a material impact on our financial results.</w:t>
      </w:r>
    </w:p>
    <w:p>
      <w:pPr>
        <w:spacing w:after="0" w:line="123"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Finally, regulations related to climate change are increasing. For example, federal and state authorities have various environmental control standards relating to air, water, noise pollution, greenhouse gases ("GHG"), and hazardous waste generation and disposal that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 Other policymakers, such as the SEC and the State of California, have issued requirements for companies to provide expanded climate-related disclosures, which may require us to incur significant additional costs to comply. In addition, foreign, federal, state, and local regulatory and legislative bodies have proposed various legislative and regulatory measures relating to climate change, regulating GHG emissions, and energy policies. If such legislation is enacted, we could incur increased energy, environmental, and other costs and capital expenditures to comply with the limitations. Climate change regulation combined with public sentiment could result in reduced demand for our products, higher fuel prices, or carbon taxes, all of which could materially adversely affect our business. Due to uncertainty in the regulatory and legislative processes, as well as the scope of such requirements and initiatives, we cannot currently determine the effect such legislation and regulation may have on our products and operations.</w:t>
      </w:r>
    </w:p>
    <w:p>
      <w:pPr>
        <w:spacing w:after="0" w:line="169" w:lineRule="exact"/>
        <w:rPr>
          <w:sz w:val="20"/>
          <w:szCs w:val="20"/>
          <w:color w:val="auto"/>
        </w:rPr>
      </w:pPr>
    </w:p>
    <w:p>
      <w:pPr>
        <w:ind w:right="400"/>
        <w:spacing w:after="0" w:line="259" w:lineRule="auto"/>
        <w:rPr>
          <w:sz w:val="20"/>
          <w:szCs w:val="20"/>
          <w:color w:val="auto"/>
        </w:rPr>
      </w:pPr>
      <w:r>
        <w:rPr>
          <w:rFonts w:ascii="Arial" w:cs="Arial" w:eastAsia="Arial" w:hAnsi="Arial"/>
          <w:sz w:val="13"/>
          <w:szCs w:val="13"/>
          <w:b w:val="1"/>
          <w:bCs w:val="1"/>
          <w:color w:val="auto"/>
        </w:rPr>
        <w:t>Our ESG commitments may impact our reputation, expose us to additional costs, or have other impacts which could adversely affect our business, financial condition, or results of operations.</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There has been an increased focus from regulators, investors, employees, consumers, and other stakeholders relating to ESG practices. We periodically communicate our ESG initiatives, which include prioritizing ethics and integrity, safety, people, inclusion and belonging, community, waste, emissions, and product stewardship. Failure to meet our commitments, respond to regulatory requirements, or advance our initiatives could adversely impact our reputation, as well as the demand for our products. In addition, achieving these initiatives may result in increased costs, which could have a material adverse impact on our business,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 impairment in the carrying value of goodwill and trade names could negatively impact our consolidated results of operations.</w:t>
      </w:r>
    </w:p>
    <w:p>
      <w:pPr>
        <w:spacing w:after="0" w:line="95" w:lineRule="exact"/>
        <w:rPr>
          <w:sz w:val="20"/>
          <w:szCs w:val="20"/>
          <w:color w:val="auto"/>
        </w:rPr>
      </w:pPr>
    </w:p>
    <w:p>
      <w:pPr>
        <w:ind w:right="120"/>
        <w:spacing w:after="0" w:line="309" w:lineRule="auto"/>
        <w:rPr>
          <w:sz w:val="20"/>
          <w:szCs w:val="20"/>
          <w:color w:val="auto"/>
        </w:rPr>
      </w:pPr>
      <w:r>
        <w:rPr>
          <w:rFonts w:ascii="Arial" w:cs="Arial" w:eastAsia="Arial" w:hAnsi="Arial"/>
          <w:sz w:val="12"/>
          <w:szCs w:val="12"/>
          <w:color w:val="auto"/>
        </w:rPr>
        <w:t>Goodwill and indefinite-lived intangible assets, such as our trade names in certain instances, are recorded at fair value at the time of acquisition and are not amortized but are reviewed for impairment at least annually or more frequently if impairment indicators arise. Our determination of whether goodwill impairment has occurred is based on a comparison of each of our reporting units’ fair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value with its carrying value. During the fourth quarter of Fiscal 2024, we completed our annual assessment of indefinite-lived intangible assets and determined that the carrying value of the Chris-Craft reporting unit exceeded its fair value, resulting in a $30.3 million impairment charge, which represents the full goodwill balance attributable to the reporting unit. Although no other impairments were identified in Fiscal 2024, Fiscal 2023, or Fiscal 2022, significant and unanticipated changes in circumstances, such as significant and long-term adverse changes in business climate, unanticipated competition, and/or changes in technology or markets, could require future impairment charges that could be significant and could negatively impact our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Refer to Note 7 in the Notes to Consolidated Financial Statements, included in Item 8 of Part II in this Annual Report on Form 10-K for more information regarding goodwill and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terms of our notes and other debt instruments could adversely affect our operating flexibility and pose risks of default.</w:t>
      </w:r>
    </w:p>
    <w:p>
      <w:pPr>
        <w:spacing w:after="0" w:line="84"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We incurred substantial indebtedness to finance the acquisitions of Grand Design and Newmar Corporation ("Newmar"). Our asset based revolving credit facility ("ABL Credit Facility") and Senior Secured Notes (as described in Note 9 in the Notes to Consolidated Financial Statements, included in Item 8 of Part II in this Annual Report on Form 10-K) are secured by substantially all of our assets, including cash, inventory, accounts receivable, and certain machinery and equipment. We also issued unsecured convertible senior notes due 2025 ("2025 Convertible Notes") to finance the acquisition of Newmar, and unsecured convertible senior notes due 2030 ("2030 Convertible Notes") to execute a partial repurchase of the 2025 Convertible Notes. If a default of payment occurs, the lenders in our ABL Credit Facility or holders of our Senior Secured Notes, 2030 Convertible Notes, and 2025 Convertible Notes may elect to declare all of their respective outstanding debt, together with accrued interest and other amounts payable thereunder, to be immediately due and payable. Under such circumstances, we may not have sufficient funds or other resources to satisfy all of our obligations. In addition, the limitations imposed on our ability to incur additional debt and to take other corporate actions might significantly impair our ability to obtain other financing.</w:t>
      </w:r>
    </w:p>
    <w:p>
      <w:pPr>
        <w:spacing w:after="0" w:line="152"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color w:val="auto"/>
        </w:rPr>
        <w:t>Borrowing availability under the ABL Credit Facility is limited to the lesser of the facility total and the calculated borrowing base, which is based on stipulated loan percentages applied to our eligible trade accounts receivable and eligible inventories. Should the borrowing base decline, our ability to borrow to fund future operations and business transactions could be limited.</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In addition, the Senior Secured Notes contain certain occurrence-based covenants that could restrict our ability to undertake certain types of transactions. If we enter into a transaction that falls under the occurrence-based covenants, we will calculate the ratios and covenant buckets we have available to us to ensure we are in compliance. Likewise, the Indenture related to the 2025 Convertible Notes and the Indenture related to the 2030 Convertible Notes includes certain limited covenants that could impact our ability to operate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In addition, our indebtedness could:</w:t>
      </w:r>
    </w:p>
    <w:p>
      <w:pPr>
        <w:spacing w:after="0" w:line="11"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Make us more vulnerable to general adverse economic, regulatory, and industry conditions;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Limit our flexibility in planning for, or reacting to, changes and opportunities in the markets in which we compete;</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Place us at a competitive disadvantage compared to our competitors that have less debt or could require us to dedicate a substantial portion of our cash flow to service our debt; and</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Restrict us from making strategic acquisitions or exploiting other business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common stock trading price could decline if equity research analysts issue unfavorable commentary or downgrade our common stock.</w:t>
      </w:r>
    </w:p>
    <w:p>
      <w:pPr>
        <w:spacing w:after="0" w:line="95"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The trading market for our common stock depends in part on the research and reports that third party securities analysts publish about us and the industries in which we operate. If one or more analysts cease coverage of our company, we could lose visibility in the financial markets, which could cause the price or trading volume of our securities to decline. Alternatively, one or more analysts could downgrade our common stock, provide more favorable recommendations about our competitors, or publish inaccurate or unfavorable research about our business or industry, which could also cause the trading volume or market price of our common stock to decline.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1B. Unresolved Staff Comments.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7" w:name="page18"/>
    <w:bookmarkEnd w:id="1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1C. Cybersecurity.</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Management and Strategy</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 xml:space="preserve">As described in Item 1A – </w:t>
      </w:r>
      <w:r>
        <w:rPr>
          <w:rFonts w:ascii="Arial" w:cs="Arial" w:eastAsia="Arial" w:hAnsi="Arial"/>
          <w:sz w:val="13"/>
          <w:szCs w:val="13"/>
          <w:i w:val="1"/>
          <w:iCs w:val="1"/>
          <w:color w:val="auto"/>
        </w:rPr>
        <w:t>Risk Factors</w:t>
      </w:r>
      <w:r>
        <w:rPr>
          <w:rFonts w:ascii="Arial" w:cs="Arial" w:eastAsia="Arial" w:hAnsi="Arial"/>
          <w:sz w:val="13"/>
          <w:szCs w:val="13"/>
          <w:color w:val="auto"/>
        </w:rPr>
        <w:t>, we are subject to various cybersecurity risks that could adversely affect our business, financial condition, results of operations, and reputation. We recognize the critical importance of assessing, identifying, and managing material risks associated with cybersecurity threats, and have integrated a comprehensive cybersecurity program into our broader Enterprise Risk Management (“ERM”) framework. This integration ensures that cybersecurity considerations are an integral part of our decision-making process at every level. Our cybersecurity program includes a detailed set of policies, standards, and procedures informed by an industry-leading framework established by the National Institute of Standards and Technology (“NIST CSF”). The NIST CSF provides a model that emphasizes identification, protection, detection, response, and recovery. To identify and manage risks from third parties in relation to cybersecurity, we conduct thorough cybersecurity assessments of third party service providers and include specific cybersecurity obligations in our contracts. Additionally, we continuously monitor these providers and require prompt notification of any cybersecurity incidents to manage and monitor potential risks to our business, financial condition, results of operations, and reputation.</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We manage our exposure to cybersecurity risk using various methods designed to protect against, detect, and respond to cybersecurity threats. For example, we leverage threat intelligence to identify trends and inform our understanding of the cybersecurity risk landscape. In addition, our cybersecurity team, which is led by our Vice President of Information Security, performs regular assessments of our program and conducts penetration testing to identify, evaluate, and remediate potential threats and vulnerabilities. We also engage external resources to support in the design and implementation of certain program elements, and to assist us in the prevention, detection, monitoring, mitigation, and remediation of cybersecurity risks and incidents.</w:t>
      </w:r>
    </w:p>
    <w:p>
      <w:pPr>
        <w:spacing w:after="0" w:line="165"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In addition to the processes, technologies, and controls that we have in place to reduce the likelihood of material cybersecurity incidents, we maintain a documented incident response plan to manage cybersecurity events within our environment. The response plan includes procedures for identifying, containing, and responding to cybersecurity incidents. Our ability to respond to cybersecurity incidents is tested on a recurring basis.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We view cybersecurity as a shared responsibility. Our employees are trained through annual security training, regular phishing simulations, and frequent communications about cybersecurity threats.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Governance</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Our cybersecurity program is led by our Vice President of Information Security and overseen by our Chief Information Officer (“CIO”). Our Vice President of Information Security, who is responsible for assessing and managing our information technology risks, including cybersecurity, joined Winnebago Industries in July 2021 and has over 25 years of experience in heavily regulated industries such as finance and healthcare. She has held multiple roles in Information Security and IT, demonstrating expertise and versatility in navigating the threat landscape of cybersecurity. Our CIO reports to our Senior Vice President, Chief Financial Officer, a member of our senior leadership team who reports to our President and Chief Executive Officer.</w:t>
      </w:r>
    </w:p>
    <w:p>
      <w:pPr>
        <w:spacing w:after="0" w:line="176"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The Audit Committee of our Board of Directors provides oversight of our ERM program, of which cybersecurity is an integral component. Members of the Audit Committee receive updates on a quarterly basis, or more frequently as appropriate, from our CIO regarding existing and new cybersecurity risks, the effectiveness and continued maturity of our cybersecurity program, cybersecurity incidents (if any), and other relevant topics that help the committee provide effective oversight. In addition, the Board of Directors also receives an Information Security Services update on an annual basis from our Vice President of Information Security and our CIO. These updates cover a wide range of topics, including but not limited to, reviewing trends and program maturity, key metrics, current and emerging cybersecurity risks, and other cybersecurity developments.</w:t>
      </w:r>
    </w:p>
    <w:p>
      <w:pPr>
        <w:spacing w:after="0" w:line="179" w:lineRule="exact"/>
        <w:rPr>
          <w:sz w:val="20"/>
          <w:szCs w:val="20"/>
          <w:color w:val="auto"/>
        </w:rPr>
      </w:pPr>
    </w:p>
    <w:p>
      <w:pPr>
        <w:ind w:right="180"/>
        <w:spacing w:after="0" w:line="253" w:lineRule="auto"/>
        <w:rPr>
          <w:sz w:val="20"/>
          <w:szCs w:val="20"/>
          <w:color w:val="auto"/>
        </w:rPr>
      </w:pPr>
      <w:r>
        <w:rPr>
          <w:rFonts w:ascii="Arial" w:cs="Arial" w:eastAsia="Arial" w:hAnsi="Arial"/>
          <w:sz w:val="13"/>
          <w:szCs w:val="13"/>
          <w:color w:val="auto"/>
        </w:rPr>
        <w:t>We do not believe we have experienced any cybersecurity threats or incidents that have materially affected or are reasonably likely to materially affect our business strategy, results of operations or financial conditions, including in Fiscal 2024. However, cyber threats continue to evolve, and there can be no assurance that the actions and controls we have implemented and are implementing will be sufficient to protect our systems, information, or other property. While we maintain cybersecurity insurance to protect against potential losses arising from security incidents, the costs related to threats or disruption may not be fully insured.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Properties.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The principal facilities used in our operations are in the following locations: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Segment</w:t>
            </w:r>
          </w:p>
        </w:tc>
        <w:tc>
          <w:tcPr>
            <w:tcW w:w="254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Location</w:t>
            </w:r>
          </w:p>
        </w:tc>
        <w:tc>
          <w:tcPr>
            <w:tcW w:w="176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Status</w:t>
            </w:r>
          </w:p>
        </w:tc>
        <w:tc>
          <w:tcPr>
            <w:tcW w:w="530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Primary Use</w:t>
            </w:r>
          </w:p>
        </w:tc>
      </w:tr>
      <w:tr>
        <w:trPr>
          <w:trHeight w:val="16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Towable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Elkhart, Indiana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line="161"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2540" w:type="dxa"/>
            <w:vAlign w:val="bottom"/>
          </w:tcPr>
          <w:p>
            <w:pPr>
              <w:ind w:left="500"/>
              <w:spacing w:after="0"/>
              <w:rPr>
                <w:sz w:val="20"/>
                <w:szCs w:val="20"/>
                <w:color w:val="auto"/>
              </w:rPr>
            </w:pPr>
            <w:r>
              <w:rPr>
                <w:rFonts w:ascii="Arial" w:cs="Arial" w:eastAsia="Arial" w:hAnsi="Arial"/>
                <w:sz w:val="13"/>
                <w:szCs w:val="13"/>
                <w:color w:val="auto"/>
              </w:rPr>
              <w:t>Middlebury, Indiana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Towable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Middlebury, Indiana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2540" w:type="dxa"/>
            <w:vAlign w:val="bottom"/>
          </w:tcPr>
          <w:p>
            <w:pPr>
              <w:ind w:left="500"/>
              <w:spacing w:after="0"/>
              <w:rPr>
                <w:sz w:val="20"/>
                <w:szCs w:val="20"/>
                <w:color w:val="auto"/>
              </w:rPr>
            </w:pPr>
            <w:r>
              <w:rPr>
                <w:rFonts w:ascii="Arial" w:cs="Arial" w:eastAsia="Arial" w:hAnsi="Arial"/>
                <w:sz w:val="13"/>
                <w:szCs w:val="13"/>
                <w:color w:val="auto"/>
              </w:rPr>
              <w:t>White Pigeon, Michigan</w:t>
            </w:r>
          </w:p>
        </w:tc>
        <w:tc>
          <w:tcPr>
            <w:tcW w:w="1760" w:type="dxa"/>
            <w:vAlign w:val="bottom"/>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Charles City, Iowa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tcPr>
          <w:p>
            <w:pPr>
              <w:ind w:left="500"/>
              <w:spacing w:after="0"/>
              <w:rPr>
                <w:sz w:val="20"/>
                <w:szCs w:val="20"/>
                <w:color w:val="auto"/>
              </w:rPr>
            </w:pPr>
            <w:r>
              <w:rPr>
                <w:rFonts w:ascii="Arial" w:cs="Arial" w:eastAsia="Arial" w:hAnsi="Arial"/>
                <w:sz w:val="13"/>
                <w:szCs w:val="13"/>
                <w:color w:val="auto"/>
              </w:rPr>
              <w:t>Forest City, Iowa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Lake Mills, Iowa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tcPr>
          <w:p>
            <w:pPr>
              <w:ind w:left="500"/>
              <w:spacing w:after="0"/>
              <w:rPr>
                <w:sz w:val="20"/>
                <w:szCs w:val="20"/>
                <w:color w:val="auto"/>
              </w:rPr>
            </w:pPr>
            <w:r>
              <w:rPr>
                <w:rFonts w:ascii="Arial" w:cs="Arial" w:eastAsia="Arial" w:hAnsi="Arial"/>
                <w:sz w:val="13"/>
                <w:szCs w:val="13"/>
                <w:color w:val="auto"/>
              </w:rPr>
              <w:t>Nappanee, Indiana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Nappanee, Indiana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Motorhome RV</w:t>
            </w:r>
          </w:p>
        </w:tc>
        <w:tc>
          <w:tcPr>
            <w:tcW w:w="2540" w:type="dxa"/>
            <w:vAlign w:val="bottom"/>
          </w:tcPr>
          <w:p>
            <w:pPr>
              <w:ind w:left="500"/>
              <w:spacing w:after="0"/>
              <w:rPr>
                <w:sz w:val="20"/>
                <w:szCs w:val="20"/>
                <w:color w:val="auto"/>
              </w:rPr>
            </w:pPr>
            <w:r>
              <w:rPr>
                <w:rFonts w:ascii="Arial" w:cs="Arial" w:eastAsia="Arial" w:hAnsi="Arial"/>
                <w:sz w:val="13"/>
                <w:szCs w:val="13"/>
                <w:color w:val="auto"/>
              </w:rPr>
              <w:t>Waverly, Iowa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Marine</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Bristol, Indiana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Marine</w:t>
            </w:r>
          </w:p>
        </w:tc>
        <w:tc>
          <w:tcPr>
            <w:tcW w:w="2540" w:type="dxa"/>
            <w:vAlign w:val="bottom"/>
          </w:tcPr>
          <w:p>
            <w:pPr>
              <w:ind w:left="500"/>
              <w:spacing w:after="0"/>
              <w:rPr>
                <w:sz w:val="20"/>
                <w:szCs w:val="20"/>
                <w:color w:val="auto"/>
              </w:rPr>
            </w:pPr>
            <w:r>
              <w:rPr>
                <w:rFonts w:ascii="Arial" w:cs="Arial" w:eastAsia="Arial" w:hAnsi="Arial"/>
                <w:sz w:val="13"/>
                <w:szCs w:val="13"/>
                <w:color w:val="auto"/>
              </w:rPr>
              <w:t>Bristol, Indiana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Marine</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Sarasota, Florida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shd w:val="clear" w:color="auto" w:fill="CCEEFF"/>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Corporate / All Other</w:t>
            </w:r>
          </w:p>
        </w:tc>
        <w:tc>
          <w:tcPr>
            <w:tcW w:w="2540" w:type="dxa"/>
            <w:vAlign w:val="bottom"/>
          </w:tcPr>
          <w:p>
            <w:pPr>
              <w:ind w:left="500"/>
              <w:spacing w:after="0"/>
              <w:rPr>
                <w:sz w:val="20"/>
                <w:szCs w:val="20"/>
                <w:color w:val="auto"/>
              </w:rPr>
            </w:pPr>
            <w:r>
              <w:rPr>
                <w:rFonts w:ascii="Arial" w:cs="Arial" w:eastAsia="Arial" w:hAnsi="Arial"/>
                <w:sz w:val="13"/>
                <w:szCs w:val="13"/>
                <w:color w:val="auto"/>
              </w:rPr>
              <w:t>Clearwater, Florida</w:t>
            </w:r>
          </w:p>
        </w:tc>
        <w:tc>
          <w:tcPr>
            <w:tcW w:w="1760" w:type="dxa"/>
            <w:vAlign w:val="bottom"/>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Eden Prairie, Minnesota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Office space</w:t>
            </w:r>
          </w:p>
        </w:tc>
      </w:tr>
      <w:tr>
        <w:trPr>
          <w:trHeight w:val="170"/>
        </w:trPr>
        <w:tc>
          <w:tcPr>
            <w:tcW w:w="1680" w:type="dxa"/>
            <w:vAlign w:val="bottom"/>
          </w:tcPr>
          <w:p>
            <w:pPr>
              <w:ind w:left="20"/>
              <w:spacing w:after="0"/>
              <w:rPr>
                <w:sz w:val="20"/>
                <w:szCs w:val="20"/>
                <w:color w:val="auto"/>
              </w:rPr>
            </w:pPr>
            <w:r>
              <w:rPr>
                <w:rFonts w:ascii="Arial" w:cs="Arial" w:eastAsia="Arial" w:hAnsi="Arial"/>
                <w:sz w:val="13"/>
                <w:szCs w:val="13"/>
                <w:color w:val="auto"/>
              </w:rPr>
              <w:t>Corporate / All Other</w:t>
            </w:r>
          </w:p>
        </w:tc>
        <w:tc>
          <w:tcPr>
            <w:tcW w:w="2540" w:type="dxa"/>
            <w:vAlign w:val="bottom"/>
          </w:tcPr>
          <w:p>
            <w:pPr>
              <w:ind w:left="500"/>
              <w:spacing w:after="0"/>
              <w:rPr>
                <w:sz w:val="20"/>
                <w:szCs w:val="20"/>
                <w:color w:val="auto"/>
              </w:rPr>
            </w:pPr>
            <w:r>
              <w:rPr>
                <w:rFonts w:ascii="Arial" w:cs="Arial" w:eastAsia="Arial" w:hAnsi="Arial"/>
                <w:sz w:val="13"/>
                <w:szCs w:val="13"/>
                <w:color w:val="auto"/>
              </w:rPr>
              <w:t>Forest City, Iowa</w:t>
            </w:r>
          </w:p>
        </w:tc>
        <w:tc>
          <w:tcPr>
            <w:tcW w:w="1760" w:type="dxa"/>
            <w:vAlign w:val="bottom"/>
          </w:tcPr>
          <w:p>
            <w:pPr>
              <w:ind w:left="700"/>
              <w:spacing w:after="0"/>
              <w:rPr>
                <w:sz w:val="20"/>
                <w:szCs w:val="20"/>
                <w:color w:val="auto"/>
              </w:rPr>
            </w:pPr>
            <w:r>
              <w:rPr>
                <w:rFonts w:ascii="Arial" w:cs="Arial" w:eastAsia="Arial" w:hAnsi="Arial"/>
                <w:sz w:val="13"/>
                <w:szCs w:val="13"/>
                <w:color w:val="auto"/>
              </w:rPr>
              <w:t>Owned</w:t>
            </w:r>
          </w:p>
        </w:tc>
        <w:tc>
          <w:tcPr>
            <w:tcW w:w="5300" w:type="dxa"/>
            <w:vAlign w:val="bottom"/>
          </w:tcPr>
          <w:p>
            <w:pPr>
              <w:ind w:left="660"/>
              <w:spacing w:after="0" w:line="170" w:lineRule="exact"/>
              <w:rPr>
                <w:sz w:val="20"/>
                <w:szCs w:val="20"/>
                <w:color w:val="auto"/>
              </w:rPr>
            </w:pPr>
            <w:r>
              <w:rPr>
                <w:rFonts w:ascii="Arial" w:cs="Arial" w:eastAsia="Arial" w:hAnsi="Arial"/>
                <w:sz w:val="13"/>
                <w:szCs w:val="13"/>
                <w:color w:val="auto"/>
              </w:rPr>
              <w:t>Manufacturing</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and office space</w:t>
            </w:r>
          </w:p>
        </w:tc>
      </w:tr>
      <w:tr>
        <w:trPr>
          <w:trHeight w:val="170"/>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25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Savage, Minnesota</w:t>
            </w:r>
          </w:p>
        </w:tc>
        <w:tc>
          <w:tcPr>
            <w:tcW w:w="1760" w:type="dxa"/>
            <w:vAlign w:val="bottom"/>
            <w:shd w:val="clear" w:color="auto" w:fill="CCEEFF"/>
          </w:tcPr>
          <w:p>
            <w:pPr>
              <w:ind w:left="700"/>
              <w:spacing w:after="0"/>
              <w:rPr>
                <w:sz w:val="20"/>
                <w:szCs w:val="20"/>
                <w:color w:val="auto"/>
              </w:rPr>
            </w:pPr>
            <w:r>
              <w:rPr>
                <w:rFonts w:ascii="Arial" w:cs="Arial" w:eastAsia="Arial" w:hAnsi="Arial"/>
                <w:sz w:val="13"/>
                <w:szCs w:val="13"/>
                <w:color w:val="auto"/>
              </w:rPr>
              <w:t>Leased</w:t>
            </w:r>
          </w:p>
        </w:tc>
        <w:tc>
          <w:tcPr>
            <w:tcW w:w="5300" w:type="dxa"/>
            <w:vAlign w:val="bottom"/>
            <w:shd w:val="clear" w:color="auto" w:fill="CCEEFF"/>
          </w:tcPr>
          <w:p>
            <w:pPr>
              <w:ind w:left="660"/>
              <w:spacing w:after="0"/>
              <w:rPr>
                <w:sz w:val="20"/>
                <w:szCs w:val="20"/>
                <w:color w:val="auto"/>
              </w:rPr>
            </w:pPr>
            <w:r>
              <w:rPr>
                <w:rFonts w:ascii="Arial" w:cs="Arial" w:eastAsia="Arial" w:hAnsi="Arial"/>
                <w:sz w:val="13"/>
                <w:szCs w:val="13"/>
                <w:color w:val="auto"/>
              </w:rPr>
              <w:t>Research and development, and office space</w:t>
            </w:r>
          </w:p>
        </w:tc>
      </w:tr>
    </w:tbl>
    <w:p>
      <w:pPr>
        <w:spacing w:after="0" w:line="10" w:lineRule="exact"/>
        <w:rPr>
          <w:sz w:val="20"/>
          <w:szCs w:val="20"/>
          <w:color w:val="auto"/>
        </w:rPr>
      </w:pPr>
    </w:p>
    <w:p>
      <w:pPr>
        <w:ind w:left="240" w:hanging="235"/>
        <w:spacing w:after="0"/>
        <w:tabs>
          <w:tab w:leader="none" w:pos="240" w:val="left"/>
        </w:tabs>
        <w:numPr>
          <w:ilvl w:val="0"/>
          <w:numId w:val="7"/>
        </w:numPr>
        <w:rPr>
          <w:rFonts w:ascii="Arial" w:cs="Arial" w:eastAsia="Arial" w:hAnsi="Arial"/>
          <w:sz w:val="17"/>
          <w:szCs w:val="17"/>
          <w:color w:val="auto"/>
          <w:vertAlign w:val="superscript"/>
        </w:rPr>
      </w:pPr>
      <w:r>
        <w:rPr>
          <w:rFonts w:ascii="Arial" w:cs="Arial" w:eastAsia="Arial" w:hAnsi="Arial"/>
          <w:sz w:val="11"/>
          <w:szCs w:val="11"/>
          <w:color w:val="auto"/>
        </w:rPr>
        <w:t>Manufacturing includes production, warehouse, maintenance, and service center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color w:val="auto"/>
        </w:rPr>
        <w:t>Most of our buildings are of steel or steel and concrete construction and are protected from fire with high-pressure sprinkler systems, dust collector systems, automatic fire doors, and alarm systems.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All facilities are in good operating condition, suitable for their respective uses and adequate for current needs.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Under our Senior Secured Notes and ABL Credit Facility, we have encumbered substantially all of our real property for the benefit of the lenders thereunder. For additional information, see Note 9 in the Notes to Consolidated Financial Statements, included in Item 8 of Part II in this Annual Report on Form 10-K. Also see Note 10 in the Notes to Consolidated Financial Statements included in Item 8 of Part II in this Annual Report on Form 10-K for more information regarding our leased facilities.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Legal Proceedings.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For a description of our legal proceedings, see Note 12 in the Notes to Consolidated Financial Statements, included in Item 8 of Part II in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Mine Safety Disclosures.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5. Market for the Registrant's Common Equity, Related Shareholder Matters and Issuer Purchases of Equity Securities.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Our common stock is listed on the New York Stock Exchange under the ticker symbol of WGO. As of October 16, 2024, there were 1,964 shareholders of record.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84"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On August 15, 2024, our Board of Directors declared a quarterly cash dividend of $0.34 per share, totaling $9.8 million, to be paid on September 25, 2024 to common shareholders of record at the close of business on September 11, 2024. Dividends are generally declared each quarter, and the Board of Directors currently intends to continue to pay quarterly cash dividends; however, declaration of future dividends, if any, will be based on several factors including our financial performance, outlook, and liquidity.</w:t>
      </w:r>
    </w:p>
    <w:p>
      <w:pPr>
        <w:spacing w:after="0" w:line="159"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Our outstanding notes, as further described in Note 9 in the Notes to Consolidated Financial Statements, included in Item 8 of Part II in this Annual Report on Form 10-K, contains restrictions that may limit our ability to pay dividends.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84"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Our ABL Credit Facility contains restrictions that may limit our ability to make distributions or payments with respect to purchases of our common stock without consent from the lenders, except for limited purchases of our common stock from employees, in the event of a significant reduction in our EBITDA or in the event of a significant borrowing on our ABL Credit Facility. Our Senior Secured Notes also contain covenants that may limit our ability to make distributions or payments with respect to purchases of our common stock. See additional information on our ABL Credit Facility and our Senior Secured Notes in Note 9 in the Notes to Consolidated Financial Statements, included in Item 8 of Part II in this Annual Report on Form 10-K.</w:t>
      </w:r>
    </w:p>
    <w:p>
      <w:pPr>
        <w:spacing w:after="0" w:line="176"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On August 17, 2022, our Board of Directors authorized a new share repurchase program in the amount of $350.0 million with no time restriction on the authorization, which took effect immediately and replaced the prior program.</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During Fiscal 2024, we repurchased approximately 1,177,000 shares of our common stock at a cost of $70.0 million, and approximately 77,000 shares of our common stock at a cost of $4.5 million to satisfy tax obligations on employee equity awards as they vested. We continually evaluate if share repurchases reflect a prudent use of our capital and, subject to compliance with our ABL Credit Facility and outstanding Senior Secured Notes, we may purchase shares in the future. As of August 31, 2024, we have $230.0 million remaining on our Board of Directors approved repurchase authorization.</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Purchases of our common stock during each fiscal month of the fourth quarter of Fiscal 2024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Number of Shares</w:t>
            </w:r>
          </w:p>
        </w:tc>
        <w:tc>
          <w:tcPr>
            <w:tcW w:w="13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Average Price Paid</w:t>
            </w:r>
          </w:p>
        </w:tc>
        <w:tc>
          <w:tcPr>
            <w:tcW w:w="2760" w:type="dxa"/>
            <w:vAlign w:val="bottom"/>
            <w:vMerge w:val="restart"/>
          </w:tcPr>
          <w:p>
            <w:pPr>
              <w:jc w:val="right"/>
              <w:ind w:right="116"/>
              <w:spacing w:after="0"/>
              <w:rPr>
                <w:sz w:val="20"/>
                <w:szCs w:val="20"/>
                <w:color w:val="auto"/>
              </w:rPr>
            </w:pPr>
            <w:r>
              <w:rPr>
                <w:rFonts w:ascii="Arial" w:cs="Arial" w:eastAsia="Arial" w:hAnsi="Arial"/>
                <w:sz w:val="13"/>
                <w:szCs w:val="13"/>
                <w:b w:val="1"/>
                <w:bCs w:val="1"/>
                <w:color w:val="auto"/>
              </w:rPr>
              <w:t>Number of Shares Purchased as Part of</w:t>
            </w:r>
          </w:p>
        </w:tc>
        <w:tc>
          <w:tcPr>
            <w:tcW w:w="2880" w:type="dxa"/>
            <w:vAlign w:val="bottom"/>
            <w:gridSpan w:val="2"/>
          </w:tcPr>
          <w:p>
            <w:pPr>
              <w:ind w:left="120"/>
              <w:spacing w:after="0"/>
              <w:rPr>
                <w:sz w:val="20"/>
                <w:szCs w:val="20"/>
                <w:color w:val="auto"/>
              </w:rPr>
            </w:pPr>
            <w:r>
              <w:rPr>
                <w:rFonts w:ascii="Arial" w:cs="Arial" w:eastAsia="Arial" w:hAnsi="Arial"/>
                <w:sz w:val="13"/>
                <w:szCs w:val="13"/>
                <w:b w:val="1"/>
                <w:bCs w:val="1"/>
                <w:color w:val="auto"/>
                <w:w w:val="97"/>
              </w:rPr>
              <w:t>Approximate Dollar Value of Shares That May</w:t>
            </w:r>
          </w:p>
        </w:tc>
        <w:tc>
          <w:tcPr>
            <w:tcW w:w="0" w:type="dxa"/>
            <w:vAlign w:val="bottom"/>
          </w:tcPr>
          <w:p>
            <w:pPr>
              <w:spacing w:after="0"/>
              <w:rPr>
                <w:sz w:val="1"/>
                <w:szCs w:val="1"/>
                <w:color w:val="auto"/>
              </w:rPr>
            </w:pPr>
          </w:p>
        </w:tc>
      </w:tr>
      <w:tr>
        <w:trPr>
          <w:trHeight w:val="127"/>
        </w:trPr>
        <w:tc>
          <w:tcPr>
            <w:tcW w:w="2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560" w:type="dxa"/>
            <w:vAlign w:val="bottom"/>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760" w:type="dxa"/>
            <w:vAlign w:val="bottom"/>
            <w:vMerge w:val="continue"/>
          </w:tcPr>
          <w:p>
            <w:pPr>
              <w:spacing w:after="0"/>
              <w:rPr>
                <w:sz w:val="11"/>
                <w:szCs w:val="11"/>
                <w:color w:val="auto"/>
              </w:rPr>
            </w:pPr>
          </w:p>
        </w:tc>
        <w:tc>
          <w:tcPr>
            <w:tcW w:w="2880" w:type="dxa"/>
            <w:vAlign w:val="bottom"/>
            <w:gridSpan w:val="2"/>
          </w:tcPr>
          <w:p>
            <w:pPr>
              <w:jc w:val="right"/>
              <w:ind w:right="196"/>
              <w:spacing w:after="0" w:line="128" w:lineRule="exact"/>
              <w:rPr>
                <w:sz w:val="20"/>
                <w:szCs w:val="20"/>
                <w:color w:val="auto"/>
              </w:rPr>
            </w:pPr>
            <w:r>
              <w:rPr>
                <w:rFonts w:ascii="Arial" w:cs="Arial" w:eastAsia="Arial" w:hAnsi="Arial"/>
                <w:sz w:val="13"/>
                <w:szCs w:val="13"/>
                <w:b w:val="1"/>
                <w:bCs w:val="1"/>
                <w:color w:val="auto"/>
              </w:rPr>
              <w:t>Yet Be Purchased Under the Plans or</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vMerge w:val="continue"/>
          </w:tcPr>
          <w:p>
            <w:pPr>
              <w:spacing w:after="0"/>
              <w:rPr>
                <w:sz w:val="14"/>
                <w:szCs w:val="14"/>
                <w:color w:val="auto"/>
              </w:rPr>
            </w:pPr>
          </w:p>
        </w:tc>
        <w:tc>
          <w:tcPr>
            <w:tcW w:w="1560" w:type="dxa"/>
            <w:vAlign w:val="bottom"/>
            <w:tcBorders>
              <w:bottom w:val="single" w:sz="8" w:color="auto"/>
            </w:tcBorders>
          </w:tcPr>
          <w:p>
            <w:pPr>
              <w:jc w:val="right"/>
              <w:ind w:right="296"/>
              <w:spacing w:after="0" w:line="170" w:lineRule="exact"/>
              <w:rPr>
                <w:sz w:val="20"/>
                <w:szCs w:val="20"/>
                <w:color w:val="auto"/>
              </w:rPr>
            </w:pPr>
            <w:r>
              <w:rPr>
                <w:rFonts w:ascii="Arial" w:cs="Arial" w:eastAsia="Arial" w:hAnsi="Arial"/>
                <w:sz w:val="13"/>
                <w:szCs w:val="13"/>
                <w:b w:val="1"/>
                <w:bCs w:val="1"/>
                <w:color w:val="auto"/>
              </w:rPr>
              <w:t>Purchased</w:t>
            </w:r>
            <w:r>
              <w:rPr>
                <w:rFonts w:ascii="Arial" w:cs="Arial" w:eastAsia="Arial" w:hAnsi="Arial"/>
                <w:sz w:val="16"/>
                <w:szCs w:val="16"/>
                <w:b w:val="1"/>
                <w:bCs w:val="1"/>
                <w:color w:val="auto"/>
                <w:vertAlign w:val="superscript"/>
              </w:rPr>
              <w:t>(1,2)</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per Share</w:t>
            </w:r>
          </w:p>
        </w:tc>
        <w:tc>
          <w:tcPr>
            <w:tcW w:w="2760" w:type="dxa"/>
            <w:vAlign w:val="bottom"/>
            <w:tcBorders>
              <w:bottom w:val="single" w:sz="8" w:color="auto"/>
            </w:tcBorders>
          </w:tcPr>
          <w:p>
            <w:pPr>
              <w:jc w:val="right"/>
              <w:ind w:right="36"/>
              <w:spacing w:after="0" w:line="170" w:lineRule="exact"/>
              <w:rPr>
                <w:sz w:val="20"/>
                <w:szCs w:val="20"/>
                <w:color w:val="auto"/>
              </w:rPr>
            </w:pPr>
            <w:r>
              <w:rPr>
                <w:rFonts w:ascii="Arial" w:cs="Arial" w:eastAsia="Arial" w:hAnsi="Arial"/>
                <w:sz w:val="13"/>
                <w:szCs w:val="13"/>
                <w:b w:val="1"/>
                <w:bCs w:val="1"/>
                <w:color w:val="auto"/>
                <w:w w:val="99"/>
              </w:rPr>
              <w:t>Publicly Announced Plans or Programs</w:t>
            </w:r>
            <w:r>
              <w:rPr>
                <w:rFonts w:ascii="Arial" w:cs="Arial" w:eastAsia="Arial" w:hAnsi="Arial"/>
                <w:sz w:val="16"/>
                <w:szCs w:val="16"/>
                <w:b w:val="1"/>
                <w:bCs w:val="1"/>
                <w:color w:val="auto"/>
                <w:w w:val="99"/>
                <w:vertAlign w:val="superscript"/>
              </w:rPr>
              <w:t>(1,2)</w:t>
            </w:r>
          </w:p>
        </w:tc>
        <w:tc>
          <w:tcPr>
            <w:tcW w:w="1520" w:type="dxa"/>
            <w:vAlign w:val="bottom"/>
            <w:tcBorders>
              <w:bottom w:val="single" w:sz="8" w:color="auto"/>
            </w:tcBorders>
          </w:tcPr>
          <w:p>
            <w:pPr>
              <w:ind w:left="800"/>
              <w:spacing w:after="0" w:line="170" w:lineRule="exact"/>
              <w:rPr>
                <w:sz w:val="20"/>
                <w:szCs w:val="20"/>
                <w:color w:val="auto"/>
              </w:rPr>
            </w:pPr>
            <w:r>
              <w:rPr>
                <w:rFonts w:ascii="Arial" w:cs="Arial" w:eastAsia="Arial" w:hAnsi="Arial"/>
                <w:sz w:val="13"/>
                <w:szCs w:val="13"/>
                <w:b w:val="1"/>
                <w:bCs w:val="1"/>
                <w:color w:val="auto"/>
                <w:w w:val="94"/>
              </w:rPr>
              <w:t>Programs</w:t>
            </w:r>
            <w:r>
              <w:rPr>
                <w:rFonts w:ascii="Arial" w:cs="Arial" w:eastAsia="Arial" w:hAnsi="Arial"/>
                <w:sz w:val="16"/>
                <w:szCs w:val="16"/>
                <w:b w:val="1"/>
                <w:bCs w:val="1"/>
                <w:color w:val="auto"/>
                <w:w w:val="94"/>
                <w:vertAlign w:val="superscript"/>
              </w:rPr>
              <w:t>(3)</w:t>
            </w:r>
          </w:p>
        </w:tc>
        <w:tc>
          <w:tcPr>
            <w:tcW w:w="136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color w:val="auto"/>
                <w:w w:val="97"/>
              </w:rPr>
              <w:t>(in millions)</w:t>
            </w:r>
          </w:p>
        </w:tc>
        <w:tc>
          <w:tcPr>
            <w:tcW w:w="0" w:type="dxa"/>
            <w:vAlign w:val="bottom"/>
          </w:tcPr>
          <w:p>
            <w:pPr>
              <w:spacing w:after="0"/>
              <w:rPr>
                <w:sz w:val="1"/>
                <w:szCs w:val="1"/>
                <w:color w:val="auto"/>
              </w:rPr>
            </w:pPr>
          </w:p>
        </w:tc>
      </w:tr>
      <w:tr>
        <w:trPr>
          <w:trHeight w:val="16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05/26/24 - 06/29/24</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113,711</w:t>
            </w:r>
          </w:p>
        </w:tc>
        <w:tc>
          <w:tcPr>
            <w:tcW w:w="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53.08</w:t>
            </w:r>
          </w:p>
        </w:tc>
        <w:tc>
          <w:tcPr>
            <w:tcW w:w="2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113,128</w:t>
            </w:r>
          </w:p>
        </w:tc>
        <w:tc>
          <w:tcPr>
            <w:tcW w:w="1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w:t>
            </w:r>
          </w:p>
        </w:tc>
        <w:tc>
          <w:tcPr>
            <w:tcW w:w="0" w:type="dxa"/>
            <w:vAlign w:val="bottom"/>
          </w:tcPr>
          <w:p>
            <w:pPr>
              <w:spacing w:after="0"/>
              <w:rPr>
                <w:sz w:val="1"/>
                <w:szCs w:val="1"/>
                <w:color w:val="auto"/>
              </w:rPr>
            </w:pPr>
          </w:p>
        </w:tc>
      </w:tr>
      <w:tr>
        <w:trPr>
          <w:trHeight w:val="169"/>
        </w:trPr>
        <w:tc>
          <w:tcPr>
            <w:tcW w:w="2660" w:type="dxa"/>
            <w:vAlign w:val="bottom"/>
          </w:tcPr>
          <w:p>
            <w:pPr>
              <w:ind w:left="20"/>
              <w:spacing w:after="0"/>
              <w:rPr>
                <w:sz w:val="20"/>
                <w:szCs w:val="20"/>
                <w:color w:val="auto"/>
              </w:rPr>
            </w:pPr>
            <w:r>
              <w:rPr>
                <w:rFonts w:ascii="Arial" w:cs="Arial" w:eastAsia="Arial" w:hAnsi="Arial"/>
                <w:sz w:val="13"/>
                <w:szCs w:val="13"/>
                <w:color w:val="auto"/>
              </w:rPr>
              <w:t>06/30/24 - 07/27/24</w:t>
            </w:r>
          </w:p>
        </w:tc>
        <w:tc>
          <w:tcPr>
            <w:tcW w:w="1560" w:type="dxa"/>
            <w:vAlign w:val="bottom"/>
          </w:tcPr>
          <w:p>
            <w:pPr>
              <w:jc w:val="right"/>
              <w:spacing w:after="0"/>
              <w:rPr>
                <w:sz w:val="20"/>
                <w:szCs w:val="20"/>
                <w:color w:val="auto"/>
              </w:rPr>
            </w:pPr>
            <w:r>
              <w:rPr>
                <w:rFonts w:ascii="Arial" w:cs="Arial" w:eastAsia="Arial" w:hAnsi="Arial"/>
                <w:sz w:val="13"/>
                <w:szCs w:val="13"/>
                <w:color w:val="auto"/>
              </w:rPr>
              <w:t>75,218</w:t>
            </w: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53.31</w:t>
            </w:r>
          </w:p>
        </w:tc>
        <w:tc>
          <w:tcPr>
            <w:tcW w:w="2760" w:type="dxa"/>
            <w:vAlign w:val="bottom"/>
          </w:tcPr>
          <w:p>
            <w:pPr>
              <w:jc w:val="right"/>
              <w:spacing w:after="0"/>
              <w:rPr>
                <w:sz w:val="20"/>
                <w:szCs w:val="20"/>
                <w:color w:val="auto"/>
              </w:rPr>
            </w:pPr>
            <w:r>
              <w:rPr>
                <w:rFonts w:ascii="Arial" w:cs="Arial" w:eastAsia="Arial" w:hAnsi="Arial"/>
                <w:sz w:val="13"/>
                <w:szCs w:val="13"/>
                <w:color w:val="auto"/>
              </w:rPr>
              <w:t>75,026</w:t>
            </w:r>
          </w:p>
        </w:tc>
        <w:tc>
          <w:tcPr>
            <w:tcW w:w="15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230.0</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07/28/24 - 08/31/24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2,069</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57.91</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w:t>
            </w:r>
          </w:p>
        </w:tc>
        <w:tc>
          <w:tcPr>
            <w:tcW w:w="0" w:type="dxa"/>
            <w:vAlign w:val="bottom"/>
          </w:tcPr>
          <w:p>
            <w:pPr>
              <w:spacing w:after="0"/>
              <w:rPr>
                <w:sz w:val="1"/>
                <w:szCs w:val="1"/>
                <w:color w:val="auto"/>
              </w:rPr>
            </w:pPr>
          </w:p>
        </w:tc>
      </w:tr>
      <w:tr>
        <w:trPr>
          <w:trHeight w:val="162"/>
        </w:trPr>
        <w:tc>
          <w:tcPr>
            <w:tcW w:w="2660" w:type="dxa"/>
            <w:vAlign w:val="bottom"/>
          </w:tcPr>
          <w:p>
            <w:pPr>
              <w:ind w:left="120"/>
              <w:spacing w:after="0"/>
              <w:rPr>
                <w:sz w:val="20"/>
                <w:szCs w:val="20"/>
                <w:color w:val="auto"/>
              </w:rPr>
            </w:pPr>
            <w:r>
              <w:rPr>
                <w:rFonts w:ascii="Arial" w:cs="Arial" w:eastAsia="Arial" w:hAnsi="Arial"/>
                <w:sz w:val="13"/>
                <w:szCs w:val="13"/>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190,998</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96"/>
              <w:spacing w:after="0"/>
              <w:rPr>
                <w:sz w:val="20"/>
                <w:szCs w:val="20"/>
                <w:color w:val="auto"/>
              </w:rPr>
            </w:pPr>
            <w:r>
              <w:rPr>
                <w:rFonts w:ascii="Arial" w:cs="Arial" w:eastAsia="Arial" w:hAnsi="Arial"/>
                <w:sz w:val="13"/>
                <w:szCs w:val="13"/>
                <w:color w:val="auto"/>
              </w:rPr>
              <w:t>53.22</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188,154</w:t>
            </w:r>
          </w:p>
        </w:tc>
        <w:tc>
          <w:tcPr>
            <w:tcW w:w="1520" w:type="dxa"/>
            <w:vAlign w:val="bottom"/>
          </w:tcPr>
          <w:p>
            <w:pPr>
              <w:ind w:left="12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230.0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240" w:hanging="235"/>
        <w:spacing w:after="0"/>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above table are shown in whole numbers.</w:t>
      </w:r>
    </w:p>
    <w:p>
      <w:pPr>
        <w:ind w:left="240" w:hanging="235"/>
        <w:spacing w:after="0" w:line="205" w:lineRule="auto"/>
        <w:tabs>
          <w:tab w:leader="none" w:pos="240" w:val="left"/>
        </w:tabs>
        <w:numPr>
          <w:ilvl w:val="0"/>
          <w:numId w:val="8"/>
        </w:numPr>
        <w:rPr>
          <w:rFonts w:ascii="Arial" w:cs="Arial" w:eastAsia="Arial" w:hAnsi="Arial"/>
          <w:sz w:val="14"/>
          <w:szCs w:val="14"/>
          <w:color w:val="auto"/>
          <w:vertAlign w:val="superscript"/>
        </w:rPr>
      </w:pPr>
      <w:r>
        <w:rPr>
          <w:rFonts w:ascii="Arial" w:cs="Arial" w:eastAsia="Arial" w:hAnsi="Arial"/>
          <w:sz w:val="10"/>
          <w:szCs w:val="10"/>
          <w:color w:val="auto"/>
        </w:rPr>
        <w:t>Shares not purchased as part of a publicly announced program were repurchased from employees who vested in Company shares and elected to pay their payroll tax via the value of shares delivered as opposed to cash.</w:t>
      </w:r>
    </w:p>
    <w:p>
      <w:pPr>
        <w:ind w:left="200" w:hanging="195"/>
        <w:spacing w:after="0" w:line="180" w:lineRule="auto"/>
        <w:tabs>
          <w:tab w:leader="none" w:pos="200" w:val="left"/>
        </w:tabs>
        <w:numPr>
          <w:ilvl w:val="0"/>
          <w:numId w:val="8"/>
        </w:numPr>
        <w:rPr>
          <w:rFonts w:ascii="Arial" w:cs="Arial" w:eastAsia="Arial" w:hAnsi="Arial"/>
          <w:sz w:val="16"/>
          <w:szCs w:val="16"/>
          <w:color w:val="auto"/>
          <w:vertAlign w:val="superscript"/>
        </w:rPr>
      </w:pPr>
      <w:r>
        <w:rPr>
          <w:rFonts w:ascii="Arial" w:cs="Arial" w:eastAsia="Arial" w:hAnsi="Arial"/>
          <w:sz w:val="11"/>
          <w:szCs w:val="11"/>
          <w:color w:val="auto"/>
        </w:rPr>
        <w:t>Pursuant to a $350.0 million share repurchase program authorized by our Board of Directors on August 17, 2022. There is no time restriction on this authorization.</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0" w:name="page21"/>
    <w:bookmarkEnd w:id="2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Performance Graph</w:t>
      </w:r>
    </w:p>
    <w:p>
      <w:pPr>
        <w:spacing w:after="0" w:line="84"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The following graph compares our five-year cumulative total shareholder return (including reinvestment of dividends) with the cumulative total return on the Standard &amp; Poor's 500 Index and the Russell 3000 Recreational Vehicles and Boats Subsector Index, which is a widely utilized industry index that is representative of our current business. It is assumed in the graph that $100 was invested in our</w:t>
      </w:r>
    </w:p>
    <w:p>
      <w:pPr>
        <w:ind w:right="20"/>
        <w:spacing w:after="0" w:line="266" w:lineRule="auto"/>
        <w:rPr>
          <w:sz w:val="20"/>
          <w:szCs w:val="20"/>
          <w:color w:val="auto"/>
        </w:rPr>
      </w:pPr>
      <w:r>
        <w:rPr>
          <w:rFonts w:ascii="Arial" w:cs="Arial" w:eastAsia="Arial" w:hAnsi="Arial"/>
          <w:sz w:val="13"/>
          <w:szCs w:val="13"/>
          <w:color w:val="auto"/>
        </w:rPr>
        <w:t>common stock, in the Standard &amp; Poor's 500 Index, and in the Russell 3000 Recreational Vehicles and Boats Subsector Index, on August 31, 2019, and that all dividends received within a quarter were reinvested in that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4688840" cy="267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8884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98"/>
              </w:rPr>
              <w:t>Base Period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Company/Index</w:t>
            </w:r>
          </w:p>
        </w:tc>
        <w:tc>
          <w:tcPr>
            <w:tcW w:w="180" w:type="dxa"/>
            <w:vAlign w:val="bottom"/>
          </w:tcPr>
          <w:p>
            <w:pPr>
              <w:spacing w:after="0"/>
              <w:rPr>
                <w:sz w:val="10"/>
                <w:szCs w:val="10"/>
                <w:color w:val="auto"/>
              </w:rPr>
            </w:pPr>
          </w:p>
        </w:tc>
        <w:tc>
          <w:tcPr>
            <w:tcW w:w="1200" w:type="dxa"/>
            <w:vAlign w:val="bottom"/>
            <w:gridSpan w:val="2"/>
          </w:tcPr>
          <w:p>
            <w:pPr>
              <w:jc w:val="center"/>
              <w:ind w:right="260"/>
              <w:spacing w:after="0" w:line="118" w:lineRule="exact"/>
              <w:rPr>
                <w:sz w:val="20"/>
                <w:szCs w:val="20"/>
                <w:color w:val="auto"/>
              </w:rPr>
            </w:pPr>
            <w:r>
              <w:rPr>
                <w:rFonts w:ascii="Arial" w:cs="Arial" w:eastAsia="Arial" w:hAnsi="Arial"/>
                <w:sz w:val="13"/>
                <w:szCs w:val="13"/>
                <w:b w:val="1"/>
                <w:bCs w:val="1"/>
                <w:color w:val="auto"/>
                <w:w w:val="99"/>
              </w:rPr>
              <w:t>August 31,</w:t>
            </w:r>
          </w:p>
        </w:tc>
        <w:tc>
          <w:tcPr>
            <w:tcW w:w="200" w:type="dxa"/>
            <w:vAlign w:val="bottom"/>
          </w:tcPr>
          <w:p>
            <w:pPr>
              <w:spacing w:after="0"/>
              <w:rPr>
                <w:sz w:val="10"/>
                <w:szCs w:val="10"/>
                <w:color w:val="auto"/>
              </w:rPr>
            </w:pPr>
          </w:p>
        </w:tc>
        <w:tc>
          <w:tcPr>
            <w:tcW w:w="1160" w:type="dxa"/>
            <w:vAlign w:val="bottom"/>
            <w:gridSpan w:val="2"/>
          </w:tcPr>
          <w:p>
            <w:pPr>
              <w:ind w:left="120"/>
              <w:spacing w:after="0" w:line="118" w:lineRule="exact"/>
              <w:rPr>
                <w:sz w:val="20"/>
                <w:szCs w:val="20"/>
                <w:color w:val="auto"/>
              </w:rPr>
            </w:pPr>
            <w:r>
              <w:rPr>
                <w:rFonts w:ascii="Arial" w:cs="Arial" w:eastAsia="Arial" w:hAnsi="Arial"/>
                <w:sz w:val="13"/>
                <w:szCs w:val="13"/>
                <w:b w:val="1"/>
                <w:bCs w:val="1"/>
                <w:color w:val="auto"/>
              </w:rPr>
              <w:t>August 29,</w:t>
            </w:r>
          </w:p>
        </w:tc>
        <w:tc>
          <w:tcPr>
            <w:tcW w:w="200" w:type="dxa"/>
            <w:vAlign w:val="bottom"/>
          </w:tcPr>
          <w:p>
            <w:pPr>
              <w:spacing w:after="0"/>
              <w:rPr>
                <w:sz w:val="10"/>
                <w:szCs w:val="10"/>
                <w:color w:val="auto"/>
              </w:rPr>
            </w:pPr>
          </w:p>
        </w:tc>
        <w:tc>
          <w:tcPr>
            <w:tcW w:w="1180" w:type="dxa"/>
            <w:vAlign w:val="bottom"/>
            <w:gridSpan w:val="2"/>
          </w:tcPr>
          <w:p>
            <w:pPr>
              <w:ind w:left="120"/>
              <w:spacing w:after="0" w:line="118" w:lineRule="exact"/>
              <w:rPr>
                <w:sz w:val="20"/>
                <w:szCs w:val="20"/>
                <w:color w:val="auto"/>
              </w:rPr>
            </w:pPr>
            <w:r>
              <w:rPr>
                <w:rFonts w:ascii="Arial" w:cs="Arial" w:eastAsia="Arial" w:hAnsi="Arial"/>
                <w:sz w:val="13"/>
                <w:szCs w:val="13"/>
                <w:b w:val="1"/>
                <w:bCs w:val="1"/>
                <w:color w:val="auto"/>
              </w:rPr>
              <w:t>August 28,</w:t>
            </w:r>
          </w:p>
        </w:tc>
        <w:tc>
          <w:tcPr>
            <w:tcW w:w="200" w:type="dxa"/>
            <w:vAlign w:val="bottom"/>
          </w:tcPr>
          <w:p>
            <w:pPr>
              <w:spacing w:after="0"/>
              <w:rPr>
                <w:sz w:val="10"/>
                <w:szCs w:val="10"/>
                <w:color w:val="auto"/>
              </w:rPr>
            </w:pPr>
          </w:p>
        </w:tc>
        <w:tc>
          <w:tcPr>
            <w:tcW w:w="1160" w:type="dxa"/>
            <w:vAlign w:val="bottom"/>
            <w:gridSpan w:val="2"/>
          </w:tcPr>
          <w:p>
            <w:pPr>
              <w:ind w:left="120"/>
              <w:spacing w:after="0" w:line="118" w:lineRule="exact"/>
              <w:rPr>
                <w:sz w:val="20"/>
                <w:szCs w:val="20"/>
                <w:color w:val="auto"/>
              </w:rPr>
            </w:pPr>
            <w:r>
              <w:rPr>
                <w:rFonts w:ascii="Arial" w:cs="Arial" w:eastAsia="Arial" w:hAnsi="Arial"/>
                <w:sz w:val="13"/>
                <w:szCs w:val="13"/>
                <w:b w:val="1"/>
                <w:bCs w:val="1"/>
                <w:color w:val="auto"/>
              </w:rPr>
              <w:t>August 27,</w:t>
            </w:r>
          </w:p>
        </w:tc>
        <w:tc>
          <w:tcPr>
            <w:tcW w:w="200" w:type="dxa"/>
            <w:vAlign w:val="bottom"/>
          </w:tcPr>
          <w:p>
            <w:pPr>
              <w:spacing w:after="0"/>
              <w:rPr>
                <w:sz w:val="10"/>
                <w:szCs w:val="10"/>
                <w:color w:val="auto"/>
              </w:rPr>
            </w:pPr>
          </w:p>
        </w:tc>
        <w:tc>
          <w:tcPr>
            <w:tcW w:w="1160" w:type="dxa"/>
            <w:vAlign w:val="bottom"/>
            <w:gridSpan w:val="2"/>
          </w:tcPr>
          <w:p>
            <w:pPr>
              <w:ind w:left="120"/>
              <w:spacing w:after="0" w:line="118" w:lineRule="exact"/>
              <w:rPr>
                <w:sz w:val="20"/>
                <w:szCs w:val="20"/>
                <w:color w:val="auto"/>
              </w:rPr>
            </w:pPr>
            <w:r>
              <w:rPr>
                <w:rFonts w:ascii="Arial" w:cs="Arial" w:eastAsia="Arial" w:hAnsi="Arial"/>
                <w:sz w:val="13"/>
                <w:szCs w:val="13"/>
                <w:b w:val="1"/>
                <w:bCs w:val="1"/>
                <w:color w:val="auto"/>
              </w:rPr>
              <w:t>August 26,</w:t>
            </w:r>
          </w:p>
        </w:tc>
        <w:tc>
          <w:tcPr>
            <w:tcW w:w="220" w:type="dxa"/>
            <w:vAlign w:val="bottom"/>
          </w:tcPr>
          <w:p>
            <w:pPr>
              <w:spacing w:after="0"/>
              <w:rPr>
                <w:sz w:val="10"/>
                <w:szCs w:val="10"/>
                <w:color w:val="auto"/>
              </w:rPr>
            </w:pPr>
          </w:p>
        </w:tc>
        <w:tc>
          <w:tcPr>
            <w:tcW w:w="1080" w:type="dxa"/>
            <w:vAlign w:val="bottom"/>
          </w:tcPr>
          <w:p>
            <w:pPr>
              <w:jc w:val="right"/>
              <w:ind w:right="256"/>
              <w:spacing w:after="0" w:line="118" w:lineRule="exact"/>
              <w:rPr>
                <w:sz w:val="20"/>
                <w:szCs w:val="20"/>
                <w:color w:val="auto"/>
              </w:rPr>
            </w:pPr>
            <w:r>
              <w:rPr>
                <w:rFonts w:ascii="Arial" w:cs="Arial" w:eastAsia="Arial" w:hAnsi="Arial"/>
                <w:sz w:val="13"/>
                <w:szCs w:val="13"/>
                <w:b w:val="1"/>
                <w:bCs w:val="1"/>
                <w:color w:val="auto"/>
              </w:rPr>
              <w:t>August 31,</w:t>
            </w:r>
          </w:p>
        </w:tc>
        <w:tc>
          <w:tcPr>
            <w:tcW w:w="0" w:type="dxa"/>
            <w:vAlign w:val="bottom"/>
          </w:tcPr>
          <w:p>
            <w:pPr>
              <w:spacing w:after="0"/>
              <w:rPr>
                <w:sz w:val="1"/>
                <w:szCs w:val="1"/>
                <w:color w:val="auto"/>
              </w:rPr>
            </w:pPr>
          </w:p>
        </w:tc>
      </w:tr>
      <w:tr>
        <w:trPr>
          <w:trHeight w:val="170"/>
        </w:trPr>
        <w:tc>
          <w:tcPr>
            <w:tcW w:w="31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6"/>
              </w:rPr>
              <w:t>2019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60"/>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Winnebago Industries, Inc.</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184.24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232.36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199.06</w:t>
            </w:r>
          </w:p>
        </w:tc>
        <w:tc>
          <w:tcPr>
            <w:tcW w:w="0" w:type="dxa"/>
            <w:vAlign w:val="bottom"/>
          </w:tcPr>
          <w:p>
            <w:pPr>
              <w:spacing w:after="0"/>
              <w:rPr>
                <w:sz w:val="1"/>
                <w:szCs w:val="1"/>
                <w:color w:val="auto"/>
              </w:rPr>
            </w:pPr>
          </w:p>
        </w:tc>
      </w:tr>
      <w:tr>
        <w:trPr>
          <w:trHeight w:val="169"/>
        </w:trPr>
        <w:tc>
          <w:tcPr>
            <w:tcW w:w="3140" w:type="dxa"/>
            <w:vAlign w:val="bottom"/>
          </w:tcPr>
          <w:p>
            <w:pPr>
              <w:ind w:left="20"/>
              <w:spacing w:after="0"/>
              <w:rPr>
                <w:sz w:val="20"/>
                <w:szCs w:val="20"/>
                <w:color w:val="auto"/>
              </w:rPr>
            </w:pPr>
            <w:r>
              <w:rPr>
                <w:rFonts w:ascii="Arial" w:cs="Arial" w:eastAsia="Arial" w:hAnsi="Arial"/>
                <w:sz w:val="13"/>
                <w:szCs w:val="13"/>
                <w:color w:val="auto"/>
              </w:rPr>
              <w:t>S&amp;P 500 Index</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100.00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122.19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159.44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145.62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160.83</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209.29</w:t>
            </w:r>
          </w:p>
        </w:tc>
        <w:tc>
          <w:tcPr>
            <w:tcW w:w="0" w:type="dxa"/>
            <w:vAlign w:val="bottom"/>
          </w:tcPr>
          <w:p>
            <w:pPr>
              <w:spacing w:after="0"/>
              <w:rPr>
                <w:sz w:val="1"/>
                <w:szCs w:val="1"/>
                <w:color w:val="auto"/>
              </w:rPr>
            </w:pPr>
          </w:p>
        </w:tc>
      </w:tr>
      <w:tr>
        <w:trPr>
          <w:trHeight w:val="129"/>
        </w:trPr>
        <w:tc>
          <w:tcPr>
            <w:tcW w:w="31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Russell 3000 Recreational Vehicles and Boats</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145.51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186.46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167.66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166.24</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158.94</w:t>
            </w:r>
          </w:p>
        </w:tc>
        <w:tc>
          <w:tcPr>
            <w:tcW w:w="0" w:type="dxa"/>
            <w:vAlign w:val="bottom"/>
          </w:tcPr>
          <w:p>
            <w:pPr>
              <w:spacing w:after="0"/>
              <w:rPr>
                <w:sz w:val="1"/>
                <w:szCs w:val="1"/>
                <w:color w:val="auto"/>
              </w:rPr>
            </w:pPr>
          </w:p>
        </w:tc>
      </w:tr>
      <w:tr>
        <w:trPr>
          <w:trHeight w:val="170"/>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Subsector Index</w:t>
            </w:r>
          </w:p>
        </w:tc>
        <w:tc>
          <w:tcPr>
            <w:tcW w:w="18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Source: Zacks Investment Research, Inc.</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6. [Reserved].</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 Management's Discussion and Analysis of Financial Condition and Results of Operations.</w:t>
      </w:r>
    </w:p>
    <w:p>
      <w:pPr>
        <w:spacing w:after="0" w:line="137" w:lineRule="exact"/>
        <w:rPr>
          <w:sz w:val="20"/>
          <w:szCs w:val="20"/>
          <w:color w:val="auto"/>
        </w:rPr>
      </w:pPr>
    </w:p>
    <w:p>
      <w:pPr>
        <w:jc w:val="both"/>
        <w:ind w:right="160"/>
        <w:spacing w:after="0" w:line="261" w:lineRule="auto"/>
        <w:rPr>
          <w:sz w:val="20"/>
          <w:szCs w:val="20"/>
          <w:color w:val="auto"/>
        </w:rPr>
      </w:pPr>
      <w:r>
        <w:rPr>
          <w:rFonts w:ascii="Arial" w:cs="Arial" w:eastAsia="Arial" w:hAnsi="Arial"/>
          <w:sz w:val="13"/>
          <w:szCs w:val="13"/>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five sections:</w:t>
      </w:r>
    </w:p>
    <w:p>
      <w:pPr>
        <w:spacing w:after="0" w:line="96"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Overview</w:t>
      </w:r>
    </w:p>
    <w:p>
      <w:pPr>
        <w:spacing w:after="0" w:line="11"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Results of Operations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Analysis of Financial Condition, Liquidity, and Capital Resources</w:t>
      </w:r>
    </w:p>
    <w:p>
      <w:pPr>
        <w:spacing w:after="0" w:line="2"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Critical Accounting Policies and Estimates</w:t>
      </w:r>
    </w:p>
    <w:p>
      <w:pPr>
        <w:spacing w:after="0" w:line="5" w:lineRule="exact"/>
        <w:rPr>
          <w:rFonts w:ascii="Arial" w:cs="Arial" w:eastAsia="Arial" w:hAnsi="Arial"/>
          <w:sz w:val="13"/>
          <w:szCs w:val="13"/>
          <w:color w:val="auto"/>
        </w:rPr>
      </w:pPr>
    </w:p>
    <w:p>
      <w:pPr>
        <w:ind w:left="500" w:hanging="24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New Accounting Pronouncements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Our MD&amp;A should be read in conjunction with the Consolidated Financial Statements and related Notes included in Item 8 of Part II in this Annual Report on Form 10-K.</w:t>
      </w:r>
    </w:p>
    <w:p>
      <w:pPr>
        <w:spacing w:after="0" w:line="190" w:lineRule="exact"/>
        <w:rPr>
          <w:sz w:val="20"/>
          <w:szCs w:val="20"/>
          <w:color w:val="auto"/>
        </w:rPr>
      </w:pPr>
    </w:p>
    <w:p>
      <w:pPr>
        <w:spacing w:after="0" w:line="327" w:lineRule="auto"/>
        <w:rPr>
          <w:sz w:val="20"/>
          <w:szCs w:val="20"/>
          <w:color w:val="auto"/>
        </w:rPr>
      </w:pPr>
      <w:r>
        <w:rPr>
          <w:rFonts w:ascii="Arial" w:cs="Arial" w:eastAsia="Arial" w:hAnsi="Arial"/>
          <w:sz w:val="12"/>
          <w:szCs w:val="12"/>
          <w:color w:val="auto"/>
        </w:rPr>
        <w:t>The year-over-year comparisons in this MD&amp;A are as of and for the fiscal years ended August 31, 2024 and August 26, 2023, unless stated otherwise. The discussion of Fiscal 2022 results and related year-over-year comparisons as of and for the fiscal years ended August 26, 2023 and August 27, 2022 are found in Item 7 of Part II of our Form 10-K for the fiscal year ended August 26, 2023.</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84" w:lineRule="exact"/>
        <w:rPr>
          <w:sz w:val="20"/>
          <w:szCs w:val="20"/>
          <w:color w:val="auto"/>
        </w:rPr>
      </w:pPr>
    </w:p>
    <w:p>
      <w:pPr>
        <w:ind w:right="20"/>
        <w:spacing w:after="0" w:line="275" w:lineRule="auto"/>
        <w:rPr>
          <w:sz w:val="20"/>
          <w:szCs w:val="20"/>
          <w:color w:val="auto"/>
        </w:rPr>
      </w:pPr>
      <w:r>
        <w:rPr>
          <w:rFonts w:ascii="Arial" w:cs="Arial" w:eastAsia="Arial" w:hAnsi="Arial"/>
          <w:sz w:val="12"/>
          <w:szCs w:val="12"/>
          <w:color w:val="auto"/>
        </w:rPr>
        <w:t>Winnebago Industries, Inc. is one of the leading North American manufacturers of recreation vehicles ("RVs") and marine products with a diversified portfolio used primarily in leisure travel and outdoor recreational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Known Trends and Uncertainties</w:t>
      </w:r>
    </w:p>
    <w:p>
      <w:pPr>
        <w:spacing w:after="0" w:line="84"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Our business continues to be challenged by macroeconomic conditions impacting retail consumers and our dealers, such as inflation and elevated interest rates. These factors have contributed to lower consumer spending and reduced short-term demand for large discretionary products such as RVs and marine products. In response, our dealers continue to exercise caution when managing stocking levels. In Fiscal 2024, these trends resulted in decreased sales due to declines in unit volume. We anticipate that as consumer demand stabilizes, dealers will exhibit a willingness to maintain stable inventory levels and ordering patterns. We continue to produce and ship in accordance with dealer demand as evidenced and requested by dealer orders.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Despite the current economic uncertainty, we believe in the long-term health of consumer demand for RV and marine products.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Matters</w:t>
      </w:r>
    </w:p>
    <w:p>
      <w:pPr>
        <w:spacing w:after="0" w:line="84"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During the fourth quarter of Fiscal 2024, we recognized a $30.3 million impairment charge equal to the full carrying value of goodwill associated with the Chris-Craft reporting unit. The decline in fair value of the Chris-Craft reporting unit was driven primarily by a downward revision to forecasted cash flows made during the fourth quarter of Fiscal 2024 as part of our annual long range planning process, and a decline in market capitalization observed from guideline public companies. Projected future cash flows for the Chris-Craft reporting unit have declined compared to prior expectations as a result of sustained macroeconomic challenges impacting consumer demand, such as inflationary pressures and elevated interest rates, and the current uncertainty regarding timing and degree of economic recovery. Refer to Note 7 in the Notes to Consolidated Financial Statements, included in Item 8 of Part II in this Annual Report on Form 10-K for more information.</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During the second quarter of Fiscal 2024, we entered into separate, privately negotiated transactions with certain holders of the 2025 Convertible Notes to repurchase $240.7 million aggregate principal amount of the 2025 Convertible Notes using $293.8 million of the net proceeds received from the issuance of the 2030 Convertible Notes. In connection with the 2025 Convertible Note repurchases, we recorded a loss on note repurchase of $32.7 million in the accompanying Consolidated Statements of Income during Fiscal 2024. The loss on note repurchase represents the difference between the fair value of consideration transferred to the holders of the repurchased 2025 Convertible Notes and the conversion value of 2025 Convertible Notes repurchased pursuant to the original conversion terms. Refer to Note 9 in the Notes to Consolidated Financial Statements, included in Item 8 of Part II in this Annual Report on Form 10-K for more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95" w:lineRule="exact"/>
        <w:rPr>
          <w:sz w:val="20"/>
          <w:szCs w:val="20"/>
          <w:color w:val="auto"/>
        </w:rPr>
      </w:pPr>
    </w:p>
    <w:p>
      <w:pPr>
        <w:ind w:right="160"/>
        <w:spacing w:after="0" w:line="283" w:lineRule="auto"/>
        <w:rPr>
          <w:sz w:val="20"/>
          <w:szCs w:val="20"/>
          <w:color w:val="auto"/>
        </w:rPr>
      </w:pPr>
      <w:r>
        <w:rPr>
          <w:rFonts w:ascii="Arial" w:cs="Arial" w:eastAsia="Arial" w:hAnsi="Arial"/>
          <w:sz w:val="12"/>
          <w:szCs w:val="12"/>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59"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Included in "Results of Operations - Fiscal 2024 Compared to Fiscal 2023" is a reconciliation of EBITDA and Adjusted EBITDA from net income, the most directly comparable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 operating results when assessing our performance. Examples of items excluded from Adjusted EBITDA include acquisition-related costs, litigation reserves, change in fair value of note receivable and other investments, contingent consideration fair value adjustment, goodwill impairment, loss on note repurchase, and non-operating income or loss.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Management uses these non-GAAP financial measures (a) to evaluate our historical and prospective financial performance and trends as well as our performance relative to competitors and peers;</w:t>
      </w:r>
    </w:p>
    <w:p>
      <w:pPr>
        <w:spacing w:after="0" w:line="11" w:lineRule="exact"/>
        <w:rPr>
          <w:sz w:val="20"/>
          <w:szCs w:val="20"/>
          <w:color w:val="auto"/>
        </w:rPr>
      </w:pPr>
    </w:p>
    <w:p>
      <w:pPr>
        <w:ind w:right="60" w:firstLine="5"/>
        <w:spacing w:after="0" w:line="280" w:lineRule="auto"/>
        <w:tabs>
          <w:tab w:leader="none" w:pos="191" w:val="left"/>
        </w:tabs>
        <w:numPr>
          <w:ilvl w:val="0"/>
          <w:numId w:val="10"/>
        </w:numPr>
        <w:rPr>
          <w:rFonts w:ascii="Arial" w:cs="Arial" w:eastAsia="Arial" w:hAnsi="Arial"/>
          <w:sz w:val="12"/>
          <w:szCs w:val="12"/>
          <w:color w:val="auto"/>
        </w:rPr>
      </w:pPr>
      <w:r>
        <w:rPr>
          <w:rFonts w:ascii="Arial" w:cs="Arial" w:eastAsia="Arial" w:hAnsi="Arial"/>
          <w:sz w:val="12"/>
          <w:szCs w:val="12"/>
          <w:color w:val="auto"/>
        </w:rPr>
        <w:t>to measure operational profitability on a consistent basis; (c) in presentations to the members of our Board of Directors to enable our Board of Directors to have the same measurement basis of operating performance as used by management in its assessments of performance and in forecasting; (d) to evaluate potential acquisitions; and (e) to ensure compliance with covenants and restricted activities under the terms of our ABL Credit Facility and outstanding notes, as further described in Note 9 in the Notes to Consolidated Financial Statements, included in Item 8 of Part II in this Annual Report on Form 10-K. We believe these non-GAAP financial measures are frequently used by securities analysts, investors and other interested parties to evaluate companies in the industry.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 - Fiscal 2024 Compared to Fiscal 2023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Consolidated Performance Summary</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changes in key items included in the statements of operations for the fiscal year ended August 31, 2024 compared to the fiscal year ended August 26,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ind w:left="20"/>
              <w:spacing w:after="0"/>
              <w:rPr>
                <w:sz w:val="20"/>
                <w:szCs w:val="20"/>
                <w:color w:val="auto"/>
              </w:rPr>
            </w:pPr>
            <w:r>
              <w:rPr>
                <w:rFonts w:ascii="Arial" w:cs="Arial" w:eastAsia="Arial" w:hAnsi="Arial"/>
                <w:sz w:val="11"/>
                <w:szCs w:val="11"/>
                <w:color w:val="auto"/>
              </w:rPr>
              <w:t>(in millions, except per share data)</w:t>
            </w:r>
          </w:p>
        </w:tc>
        <w:tc>
          <w:tcPr>
            <w:tcW w:w="280" w:type="dxa"/>
            <w:vAlign w:val="bottom"/>
          </w:tcPr>
          <w:p>
            <w:pPr>
              <w:spacing w:after="0"/>
              <w:rPr>
                <w:sz w:val="16"/>
                <w:szCs w:val="16"/>
                <w:color w:val="auto"/>
              </w:rPr>
            </w:pPr>
          </w:p>
        </w:tc>
        <w:tc>
          <w:tcPr>
            <w:tcW w:w="980" w:type="dxa"/>
            <w:vAlign w:val="bottom"/>
          </w:tcPr>
          <w:p>
            <w:pPr>
              <w:jc w:val="right"/>
              <w:ind w:right="43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280" w:type="dxa"/>
            <w:vAlign w:val="bottom"/>
          </w:tcPr>
          <w:p>
            <w:pPr>
              <w:spacing w:after="0"/>
              <w:rPr>
                <w:sz w:val="16"/>
                <w:szCs w:val="16"/>
                <w:color w:val="auto"/>
              </w:rPr>
            </w:pPr>
          </w:p>
        </w:tc>
        <w:tc>
          <w:tcPr>
            <w:tcW w:w="960" w:type="dxa"/>
            <w:vAlign w:val="bottom"/>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3"/>
                <w:szCs w:val="13"/>
                <w:b w:val="1"/>
                <w:bCs w:val="1"/>
                <w:color w:val="auto"/>
              </w:rPr>
              <w:t>% of Revenues</w:t>
            </w:r>
            <w:r>
              <w:rPr>
                <w:rFonts w:ascii="Arial" w:cs="Arial" w:eastAsia="Arial" w:hAnsi="Arial"/>
                <w:sz w:val="16"/>
                <w:szCs w:val="16"/>
                <w:b w:val="1"/>
                <w:bCs w:val="1"/>
                <w:color w:val="auto"/>
                <w:vertAlign w:val="superscript"/>
              </w:rPr>
              <w:t>(1)</w:t>
            </w:r>
          </w:p>
        </w:tc>
        <w:tc>
          <w:tcPr>
            <w:tcW w:w="18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c>
          <w:tcPr>
            <w:tcW w:w="1360" w:type="dxa"/>
            <w:vAlign w:val="bottom"/>
          </w:tcPr>
          <w:p>
            <w:pPr>
              <w:jc w:val="right"/>
              <w:ind w:right="25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6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2,973.5</w:t>
            </w:r>
          </w:p>
        </w:tc>
        <w:tc>
          <w:tcPr>
            <w:tcW w:w="6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3,490.7</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(517.2)</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6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Cost of goods sold</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2,540.0</w:t>
            </w:r>
          </w:p>
        </w:tc>
        <w:tc>
          <w:tcPr>
            <w:tcW w:w="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85.4 %</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2,904.6</w:t>
            </w: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83.2 %</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(364.6)</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433.5</w:t>
            </w:r>
          </w:p>
        </w:tc>
        <w:tc>
          <w:tcPr>
            <w:tcW w:w="6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14.6 %</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586.1</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(152.6)</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07"/>
        </w:trPr>
        <w:tc>
          <w:tcPr>
            <w:tcW w:w="3020" w:type="dxa"/>
            <w:vAlign w:val="bottom"/>
          </w:tcPr>
          <w:p>
            <w:pPr>
              <w:ind w:left="20"/>
              <w:spacing w:after="0" w:line="107" w:lineRule="exact"/>
              <w:rPr>
                <w:sz w:val="20"/>
                <w:szCs w:val="20"/>
                <w:color w:val="auto"/>
              </w:rPr>
            </w:pPr>
            <w:r>
              <w:rPr>
                <w:rFonts w:ascii="Arial" w:cs="Arial" w:eastAsia="Arial" w:hAnsi="Arial"/>
                <w:sz w:val="12"/>
                <w:szCs w:val="12"/>
                <w:color w:val="auto"/>
              </w:rPr>
              <w:t>Selling, general, and administrative expenses</w:t>
            </w:r>
          </w:p>
        </w:tc>
        <w:tc>
          <w:tcPr>
            <w:tcW w:w="2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280.0</w:t>
            </w:r>
          </w:p>
        </w:tc>
        <w:tc>
          <w:tcPr>
            <w:tcW w:w="60" w:type="dxa"/>
            <w:vAlign w:val="bottom"/>
          </w:tcPr>
          <w:p>
            <w:pPr>
              <w:spacing w:after="0"/>
              <w:rPr>
                <w:sz w:val="9"/>
                <w:szCs w:val="9"/>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9.4 %</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267.7</w:t>
            </w:r>
          </w:p>
        </w:tc>
        <w:tc>
          <w:tcPr>
            <w:tcW w:w="80" w:type="dxa"/>
            <w:vAlign w:val="bottom"/>
          </w:tcPr>
          <w:p>
            <w:pPr>
              <w:spacing w:after="0"/>
              <w:rPr>
                <w:sz w:val="9"/>
                <w:szCs w:val="9"/>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7.7 %</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12.5</w:t>
            </w:r>
          </w:p>
        </w:tc>
        <w:tc>
          <w:tcPr>
            <w:tcW w:w="80" w:type="dxa"/>
            <w:vAlign w:val="bottom"/>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Arial" w:cs="Arial" w:eastAsia="Arial" w:hAnsi="Arial"/>
                <w:sz w:val="13"/>
                <w:szCs w:val="13"/>
                <w:color w:val="auto"/>
              </w:rPr>
              <w:t>4.7 %</w:t>
            </w:r>
          </w:p>
        </w:tc>
        <w:tc>
          <w:tcPr>
            <w:tcW w:w="0" w:type="dxa"/>
            <w:vAlign w:val="bottom"/>
          </w:tcPr>
          <w:p>
            <w:pPr>
              <w:spacing w:after="0"/>
              <w:rPr>
                <w:sz w:val="1"/>
                <w:szCs w:val="1"/>
                <w:color w:val="auto"/>
              </w:rPr>
            </w:pPr>
          </w:p>
        </w:tc>
      </w:tr>
      <w:tr>
        <w:trPr>
          <w:trHeight w:val="168"/>
        </w:trPr>
        <w:tc>
          <w:tcPr>
            <w:tcW w:w="3020" w:type="dxa"/>
            <w:vAlign w:val="bottom"/>
          </w:tcPr>
          <w:p>
            <w:pPr>
              <w:ind w:left="20"/>
              <w:spacing w:after="0"/>
              <w:rPr>
                <w:sz w:val="20"/>
                <w:szCs w:val="20"/>
                <w:color w:val="auto"/>
              </w:rPr>
            </w:pPr>
            <w:r>
              <w:rPr>
                <w:rFonts w:ascii="Arial" w:cs="Arial" w:eastAsia="Arial" w:hAnsi="Arial"/>
                <w:sz w:val="13"/>
                <w:szCs w:val="13"/>
                <w:color w:val="auto"/>
              </w:rPr>
              <w:t>("SG&amp;A")</w:t>
            </w:r>
          </w:p>
        </w:tc>
        <w:tc>
          <w:tcPr>
            <w:tcW w:w="2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29.7 %</w:t>
            </w: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Goodwill impairment (Note 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30.3</w:t>
            </w:r>
          </w:p>
        </w:tc>
        <w:tc>
          <w:tcPr>
            <w:tcW w:w="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1.0 %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30.3</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6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333.3</w:t>
            </w:r>
          </w:p>
        </w:tc>
        <w:tc>
          <w:tcPr>
            <w:tcW w:w="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11.2 %</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8.2 %</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16.8 %</w:t>
            </w:r>
          </w:p>
        </w:tc>
        <w:tc>
          <w:tcPr>
            <w:tcW w:w="0" w:type="dxa"/>
            <w:vAlign w:val="bottom"/>
          </w:tcPr>
          <w:p>
            <w:pPr>
              <w:spacing w:after="0"/>
              <w:rPr>
                <w:sz w:val="1"/>
                <w:szCs w:val="1"/>
                <w:color w:val="auto"/>
              </w:rPr>
            </w:pPr>
          </w:p>
        </w:tc>
      </w:tr>
      <w:tr>
        <w:trPr>
          <w:trHeight w:val="159"/>
        </w:trPr>
        <w:tc>
          <w:tcPr>
            <w:tcW w:w="3020" w:type="dxa"/>
            <w:vAlign w:val="bottom"/>
          </w:tcPr>
          <w:p>
            <w:pPr>
              <w:ind w:left="20"/>
              <w:spacing w:after="0"/>
              <w:rPr>
                <w:sz w:val="20"/>
                <w:szCs w:val="20"/>
                <w:color w:val="auto"/>
              </w:rPr>
            </w:pPr>
            <w:r>
              <w:rPr>
                <w:rFonts w:ascii="Arial" w:cs="Arial" w:eastAsia="Arial" w:hAnsi="Arial"/>
                <w:sz w:val="13"/>
                <w:szCs w:val="13"/>
                <w:color w:val="auto"/>
              </w:rPr>
              <w:t>Operating income</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100.2</w:t>
            </w:r>
          </w:p>
        </w:tc>
        <w:tc>
          <w:tcPr>
            <w:tcW w:w="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3.4 %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300.7</w:t>
            </w:r>
          </w:p>
        </w:tc>
        <w:tc>
          <w:tcPr>
            <w:tcW w:w="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8.6 %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net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2.6 %</w:t>
            </w: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Loss on note repurchase (Note 9)</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32.7</w:t>
            </w:r>
          </w:p>
        </w:tc>
        <w:tc>
          <w:tcPr>
            <w:tcW w:w="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1.1 %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NM</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Non-operating loss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718.9 %</w:t>
            </w:r>
          </w:p>
        </w:tc>
        <w:tc>
          <w:tcPr>
            <w:tcW w:w="0" w:type="dxa"/>
            <w:vAlign w:val="bottom"/>
          </w:tcPr>
          <w:p>
            <w:pPr>
              <w:spacing w:after="0"/>
              <w:rPr>
                <w:sz w:val="1"/>
                <w:szCs w:val="1"/>
                <w:color w:val="auto"/>
              </w:rPr>
            </w:pPr>
          </w:p>
        </w:tc>
      </w:tr>
      <w:tr>
        <w:trPr>
          <w:trHeight w:val="159"/>
        </w:trPr>
        <w:tc>
          <w:tcPr>
            <w:tcW w:w="302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38.4</w:t>
            </w:r>
          </w:p>
        </w:tc>
        <w:tc>
          <w:tcPr>
            <w:tcW w:w="6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1.3 %</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279.2</w:t>
            </w:r>
          </w:p>
        </w:tc>
        <w:tc>
          <w:tcPr>
            <w:tcW w:w="80" w:type="dxa"/>
            <w:vAlign w:val="bottom"/>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8.0 %</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(240.8)</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(86.3)%</w:t>
            </w:r>
          </w:p>
        </w:tc>
        <w:tc>
          <w:tcPr>
            <w:tcW w:w="0" w:type="dxa"/>
            <w:vAlign w:val="bottom"/>
          </w:tcPr>
          <w:p>
            <w:pPr>
              <w:spacing w:after="0"/>
              <w:rPr>
                <w:sz w:val="1"/>
                <w:szCs w:val="1"/>
                <w:color w:val="auto"/>
              </w:rPr>
            </w:pPr>
          </w:p>
        </w:tc>
      </w:tr>
      <w:tr>
        <w:trPr>
          <w:trHeight w:val="17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6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0.9 %</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62"/>
        </w:trPr>
        <w:tc>
          <w:tcPr>
            <w:tcW w:w="30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6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0.4 %</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215.9</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6.2 %</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(202.9)</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Diluted earnings per share</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0.44</w:t>
            </w: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6.23</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(5.79)</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 weighted average shares outstanding</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20" w:hanging="215"/>
        <w:spacing w:after="0"/>
        <w:tabs>
          <w:tab w:leader="none" w:pos="220" w:val="left"/>
        </w:tabs>
        <w:numPr>
          <w:ilvl w:val="0"/>
          <w:numId w:val="11"/>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 In addition, percentages may not add in total due to rounding.</w:t>
      </w:r>
    </w:p>
    <w:p>
      <w:pPr>
        <w:spacing w:after="0" w:line="16" w:lineRule="exact"/>
        <w:rPr>
          <w:rFonts w:ascii="Arial" w:cs="Arial" w:eastAsia="Arial" w:hAnsi="Arial"/>
          <w:sz w:val="17"/>
          <w:szCs w:val="17"/>
          <w:color w:val="auto"/>
          <w:vertAlign w:val="superscript"/>
        </w:rPr>
      </w:pPr>
    </w:p>
    <w:p>
      <w:pPr>
        <w:spacing w:after="0"/>
        <w:rPr>
          <w:rFonts w:ascii="Arial" w:cs="Arial" w:eastAsia="Arial" w:hAnsi="Arial"/>
          <w:sz w:val="17"/>
          <w:szCs w:val="17"/>
          <w:color w:val="auto"/>
          <w:vertAlign w:val="superscript"/>
        </w:rPr>
      </w:pPr>
      <w:r>
        <w:rPr>
          <w:rFonts w:ascii="Arial" w:cs="Arial" w:eastAsia="Arial" w:hAnsi="Arial"/>
          <w:sz w:val="16"/>
          <w:szCs w:val="16"/>
          <w:color w:val="auto"/>
          <w:vertAlign w:val="superscript"/>
        </w:rPr>
        <w:t>NM:</w:t>
      </w:r>
      <w:r>
        <w:rPr>
          <w:rFonts w:ascii="Arial" w:cs="Arial" w:eastAsia="Arial" w:hAnsi="Arial"/>
          <w:sz w:val="11"/>
          <w:szCs w:val="11"/>
          <w:color w:val="auto"/>
        </w:rPr>
        <w:t xml:space="preserve"> Not meaningful.</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Net revenues decreased primarily due to product mix and lower unit sales related to market conditions.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Gross profit as a percentage of revenue decreased primarily due to deleverage, higher warranty expense, and operational challenges.</w:t>
      </w:r>
    </w:p>
    <w:p>
      <w:pPr>
        <w:spacing w:after="0" w:line="190"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Operating expenses increased primarily due to the goodwill impairment charge associated with the Chris-Craft reporting unit, a full year of Lithionics operations and increased intangible amortization, start-up costs associated with the launch of the Grand Design motorized business, and strategic investments in engineering, digital technology development, and increased data and information technology capabilities, partially offset by lower incentive-based compensation.</w:t>
      </w:r>
    </w:p>
    <w:p>
      <w:pPr>
        <w:spacing w:after="0" w:line="159"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The loss on note repurchase recorded in Fiscal 2024 is related to the refinancing of the 2025 Convertible Notes. Refer to Note 9 in the Notes to Consolidated Financial Statements, included in Item 8 of Part II in this Annual Report on Form 10-K for further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Our effective tax rate increased primarily due to the impact of the non-deductible debt inducement loss and non-deductible goodwill impairment over a lower pretax income.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Non-GAAP Reconciliation</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net income to consolidated EBITDA and Adjusted EBITDA for Fiscal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r>
      <w:tr>
        <w:trPr>
          <w:trHeight w:val="16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r>
      <w:tr>
        <w:trPr>
          <w:trHeight w:val="169"/>
        </w:trPr>
        <w:tc>
          <w:tcPr>
            <w:tcW w:w="7720" w:type="dxa"/>
            <w:vAlign w:val="bottom"/>
          </w:tcPr>
          <w:p>
            <w:pPr>
              <w:ind w:left="100"/>
              <w:spacing w:after="0"/>
              <w:rPr>
                <w:sz w:val="20"/>
                <w:szCs w:val="20"/>
                <w:color w:val="auto"/>
              </w:rPr>
            </w:pPr>
            <w:r>
              <w:rPr>
                <w:rFonts w:ascii="Arial" w:cs="Arial" w:eastAsia="Arial" w:hAnsi="Arial"/>
                <w:sz w:val="13"/>
                <w:szCs w:val="13"/>
                <w:color w:val="auto"/>
              </w:rPr>
              <w:t>Interest expense, net</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20.5</w:t>
            </w:r>
          </w:p>
        </w:tc>
      </w:tr>
      <w:tr>
        <w:trPr>
          <w:trHeight w:val="171"/>
        </w:trPr>
        <w:tc>
          <w:tcPr>
            <w:tcW w:w="7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income taxes</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r>
      <w:tr>
        <w:trPr>
          <w:trHeight w:val="169"/>
        </w:trPr>
        <w:tc>
          <w:tcPr>
            <w:tcW w:w="7720" w:type="dxa"/>
            <w:vAlign w:val="bottom"/>
          </w:tcPr>
          <w:p>
            <w:pPr>
              <w:ind w:left="100"/>
              <w:spacing w:after="0"/>
              <w:rPr>
                <w:sz w:val="20"/>
                <w:szCs w:val="20"/>
                <w:color w:val="auto"/>
              </w:rPr>
            </w:pPr>
            <w:r>
              <w:rPr>
                <w:rFonts w:ascii="Arial" w:cs="Arial" w:eastAsia="Arial" w:hAnsi="Arial"/>
                <w:sz w:val="13"/>
                <w:szCs w:val="13"/>
                <w:color w:val="auto"/>
              </w:rPr>
              <w:t>Depreciation</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29.2</w:t>
            </w:r>
          </w:p>
        </w:tc>
      </w:tr>
      <w:tr>
        <w:trPr>
          <w:trHeight w:val="171"/>
        </w:trPr>
        <w:tc>
          <w:tcPr>
            <w:tcW w:w="7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r>
      <w:tr>
        <w:trPr>
          <w:trHeight w:val="159"/>
        </w:trPr>
        <w:tc>
          <w:tcPr>
            <w:tcW w:w="7720" w:type="dxa"/>
            <w:vAlign w:val="bottom"/>
          </w:tcPr>
          <w:p>
            <w:pPr>
              <w:ind w:left="20"/>
              <w:spacing w:after="0"/>
              <w:rPr>
                <w:sz w:val="20"/>
                <w:szCs w:val="20"/>
                <w:color w:val="auto"/>
              </w:rPr>
            </w:pPr>
            <w:r>
              <w:rPr>
                <w:rFonts w:ascii="Arial" w:cs="Arial" w:eastAsia="Arial" w:hAnsi="Arial"/>
                <w:sz w:val="13"/>
                <w:szCs w:val="13"/>
                <w:color w:val="auto"/>
              </w:rPr>
              <w:t>EBITDA</w:t>
            </w: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118.1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346.6</w:t>
            </w:r>
          </w:p>
        </w:tc>
      </w:tr>
      <w:tr>
        <w:trPr>
          <w:trHeight w:val="171"/>
        </w:trPr>
        <w:tc>
          <w:tcPr>
            <w:tcW w:w="7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Acquisition-related costs</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69"/>
        </w:trPr>
        <w:tc>
          <w:tcPr>
            <w:tcW w:w="7720" w:type="dxa"/>
            <w:vAlign w:val="bottom"/>
          </w:tcPr>
          <w:p>
            <w:pPr>
              <w:ind w:left="100"/>
              <w:spacing w:after="0"/>
              <w:rPr>
                <w:sz w:val="20"/>
                <w:szCs w:val="20"/>
                <w:color w:val="auto"/>
              </w:rPr>
            </w:pPr>
            <w:r>
              <w:rPr>
                <w:rFonts w:ascii="Arial" w:cs="Arial" w:eastAsia="Arial" w:hAnsi="Arial"/>
                <w:sz w:val="13"/>
                <w:szCs w:val="13"/>
                <w:color w:val="auto"/>
              </w:rPr>
              <w:t>Litigation reserves</w:t>
            </w:r>
          </w:p>
        </w:tc>
        <w:tc>
          <w:tcPr>
            <w:tcW w:w="42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71"/>
        </w:trPr>
        <w:tc>
          <w:tcPr>
            <w:tcW w:w="7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note receivable and other investments</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720" w:type="dxa"/>
            <w:vAlign w:val="bottom"/>
          </w:tcPr>
          <w:p>
            <w:pPr>
              <w:ind w:left="100"/>
              <w:spacing w:after="0"/>
              <w:rPr>
                <w:sz w:val="20"/>
                <w:szCs w:val="20"/>
                <w:color w:val="auto"/>
              </w:rPr>
            </w:pPr>
            <w:r>
              <w:rPr>
                <w:rFonts w:ascii="Arial" w:cs="Arial" w:eastAsia="Arial" w:hAnsi="Arial"/>
                <w:sz w:val="13"/>
                <w:szCs w:val="13"/>
                <w:color w:val="auto"/>
              </w:rPr>
              <w:t>Contingent consideration fair value adjustment</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71"/>
        </w:trPr>
        <w:tc>
          <w:tcPr>
            <w:tcW w:w="7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Goodwill impairment (Note 7)</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720" w:type="dxa"/>
            <w:vAlign w:val="bottom"/>
          </w:tcPr>
          <w:p>
            <w:pPr>
              <w:ind w:left="100"/>
              <w:spacing w:after="0"/>
              <w:rPr>
                <w:sz w:val="20"/>
                <w:szCs w:val="20"/>
                <w:color w:val="auto"/>
              </w:rPr>
            </w:pPr>
            <w:r>
              <w:rPr>
                <w:rFonts w:ascii="Arial" w:cs="Arial" w:eastAsia="Arial" w:hAnsi="Arial"/>
                <w:sz w:val="13"/>
                <w:szCs w:val="13"/>
                <w:color w:val="auto"/>
              </w:rPr>
              <w:t>Loss on note repurchase (Note 9)</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77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Non-operating loss</w:t>
            </w: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162"/>
        </w:trPr>
        <w:tc>
          <w:tcPr>
            <w:tcW w:w="77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354.7</w:t>
            </w:r>
          </w:p>
        </w:tc>
      </w:tr>
      <w:tr>
        <w:trPr>
          <w:trHeight w:val="20"/>
        </w:trPr>
        <w:tc>
          <w:tcPr>
            <w:tcW w:w="7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Reportable Segment Performance Summary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Towable RV</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an analysis of key changes in our Towable RV segment for Fiscal 2024 and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ASP and units)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5"/>
              </w:rPr>
              <w:t xml:space="preserve">% of Revenues </w:t>
            </w:r>
            <w:r>
              <w:rPr>
                <w:rFonts w:ascii="Arial" w:cs="Arial" w:eastAsia="Arial" w:hAnsi="Arial"/>
                <w:sz w:val="16"/>
                <w:szCs w:val="16"/>
                <w:b w:val="1"/>
                <w:bCs w:val="1"/>
                <w:color w:val="auto"/>
                <w:w w:val="95"/>
                <w:vertAlign w:val="superscript"/>
              </w:rPr>
              <w:t>(1)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xml:space="preserve">% of Revenues </w:t>
            </w:r>
            <w:r>
              <w:rPr>
                <w:rFonts w:ascii="Arial" w:cs="Arial" w:eastAsia="Arial" w:hAnsi="Arial"/>
                <w:sz w:val="16"/>
                <w:szCs w:val="16"/>
                <w:b w:val="1"/>
                <w:bCs w:val="1"/>
                <w:color w:val="auto"/>
                <w:w w:val="95"/>
                <w:vertAlign w:val="superscript"/>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2"/>
              </w:rPr>
              <w:t>$ Change</w:t>
            </w:r>
            <w:r>
              <w:rPr>
                <w:rFonts w:ascii="Arial" w:cs="Arial" w:eastAsia="Arial" w:hAnsi="Arial"/>
                <w:sz w:val="16"/>
                <w:szCs w:val="16"/>
                <w:b w:val="1"/>
                <w:bCs w:val="1"/>
                <w:color w:val="auto"/>
                <w:w w:val="92"/>
                <w:vertAlign w:val="superscript"/>
              </w:rPr>
              <w:t>(1)</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3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1,318.8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1,415.3</w:t>
            </w:r>
          </w:p>
        </w:tc>
        <w:tc>
          <w:tcPr>
            <w:tcW w:w="80" w:type="dxa"/>
            <w:vAlign w:val="bottom"/>
            <w:shd w:val="clear" w:color="auto" w:fill="CCEEFF"/>
          </w:tcPr>
          <w:p>
            <w:pPr>
              <w:spacing w:after="0"/>
              <w:rPr>
                <w:sz w:val="13"/>
                <w:szCs w:val="13"/>
                <w:color w:val="auto"/>
              </w:rPr>
            </w:pPr>
          </w:p>
        </w:tc>
        <w:tc>
          <w:tcPr>
            <w:tcW w:w="1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9"/>
        </w:trPr>
        <w:tc>
          <w:tcPr>
            <w:tcW w:w="302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9.3 %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172.1</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(49.7)</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(28.9)%</w:t>
            </w:r>
          </w:p>
        </w:tc>
      </w:tr>
      <w:tr>
        <w:trPr>
          <w:trHeight w:val="171"/>
        </w:trPr>
        <w:tc>
          <w:tcPr>
            <w:tcW w:w="3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3"/>
        </w:trPr>
        <w:tc>
          <w:tcPr>
            <w:tcW w:w="3020" w:type="dxa"/>
            <w:vAlign w:val="bottom"/>
          </w:tcPr>
          <w:p>
            <w:pPr>
              <w:ind w:left="20"/>
              <w:spacing w:after="0"/>
              <w:rPr>
                <w:sz w:val="20"/>
                <w:szCs w:val="20"/>
                <w:color w:val="auto"/>
              </w:rPr>
            </w:pPr>
            <w:r>
              <w:rPr>
                <w:rFonts w:ascii="Arial" w:cs="Arial" w:eastAsia="Arial" w:hAnsi="Arial"/>
                <w:sz w:val="13"/>
                <w:szCs w:val="13"/>
                <w:color w:val="auto"/>
              </w:rPr>
              <w:t>Average Selling Price ("ASP")</w:t>
            </w:r>
            <w:r>
              <w:rPr>
                <w:rFonts w:ascii="Arial" w:cs="Arial" w:eastAsia="Arial" w:hAnsi="Arial"/>
                <w:sz w:val="16"/>
                <w:szCs w:val="16"/>
                <w:color w:val="auto"/>
                <w:vertAlign w:val="superscript"/>
              </w:rPr>
              <w:t>(2)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41,004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45,568</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(4,564)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86"/>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Unit deliveries</w:t>
            </w:r>
          </w:p>
        </w:tc>
        <w:tc>
          <w:tcPr>
            <w:tcW w:w="120" w:type="dxa"/>
            <w:vAlign w:val="bottom"/>
          </w:tcPr>
          <w:p>
            <w:pPr>
              <w:spacing w:after="0"/>
              <w:rPr>
                <w:sz w:val="24"/>
                <w:szCs w:val="24"/>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Product Mix</w:t>
            </w:r>
            <w:r>
              <w:rPr>
                <w:rFonts w:ascii="Arial" w:cs="Arial" w:eastAsia="Arial" w:hAnsi="Arial"/>
                <w:sz w:val="16"/>
                <w:szCs w:val="16"/>
                <w:b w:val="1"/>
                <w:bCs w:val="1"/>
                <w:color w:val="auto"/>
                <w:w w:val="96"/>
                <w:vertAlign w:val="superscript"/>
              </w:rPr>
              <w:t>(3)</w:t>
            </w:r>
          </w:p>
        </w:tc>
        <w:tc>
          <w:tcPr>
            <w:tcW w:w="220" w:type="dxa"/>
            <w:vAlign w:val="bottom"/>
          </w:tcPr>
          <w:p>
            <w:pPr>
              <w:spacing w:after="0"/>
              <w:rPr>
                <w:sz w:val="24"/>
                <w:szCs w:val="24"/>
                <w:color w:val="auto"/>
              </w:rPr>
            </w:pPr>
          </w:p>
        </w:tc>
        <w:tc>
          <w:tcPr>
            <w:tcW w:w="10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24"/>
                <w:szCs w:val="24"/>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Product Mix</w:t>
            </w:r>
            <w:r>
              <w:rPr>
                <w:rFonts w:ascii="Arial" w:cs="Arial" w:eastAsia="Arial" w:hAnsi="Arial"/>
                <w:sz w:val="16"/>
                <w:szCs w:val="16"/>
                <w:b w:val="1"/>
                <w:bCs w:val="1"/>
                <w:color w:val="auto"/>
                <w:w w:val="96"/>
                <w:vertAlign w:val="superscript"/>
              </w:rPr>
              <w:t>(3)</w:t>
            </w: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Unit Change</w:t>
            </w:r>
          </w:p>
        </w:tc>
        <w:tc>
          <w:tcPr>
            <w:tcW w:w="136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Travel trailer</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21,636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67.5 %</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21,352</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68.8 %</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1.3 %</w:t>
            </w:r>
          </w:p>
        </w:tc>
      </w:tr>
      <w:tr>
        <w:trPr>
          <w:trHeight w:val="169"/>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Fifth wheel</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32.5 %</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9,701</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31.2 %</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7.2 %</w:t>
            </w:r>
          </w:p>
        </w:tc>
      </w:tr>
      <w:tr>
        <w:trPr>
          <w:trHeight w:val="187"/>
        </w:trPr>
        <w:tc>
          <w:tcPr>
            <w:tcW w:w="3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Towable RV</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32,039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31,053</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986</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81"/>
        </w:trPr>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August 31, 2024</w:t>
            </w: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August 26, 2023</w:t>
            </w:r>
          </w:p>
        </w:tc>
        <w:tc>
          <w:tcPr>
            <w:tcW w:w="22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r>
              <w:rPr>
                <w:rFonts w:ascii="Arial" w:cs="Arial" w:eastAsia="Arial" w:hAnsi="Arial"/>
                <w:sz w:val="16"/>
                <w:szCs w:val="16"/>
                <w:b w:val="1"/>
                <w:bCs w:val="1"/>
                <w:color w:val="auto"/>
                <w:vertAlign w:val="superscript"/>
              </w:rPr>
              <w:t>(1)</w:t>
            </w:r>
          </w:p>
        </w:tc>
        <w:tc>
          <w:tcPr>
            <w:tcW w:w="16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3020" w:type="dxa"/>
            <w:vAlign w:val="bottom"/>
            <w:tcBorders>
              <w:top w:val="single" w:sz="8" w:color="auto"/>
            </w:tcBorders>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(4)</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9"/>
        </w:trPr>
        <w:tc>
          <w:tcPr>
            <w:tcW w:w="3020" w:type="dxa"/>
            <w:vAlign w:val="bottom"/>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4,850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5,111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(261)</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Dealer Inventory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16,744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20" w:lineRule="exact"/>
        <w:rPr>
          <w:sz w:val="20"/>
          <w:szCs w:val="20"/>
          <w:color w:val="auto"/>
        </w:rPr>
      </w:pPr>
    </w:p>
    <w:p>
      <w:pPr>
        <w:ind w:left="200" w:hanging="195"/>
        <w:spacing w:after="0"/>
        <w:tabs>
          <w:tab w:leader="none" w:pos="200"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00" w:hanging="195"/>
        <w:spacing w:after="0" w:line="189" w:lineRule="auto"/>
        <w:tabs>
          <w:tab w:leader="none" w:pos="200" w:val="left"/>
        </w:tabs>
        <w:numPr>
          <w:ilvl w:val="0"/>
          <w:numId w:val="12"/>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00" w:hanging="195"/>
        <w:spacing w:after="0" w:line="205" w:lineRule="auto"/>
        <w:tabs>
          <w:tab w:leader="none" w:pos="200" w:val="left"/>
        </w:tabs>
        <w:numPr>
          <w:ilvl w:val="0"/>
          <w:numId w:val="12"/>
        </w:numPr>
        <w:rPr>
          <w:rFonts w:ascii="Arial" w:cs="Arial" w:eastAsia="Arial" w:hAnsi="Arial"/>
          <w:sz w:val="14"/>
          <w:szCs w:val="14"/>
          <w:color w:val="auto"/>
          <w:vertAlign w:val="superscript"/>
        </w:rPr>
      </w:pPr>
      <w:r>
        <w:rPr>
          <w:rFonts w:ascii="Arial" w:cs="Arial" w:eastAsia="Arial" w:hAnsi="Arial"/>
          <w:sz w:val="10"/>
          <w:szCs w:val="10"/>
          <w:color w:val="auto"/>
        </w:rPr>
        <w:t>Percentages may not add due to rounding differences.</w:t>
      </w:r>
    </w:p>
    <w:p>
      <w:pPr>
        <w:ind w:left="200" w:right="120" w:hanging="195"/>
        <w:spacing w:after="0" w:line="205" w:lineRule="auto"/>
        <w:tabs>
          <w:tab w:leader="none" w:pos="202" w:val="left"/>
        </w:tabs>
        <w:numPr>
          <w:ilvl w:val="0"/>
          <w:numId w:val="12"/>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color w:val="auto"/>
        </w:rPr>
        <w:t>Net revenues decreased primarily due to a reduction in average selling price per unit related to product mix and targeted price reductions, partially offset by an increase in unit volume.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 margin decreased primarily due to deleverage, higher warranty expense due to a favorable prior year trend, and operational challenges at the Winnebago branded towable business.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Backlog decreased due to current market conditions and a cautious dealer network as well as reduced order lead times due to production capacity.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646"/>
        </w:trPr>
        <w:tc>
          <w:tcPr>
            <w:tcW w:w="3020" w:type="dxa"/>
            <w:vAlign w:val="bottom"/>
            <w:gridSpan w:val="2"/>
          </w:tcPr>
          <w:p>
            <w:pPr>
              <w:spacing w:after="0"/>
              <w:rPr>
                <w:sz w:val="20"/>
                <w:szCs w:val="20"/>
                <w:color w:val="auto"/>
              </w:rPr>
            </w:pPr>
            <w:r>
              <w:rPr>
                <w:rFonts w:ascii="Arial" w:cs="Arial" w:eastAsia="Arial" w:hAnsi="Arial"/>
                <w:sz w:val="13"/>
                <w:szCs w:val="13"/>
                <w:i w:val="1"/>
                <w:iCs w:val="1"/>
                <w:color w:val="auto"/>
              </w:rPr>
              <w:t>Motorhome RV</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5780" w:type="dxa"/>
            <w:vAlign w:val="bottom"/>
            <w:gridSpan w:val="8"/>
          </w:tcPr>
          <w:p>
            <w:pPr>
              <w:spacing w:after="0"/>
              <w:rPr>
                <w:sz w:val="20"/>
                <w:szCs w:val="20"/>
                <w:color w:val="auto"/>
              </w:rPr>
            </w:pPr>
            <w:r>
              <w:rPr>
                <w:rFonts w:ascii="Arial" w:cs="Arial" w:eastAsia="Arial" w:hAnsi="Arial"/>
                <w:sz w:val="13"/>
                <w:szCs w:val="13"/>
                <w:color w:val="auto"/>
                <w:w w:val="99"/>
              </w:rPr>
              <w:t>The following is an analysis of key changes in our Motorhome RV segment for Fiscal 2024 and 2023:</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3"/>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 except ASP and units)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6"/>
              </w:rPr>
              <w:t>% of Revenues</w:t>
            </w:r>
            <w:r>
              <w:rPr>
                <w:rFonts w:ascii="Arial" w:cs="Arial" w:eastAsia="Arial" w:hAnsi="Arial"/>
                <w:sz w:val="16"/>
                <w:szCs w:val="16"/>
                <w:b w:val="1"/>
                <w:bCs w:val="1"/>
                <w:color w:val="auto"/>
                <w:w w:val="96"/>
                <w:vertAlign w:val="superscript"/>
              </w:rPr>
              <w:t>(1)</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 Revenues</w:t>
            </w:r>
            <w:r>
              <w:rPr>
                <w:rFonts w:ascii="Arial" w:cs="Arial" w:eastAsia="Arial" w:hAnsi="Arial"/>
                <w:sz w:val="16"/>
                <w:szCs w:val="16"/>
                <w:b w:val="1"/>
                <w:bCs w:val="1"/>
                <w:color w:val="auto"/>
                <w:w w:val="94"/>
                <w:vertAlign w:val="superscript"/>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2"/>
              </w:rPr>
              <w:t>$ Change</w:t>
            </w:r>
            <w:r>
              <w:rPr>
                <w:rFonts w:ascii="Arial" w:cs="Arial" w:eastAsia="Arial" w:hAnsi="Arial"/>
                <w:sz w:val="16"/>
                <w:szCs w:val="16"/>
                <w:b w:val="1"/>
                <w:bCs w:val="1"/>
                <w:color w:val="auto"/>
                <w:w w:val="92"/>
                <w:vertAlign w:val="superscript"/>
              </w:rPr>
              <w:t>(1)</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1,279.8</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1,560.1</w:t>
            </w:r>
          </w:p>
        </w:tc>
        <w:tc>
          <w:tcPr>
            <w:tcW w:w="8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69"/>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Adjusted EBITDA</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5.8 %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142.0</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9.1 %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(68.3)</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(48.1)%</w:t>
            </w:r>
          </w:p>
        </w:tc>
      </w:tr>
      <w:tr>
        <w:trPr>
          <w:trHeight w:val="171"/>
        </w:trPr>
        <w:tc>
          <w:tcPr>
            <w:tcW w:w="302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3"/>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ASP</w:t>
            </w:r>
            <w:r>
              <w:rPr>
                <w:rFonts w:ascii="Arial" w:cs="Arial" w:eastAsia="Arial" w:hAnsi="Arial"/>
                <w:sz w:val="16"/>
                <w:szCs w:val="16"/>
                <w:color w:val="auto"/>
                <w:vertAlign w:val="superscript"/>
              </w:rPr>
              <w:t>(2)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191,844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185,514</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6,330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3.4 %</w:t>
            </w:r>
          </w:p>
        </w:tc>
      </w:tr>
      <w:tr>
        <w:trPr>
          <w:trHeight w:val="286"/>
        </w:trPr>
        <w:tc>
          <w:tcPr>
            <w:tcW w:w="3020" w:type="dxa"/>
            <w:vAlign w:val="bottom"/>
            <w:gridSpan w:val="2"/>
          </w:tcPr>
          <w:p>
            <w:pPr>
              <w:ind w:left="20"/>
              <w:spacing w:after="0"/>
              <w:rPr>
                <w:sz w:val="20"/>
                <w:szCs w:val="20"/>
                <w:color w:val="auto"/>
              </w:rPr>
            </w:pPr>
            <w:r>
              <w:rPr>
                <w:rFonts w:ascii="Arial" w:cs="Arial" w:eastAsia="Arial" w:hAnsi="Arial"/>
                <w:sz w:val="13"/>
                <w:szCs w:val="13"/>
                <w:b w:val="1"/>
                <w:bCs w:val="1"/>
                <w:color w:val="auto"/>
              </w:rPr>
              <w:t>Unit deliveries</w:t>
            </w:r>
          </w:p>
        </w:tc>
        <w:tc>
          <w:tcPr>
            <w:tcW w:w="120" w:type="dxa"/>
            <w:vAlign w:val="bottom"/>
          </w:tcPr>
          <w:p>
            <w:pPr>
              <w:spacing w:after="0"/>
              <w:rPr>
                <w:sz w:val="24"/>
                <w:szCs w:val="24"/>
                <w:color w:val="auto"/>
              </w:rPr>
            </w:pPr>
          </w:p>
        </w:tc>
        <w:tc>
          <w:tcPr>
            <w:tcW w:w="1140" w:type="dxa"/>
            <w:vAlign w:val="bottom"/>
          </w:tcPr>
          <w:p>
            <w:pPr>
              <w:jc w:val="right"/>
              <w:ind w:right="436"/>
              <w:spacing w:after="0"/>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Product Mix</w:t>
            </w:r>
            <w:r>
              <w:rPr>
                <w:rFonts w:ascii="Arial" w:cs="Arial" w:eastAsia="Arial" w:hAnsi="Arial"/>
                <w:sz w:val="16"/>
                <w:szCs w:val="16"/>
                <w:b w:val="1"/>
                <w:bCs w:val="1"/>
                <w:color w:val="auto"/>
                <w:w w:val="93"/>
                <w:vertAlign w:val="superscript"/>
              </w:rPr>
              <w:t>(3)</w:t>
            </w:r>
          </w:p>
        </w:tc>
        <w:tc>
          <w:tcPr>
            <w:tcW w:w="220" w:type="dxa"/>
            <w:vAlign w:val="bottom"/>
          </w:tcPr>
          <w:p>
            <w:pPr>
              <w:spacing w:after="0"/>
              <w:rPr>
                <w:sz w:val="24"/>
                <w:szCs w:val="24"/>
                <w:color w:val="auto"/>
              </w:rPr>
            </w:pPr>
          </w:p>
        </w:tc>
        <w:tc>
          <w:tcPr>
            <w:tcW w:w="10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24"/>
                <w:szCs w:val="24"/>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Product Mix</w:t>
            </w:r>
            <w:r>
              <w:rPr>
                <w:rFonts w:ascii="Arial" w:cs="Arial" w:eastAsia="Arial" w:hAnsi="Arial"/>
                <w:sz w:val="16"/>
                <w:szCs w:val="16"/>
                <w:b w:val="1"/>
                <w:bCs w:val="1"/>
                <w:color w:val="auto"/>
                <w:w w:val="93"/>
                <w:vertAlign w:val="superscript"/>
              </w:rPr>
              <w:t>(3)</w:t>
            </w: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Unit Change</w:t>
            </w:r>
          </w:p>
        </w:tc>
        <w:tc>
          <w:tcPr>
            <w:tcW w:w="136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60"/>
        </w:trPr>
        <w:tc>
          <w:tcPr>
            <w:tcW w:w="3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Class A</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1,625</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24.0 %</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2,142</w:t>
            </w: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r>
      <w:tr>
        <w:trPr>
          <w:trHeight w:val="169"/>
        </w:trPr>
        <w:tc>
          <w:tcPr>
            <w:tcW w:w="3020" w:type="dxa"/>
            <w:vAlign w:val="bottom"/>
            <w:gridSpan w:val="2"/>
          </w:tcPr>
          <w:p>
            <w:pPr>
              <w:ind w:left="20"/>
              <w:spacing w:after="0"/>
              <w:rPr>
                <w:sz w:val="20"/>
                <w:szCs w:val="20"/>
                <w:color w:val="auto"/>
              </w:rPr>
            </w:pPr>
            <w:r>
              <w:rPr>
                <w:rFonts w:ascii="Arial" w:cs="Arial" w:eastAsia="Arial" w:hAnsi="Arial"/>
                <w:sz w:val="13"/>
                <w:szCs w:val="13"/>
                <w:color w:val="auto"/>
              </w:rPr>
              <w:t>Class B</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2,278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33.7 %</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3,845</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45.8 %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(1,567)</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(40.8)%</w:t>
            </w:r>
          </w:p>
        </w:tc>
      </w:tr>
      <w:tr>
        <w:trPr>
          <w:trHeight w:val="170"/>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Class C</w:t>
            </w: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42.2 %</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2,407</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28.7 %</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18.6 %</w:t>
            </w:r>
          </w:p>
        </w:tc>
      </w:tr>
      <w:tr>
        <w:trPr>
          <w:trHeight w:val="162"/>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Total Motorhome RV</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6,757</w:t>
            </w: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8,394</w:t>
            </w:r>
          </w:p>
        </w:tc>
        <w:tc>
          <w:tcPr>
            <w:tcW w:w="8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(1,637)</w:t>
            </w:r>
          </w:p>
        </w:tc>
        <w:tc>
          <w:tcPr>
            <w:tcW w:w="8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w:t>
            </w:r>
          </w:p>
        </w:tc>
      </w:tr>
      <w:tr>
        <w:trPr>
          <w:trHeight w:val="20"/>
        </w:trPr>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1"/>
        </w:trPr>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rPr>
              <w:t>August 31, 2024</w:t>
            </w:r>
          </w:p>
        </w:tc>
        <w:tc>
          <w:tcPr>
            <w:tcW w:w="14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August 26, 2023</w:t>
            </w:r>
          </w:p>
        </w:tc>
        <w:tc>
          <w:tcPr>
            <w:tcW w:w="220" w:type="dxa"/>
            <w:vAlign w:val="bottom"/>
          </w:tcPr>
          <w:p>
            <w:pPr>
              <w:spacing w:after="0"/>
              <w:rPr>
                <w:sz w:val="24"/>
                <w:szCs w:val="24"/>
                <w:color w:val="auto"/>
              </w:rPr>
            </w:pP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Change</w:t>
            </w:r>
            <w:r>
              <w:rPr>
                <w:rFonts w:ascii="Arial" w:cs="Arial" w:eastAsia="Arial" w:hAnsi="Arial"/>
                <w:sz w:val="16"/>
                <w:szCs w:val="16"/>
                <w:b w:val="1"/>
                <w:bCs w:val="1"/>
                <w:color w:val="auto"/>
                <w:vertAlign w:val="superscript"/>
              </w:rPr>
              <w:t>(1)</w:t>
            </w:r>
          </w:p>
        </w:tc>
        <w:tc>
          <w:tcPr>
            <w:tcW w:w="16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3020" w:type="dxa"/>
            <w:vAlign w:val="bottom"/>
            <w:tcBorders>
              <w:top w:val="single" w:sz="8" w:color="auto"/>
            </w:tcBorders>
            <w:gridSpan w:val="2"/>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(4)</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9"/>
        </w:trPr>
        <w:tc>
          <w:tcPr>
            <w:tcW w:w="3020" w:type="dxa"/>
            <w:vAlign w:val="bottom"/>
            <w:gridSpan w:val="2"/>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897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Arial" w:cs="Arial" w:eastAsia="Arial" w:hAnsi="Arial"/>
                <w:sz w:val="13"/>
                <w:szCs w:val="13"/>
                <w:color w:val="auto"/>
              </w:rPr>
              <w:t>3,828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(2,931)</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688.6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(454.1)</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gridSpan w:val="2"/>
          </w:tcPr>
          <w:p>
            <w:pPr>
              <w:ind w:left="20"/>
              <w:spacing w:after="0"/>
              <w:rPr>
                <w:sz w:val="20"/>
                <w:szCs w:val="20"/>
                <w:color w:val="auto"/>
              </w:rPr>
            </w:pPr>
            <w:r>
              <w:rPr>
                <w:rFonts w:ascii="Arial" w:cs="Arial" w:eastAsia="Arial" w:hAnsi="Arial"/>
                <w:sz w:val="13"/>
                <w:szCs w:val="13"/>
                <w:b w:val="1"/>
                <w:bCs w:val="1"/>
                <w:color w:val="auto"/>
              </w:rPr>
              <w:t>Dealer Inventory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4,068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0" w:lineRule="exact"/>
        <w:rPr>
          <w:sz w:val="20"/>
          <w:szCs w:val="20"/>
          <w:color w:val="auto"/>
        </w:rPr>
      </w:pPr>
    </w:p>
    <w:p>
      <w:pPr>
        <w:ind w:left="200" w:hanging="195"/>
        <w:spacing w:after="0"/>
        <w:tabs>
          <w:tab w:leader="none" w:pos="200" w:val="left"/>
        </w:tabs>
        <w:numPr>
          <w:ilvl w:val="0"/>
          <w:numId w:val="13"/>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20" w:hanging="215"/>
        <w:spacing w:after="0" w:line="205" w:lineRule="auto"/>
        <w:tabs>
          <w:tab w:leader="none" w:pos="220" w:val="left"/>
        </w:tabs>
        <w:numPr>
          <w:ilvl w:val="0"/>
          <w:numId w:val="13"/>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40" w:hanging="235"/>
        <w:spacing w:after="0" w:line="205" w:lineRule="auto"/>
        <w:tabs>
          <w:tab w:leader="none" w:pos="240" w:val="left"/>
        </w:tabs>
        <w:numPr>
          <w:ilvl w:val="0"/>
          <w:numId w:val="13"/>
        </w:numPr>
        <w:rPr>
          <w:rFonts w:ascii="Arial" w:cs="Arial" w:eastAsia="Arial" w:hAnsi="Arial"/>
          <w:sz w:val="14"/>
          <w:szCs w:val="14"/>
          <w:color w:val="auto"/>
          <w:vertAlign w:val="superscript"/>
        </w:rPr>
      </w:pPr>
      <w:r>
        <w:rPr>
          <w:rFonts w:ascii="Arial" w:cs="Arial" w:eastAsia="Arial" w:hAnsi="Arial"/>
          <w:sz w:val="10"/>
          <w:szCs w:val="10"/>
          <w:color w:val="auto"/>
        </w:rPr>
        <w:t>Percentages may not add due to rounding differences.</w:t>
      </w:r>
    </w:p>
    <w:p>
      <w:pPr>
        <w:ind w:left="200" w:right="240" w:hanging="195"/>
        <w:spacing w:after="0" w:line="205" w:lineRule="auto"/>
        <w:tabs>
          <w:tab w:leader="none" w:pos="236" w:val="left"/>
        </w:tabs>
        <w:numPr>
          <w:ilvl w:val="0"/>
          <w:numId w:val="13"/>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can be cancelled or postponed at the option of the dealer at any time without penalty; therefore, backlog may not necessarily be an accurate measure of future sales.</w:t>
      </w:r>
    </w:p>
    <w:p>
      <w:pPr>
        <w:spacing w:after="0" w:line="167" w:lineRule="exact"/>
        <w:rPr>
          <w:sz w:val="20"/>
          <w:szCs w:val="20"/>
          <w:color w:val="auto"/>
        </w:rPr>
      </w:pPr>
    </w:p>
    <w:p>
      <w:pPr>
        <w:ind w:right="520"/>
        <w:spacing w:after="0" w:line="283" w:lineRule="auto"/>
        <w:rPr>
          <w:sz w:val="20"/>
          <w:szCs w:val="20"/>
          <w:color w:val="auto"/>
        </w:rPr>
      </w:pPr>
      <w:r>
        <w:rPr>
          <w:rFonts w:ascii="Arial" w:cs="Arial" w:eastAsia="Arial" w:hAnsi="Arial"/>
          <w:sz w:val="13"/>
          <w:szCs w:val="13"/>
          <w:color w:val="auto"/>
        </w:rPr>
        <w:t>Net revenues decreased primarily due to a decline in unit volume related to market conditions and higher levels of discounts and allowances, partially offset by price increases related to higher motorized chassis cost.</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 decreased due to deleverage, higher warranty expense, and operational challenges, partially offset by cost containment efforts.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Backlog decreased due to current market conditions and a cautious dealer network.</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646"/>
        </w:trPr>
        <w:tc>
          <w:tcPr>
            <w:tcW w:w="3000" w:type="dxa"/>
            <w:vAlign w:val="bottom"/>
            <w:gridSpan w:val="2"/>
          </w:tcPr>
          <w:p>
            <w:pPr>
              <w:spacing w:after="0"/>
              <w:rPr>
                <w:sz w:val="20"/>
                <w:szCs w:val="20"/>
                <w:color w:val="auto"/>
              </w:rPr>
            </w:pPr>
            <w:r>
              <w:rPr>
                <w:rFonts w:ascii="Arial" w:cs="Arial" w:eastAsia="Arial" w:hAnsi="Arial"/>
                <w:sz w:val="13"/>
                <w:szCs w:val="13"/>
                <w:i w:val="1"/>
                <w:iCs w:val="1"/>
                <w:color w:val="auto"/>
              </w:rPr>
              <w:t>Marine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5780" w:type="dxa"/>
            <w:vAlign w:val="bottom"/>
            <w:gridSpan w:val="8"/>
          </w:tcPr>
          <w:p>
            <w:pPr>
              <w:spacing w:after="0"/>
              <w:rPr>
                <w:sz w:val="20"/>
                <w:szCs w:val="20"/>
                <w:color w:val="auto"/>
              </w:rPr>
            </w:pPr>
            <w:r>
              <w:rPr>
                <w:rFonts w:ascii="Arial" w:cs="Arial" w:eastAsia="Arial" w:hAnsi="Arial"/>
                <w:sz w:val="13"/>
                <w:szCs w:val="13"/>
                <w:color w:val="auto"/>
              </w:rPr>
              <w:t>The following is an analysis of key changes in our Marine segment for Fiscal 2024 and 2023: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3"/>
        </w:trPr>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 except ASP and units)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4"/>
              </w:rPr>
              <w:t>% of Revenues</w:t>
            </w:r>
            <w:r>
              <w:rPr>
                <w:rFonts w:ascii="Arial" w:cs="Arial" w:eastAsia="Arial" w:hAnsi="Arial"/>
                <w:sz w:val="16"/>
                <w:szCs w:val="16"/>
                <w:b w:val="1"/>
                <w:bCs w:val="1"/>
                <w:color w:val="auto"/>
                <w:w w:val="94"/>
                <w:vertAlign w:val="superscript"/>
              </w:rPr>
              <w:t>(1)</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96"/>
              </w:rPr>
              <w:t>2023</w:t>
            </w:r>
          </w:p>
        </w:tc>
        <w:tc>
          <w:tcPr>
            <w:tcW w:w="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 Revenues</w:t>
            </w:r>
            <w:r>
              <w:rPr>
                <w:rFonts w:ascii="Arial" w:cs="Arial" w:eastAsia="Arial" w:hAnsi="Arial"/>
                <w:sz w:val="16"/>
                <w:szCs w:val="16"/>
                <w:b w:val="1"/>
                <w:bCs w:val="1"/>
                <w:color w:val="auto"/>
                <w:w w:val="94"/>
                <w:vertAlign w:val="superscript"/>
              </w:rPr>
              <w:t>(1)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 Change</w:t>
            </w:r>
            <w:r>
              <w:rPr>
                <w:rFonts w:ascii="Arial" w:cs="Arial" w:eastAsia="Arial" w:hAnsi="Arial"/>
                <w:sz w:val="16"/>
                <w:szCs w:val="16"/>
                <w:b w:val="1"/>
                <w:bCs w:val="1"/>
                <w:color w:val="auto"/>
                <w:vertAlign w:val="superscript"/>
              </w:rPr>
              <w:t>(1)</w:t>
            </w:r>
          </w:p>
        </w:tc>
      </w:tr>
      <w:tr>
        <w:trPr>
          <w:trHeight w:val="16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469.7</w:t>
            </w:r>
          </w:p>
        </w:tc>
        <w:tc>
          <w:tcPr>
            <w:tcW w:w="80" w:type="dxa"/>
            <w:vAlign w:val="bottom"/>
            <w:shd w:val="clear" w:color="auto" w:fill="CCEEFF"/>
          </w:tcPr>
          <w:p>
            <w:pPr>
              <w:spacing w:after="0"/>
              <w:rPr>
                <w:sz w:val="13"/>
                <w:szCs w:val="13"/>
                <w:color w:val="auto"/>
              </w:rPr>
            </w:pP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r>
      <w:tr>
        <w:trPr>
          <w:trHeight w:val="169"/>
        </w:trPr>
        <w:tc>
          <w:tcPr>
            <w:tcW w:w="3000" w:type="dxa"/>
            <w:vAlign w:val="bottom"/>
            <w:gridSpan w:val="2"/>
          </w:tcPr>
          <w:p>
            <w:pPr>
              <w:ind w:left="20"/>
              <w:spacing w:after="0"/>
              <w:rPr>
                <w:sz w:val="20"/>
                <w:szCs w:val="20"/>
                <w:color w:val="auto"/>
              </w:rPr>
            </w:pPr>
            <w:r>
              <w:rPr>
                <w:rFonts w:ascii="Arial" w:cs="Arial" w:eastAsia="Arial" w:hAnsi="Arial"/>
                <w:sz w:val="13"/>
                <w:szCs w:val="13"/>
                <w:color w:val="auto"/>
              </w:rPr>
              <w:t>Adjusted EBITDA</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7.9 %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60.5</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12.9 %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(34.8)</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(57.6)%</w:t>
            </w:r>
          </w:p>
        </w:tc>
      </w:tr>
      <w:tr>
        <w:trPr>
          <w:trHeight w:val="171"/>
        </w:trPr>
        <w:tc>
          <w:tcPr>
            <w:tcW w:w="300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3"/>
        </w:trPr>
        <w:tc>
          <w:tcPr>
            <w:tcW w:w="3000" w:type="dxa"/>
            <w:vAlign w:val="bottom"/>
            <w:gridSpan w:val="2"/>
          </w:tcPr>
          <w:p>
            <w:pPr>
              <w:ind w:left="20"/>
              <w:spacing w:after="0"/>
              <w:rPr>
                <w:sz w:val="20"/>
                <w:szCs w:val="20"/>
                <w:color w:val="auto"/>
              </w:rPr>
            </w:pPr>
            <w:r>
              <w:rPr>
                <w:rFonts w:ascii="Arial" w:cs="Arial" w:eastAsia="Arial" w:hAnsi="Arial"/>
                <w:sz w:val="13"/>
                <w:szCs w:val="13"/>
                <w:color w:val="auto"/>
              </w:rPr>
              <w:t>ASP</w:t>
            </w:r>
            <w:r>
              <w:rPr>
                <w:rFonts w:ascii="Arial" w:cs="Arial" w:eastAsia="Arial" w:hAnsi="Arial"/>
                <w:sz w:val="16"/>
                <w:szCs w:val="16"/>
                <w:color w:val="auto"/>
                <w:vertAlign w:val="superscript"/>
              </w:rPr>
              <w:t>(2)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80,641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83,060</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(2,419)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286"/>
        </w:trPr>
        <w:tc>
          <w:tcPr>
            <w:tcW w:w="3000" w:type="dxa"/>
            <w:vAlign w:val="bottom"/>
            <w:gridSpan w:val="2"/>
          </w:tcPr>
          <w:p>
            <w:pPr>
              <w:ind w:left="20"/>
              <w:spacing w:after="0"/>
              <w:rPr>
                <w:sz w:val="20"/>
                <w:szCs w:val="20"/>
                <w:color w:val="auto"/>
              </w:rPr>
            </w:pPr>
            <w:r>
              <w:rPr>
                <w:rFonts w:ascii="Arial" w:cs="Arial" w:eastAsia="Arial" w:hAnsi="Arial"/>
                <w:sz w:val="13"/>
                <w:szCs w:val="13"/>
                <w:b w:val="1"/>
                <w:bCs w:val="1"/>
                <w:color w:val="auto"/>
              </w:rPr>
              <w:t>Unit deliveries</w:t>
            </w:r>
          </w:p>
        </w:tc>
        <w:tc>
          <w:tcPr>
            <w:tcW w:w="120" w:type="dxa"/>
            <w:vAlign w:val="bottom"/>
          </w:tcPr>
          <w:p>
            <w:pPr>
              <w:spacing w:after="0"/>
              <w:rPr>
                <w:sz w:val="24"/>
                <w:szCs w:val="24"/>
                <w:color w:val="auto"/>
              </w:rPr>
            </w:pPr>
          </w:p>
        </w:tc>
        <w:tc>
          <w:tcPr>
            <w:tcW w:w="1140" w:type="dxa"/>
            <w:vAlign w:val="bottom"/>
          </w:tcPr>
          <w:p>
            <w:pPr>
              <w:jc w:val="right"/>
              <w:ind w:right="416"/>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76"/>
              <w:spacing w:after="0"/>
              <w:rPr>
                <w:sz w:val="20"/>
                <w:szCs w:val="20"/>
                <w:color w:val="auto"/>
              </w:rPr>
            </w:pPr>
            <w:r>
              <w:rPr>
                <w:rFonts w:ascii="Arial" w:cs="Arial" w:eastAsia="Arial" w:hAnsi="Arial"/>
                <w:sz w:val="13"/>
                <w:szCs w:val="13"/>
                <w:b w:val="1"/>
                <w:bCs w:val="1"/>
                <w:color w:val="auto"/>
                <w:w w:val="96"/>
              </w:rPr>
              <w:t>2023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Unit Change</w:t>
            </w:r>
          </w:p>
        </w:tc>
        <w:tc>
          <w:tcPr>
            <w:tcW w:w="16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8"/>
              </w:rPr>
              <w:t>% Change</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5"/>
        </w:trPr>
        <w:tc>
          <w:tcPr>
            <w:tcW w:w="30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Boats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5,714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81"/>
        </w:trPr>
        <w:tc>
          <w:tcPr>
            <w:tcW w:w="10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August 31, 2024</w:t>
            </w: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August 26, 2023</w:t>
            </w:r>
          </w:p>
        </w:tc>
        <w:tc>
          <w:tcPr>
            <w:tcW w:w="18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Change</w:t>
            </w:r>
            <w:r>
              <w:rPr>
                <w:rFonts w:ascii="Arial" w:cs="Arial" w:eastAsia="Arial" w:hAnsi="Arial"/>
                <w:sz w:val="16"/>
                <w:szCs w:val="16"/>
                <w:b w:val="1"/>
                <w:bCs w:val="1"/>
                <w:color w:val="auto"/>
                <w:w w:val="92"/>
                <w:vertAlign w:val="superscript"/>
              </w:rPr>
              <w:t>(1)</w:t>
            </w:r>
          </w:p>
        </w:tc>
        <w:tc>
          <w:tcPr>
            <w:tcW w:w="16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6"/>
                <w:szCs w:val="16"/>
                <w:b w:val="1"/>
                <w:bCs w:val="1"/>
                <w:color w:val="auto"/>
                <w:w w:val="94"/>
                <w:vertAlign w:val="superscript"/>
              </w:rPr>
              <w:t>(1)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0"/>
        </w:trPr>
        <w:tc>
          <w:tcPr>
            <w:tcW w:w="3000" w:type="dxa"/>
            <w:vAlign w:val="bottom"/>
            <w:tcBorders>
              <w:top w:val="single" w:sz="8" w:color="auto"/>
            </w:tcBorders>
            <w:gridSpan w:val="2"/>
            <w:shd w:val="clear" w:color="auto" w:fill="CCEEFF"/>
          </w:tcPr>
          <w:p>
            <w:pPr>
              <w:ind w:left="20"/>
              <w:spacing w:after="0" w:line="161" w:lineRule="exact"/>
              <w:rPr>
                <w:sz w:val="20"/>
                <w:szCs w:val="20"/>
                <w:color w:val="auto"/>
              </w:rPr>
            </w:pPr>
            <w:r>
              <w:rPr>
                <w:rFonts w:ascii="Arial" w:cs="Arial" w:eastAsia="Arial" w:hAnsi="Arial"/>
                <w:sz w:val="13"/>
                <w:szCs w:val="13"/>
                <w:b w:val="1"/>
                <w:bCs w:val="1"/>
                <w:color w:val="auto"/>
              </w:rPr>
              <w:t>Backlog</w:t>
            </w:r>
            <w:r>
              <w:rPr>
                <w:rFonts w:ascii="Arial" w:cs="Arial" w:eastAsia="Arial" w:hAnsi="Arial"/>
                <w:sz w:val="16"/>
                <w:szCs w:val="16"/>
                <w:b w:val="1"/>
                <w:bCs w:val="1"/>
                <w:color w:val="auto"/>
                <w:vertAlign w:val="superscript"/>
              </w:rPr>
              <w:t>(3)</w:t>
            </w:r>
          </w:p>
        </w:tc>
        <w:tc>
          <w:tcPr>
            <w:tcW w:w="1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9"/>
        </w:trPr>
        <w:tc>
          <w:tcPr>
            <w:tcW w:w="3000" w:type="dxa"/>
            <w:vAlign w:val="bottom"/>
            <w:gridSpan w:val="2"/>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2,545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858</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33.7 %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1"/>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Dollars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194.7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33.5 %</w:t>
            </w:r>
          </w:p>
        </w:tc>
        <w:tc>
          <w:tcPr>
            <w:tcW w:w="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0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Dealer Inventory</w:t>
            </w:r>
            <w:r>
              <w:rPr>
                <w:rFonts w:ascii="Arial" w:cs="Arial" w:eastAsia="Arial" w:hAnsi="Arial"/>
                <w:sz w:val="16"/>
                <w:szCs w:val="16"/>
                <w:b w:val="1"/>
                <w:bCs w:val="1"/>
                <w:color w:val="auto"/>
                <w:vertAlign w:val="superscript"/>
              </w:rPr>
              <w:t>(4)</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3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Units</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3,376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8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0" w:lineRule="exact"/>
        <w:rPr>
          <w:sz w:val="20"/>
          <w:szCs w:val="20"/>
          <w:color w:val="auto"/>
        </w:rPr>
      </w:pPr>
    </w:p>
    <w:p>
      <w:pPr>
        <w:ind w:left="200" w:hanging="195"/>
        <w:spacing w:after="0"/>
        <w:tabs>
          <w:tab w:leader="none" w:pos="200"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Amounts are calculated based on unrounded numbers and therefore may not recalculate using the rounded numbers provided.</w:t>
      </w:r>
    </w:p>
    <w:p>
      <w:pPr>
        <w:ind w:left="200" w:hanging="195"/>
        <w:spacing w:after="0" w:line="205" w:lineRule="auto"/>
        <w:tabs>
          <w:tab w:leader="none" w:pos="200" w:val="left"/>
        </w:tabs>
        <w:numPr>
          <w:ilvl w:val="0"/>
          <w:numId w:val="14"/>
        </w:numPr>
        <w:rPr>
          <w:rFonts w:ascii="Arial" w:cs="Arial" w:eastAsia="Arial" w:hAnsi="Arial"/>
          <w:sz w:val="14"/>
          <w:szCs w:val="14"/>
          <w:color w:val="auto"/>
          <w:vertAlign w:val="superscript"/>
        </w:rPr>
      </w:pPr>
      <w:r>
        <w:rPr>
          <w:rFonts w:ascii="Arial" w:cs="Arial" w:eastAsia="Arial" w:hAnsi="Arial"/>
          <w:sz w:val="10"/>
          <w:szCs w:val="10"/>
          <w:color w:val="auto"/>
        </w:rPr>
        <w:t>ASP excludes off-invoice dealer incentives.</w:t>
      </w:r>
    </w:p>
    <w:p>
      <w:pPr>
        <w:ind w:left="200" w:right="80" w:hanging="195"/>
        <w:spacing w:after="0" w:line="205" w:lineRule="auto"/>
        <w:tabs>
          <w:tab w:leader="none" w:pos="236" w:val="left"/>
        </w:tabs>
        <w:numPr>
          <w:ilvl w:val="0"/>
          <w:numId w:val="14"/>
        </w:numPr>
        <w:rPr>
          <w:rFonts w:ascii="Arial" w:cs="Arial" w:eastAsia="Arial" w:hAnsi="Arial"/>
          <w:sz w:val="17"/>
          <w:szCs w:val="17"/>
          <w:color w:val="auto"/>
          <w:vertAlign w:val="superscript"/>
        </w:rPr>
      </w:pPr>
      <w:r>
        <w:rPr>
          <w:rFonts w:ascii="Arial" w:cs="Arial" w:eastAsia="Arial" w:hAnsi="Arial"/>
          <w:sz w:val="11"/>
          <w:szCs w:val="11"/>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ind w:left="200" w:hanging="195"/>
        <w:spacing w:after="0" w:line="186" w:lineRule="auto"/>
        <w:tabs>
          <w:tab w:leader="none" w:pos="200" w:val="left"/>
        </w:tabs>
        <w:numPr>
          <w:ilvl w:val="0"/>
          <w:numId w:val="14"/>
        </w:numPr>
        <w:rPr>
          <w:rFonts w:ascii="Arial" w:cs="Arial" w:eastAsia="Arial" w:hAnsi="Arial"/>
          <w:sz w:val="14"/>
          <w:szCs w:val="14"/>
          <w:color w:val="auto"/>
          <w:vertAlign w:val="superscript"/>
        </w:rPr>
      </w:pPr>
      <w:r>
        <w:rPr>
          <w:rFonts w:ascii="Arial" w:cs="Arial" w:eastAsia="Arial" w:hAnsi="Arial"/>
          <w:sz w:val="10"/>
          <w:szCs w:val="10"/>
          <w:color w:val="auto"/>
        </w:rPr>
        <w:t>Due to the nature of the Marine industry, this amount includes a higher proportion of retail sold units than our other segments.</w:t>
      </w:r>
    </w:p>
    <w:p>
      <w:pPr>
        <w:spacing w:after="0"/>
        <w:rPr>
          <w:sz w:val="20"/>
          <w:szCs w:val="20"/>
          <w:color w:val="auto"/>
        </w:rPr>
      </w:pPr>
      <w:r>
        <w:rPr>
          <w:rFonts w:ascii="Arial" w:cs="Arial" w:eastAsia="Arial" w:hAnsi="Arial"/>
          <w:sz w:val="13"/>
          <w:szCs w:val="13"/>
          <w:color w:val="auto"/>
        </w:rPr>
        <w:t>Net revenues decreased primarily due to a decline in unit volume related to market conditions, and product mix.</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Adjusted EBITDA margin decreased due to deleverage, partially offset by lower incentive-based compensation and cost containment efforts.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Backlog increased primarily driven by the improvement in inventory position with dealers and continued market share growth.</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Analysis of Financial Condition, Liquidity, and Capital Resources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Flows</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cash flows from total operations for Fiscal 2024 and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2023</w:t>
            </w:r>
          </w:p>
        </w:tc>
      </w:tr>
      <w:tr>
        <w:trPr>
          <w:trHeight w:val="160"/>
        </w:trPr>
        <w:tc>
          <w:tcPr>
            <w:tcW w:w="7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cash provided by (used in):</w:t>
            </w: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69"/>
        </w:trPr>
        <w:tc>
          <w:tcPr>
            <w:tcW w:w="7540" w:type="dxa"/>
            <w:vAlign w:val="bottom"/>
          </w:tcPr>
          <w:p>
            <w:pPr>
              <w:ind w:left="120"/>
              <w:spacing w:after="0"/>
              <w:rPr>
                <w:sz w:val="20"/>
                <w:szCs w:val="20"/>
                <w:color w:val="auto"/>
              </w:rPr>
            </w:pPr>
            <w:r>
              <w:rPr>
                <w:rFonts w:ascii="Arial" w:cs="Arial" w:eastAsia="Arial" w:hAnsi="Arial"/>
                <w:sz w:val="13"/>
                <w:szCs w:val="13"/>
                <w:color w:val="auto"/>
              </w:rPr>
              <w:t>Operating activities</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143.9</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294.5</w:t>
            </w:r>
          </w:p>
        </w:tc>
      </w:tr>
      <w:tr>
        <w:trPr>
          <w:trHeight w:val="171"/>
        </w:trPr>
        <w:tc>
          <w:tcPr>
            <w:tcW w:w="7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Investing activities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r>
      <w:tr>
        <w:trPr>
          <w:trHeight w:val="169"/>
        </w:trPr>
        <w:tc>
          <w:tcPr>
            <w:tcW w:w="75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Financing activities</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(77.0)</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(96.8)</w:t>
            </w:r>
          </w:p>
        </w:tc>
      </w:tr>
      <w:tr>
        <w:trPr>
          <w:trHeight w:val="187"/>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increase in cash and cash equivalents</w:t>
            </w: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During Fiscal 2024, cash provided by operating activities was $143.9 million compared to $294.5 million in Fiscal 2023. The decrease in operating cash flow is primarily driven by lower profitability adjusted for non-cash items, an increase in accounts receivable due to timing of invoicing and collections, and changes in inventory levels due to market conditions, partially offset by favorable changes in accounts payable balances and timing of payments.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93"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Cash used in investing activities decreased compared to prior year, primarily due to our acquisition of Lithionics during the third quarter of Fiscal 2023 and elevated capital expenditures in Fiscal 2023 to support operational expansion and organic growth.</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82" w:lineRule="exact"/>
        <w:rPr>
          <w:sz w:val="20"/>
          <w:szCs w:val="20"/>
          <w:color w:val="auto"/>
        </w:rPr>
      </w:pPr>
    </w:p>
    <w:p>
      <w:pPr>
        <w:ind w:right="400"/>
        <w:spacing w:after="0" w:line="266" w:lineRule="auto"/>
        <w:rPr>
          <w:sz w:val="20"/>
          <w:szCs w:val="20"/>
          <w:color w:val="auto"/>
        </w:rPr>
      </w:pPr>
      <w:r>
        <w:rPr>
          <w:rFonts w:ascii="Arial" w:cs="Arial" w:eastAsia="Arial" w:hAnsi="Arial"/>
          <w:sz w:val="13"/>
          <w:szCs w:val="13"/>
          <w:color w:val="auto"/>
        </w:rPr>
        <w:t>Cash used in financing activities decreased compared to prior year, primarily due to $39.1 million of net cash proceeds related to the debt refinancing, partially offset by higher share repurchases compared to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and Capital</w:t>
      </w:r>
    </w:p>
    <w:p>
      <w:pPr>
        <w:spacing w:after="0" w:line="84" w:lineRule="exact"/>
        <w:rPr>
          <w:sz w:val="20"/>
          <w:szCs w:val="20"/>
          <w:color w:val="auto"/>
        </w:rPr>
      </w:pPr>
    </w:p>
    <w:p>
      <w:pPr>
        <w:ind w:right="280"/>
        <w:spacing w:after="0" w:line="261" w:lineRule="auto"/>
        <w:rPr>
          <w:sz w:val="20"/>
          <w:szCs w:val="20"/>
          <w:color w:val="auto"/>
        </w:rPr>
      </w:pPr>
      <w:r>
        <w:rPr>
          <w:rFonts w:ascii="Arial" w:cs="Arial" w:eastAsia="Arial" w:hAnsi="Arial"/>
          <w:sz w:val="13"/>
          <w:szCs w:val="13"/>
          <w:color w:val="auto"/>
        </w:rPr>
        <w:t>We maintain a $350.0 million asset-based revolving credit facility ("ABL Credit Facility") with a maturity date of July 15, 2027 subject to certain factors which may accelerate the maturity date. As of August 31, 2024, we had no borrowings against the ABL Credit Facility and $330.9 million in cash and cash equivalents. Our cash and cash equivalent balances consist of high quality, short-term money market instruments.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On January 23, 2024, we issued $350.0 million in aggregate principal amount of 3.25% unsecured convertible senior notes due 2030 ("2030 Convertible Notes").</w:t>
      </w:r>
    </w:p>
    <w:p>
      <w:pPr>
        <w:spacing w:after="0" w:line="201"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On July 8, 2020, we closed our private offering (the “Senior Secured Notes Offering”) of $300.0 million aggregate principal amount of 6.25% Senior Secured Notes due 2028 (the “Senior Secured Notes”).</w:t>
      </w:r>
    </w:p>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On November 1, 2019, we issued $300.0 million in aggregate principal amount of 1.5% unsecured Convertible Senior Notes due 2025 (“2025 Convertible Notes”). On January 18, 2024, we entered into privately negotiated transactions (the "2025 Convertible Note Repurchases") with certain holders of the 2025 Convertible Notes to repurchase $240.7 million aggregate principal amount of the 2025 Convertible Notes using proceeds received from the 2030 Convertible Notes.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As of August 31, 2024, we had $59.1 million of debt maturing in the next twelve months that is classified as current on our Consolidated Balance Sheets.</w:t>
      </w:r>
    </w:p>
    <w:p>
      <w:pPr>
        <w:spacing w:after="0" w:line="190"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We evaluate the financial stability of the counterparties for the 2030 Convertible Notes, the 2025 Convertible Notes, the Senior Secured Notes, and the ABL Credit Facility, and will continue to monitor counterparty risk on an on-going basis.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Refer to Note 9 in the Notes to Consolidated Financial Statements, included in Item 8 of Part II in this Annual Report on Form 10-K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Working Capital</w:t>
      </w:r>
    </w:p>
    <w:p>
      <w:pPr>
        <w:spacing w:after="0" w:line="95"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Working capital as of August 31, 2024 and August 26, 2023 was $584.0 million and $600.7 million, respectively. We currently expect cash on hand, funds generated from operations, and the borrowing available under our ABL Credit Facility to be sufficient to cover both short-term and long-term operating requirements.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Expenditures</w:t>
      </w:r>
    </w:p>
    <w:p>
      <w:pPr>
        <w:spacing w:after="0" w:line="84"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We anticipate capital expenditures in Fiscal 2025 of approximately $50.0 million to $60.0 million. We will continue to support organic growth through facility improvements to benefit a safer operating environment, operational improvements, and investments in software and our digital capabilities. We believe cash on hand, funds generated from operations, and the borrowing capacity available under our ABL Credit Facility and other debt instruments will be sufficient to support our capital expenditures for the foreseeable future.</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Repurchases and Dividends</w:t>
      </w:r>
    </w:p>
    <w:p>
      <w:pPr>
        <w:spacing w:after="0" w:line="84" w:lineRule="exact"/>
        <w:rPr>
          <w:sz w:val="20"/>
          <w:szCs w:val="20"/>
          <w:color w:val="auto"/>
        </w:rPr>
      </w:pPr>
    </w:p>
    <w:p>
      <w:pPr>
        <w:ind w:right="180"/>
        <w:spacing w:after="0" w:line="253" w:lineRule="auto"/>
        <w:rPr>
          <w:sz w:val="20"/>
          <w:szCs w:val="20"/>
          <w:color w:val="auto"/>
        </w:rPr>
      </w:pPr>
      <w:r>
        <w:rPr>
          <w:rFonts w:ascii="Arial" w:cs="Arial" w:eastAsia="Arial" w:hAnsi="Arial"/>
          <w:sz w:val="13"/>
          <w:szCs w:val="13"/>
          <w:color w:val="auto"/>
        </w:rPr>
        <w:t>We repurchase our common stock and pay dividends pursuant to programs approved by our Board of Directors. Our long-term capital allocation strategy is to first fund operations and investments in growth, maintain reasonable liquidity, maintain a leverage ratio that reflects a prudent capital structure in light of the cyclical industries we compete in, and then return excess cash over time to shareholders through dividends and share repurchases. Refer to Item 5 of Part II of this Annual Report on Form 10-K for discussion about our share repurchase program and dividend declared on August 15, 2024.</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Our cash requirements within the next twelve months include accounts payable, current maturities of long-term debt, accrued expenses, purchase commitments and other current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Our cash requirements greater than twelve months from various contractual obligations and commitments include:</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Debt Obligations and Interest Payments</w:t>
      </w:r>
    </w:p>
    <w:p>
      <w:pPr>
        <w:spacing w:after="0" w:line="82"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Refer to Note 9 in the Notes to Consolidated Financial Statements, included in Item 8 of Part II in this Annual Report on Form 10-K for information regarding our debt and the timing of expected future principal and interest payments. Interest payments are based on fixed interest rates for the 2030 Convertible Notes, the 2025 Convertible Notes, and the Senior Secured Notes.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and Finance Leases</w:t>
      </w:r>
    </w:p>
    <w:p>
      <w:pPr>
        <w:spacing w:after="0" w:line="82"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color w:val="auto"/>
        </w:rPr>
        <w:t>Refer to Note 10 in the Notes to Consolidated Financial Statements, included in Item 8 of Part II in this Annual Report on Form 10-K for information regarding our lease obligations and the timing of expected future payments.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Deferred Compensation Obligations</w:t>
      </w:r>
    </w:p>
    <w:p>
      <w:pPr>
        <w:spacing w:after="0" w:line="82" w:lineRule="exact"/>
        <w:rPr>
          <w:sz w:val="20"/>
          <w:szCs w:val="20"/>
          <w:color w:val="auto"/>
        </w:rPr>
      </w:pPr>
    </w:p>
    <w:p>
      <w:pPr>
        <w:ind w:right="300"/>
        <w:spacing w:after="0" w:line="283" w:lineRule="auto"/>
        <w:rPr>
          <w:sz w:val="20"/>
          <w:szCs w:val="20"/>
          <w:color w:val="auto"/>
        </w:rPr>
      </w:pPr>
      <w:r>
        <w:rPr>
          <w:rFonts w:ascii="Arial" w:cs="Arial" w:eastAsia="Arial" w:hAnsi="Arial"/>
          <w:sz w:val="13"/>
          <w:szCs w:val="13"/>
          <w:color w:val="auto"/>
        </w:rPr>
        <w:t>Refer to Note 11 in the Notes to Consolidated Financial Statements, included in Item 8 of Part II in this Annual Report on Form 10-K for information regarding our deferred compensation plans. We expect to pay $1.7 million in the next 12 months and $6.6 million beyond 12 months.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Contracted Services</w:t>
      </w:r>
    </w:p>
    <w:p>
      <w:pPr>
        <w:spacing w:after="0" w:line="93"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Contracted services include agreements with third-party service providers primarily for software, payroll services, and equipment maintenance services for periods up to Fiscal 2028. We expect to pay approximately $22.6 million in the next 12 months and approximately $19.6 million beyond 12 months.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Contingent Repurchase Obligations</w:t>
      </w:r>
    </w:p>
    <w:p>
      <w:pPr>
        <w:spacing w:after="0" w:line="93"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Refer to Note 12 in the Notes to Consolidated Financial Statements, included in Item 8 of Part II in this Annual Report on Form 10-K for information regarding our contingent repurchase commitment and estimated obligation, most of which we expect to expire within one year.</w:t>
      </w:r>
    </w:p>
    <w:p>
      <w:pPr>
        <w:spacing w:after="0" w:line="167" w:lineRule="exact"/>
        <w:rPr>
          <w:sz w:val="20"/>
          <w:szCs w:val="20"/>
          <w:color w:val="auto"/>
        </w:rPr>
      </w:pPr>
    </w:p>
    <w:p>
      <w:pPr>
        <w:ind w:right="320"/>
        <w:spacing w:after="0" w:line="266" w:lineRule="auto"/>
        <w:rPr>
          <w:sz w:val="20"/>
          <w:szCs w:val="20"/>
          <w:color w:val="auto"/>
        </w:rPr>
      </w:pPr>
      <w:r>
        <w:rPr>
          <w:rFonts w:ascii="Arial" w:cs="Arial" w:eastAsia="Arial" w:hAnsi="Arial"/>
          <w:sz w:val="13"/>
          <w:szCs w:val="13"/>
          <w:color w:val="auto"/>
        </w:rPr>
        <w:t>We expect to satisfy our short-term and long-term obligations through a combination of cash on hand, funds generated from operations, and the borrowing capacity available under our ABL Credit Facility and other debt instruments.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95"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consolidated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believed to be relevant at the time the consolidated financial statements are prepared. Because future events and their effects cannot be determined with certainty, actual results could differ from our assumptions and estimates, and such differences could be material.</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Our critical accounting policies are discussed in Note 1 in the Notes to Consolidated Financial Statements, included in Item 8 of Part II in this Annual Report on Form 10-K. We believe that the following accounting policies and estimates are the most critical to aid in fully understanding and evaluating our reported financial results. These estimates require our most difficult, subjective, or complex judgments because they relate to matters that are inherently uncertain. We have reviewed these critical accounting policies and estimates and related disclosures with the Audit Committee of our Board of Directors.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We have not made any material changes during the past three fiscal years, nor do we believe there is a reasonable likelihood of a material future change to the accounting methodologies for the areas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for Business Combinations</w:t>
      </w:r>
    </w:p>
    <w:p>
      <w:pPr>
        <w:spacing w:after="0" w:line="82"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We account for business combinations under the acquisition method of accounting. This method requires the recording of acquired assets, including separately identifiable intangible assets, and assumed liabilities at their acquisition date fair values. The excess of the purchase price over the fair value of assets acquired and liabilities assumed is recorded as goodwill. Determining the fair value of assets acquired and liabilities assumed requires management’s judgment and often involves the use of significant estimates and assumptions, including assumptions with respect to future cash flows, discount rates, royalty rates and asset lives, among other items.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2"/>
          <w:szCs w:val="12"/>
          <w:color w:val="auto"/>
        </w:rPr>
        <w:t>We used the income approach to value certain intangible assets. Under the income approach, an intangible asset’s fair value is equal to the present value of future economic benefits to be derived from ownership of the asset. We used the income approach known as the relief from royalty method to value the fair value of the trade names. The relief from royalty method is based on the hypothetical royalty stream that would be received if we were to license the trade name and was based on expected revenues. The fair value of the dealer network was estimated using an income approach known as the cost to recreate/cost savings method. This method uses the replacement of the asset as an indicator of the fair value of the asset. The determination of the fair value of other assets acquired and liabilities assumed involves assessing factors such as the expected future cash flows associated with individual assets and liabilities and appropriate discount rates at the date of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Goodwill and Indefinite-lived Intangible Assets</w:t>
      </w:r>
    </w:p>
    <w:p>
      <w:pPr>
        <w:spacing w:after="0" w:line="82"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We test goodwill and other indefinite-lived intangible assets (trade names in certain instances) for impairment at least annually in the fourth quarter and more frequently if events or circumstances occur that would indicate a reduction in fair value. Our test of impairment begins by either performing a qualitative evaluation or a quantitative test:</w:t>
      </w:r>
    </w:p>
    <w:p>
      <w:pPr>
        <w:spacing w:after="0" w:line="167" w:lineRule="exact"/>
        <w:rPr>
          <w:sz w:val="20"/>
          <w:szCs w:val="20"/>
          <w:color w:val="auto"/>
        </w:rPr>
      </w:pPr>
    </w:p>
    <w:p>
      <w:pPr>
        <w:ind w:left="520" w:right="20" w:hanging="260"/>
        <w:spacing w:after="0" w:line="253"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Qualitative evaluation - Performed to determine whether it is more likely than not that the carrying value of goodwill or the indefinite-lived trade name exceeds the fair value of the asset. During our qualitative assessment, we make significant estimates, assumptions, and judgments, including, but not limited to, the macroeconomic conditions, industry and market conditions, cost factors, overall financial performance of the Company and the reporting units, changes in our share price, and relevant company-specific events. If we determine that it is more likely than not that the carrying value of the goodwill or indefinite-lived trade name exceeds the fair value, we perform the quantitative test to determine the amount of the impairment.</w:t>
      </w:r>
    </w:p>
    <w:p>
      <w:pPr>
        <w:spacing w:after="0" w:line="165" w:lineRule="exact"/>
        <w:rPr>
          <w:rFonts w:ascii="Arial" w:cs="Arial" w:eastAsia="Arial" w:hAnsi="Arial"/>
          <w:sz w:val="13"/>
          <w:szCs w:val="13"/>
          <w:color w:val="auto"/>
        </w:rPr>
      </w:pPr>
    </w:p>
    <w:p>
      <w:pPr>
        <w:ind w:left="520" w:right="60" w:hanging="260"/>
        <w:spacing w:after="0" w:line="250" w:lineRule="auto"/>
        <w:tabs>
          <w:tab w:leader="none" w:pos="511" w:val="left"/>
        </w:tabs>
        <w:numPr>
          <w:ilvl w:val="0"/>
          <w:numId w:val="15"/>
        </w:numPr>
        <w:rPr>
          <w:rFonts w:ascii="Arial" w:cs="Arial" w:eastAsia="Arial" w:hAnsi="Arial"/>
          <w:sz w:val="13"/>
          <w:szCs w:val="13"/>
          <w:color w:val="auto"/>
        </w:rPr>
      </w:pPr>
      <w:r>
        <w:rPr>
          <w:rFonts w:ascii="Arial" w:cs="Arial" w:eastAsia="Arial" w:hAnsi="Arial"/>
          <w:sz w:val="13"/>
          <w:szCs w:val="13"/>
          <w:color w:val="auto"/>
        </w:rPr>
        <w:t>Quantitative test - Used to calculate the fair value of goodwill or the indefinite-lived trade name. If the carrying value of the reporting unit or indefinite-lived trade name exceeds the fair value, the impairment is calculated as the difference between the carrying value and fair value. Our goodwill fair value model uses a blend of the income (discounted future cash flow) and market (guideline public company) approaches, which includes the use of significant unobservable inputs (Level 3 inputs). Our indefinite-lived trade name fair value model uses the income (relief-from-royalty) approach, which includes the use of significant unobservable inputs (Level 3 inputs). During these valuations, we make significant estimates, assumptions, and judgments, including current and projected future levels of income based on management’s plans, business trends, market and economic conditions, and market-participant considerations. Actual results may differ from assumed and estimated amounts, which could result in future impairment losses.</w:t>
      </w:r>
    </w:p>
    <w:p>
      <w:pPr>
        <w:spacing w:after="0" w:line="180" w:lineRule="exact"/>
        <w:rPr>
          <w:sz w:val="20"/>
          <w:szCs w:val="20"/>
          <w:color w:val="auto"/>
        </w:rPr>
      </w:pPr>
    </w:p>
    <w:p>
      <w:pPr>
        <w:jc w:val="both"/>
        <w:ind w:right="140"/>
        <w:spacing w:after="0" w:line="261" w:lineRule="auto"/>
        <w:rPr>
          <w:sz w:val="20"/>
          <w:szCs w:val="20"/>
          <w:color w:val="auto"/>
        </w:rPr>
      </w:pPr>
      <w:r>
        <w:rPr>
          <w:rFonts w:ascii="Arial" w:cs="Arial" w:eastAsia="Arial" w:hAnsi="Arial"/>
          <w:sz w:val="13"/>
          <w:szCs w:val="13"/>
          <w:color w:val="auto"/>
        </w:rPr>
        <w:t>During the fourth quarter of Fiscal 2024, we completed our annual assessment of indefinite-lived intangible assets and determined that the carrying value of the Chris-Craft reporting unit exceeded its fair value, resulting in a $30.3 million impairment charge, which represents the full goodwill balance attributable to the reporting unit. Comparatively, no impairments were recorded in Fiscal 2023 and Fiscal 2022.</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For further information regarding goodwill and intangible assets, see Note 7 in the Notes to Consolidated Financial Statements, included in Item 8 of Part II in this Annual Report on Form 10-K.</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Warranty</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We provide certain service and warranty on our products. Estimated costs related to product warranty are accrued at the time of sale and are based upon past warranty claims and unit sales history.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Estimates are adjusted as needed to reflect actual costs incurred as information becomes available.</w:t>
      </w:r>
    </w:p>
    <w:p>
      <w:pPr>
        <w:spacing w:after="0" w:line="189" w:lineRule="exact"/>
        <w:rPr>
          <w:sz w:val="20"/>
          <w:szCs w:val="20"/>
          <w:color w:val="auto"/>
        </w:rPr>
      </w:pPr>
    </w:p>
    <w:p>
      <w:pPr>
        <w:ind w:right="400"/>
        <w:spacing w:after="0" w:line="252" w:lineRule="auto"/>
        <w:rPr>
          <w:sz w:val="20"/>
          <w:szCs w:val="20"/>
          <w:color w:val="auto"/>
        </w:rPr>
      </w:pPr>
      <w:r>
        <w:rPr>
          <w:rFonts w:ascii="Arial" w:cs="Arial" w:eastAsia="Arial" w:hAnsi="Arial"/>
          <w:sz w:val="13"/>
          <w:szCs w:val="13"/>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40"/>
        <w:spacing w:after="0" w:line="266" w:lineRule="auto"/>
        <w:rPr>
          <w:sz w:val="20"/>
          <w:szCs w:val="20"/>
          <w:color w:val="auto"/>
        </w:rPr>
      </w:pPr>
      <w:r>
        <w:rPr>
          <w:rFonts w:ascii="Arial" w:cs="Arial" w:eastAsia="Arial" w:hAnsi="Arial"/>
          <w:sz w:val="13"/>
          <w:szCs w:val="13"/>
          <w:color w:val="auto"/>
        </w:rPr>
        <w:t>A significant increase in dealership labor rates, the cost of parts, or the frequency of claims could have a material adverse impact on our operating results for the period or periods in which such claims or additional costs materialize. A hypothetical change of a 10% increase or decrease in our warranty liability as of August 31, 2024 would not have a material effect on our net income.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Accounting Pronouncements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For a summary of new applicable accounting pronouncements, see Note 1 in the Notes to Consolidated Financial Statements, included in Item 8 of Part II in this Annual Report on Form 10-K.</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7A. Quantitative and Qualitative Disclosures About Market Risk.</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Risk</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ABL Credit Facility is our only floating rate debt instrument, which remains undrawn as of August 31, 2024.</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2" w:name="page33"/>
    <w:bookmarkEnd w:id="3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 Financial Statements and Supplementary Data.</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37"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The Company's internal control over financial reporting is supported by written policies and procedures that:</w:t>
      </w:r>
    </w:p>
    <w:p>
      <w:pPr>
        <w:spacing w:after="0" w:line="137"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Company's assets;</w:t>
      </w:r>
    </w:p>
    <w:p>
      <w:pPr>
        <w:spacing w:after="0" w:line="126" w:lineRule="exact"/>
        <w:rPr>
          <w:rFonts w:ascii="Arial" w:cs="Arial" w:eastAsia="Arial" w:hAnsi="Arial"/>
          <w:sz w:val="13"/>
          <w:szCs w:val="13"/>
          <w:color w:val="auto"/>
        </w:rPr>
      </w:pPr>
    </w:p>
    <w:p>
      <w:pPr>
        <w:ind w:left="520" w:right="120" w:hanging="260"/>
        <w:spacing w:after="0" w:line="283"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82" w:lineRule="exact"/>
        <w:rPr>
          <w:rFonts w:ascii="Arial" w:cs="Arial" w:eastAsia="Arial" w:hAnsi="Arial"/>
          <w:sz w:val="13"/>
          <w:szCs w:val="13"/>
          <w:color w:val="auto"/>
        </w:rPr>
      </w:pPr>
    </w:p>
    <w:p>
      <w:pPr>
        <w:ind w:left="520" w:right="20" w:hanging="260"/>
        <w:spacing w:after="0" w:line="266" w:lineRule="auto"/>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right="180"/>
        <w:spacing w:after="0" w:line="309" w:lineRule="auto"/>
        <w:rPr>
          <w:sz w:val="20"/>
          <w:szCs w:val="20"/>
          <w:color w:val="auto"/>
        </w:rPr>
      </w:pPr>
      <w:r>
        <w:rPr>
          <w:rFonts w:ascii="Arial" w:cs="Arial" w:eastAsia="Arial" w:hAnsi="Arial"/>
          <w:sz w:val="12"/>
          <w:szCs w:val="12"/>
          <w:color w:val="auto"/>
        </w:rPr>
        <w:t>In addition, the Audit Committee of the Board of Directors, consisting solely of independent directors, meets periodically with management of the Company, the internal auditors, and the independent registered public accounting firm to review internal accounting controls, audit results, and accounting principles and practices and annually selects the independent registered public accounting firm.</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jc w:val="both"/>
        <w:ind w:right="100"/>
        <w:spacing w:after="0" w:line="253" w:lineRule="auto"/>
        <w:rPr>
          <w:sz w:val="20"/>
          <w:szCs w:val="20"/>
          <w:color w:val="auto"/>
        </w:rPr>
      </w:pPr>
      <w:r>
        <w:rPr>
          <w:rFonts w:ascii="Arial" w:cs="Arial" w:eastAsia="Arial" w:hAnsi="Arial"/>
          <w:sz w:val="13"/>
          <w:szCs w:val="13"/>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Based on its assessment, management has concluded that the Company's internal control over financial reporting was effective as of August 31, 2024.</w:t>
      </w:r>
    </w:p>
    <w:p>
      <w:pPr>
        <w:spacing w:after="0" w:line="126"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c>
          <w:tcPr>
            <w:tcW w:w="1460" w:type="dxa"/>
            <w:vAlign w:val="bottom"/>
          </w:tcPr>
          <w:p>
            <w:pPr>
              <w:spacing w:after="0"/>
              <w:rPr>
                <w:sz w:val="14"/>
                <w:szCs w:val="14"/>
                <w:color w:val="auto"/>
              </w:rPr>
            </w:pP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r>
      <w:tr>
        <w:trPr>
          <w:trHeight w:val="159"/>
        </w:trPr>
        <w:tc>
          <w:tcPr>
            <w:tcW w:w="4820" w:type="dxa"/>
            <w:vAlign w:val="bottom"/>
          </w:tcPr>
          <w:p>
            <w:pPr>
              <w:ind w:left="20"/>
              <w:spacing w:after="0"/>
              <w:rPr>
                <w:sz w:val="20"/>
                <w:szCs w:val="20"/>
                <w:color w:val="auto"/>
              </w:rPr>
            </w:pPr>
            <w:r>
              <w:rPr>
                <w:rFonts w:ascii="Arial" w:cs="Arial" w:eastAsia="Arial" w:hAnsi="Arial"/>
                <w:sz w:val="13"/>
                <w:szCs w:val="13"/>
                <w:color w:val="auto"/>
              </w:rPr>
              <w:t>Michael J. Happe</w:t>
            </w:r>
          </w:p>
        </w:tc>
        <w:tc>
          <w:tcPr>
            <w:tcW w:w="1460" w:type="dxa"/>
            <w:vAlign w:val="bottom"/>
          </w:tcPr>
          <w:p>
            <w:pPr>
              <w:spacing w:after="0"/>
              <w:rPr>
                <w:sz w:val="13"/>
                <w:szCs w:val="13"/>
                <w:color w:val="auto"/>
              </w:rPr>
            </w:pPr>
          </w:p>
        </w:tc>
        <w:tc>
          <w:tcPr>
            <w:tcW w:w="5000" w:type="dxa"/>
            <w:vAlign w:val="bottom"/>
          </w:tcPr>
          <w:p>
            <w:pPr>
              <w:ind w:left="20"/>
              <w:spacing w:after="0"/>
              <w:rPr>
                <w:sz w:val="20"/>
                <w:szCs w:val="20"/>
                <w:color w:val="auto"/>
              </w:rPr>
            </w:pPr>
            <w:r>
              <w:rPr>
                <w:rFonts w:ascii="Arial" w:cs="Arial" w:eastAsia="Arial" w:hAnsi="Arial"/>
                <w:sz w:val="13"/>
                <w:szCs w:val="13"/>
                <w:color w:val="auto"/>
              </w:rPr>
              <w:t>Bryan L. Hughes</w:t>
            </w:r>
          </w:p>
        </w:tc>
      </w:tr>
      <w:tr>
        <w:trPr>
          <w:trHeight w:val="170"/>
        </w:trPr>
        <w:tc>
          <w:tcPr>
            <w:tcW w:w="4820" w:type="dxa"/>
            <w:vAlign w:val="bottom"/>
          </w:tcPr>
          <w:p>
            <w:pPr>
              <w:ind w:left="20"/>
              <w:spacing w:after="0"/>
              <w:rPr>
                <w:sz w:val="20"/>
                <w:szCs w:val="20"/>
                <w:color w:val="auto"/>
              </w:rPr>
            </w:pPr>
            <w:r>
              <w:rPr>
                <w:rFonts w:ascii="Arial" w:cs="Arial" w:eastAsia="Arial" w:hAnsi="Arial"/>
                <w:sz w:val="13"/>
                <w:szCs w:val="13"/>
                <w:color w:val="auto"/>
              </w:rPr>
              <w:t>President, Chief Executive Officer</w:t>
            </w:r>
          </w:p>
        </w:tc>
        <w:tc>
          <w:tcPr>
            <w:tcW w:w="1460" w:type="dxa"/>
            <w:vAlign w:val="bottom"/>
          </w:tcPr>
          <w:p>
            <w:pPr>
              <w:spacing w:after="0"/>
              <w:rPr>
                <w:sz w:val="14"/>
                <w:szCs w:val="14"/>
                <w:color w:val="auto"/>
              </w:rPr>
            </w:pPr>
          </w:p>
        </w:tc>
        <w:tc>
          <w:tcPr>
            <w:tcW w:w="5000" w:type="dxa"/>
            <w:vAlign w:val="bottom"/>
          </w:tcPr>
          <w:p>
            <w:pPr>
              <w:ind w:left="20"/>
              <w:spacing w:after="0"/>
              <w:rPr>
                <w:sz w:val="20"/>
                <w:szCs w:val="20"/>
                <w:color w:val="auto"/>
              </w:rPr>
            </w:pPr>
            <w:r>
              <w:rPr>
                <w:rFonts w:ascii="Arial" w:cs="Arial" w:eastAsia="Arial" w:hAnsi="Arial"/>
                <w:sz w:val="13"/>
                <w:szCs w:val="13"/>
                <w:color w:val="auto"/>
              </w:rPr>
              <w:t>Senior Vice President, Chief Financial Officer</w:t>
            </w:r>
          </w:p>
        </w:tc>
      </w:tr>
      <w:tr>
        <w:trPr>
          <w:trHeight w:val="340"/>
        </w:trPr>
        <w:tc>
          <w:tcPr>
            <w:tcW w:w="4820" w:type="dxa"/>
            <w:vAlign w:val="bottom"/>
          </w:tcPr>
          <w:p>
            <w:pPr>
              <w:ind w:left="20"/>
              <w:spacing w:after="0"/>
              <w:rPr>
                <w:sz w:val="20"/>
                <w:szCs w:val="20"/>
                <w:color w:val="auto"/>
              </w:rPr>
            </w:pPr>
            <w:r>
              <w:rPr>
                <w:rFonts w:ascii="Arial" w:cs="Arial" w:eastAsia="Arial" w:hAnsi="Arial"/>
                <w:sz w:val="13"/>
                <w:szCs w:val="13"/>
                <w:color w:val="auto"/>
              </w:rPr>
              <w:t>October 23, 2024</w:t>
            </w:r>
          </w:p>
        </w:tc>
        <w:tc>
          <w:tcPr>
            <w:tcW w:w="146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3"/>
                <w:szCs w:val="13"/>
                <w:color w:val="auto"/>
              </w:rPr>
              <w:t>October 23, 2024</w:t>
            </w:r>
          </w:p>
        </w:tc>
      </w:tr>
      <w:tr>
        <w:trPr>
          <w:trHeight w:val="902"/>
        </w:trPr>
        <w:tc>
          <w:tcPr>
            <w:tcW w:w="4820" w:type="dxa"/>
            <w:vAlign w:val="bottom"/>
          </w:tcPr>
          <w:p>
            <w:pPr>
              <w:spacing w:after="0"/>
              <w:rPr>
                <w:sz w:val="24"/>
                <w:szCs w:val="24"/>
                <w:color w:val="auto"/>
              </w:rPr>
            </w:pPr>
          </w:p>
        </w:tc>
        <w:tc>
          <w:tcPr>
            <w:tcW w:w="1460" w:type="dxa"/>
            <w:vAlign w:val="bottom"/>
          </w:tcPr>
          <w:p>
            <w:pPr>
              <w:jc w:val="right"/>
              <w:ind w:right="496"/>
              <w:spacing w:after="0"/>
              <w:rPr>
                <w:sz w:val="20"/>
                <w:szCs w:val="20"/>
                <w:color w:val="auto"/>
              </w:rPr>
            </w:pPr>
            <w:r>
              <w:rPr>
                <w:rFonts w:ascii="Arial" w:cs="Arial" w:eastAsia="Arial" w:hAnsi="Arial"/>
                <w:sz w:val="13"/>
                <w:szCs w:val="13"/>
                <w:color w:val="auto"/>
              </w:rPr>
              <w:t>33</w:t>
            </w:r>
          </w:p>
        </w:tc>
        <w:tc>
          <w:tcPr>
            <w:tcW w:w="5000" w:type="dxa"/>
            <w:vAlign w:val="bottom"/>
          </w:tcPr>
          <w:p>
            <w:pPr>
              <w:spacing w:after="0"/>
              <w:rPr>
                <w:sz w:val="24"/>
                <w:szCs w:val="24"/>
                <w:color w:val="auto"/>
              </w:rPr>
            </w:pPr>
          </w:p>
        </w:tc>
      </w:tr>
      <w:tr>
        <w:trPr>
          <w:trHeight w:val="89"/>
        </w:trPr>
        <w:tc>
          <w:tcPr>
            <w:tcW w:w="48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5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Winnebago Industries, Inc.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84" w:lineRule="exact"/>
        <w:rPr>
          <w:sz w:val="20"/>
          <w:szCs w:val="20"/>
          <w:color w:val="auto"/>
        </w:rPr>
      </w:pPr>
    </w:p>
    <w:p>
      <w:pPr>
        <w:ind w:right="60"/>
        <w:spacing w:after="0" w:line="281" w:lineRule="auto"/>
        <w:rPr>
          <w:sz w:val="20"/>
          <w:szCs w:val="20"/>
          <w:color w:val="auto"/>
        </w:rPr>
      </w:pPr>
      <w:r>
        <w:rPr>
          <w:rFonts w:ascii="Arial" w:cs="Arial" w:eastAsia="Arial" w:hAnsi="Arial"/>
          <w:sz w:val="12"/>
          <w:szCs w:val="12"/>
          <w:color w:val="auto"/>
        </w:rPr>
        <w:t>We have audited the accompanying consolidated balance sheets of Winnebago Industries, Inc. and subsidiaries (the "Company") as of August 31, 2024, and August 26, 2023, the related consolidated statements of income, changes in shareholders' equity, and cash flows, for each of the three years in the period ended August 31, 2024, and the related notes (collectively referred to as the "financial statements"). In our opinion, the financial statements present fairly, in all material respects, the financial position of the Company as of August 31, 2024, and August 26, 2023, and the results of its operations and its cash flows for each of the three years in the period ended August 31, 2024, in conformity with accounting principles generally accepted in the United States of America.</w:t>
      </w:r>
    </w:p>
    <w:p>
      <w:pPr>
        <w:spacing w:after="0" w:line="160"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 xml:space="preserve">We have also audited, in accordance with the standards of the Public Company Accounting Oversight Board (United States) (PCAOB), the Company's internal control over financial reporting as of August 31, 2024,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and our report dated October 23, 2024, expressed an unqualified opinion on the Company's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Critical Audit Matters</w:t>
      </w:r>
    </w:p>
    <w:p>
      <w:pPr>
        <w:spacing w:after="0" w:line="95"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65" w:lineRule="exact"/>
        <w:rPr>
          <w:sz w:val="20"/>
          <w:szCs w:val="20"/>
          <w:color w:val="auto"/>
        </w:rPr>
      </w:pPr>
    </w:p>
    <w:p>
      <w:pPr>
        <w:ind w:right="5480"/>
        <w:spacing w:after="0" w:line="383" w:lineRule="auto"/>
        <w:rPr>
          <w:sz w:val="20"/>
          <w:szCs w:val="20"/>
          <w:color w:val="auto"/>
        </w:rPr>
      </w:pPr>
      <w:r>
        <w:rPr>
          <w:rFonts w:ascii="Arial" w:cs="Arial" w:eastAsia="Arial" w:hAnsi="Arial"/>
          <w:sz w:val="13"/>
          <w:szCs w:val="13"/>
          <w:b w:val="1"/>
          <w:bCs w:val="1"/>
          <w:color w:val="auto"/>
        </w:rPr>
        <w:t xml:space="preserve">Intangible Assets – Chris-Craft Trade Name – Refer to Notes 1 and 7 to the Financial Statements </w:t>
      </w:r>
      <w:r>
        <w:rPr>
          <w:rFonts w:ascii="Arial" w:cs="Arial" w:eastAsia="Arial" w:hAnsi="Arial"/>
          <w:sz w:val="13"/>
          <w:szCs w:val="13"/>
          <w:i w:val="1"/>
          <w:iCs w:val="1"/>
          <w:color w:val="auto"/>
        </w:rPr>
        <w:t>Critical Audit Matter Description</w:t>
      </w:r>
    </w:p>
    <w:p>
      <w:pPr>
        <w:spacing w:after="0" w:line="253" w:lineRule="auto"/>
        <w:rPr>
          <w:sz w:val="20"/>
          <w:szCs w:val="20"/>
          <w:color w:val="auto"/>
        </w:rPr>
      </w:pPr>
      <w:r>
        <w:rPr>
          <w:rFonts w:ascii="Arial" w:cs="Arial" w:eastAsia="Arial" w:hAnsi="Arial"/>
          <w:sz w:val="13"/>
          <w:szCs w:val="13"/>
          <w:color w:val="auto"/>
        </w:rPr>
        <w:t>The Company tests indefinite-lived trade names for impairment annually in the fourth quarter and more frequently if events occur or circumstances change that would indicate the carrying amounts may be impaired. The Company’s quantitative evaluation of trade names for impairment involves the comparison of the fair value of each indefinite-lived intangible asset to its carrying value. The Company uses the relief-from-royalty method to determine the trade name’s fair value, which requires management to make significant estimates and assumptions related to forecasts of future revenues and the selection of the royalty rate. Changes in the assumptions can have a significant impact on both the fair value of the reporting unit and the amount of any impairment charge.</w:t>
      </w:r>
    </w:p>
    <w:p>
      <w:pPr>
        <w:spacing w:after="0" w:line="176"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color w:val="auto"/>
        </w:rPr>
        <w:t>The trade name balance was $352.3 million as of August 31, 2024, of which $29.3 million was related to Chris-Craft. The estimated fair value of the Chris-Craft trade name exceeded its carrying value as of the measurement date and, therefore, no impairment was recognized.</w:t>
      </w:r>
    </w:p>
    <w:p>
      <w:pPr>
        <w:spacing w:after="0" w:line="167" w:lineRule="exact"/>
        <w:rPr>
          <w:sz w:val="20"/>
          <w:szCs w:val="20"/>
          <w:color w:val="auto"/>
        </w:rPr>
      </w:pPr>
    </w:p>
    <w:p>
      <w:pPr>
        <w:ind w:right="40"/>
        <w:spacing w:after="0" w:line="252" w:lineRule="auto"/>
        <w:rPr>
          <w:sz w:val="20"/>
          <w:szCs w:val="20"/>
          <w:color w:val="auto"/>
        </w:rPr>
      </w:pPr>
      <w:r>
        <w:rPr>
          <w:rFonts w:ascii="Arial" w:cs="Arial" w:eastAsia="Arial" w:hAnsi="Arial"/>
          <w:sz w:val="13"/>
          <w:szCs w:val="13"/>
          <w:color w:val="auto"/>
        </w:rPr>
        <w:t>Given the significant judgments made by management to estimate the fair value of the Chris-Craft trade name, performing audit procedures to evaluate the reasonableness of management’s estimates and assumptions related to forecasts of future revenues as well as the selection of the royalty rate required a high degree of auditor judgment and an increased extent of effort, including the need to involve our fair value specialists.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How the Critical Audit Matter Was Addressed in the Audit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Our audit procedures related to the forecasts of future revenues and the selection of the royalty rate for the Chris-Craft trade name included the following, among others:</w:t>
      </w:r>
    </w:p>
    <w:p>
      <w:pPr>
        <w:spacing w:after="0" w:line="95" w:lineRule="exact"/>
        <w:rPr>
          <w:sz w:val="20"/>
          <w:szCs w:val="20"/>
          <w:color w:val="auto"/>
        </w:rPr>
      </w:pPr>
    </w:p>
    <w:p>
      <w:pPr>
        <w:ind w:left="520" w:right="120" w:hanging="260"/>
        <w:spacing w:after="0" w:line="266" w:lineRule="auto"/>
        <w:tabs>
          <w:tab w:leader="none" w:pos="511"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tested the effectiveness of controls over management’s trade name impairment evaluation, including those over the determination of fair value, such as controls related to management’s development of forecasts of future revenues and the selection of the royalty rate.</w:t>
      </w:r>
    </w:p>
    <w:p>
      <w:pPr>
        <w:spacing w:after="0" w:line="61"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evaluated management’s ability to accurately forecast future revenues and operating margins by comparing actual results to management’s historical forecasts.</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evaluated the reasonableness of management’s forecasts by comparing the forecasts to (1) historical results, (2) internal communications to management and the Board of Directors, and</w:t>
      </w:r>
    </w:p>
    <w:p>
      <w:pPr>
        <w:spacing w:after="0" w:line="22" w:lineRule="exact"/>
        <w:rPr>
          <w:rFonts w:ascii="Arial" w:cs="Arial" w:eastAsia="Arial" w:hAnsi="Arial"/>
          <w:sz w:val="12"/>
          <w:szCs w:val="12"/>
          <w:color w:val="auto"/>
        </w:rPr>
      </w:pPr>
    </w:p>
    <w:p>
      <w:pPr>
        <w:ind w:left="700" w:hanging="186"/>
        <w:spacing w:after="0"/>
        <w:tabs>
          <w:tab w:leader="none" w:pos="7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forecasted information included in Company press releases as well as in analyst and industry reports of the Company and companies in its peer group.</w:t>
      </w:r>
    </w:p>
    <w:p>
      <w:pPr>
        <w:spacing w:after="0" w:line="82"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With the assistance of our fair value specialists, we evaluated the reasonableness of the valuation methodology and the royalty rate selected by:</w:t>
      </w:r>
    </w:p>
    <w:p>
      <w:pPr>
        <w:spacing w:after="0" w:line="83" w:lineRule="exact"/>
        <w:rPr>
          <w:rFonts w:ascii="Arial" w:cs="Arial" w:eastAsia="Arial" w:hAnsi="Arial"/>
          <w:sz w:val="13"/>
          <w:szCs w:val="13"/>
          <w:color w:val="auto"/>
        </w:rPr>
      </w:pPr>
    </w:p>
    <w:p>
      <w:pPr>
        <w:ind w:left="1020" w:hanging="251"/>
        <w:spacing w:after="0"/>
        <w:tabs>
          <w:tab w:leader="none" w:pos="1020" w:val="left"/>
        </w:tabs>
        <w:numPr>
          <w:ilvl w:val="2"/>
          <w:numId w:val="17"/>
        </w:numPr>
        <w:rPr>
          <w:rFonts w:ascii="Arial" w:cs="Arial" w:eastAsia="Arial" w:hAnsi="Arial"/>
          <w:sz w:val="13"/>
          <w:szCs w:val="13"/>
          <w:color w:val="auto"/>
        </w:rPr>
      </w:pPr>
      <w:r>
        <w:rPr>
          <w:rFonts w:ascii="Arial" w:cs="Arial" w:eastAsia="Arial" w:hAnsi="Arial"/>
          <w:sz w:val="13"/>
          <w:szCs w:val="13"/>
          <w:color w:val="auto"/>
        </w:rPr>
        <w:t>Testing the underlying source information and mathematical accuracy of the calculations.</w:t>
      </w:r>
    </w:p>
    <w:p>
      <w:pPr>
        <w:spacing w:after="0" w:line="94" w:lineRule="exact"/>
        <w:rPr>
          <w:rFonts w:ascii="Arial" w:cs="Arial" w:eastAsia="Arial" w:hAnsi="Arial"/>
          <w:sz w:val="13"/>
          <w:szCs w:val="13"/>
          <w:color w:val="auto"/>
        </w:rPr>
      </w:pPr>
    </w:p>
    <w:p>
      <w:pPr>
        <w:ind w:left="1020" w:hanging="251"/>
        <w:spacing w:after="0"/>
        <w:tabs>
          <w:tab w:leader="none" w:pos="1020" w:val="left"/>
        </w:tabs>
        <w:numPr>
          <w:ilvl w:val="2"/>
          <w:numId w:val="17"/>
        </w:numPr>
        <w:rPr>
          <w:rFonts w:ascii="Arial" w:cs="Arial" w:eastAsia="Arial" w:hAnsi="Arial"/>
          <w:sz w:val="13"/>
          <w:szCs w:val="13"/>
          <w:color w:val="auto"/>
        </w:rPr>
      </w:pPr>
      <w:r>
        <w:rPr>
          <w:rFonts w:ascii="Arial" w:cs="Arial" w:eastAsia="Arial" w:hAnsi="Arial"/>
          <w:sz w:val="13"/>
          <w:szCs w:val="13"/>
          <w:color w:val="auto"/>
        </w:rPr>
        <w:t>Developing a range of comparable royalty transactions and comparing those to the royalty rate selected by management.</w:t>
      </w:r>
    </w:p>
    <w:p>
      <w:pPr>
        <w:spacing w:after="0" w:line="83" w:lineRule="exact"/>
        <w:rPr>
          <w:rFonts w:ascii="Arial" w:cs="Arial" w:eastAsia="Arial" w:hAnsi="Arial"/>
          <w:sz w:val="13"/>
          <w:szCs w:val="13"/>
          <w:color w:val="auto"/>
        </w:rPr>
      </w:pPr>
    </w:p>
    <w:p>
      <w:pPr>
        <w:ind w:left="500" w:hanging="240"/>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evaluated the impact of changes in management’s forecasts from the annual measurement date to August 31, 2024.</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Product Warranties – Grand Design – Refer to Note 8 to the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Critical Audit Matter Description</w:t>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The Company provides certain service and warranty on its products. Estimated costs related to product warranty are accrued based upon historical warranty claims and unit sales history. Estimates are adjusted as needed to reflect actual costs incurred as information becomes available. Grand Design RV, LLC (“Grand Design”) was founded in 2013 and acquired by the Company in November 2016 and makes up the majority of the Company’s product warranty accrual as of August 31, 2024.</w:t>
      </w:r>
    </w:p>
    <w:p>
      <w:pPr>
        <w:spacing w:after="0" w:line="159"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We identified the product warranties for Grand Design as a critical audit matter because of the significant judgments made by management to estimate costs related to product warranties at the time of sale. This required a high degree of auditor judgment and an increased extent of effort when performing audit procedures to evaluate the reasonableness of management’s estimates of future warranty claims based on historical claims experience.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How the Critical Audit Matter Was Addressed in the Audit</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Our audit procedures related to the product warranty for the Grand Design component included the following, among others:</w:t>
      </w:r>
    </w:p>
    <w:p>
      <w:pPr>
        <w:spacing w:after="0" w:line="84" w:lineRule="exact"/>
        <w:rPr>
          <w:sz w:val="20"/>
          <w:szCs w:val="20"/>
          <w:color w:val="auto"/>
        </w:rPr>
      </w:pPr>
    </w:p>
    <w:p>
      <w:pPr>
        <w:ind w:left="520" w:right="100" w:hanging="260"/>
        <w:spacing w:after="0" w:line="28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evaluated the operating effectiveness of controls over management’s estimation of the product warranty accrual, including those over historical product warranty claim data and projected future product warranty claims.</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evaluated the accuracy and relevance of the historical product warranty claims as an input to management’s product warranty accrual calculation.</w:t>
      </w:r>
    </w:p>
    <w:p>
      <w:pPr>
        <w:spacing w:after="0" w:line="83" w:lineRule="exact"/>
        <w:rPr>
          <w:rFonts w:ascii="Arial" w:cs="Arial" w:eastAsia="Arial" w:hAnsi="Arial"/>
          <w:sz w:val="13"/>
          <w:szCs w:val="13"/>
          <w:color w:val="auto"/>
        </w:rPr>
      </w:pPr>
    </w:p>
    <w:p>
      <w:pPr>
        <w:ind w:left="520" w:right="440" w:hanging="260"/>
        <w:spacing w:after="0" w:line="28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evaluated the completeness of the warranty accrual estimate through inquiries of operational and executive management regarding knowledge of known product warranty claims or product issues and evaluated whether they were appropriately considered in the determination of the product warranty accrual.</w:t>
      </w:r>
    </w:p>
    <w:p>
      <w:pPr>
        <w:spacing w:after="0" w:line="40" w:lineRule="exact"/>
        <w:rPr>
          <w:rFonts w:ascii="Arial" w:cs="Arial" w:eastAsia="Arial" w:hAnsi="Arial"/>
          <w:sz w:val="13"/>
          <w:szCs w:val="13"/>
          <w:color w:val="auto"/>
        </w:rPr>
      </w:pPr>
    </w:p>
    <w:p>
      <w:pPr>
        <w:ind w:left="520" w:right="560" w:hanging="260"/>
        <w:spacing w:after="0" w:line="283" w:lineRule="auto"/>
        <w:tabs>
          <w:tab w:leader="none" w:pos="511"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evaluated management’s ability to accurately estimate the warranty accrual by comparing the product warranty accrual in prior years to the actual product warranty claims paid in subsequent years.</w:t>
      </w:r>
    </w:p>
    <w:p>
      <w:pPr>
        <w:spacing w:after="0" w:line="40"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assessed management’s methodology and detail tested the warranty accrual by evaluating the inputs and assumptions utilized in the calculation.</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October 23, 2024</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fiscal 1986.</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the Board of Directors of Winnebago Industries, Inc.</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84" w:lineRule="exact"/>
        <w:rPr>
          <w:sz w:val="20"/>
          <w:szCs w:val="20"/>
          <w:color w:val="auto"/>
        </w:rPr>
      </w:pPr>
    </w:p>
    <w:p>
      <w:pPr>
        <w:jc w:val="both"/>
        <w:ind w:right="120"/>
        <w:spacing w:after="0" w:line="261" w:lineRule="auto"/>
        <w:rPr>
          <w:sz w:val="20"/>
          <w:szCs w:val="20"/>
          <w:color w:val="auto"/>
        </w:rPr>
      </w:pPr>
      <w:r>
        <w:rPr>
          <w:rFonts w:ascii="Arial" w:cs="Arial" w:eastAsia="Arial" w:hAnsi="Arial"/>
          <w:sz w:val="13"/>
          <w:szCs w:val="13"/>
          <w:color w:val="auto"/>
        </w:rPr>
        <w:t xml:space="preserve">We have audited the internal control over financial reporting of Winnebago Industries, Inc. and subsidiaries (the “Company”) as of August 31, 2024, based on criteria established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(2013) </w:t>
      </w:r>
      <w:r>
        <w:rPr>
          <w:rFonts w:ascii="Arial" w:cs="Arial" w:eastAsia="Arial" w:hAnsi="Arial"/>
          <w:sz w:val="13"/>
          <w:szCs w:val="13"/>
          <w:color w:val="auto"/>
        </w:rPr>
        <w:t>issued by the Committee of Sponsoring Organizations of the Treadway Commission (COSO). In our opinion, the Company maintained, in all material respects,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internal control over financial reporting as of August 31, 2024,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COSO.</w:t>
      </w:r>
    </w:p>
    <w:p>
      <w:pPr>
        <w:spacing w:after="0" w:line="159" w:lineRule="exact"/>
        <w:rPr>
          <w:sz w:val="20"/>
          <w:szCs w:val="20"/>
          <w:color w:val="auto"/>
        </w:rPr>
      </w:pPr>
    </w:p>
    <w:p>
      <w:pPr>
        <w:ind w:right="320"/>
        <w:spacing w:after="0" w:line="283" w:lineRule="auto"/>
        <w:rPr>
          <w:sz w:val="20"/>
          <w:szCs w:val="20"/>
          <w:color w:val="auto"/>
        </w:rPr>
      </w:pPr>
      <w:r>
        <w:rPr>
          <w:rFonts w:ascii="Arial" w:cs="Arial" w:eastAsia="Arial" w:hAnsi="Arial"/>
          <w:sz w:val="13"/>
          <w:szCs w:val="13"/>
          <w:color w:val="auto"/>
        </w:rPr>
        <w:t>We have also audited, in accordance with the standards of the Public Company Accounting Oversight Board (United States) (PCAOB), the consolidated financial statements as of and for the year ended August 31, 2024, of the Company and our report dated October 23, 2024, expressed an unqualified opinion on those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95"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84"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October 23, 2024</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627"/>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59"/>
        </w:trPr>
        <w:tc>
          <w:tcPr>
            <w:tcW w:w="590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Statements of Income</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7"/>
        </w:trPr>
        <w:tc>
          <w:tcPr>
            <w:tcW w:w="590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3"/>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For the fiscal year ended</w:t>
            </w:r>
          </w:p>
        </w:tc>
        <w:tc>
          <w:tcPr>
            <w:tcW w:w="24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2024</w:t>
            </w: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26, 2023</w:t>
            </w:r>
          </w:p>
        </w:tc>
        <w:tc>
          <w:tcPr>
            <w:tcW w:w="220" w:type="dxa"/>
            <w:vAlign w:val="bottom"/>
          </w:tcPr>
          <w:p>
            <w:pPr>
              <w:spacing w:after="0"/>
              <w:rPr>
                <w:sz w:val="15"/>
                <w:szCs w:val="15"/>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27, 2022</w:t>
            </w:r>
          </w:p>
        </w:tc>
      </w:tr>
      <w:tr>
        <w:trPr>
          <w:trHeight w:val="160"/>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2,973.5</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4,957.7</w:t>
            </w:r>
          </w:p>
        </w:tc>
      </w:tr>
      <w:tr>
        <w:trPr>
          <w:trHeight w:val="169"/>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Cost of goods sold</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2,540.0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2,904.6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4,028.4</w:t>
            </w:r>
          </w:p>
        </w:tc>
      </w:tr>
      <w:tr>
        <w:trPr>
          <w:trHeight w:val="16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profit</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929.3</w:t>
            </w:r>
          </w:p>
        </w:tc>
      </w:tr>
      <w:tr>
        <w:trPr>
          <w:trHeight w:val="159"/>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 expenses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280.0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267.7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316.4</w:t>
            </w:r>
          </w:p>
        </w:tc>
      </w:tr>
      <w:tr>
        <w:trPr>
          <w:trHeight w:val="171"/>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Amortization</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r>
      <w:tr>
        <w:trPr>
          <w:trHeight w:val="169"/>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Goodwill impairment (Note 7)</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333.3</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345.8</w:t>
            </w:r>
          </w:p>
        </w:tc>
      </w:tr>
      <w:tr>
        <w:trPr>
          <w:trHeight w:val="159"/>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Operating income</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100.2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583.5</w:t>
            </w:r>
          </w:p>
        </w:tc>
      </w:tr>
      <w:tr>
        <w:trPr>
          <w:trHeight w:val="171"/>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expense, net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r>
      <w:tr>
        <w:trPr>
          <w:trHeight w:val="169"/>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Loss on note repurchase (Note 9)</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Non-operating loss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r>
      <w:tr>
        <w:trPr>
          <w:trHeight w:val="159"/>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Income before income taxes</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38.4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514.7</w:t>
            </w:r>
          </w:p>
        </w:tc>
      </w:tr>
      <w:tr>
        <w:trPr>
          <w:trHeight w:val="170"/>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124.1</w:t>
            </w:r>
          </w:p>
        </w:tc>
      </w:tr>
      <w:tr>
        <w:trPr>
          <w:trHeight w:val="162"/>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390.6</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3"/>
        </w:trPr>
        <w:tc>
          <w:tcPr>
            <w:tcW w:w="1000" w:type="dxa"/>
            <w:vAlign w:val="bottom"/>
            <w:shd w:val="clear" w:color="auto" w:fill="CCEEFF"/>
          </w:tcPr>
          <w:p>
            <w:pPr>
              <w:spacing w:after="0"/>
              <w:rPr>
                <w:sz w:val="14"/>
                <w:szCs w:val="14"/>
                <w:color w:val="auto"/>
              </w:rPr>
            </w:pPr>
          </w:p>
        </w:tc>
        <w:tc>
          <w:tcPr>
            <w:tcW w:w="4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Earnings per common share:</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w:t>
            </w:r>
          </w:p>
        </w:tc>
      </w:tr>
      <w:tr>
        <w:trPr>
          <w:trHeight w:val="169"/>
        </w:trPr>
        <w:tc>
          <w:tcPr>
            <w:tcW w:w="5900" w:type="dxa"/>
            <w:vAlign w:val="bottom"/>
            <w:gridSpan w:val="2"/>
          </w:tcPr>
          <w:p>
            <w:pPr>
              <w:ind w:left="180"/>
              <w:spacing w:after="0"/>
              <w:rPr>
                <w:sz w:val="20"/>
                <w:szCs w:val="20"/>
                <w:color w:val="auto"/>
              </w:rPr>
            </w:pPr>
            <w:r>
              <w:rPr>
                <w:rFonts w:ascii="Arial" w:cs="Arial" w:eastAsia="Arial" w:hAnsi="Arial"/>
                <w:sz w:val="13"/>
                <w:szCs w:val="13"/>
                <w:color w:val="auto"/>
              </w:rPr>
              <w:t>Diluted</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0.44</w:t>
            </w:r>
          </w:p>
        </w:tc>
        <w:tc>
          <w:tcPr>
            <w:tcW w:w="80" w:type="dxa"/>
            <w:vAlign w:val="bottom"/>
          </w:tcPr>
          <w:p>
            <w:pPr>
              <w:spacing w:after="0"/>
              <w:rPr>
                <w:sz w:val="14"/>
                <w:szCs w:val="14"/>
                <w:color w:val="auto"/>
              </w:rPr>
            </w:pP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11.84</w:t>
            </w:r>
          </w:p>
        </w:tc>
      </w:tr>
      <w:tr>
        <w:trPr>
          <w:trHeight w:val="203"/>
        </w:trPr>
        <w:tc>
          <w:tcPr>
            <w:tcW w:w="59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69"/>
        </w:trPr>
        <w:tc>
          <w:tcPr>
            <w:tcW w:w="5900" w:type="dxa"/>
            <w:vAlign w:val="bottom"/>
            <w:gridSpan w:val="2"/>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r>
      <w:tr>
        <w:trPr>
          <w:trHeight w:val="167"/>
        </w:trPr>
        <w:tc>
          <w:tcPr>
            <w:tcW w:w="5900" w:type="dxa"/>
            <w:vAlign w:val="bottom"/>
            <w:gridSpan w:val="2"/>
          </w:tcPr>
          <w:p>
            <w:pPr>
              <w:ind w:left="180"/>
              <w:spacing w:after="0"/>
              <w:rPr>
                <w:sz w:val="20"/>
                <w:szCs w:val="20"/>
                <w:color w:val="auto"/>
              </w:rPr>
            </w:pPr>
            <w:r>
              <w:rPr>
                <w:rFonts w:ascii="Arial" w:cs="Arial" w:eastAsia="Arial" w:hAnsi="Arial"/>
                <w:sz w:val="13"/>
                <w:szCs w:val="13"/>
                <w:color w:val="auto"/>
              </w:rPr>
              <w:t>Diluted</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627"/>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Winnebago Industries, Inc.</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59"/>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Consolidated Balance Sheets</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7"/>
        </w:trPr>
        <w:tc>
          <w:tcPr>
            <w:tcW w:w="772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2024</w:t>
            </w:r>
          </w:p>
        </w:tc>
        <w:tc>
          <w:tcPr>
            <w:tcW w:w="220" w:type="dxa"/>
            <w:vAlign w:val="bottom"/>
          </w:tcPr>
          <w:p>
            <w:pPr>
              <w:spacing w:after="0"/>
              <w:rPr>
                <w:sz w:val="15"/>
                <w:szCs w:val="15"/>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26, 2023</w:t>
            </w:r>
          </w:p>
        </w:tc>
      </w:tr>
      <w:tr>
        <w:trPr>
          <w:trHeight w:val="160"/>
        </w:trPr>
        <w:tc>
          <w:tcPr>
            <w:tcW w:w="77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r>
      <w:tr>
        <w:trPr>
          <w:trHeight w:val="169"/>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309.9</w:t>
            </w:r>
          </w:p>
        </w:tc>
      </w:tr>
      <w:tr>
        <w:trPr>
          <w:trHeight w:val="169"/>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Receivables, less allowance for credit losses ($0.2 and $0.4, respectively)</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183.5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178.5</w:t>
            </w: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Inventories, net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470.6</w:t>
            </w:r>
          </w:p>
        </w:tc>
      </w:tr>
      <w:tr>
        <w:trPr>
          <w:trHeight w:val="169"/>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r>
      <w:tr>
        <w:trPr>
          <w:trHeight w:val="162"/>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988.7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996.7</w:t>
            </w:r>
          </w:p>
        </w:tc>
      </w:tr>
      <w:tr>
        <w:trPr>
          <w:trHeight w:val="159"/>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338.9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327.3</w:t>
            </w:r>
          </w:p>
        </w:tc>
      </w:tr>
      <w:tr>
        <w:trPr>
          <w:trHeight w:val="17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514.5</w:t>
            </w:r>
          </w:p>
        </w:tc>
      </w:tr>
      <w:tr>
        <w:trPr>
          <w:trHeight w:val="169"/>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Other intangible assets, net</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479.0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502.0</w:t>
            </w:r>
          </w:p>
        </w:tc>
      </w:tr>
      <w:tr>
        <w:trPr>
          <w:trHeight w:val="17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 in life insurance</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r>
      <w:tr>
        <w:trPr>
          <w:trHeight w:val="169"/>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Operating lease assets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42.6</w:t>
            </w:r>
          </w:p>
        </w:tc>
      </w:tr>
      <w:tr>
        <w:trPr>
          <w:trHeight w:val="17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long-term assets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62"/>
        </w:trPr>
        <w:tc>
          <w:tcPr>
            <w:tcW w:w="772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2,384.2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2,432.4</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31"/>
        </w:trPr>
        <w:tc>
          <w:tcPr>
            <w:tcW w:w="1000" w:type="dxa"/>
            <w:vAlign w:val="bottom"/>
            <w:shd w:val="clear" w:color="auto" w:fill="CCEEFF"/>
          </w:tcPr>
          <w:p>
            <w:pPr>
              <w:spacing w:after="0"/>
              <w:rPr>
                <w:sz w:val="11"/>
                <w:szCs w:val="11"/>
                <w:color w:val="auto"/>
              </w:rPr>
            </w:pPr>
          </w:p>
        </w:tc>
        <w:tc>
          <w:tcPr>
            <w:tcW w:w="6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70"/>
        </w:trPr>
        <w:tc>
          <w:tcPr>
            <w:tcW w:w="772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 and Shareholders' Equity</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Accounts payable</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144.7</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146.9</w:t>
            </w: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Current maturities of long-term debt, net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Accrued expenses:</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Accrued compensation</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r>
      <w:tr>
        <w:trPr>
          <w:trHeight w:val="169"/>
        </w:trPr>
        <w:tc>
          <w:tcPr>
            <w:tcW w:w="7720" w:type="dxa"/>
            <w:vAlign w:val="bottom"/>
            <w:gridSpan w:val="2"/>
          </w:tcPr>
          <w:p>
            <w:pPr>
              <w:ind w:left="180"/>
              <w:spacing w:after="0"/>
              <w:rPr>
                <w:sz w:val="20"/>
                <w:szCs w:val="20"/>
                <w:color w:val="auto"/>
              </w:rPr>
            </w:pPr>
            <w:r>
              <w:rPr>
                <w:rFonts w:ascii="Arial" w:cs="Arial" w:eastAsia="Arial" w:hAnsi="Arial"/>
                <w:sz w:val="13"/>
                <w:szCs w:val="13"/>
                <w:color w:val="auto"/>
              </w:rPr>
              <w:t>Product warranties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78.9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97.8</w:t>
            </w:r>
          </w:p>
        </w:tc>
      </w:tr>
      <w:tr>
        <w:trPr>
          <w:trHeight w:val="171"/>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Self-insurance</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169"/>
        </w:trPr>
        <w:tc>
          <w:tcPr>
            <w:tcW w:w="7720" w:type="dxa"/>
            <w:vAlign w:val="bottom"/>
            <w:gridSpan w:val="2"/>
          </w:tcPr>
          <w:p>
            <w:pPr>
              <w:ind w:left="180"/>
              <w:spacing w:after="0"/>
              <w:rPr>
                <w:sz w:val="20"/>
                <w:szCs w:val="20"/>
                <w:color w:val="auto"/>
              </w:rPr>
            </w:pPr>
            <w:r>
              <w:rPr>
                <w:rFonts w:ascii="Arial" w:cs="Arial" w:eastAsia="Arial" w:hAnsi="Arial"/>
                <w:sz w:val="13"/>
                <w:szCs w:val="13"/>
                <w:color w:val="auto"/>
              </w:rPr>
              <w:t>Promotional</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29.9</w:t>
            </w:r>
          </w:p>
        </w:tc>
      </w:tr>
      <w:tr>
        <w:trPr>
          <w:trHeight w:val="171"/>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Accrued interest and dividends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r>
      <w:tr>
        <w:trPr>
          <w:trHeight w:val="169"/>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Other current liabilities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w:t>
            </w:r>
          </w:p>
        </w:tc>
      </w:tr>
      <w:tr>
        <w:trPr>
          <w:trHeight w:val="162"/>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396.0</w:t>
            </w:r>
          </w:p>
        </w:tc>
      </w:tr>
      <w:tr>
        <w:trPr>
          <w:trHeight w:val="149"/>
        </w:trPr>
        <w:tc>
          <w:tcPr>
            <w:tcW w:w="77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Non-current liabilities</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Long-term debt, net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592.4</w:t>
            </w:r>
          </w:p>
        </w:tc>
      </w:tr>
      <w:tr>
        <w:trPr>
          <w:trHeight w:val="169"/>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Deferred income tax liabilities, net</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11.7</w:t>
            </w: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Unrecognized tax benefits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69"/>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Long-term operating lease liabilities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42.0</w:t>
            </w: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Deferred compensation benefits, net of current portion</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69"/>
        </w:trPr>
        <w:tc>
          <w:tcPr>
            <w:tcW w:w="7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Other long-term liabilities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r>
      <w:tr>
        <w:trPr>
          <w:trHeight w:val="162"/>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1,110.9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1,064.3</w:t>
            </w:r>
          </w:p>
        </w:tc>
      </w:tr>
      <w:tr>
        <w:trPr>
          <w:trHeight w:val="149"/>
        </w:trPr>
        <w:tc>
          <w:tcPr>
            <w:tcW w:w="77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Contingent liabilities and commitments (Note 12)</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Shareholders' equity</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Preferred stock, par value $0.01: 10.0 shares authorized; zero shares issued and outstanding</w:t>
            </w:r>
          </w:p>
        </w:tc>
        <w:tc>
          <w:tcPr>
            <w:tcW w:w="24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Common stock, par value $0.50: 120.0 shares authorized; 51.8 shares issued</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69"/>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Additional paid-in capital</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197.7</w:t>
            </w: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Retained earnings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1,747.8</w:t>
            </w:r>
          </w:p>
        </w:tc>
      </w:tr>
      <w:tr>
        <w:trPr>
          <w:trHeight w:val="169"/>
        </w:trPr>
        <w:tc>
          <w:tcPr>
            <w:tcW w:w="7720" w:type="dxa"/>
            <w:vAlign w:val="bottom"/>
            <w:gridSpan w:val="2"/>
          </w:tcPr>
          <w:p>
            <w:pPr>
              <w:ind w:left="120"/>
              <w:spacing w:after="0"/>
              <w:rPr>
                <w:sz w:val="20"/>
                <w:szCs w:val="20"/>
                <w:color w:val="auto"/>
              </w:rPr>
            </w:pPr>
            <w:r>
              <w:rPr>
                <w:rFonts w:ascii="Arial" w:cs="Arial" w:eastAsia="Arial" w:hAnsi="Arial"/>
                <w:sz w:val="13"/>
                <w:szCs w:val="13"/>
                <w:color w:val="auto"/>
              </w:rPr>
              <w:t>Accumulated other comprehensive loss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71"/>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Treasury stock, at cost: 23.0 and 22.0 shares, respectively</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(602.9)</w:t>
            </w:r>
          </w:p>
        </w:tc>
      </w:tr>
      <w:tr>
        <w:trPr>
          <w:trHeight w:val="160"/>
        </w:trPr>
        <w:tc>
          <w:tcPr>
            <w:tcW w:w="77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b w:val="1"/>
                <w:bCs w:val="1"/>
                <w:color w:val="auto"/>
              </w:rPr>
              <w:t>Total shareholders' equity</w:t>
            </w: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1,273.3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1,368.1</w:t>
            </w:r>
          </w:p>
        </w:tc>
      </w:tr>
      <w:tr>
        <w:trPr>
          <w:trHeight w:val="185"/>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2,384.2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2,432.4</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900" w:type="dxa"/>
            <w:vAlign w:val="bottom"/>
          </w:tcPr>
          <w:p>
            <w:pPr>
              <w:ind w:left="20"/>
              <w:spacing w:after="0"/>
              <w:rPr>
                <w:sz w:val="20"/>
                <w:szCs w:val="20"/>
                <w:color w:val="auto"/>
              </w:rPr>
            </w:pPr>
            <w:r>
              <w:rPr>
                <w:rFonts w:ascii="Arial" w:cs="Arial" w:eastAsia="Arial" w:hAnsi="Arial"/>
                <w:sz w:val="11"/>
                <w:szCs w:val="11"/>
                <w:color w:val="auto"/>
              </w:rPr>
              <w:t>For the fiscal year ended</w:t>
            </w:r>
          </w:p>
        </w:tc>
        <w:tc>
          <w:tcPr>
            <w:tcW w:w="260" w:type="dxa"/>
            <w:vAlign w:val="bottom"/>
          </w:tcPr>
          <w:p>
            <w:pPr>
              <w:spacing w:after="0"/>
              <w:rPr>
                <w:sz w:val="13"/>
                <w:szCs w:val="13"/>
                <w:color w:val="auto"/>
              </w:rPr>
            </w:pPr>
          </w:p>
        </w:tc>
        <w:tc>
          <w:tcPr>
            <w:tcW w:w="1560" w:type="dxa"/>
            <w:vAlign w:val="bottom"/>
            <w:gridSpan w:val="2"/>
          </w:tcPr>
          <w:p>
            <w:pPr>
              <w:ind w:left="180"/>
              <w:spacing w:after="0"/>
              <w:rPr>
                <w:sz w:val="20"/>
                <w:szCs w:val="20"/>
                <w:color w:val="auto"/>
              </w:rPr>
            </w:pPr>
            <w:r>
              <w:rPr>
                <w:rFonts w:ascii="Arial" w:cs="Arial" w:eastAsia="Arial" w:hAnsi="Arial"/>
                <w:sz w:val="11"/>
                <w:szCs w:val="11"/>
                <w:b w:val="1"/>
                <w:bCs w:val="1"/>
                <w:color w:val="auto"/>
              </w:rPr>
              <w:t>August 31, 2024</w:t>
            </w:r>
          </w:p>
        </w:tc>
        <w:tc>
          <w:tcPr>
            <w:tcW w:w="260" w:type="dxa"/>
            <w:vAlign w:val="bottom"/>
          </w:tcPr>
          <w:p>
            <w:pPr>
              <w:spacing w:after="0"/>
              <w:rPr>
                <w:sz w:val="13"/>
                <w:szCs w:val="13"/>
                <w:color w:val="auto"/>
              </w:rPr>
            </w:pPr>
          </w:p>
        </w:tc>
        <w:tc>
          <w:tcPr>
            <w:tcW w:w="1580" w:type="dxa"/>
            <w:vAlign w:val="bottom"/>
            <w:gridSpan w:val="2"/>
          </w:tcPr>
          <w:p>
            <w:pPr>
              <w:ind w:left="180"/>
              <w:spacing w:after="0"/>
              <w:rPr>
                <w:sz w:val="20"/>
                <w:szCs w:val="20"/>
                <w:color w:val="auto"/>
              </w:rPr>
            </w:pPr>
            <w:r>
              <w:rPr>
                <w:rFonts w:ascii="Arial" w:cs="Arial" w:eastAsia="Arial" w:hAnsi="Arial"/>
                <w:sz w:val="11"/>
                <w:szCs w:val="11"/>
                <w:b w:val="1"/>
                <w:bCs w:val="1"/>
                <w:color w:val="auto"/>
              </w:rPr>
              <w:t>August 26, 2023</w:t>
            </w:r>
          </w:p>
        </w:tc>
        <w:tc>
          <w:tcPr>
            <w:tcW w:w="240" w:type="dxa"/>
            <w:vAlign w:val="bottom"/>
          </w:tcPr>
          <w:p>
            <w:pPr>
              <w:spacing w:after="0"/>
              <w:rPr>
                <w:sz w:val="13"/>
                <w:szCs w:val="13"/>
                <w:color w:val="auto"/>
              </w:rPr>
            </w:pPr>
          </w:p>
        </w:tc>
        <w:tc>
          <w:tcPr>
            <w:tcW w:w="1480" w:type="dxa"/>
            <w:vAlign w:val="bottom"/>
          </w:tcPr>
          <w:p>
            <w:pPr>
              <w:jc w:val="right"/>
              <w:ind w:right="383"/>
              <w:spacing w:after="0"/>
              <w:rPr>
                <w:sz w:val="20"/>
                <w:szCs w:val="20"/>
                <w:color w:val="auto"/>
              </w:rPr>
            </w:pPr>
            <w:r>
              <w:rPr>
                <w:rFonts w:ascii="Arial" w:cs="Arial" w:eastAsia="Arial" w:hAnsi="Arial"/>
                <w:sz w:val="11"/>
                <w:szCs w:val="11"/>
                <w:b w:val="1"/>
                <w:bCs w:val="1"/>
                <w:color w:val="auto"/>
              </w:rPr>
              <w:t>August 27, 2022</w:t>
            </w:r>
          </w:p>
        </w:tc>
      </w:tr>
      <w:tr>
        <w:trPr>
          <w:trHeight w:val="150"/>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2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56"/>
        </w:trPr>
        <w:tc>
          <w:tcPr>
            <w:tcW w:w="59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215.9</w:t>
            </w:r>
          </w:p>
        </w:tc>
        <w:tc>
          <w:tcPr>
            <w:tcW w:w="10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390.6</w:t>
            </w: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Depreciation</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35.6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24.2</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Amortization</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Non-cash interest expense, net</w:t>
            </w:r>
          </w:p>
        </w:tc>
        <w:tc>
          <w:tcPr>
            <w:tcW w:w="2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15.1</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Amortization of debt issuance costs</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Last in, first-out ("LIFO") expense</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8.4</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Stock-based compensation</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Deferred income taxes</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8.1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(6.7)</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Deferred compensation expense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Goodwill impairment (Note 7)</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30.3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Loss on note repurchase (Note 9)</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Contingent consideration fair value adjustment</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0.6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29.4</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Payments of earnout liability above acquisition-date fair value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Other, net</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62"/>
        </w:trPr>
        <w:tc>
          <w:tcPr>
            <w:tcW w:w="59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Change in operating assets and liabilities, net of assets and liabilities acquired</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Receivables, net</w:t>
            </w: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76.7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Inventories, net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(171.3)</w:t>
            </w: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Prepaid expenses and other assets</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9.7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payable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w:t>
            </w:r>
          </w:p>
        </w:tc>
      </w:tr>
      <w:tr>
        <w:trPr>
          <w:trHeight w:val="156"/>
        </w:trPr>
        <w:tc>
          <w:tcPr>
            <w:tcW w:w="5900" w:type="dxa"/>
            <w:vAlign w:val="bottom"/>
          </w:tcPr>
          <w:p>
            <w:pPr>
              <w:ind w:left="200"/>
              <w:spacing w:after="0"/>
              <w:rPr>
                <w:sz w:val="20"/>
                <w:szCs w:val="20"/>
                <w:color w:val="auto"/>
              </w:rPr>
            </w:pPr>
            <w:r>
              <w:rPr>
                <w:rFonts w:ascii="Arial" w:cs="Arial" w:eastAsia="Arial" w:hAnsi="Arial"/>
                <w:sz w:val="11"/>
                <w:szCs w:val="11"/>
                <w:color w:val="auto"/>
              </w:rPr>
              <w:t>Income taxes and unrecognized tax benefits</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(7.4)</w:t>
            </w:r>
          </w:p>
        </w:tc>
      </w:tr>
      <w:tr>
        <w:trPr>
          <w:trHeight w:val="162"/>
        </w:trPr>
        <w:tc>
          <w:tcPr>
            <w:tcW w:w="59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Accrued expenses and other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w:t>
            </w:r>
          </w:p>
        </w:tc>
      </w:tr>
      <w:tr>
        <w:trPr>
          <w:trHeight w:val="15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cash provided by operating activities</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143.9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294.5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400.6</w:t>
            </w:r>
          </w:p>
        </w:tc>
      </w:tr>
      <w:tr>
        <w:trPr>
          <w:trHeight w:val="150"/>
        </w:trPr>
        <w:tc>
          <w:tcPr>
            <w:tcW w:w="5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59"/>
        </w:trPr>
        <w:tc>
          <w:tcPr>
            <w:tcW w:w="590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9"/>
        </w:trPr>
        <w:tc>
          <w:tcPr>
            <w:tcW w:w="5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Purchases of property, plant, and equipment</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(88.0)</w:t>
            </w:r>
          </w:p>
        </w:tc>
      </w:tr>
      <w:tr>
        <w:trPr>
          <w:trHeight w:val="156"/>
        </w:trPr>
        <w:tc>
          <w:tcPr>
            <w:tcW w:w="5900" w:type="dxa"/>
            <w:vAlign w:val="bottom"/>
          </w:tcPr>
          <w:p>
            <w:pPr>
              <w:ind w:left="120"/>
              <w:spacing w:after="0"/>
              <w:rPr>
                <w:sz w:val="20"/>
                <w:szCs w:val="20"/>
                <w:color w:val="auto"/>
              </w:rPr>
            </w:pPr>
            <w:r>
              <w:rPr>
                <w:rFonts w:ascii="Arial" w:cs="Arial" w:eastAsia="Arial" w:hAnsi="Arial"/>
                <w:sz w:val="11"/>
                <w:szCs w:val="11"/>
                <w:color w:val="auto"/>
              </w:rPr>
              <w:t>Acquisition of business, net of cash acquired</w:t>
            </w:r>
          </w:p>
        </w:tc>
        <w:tc>
          <w:tcPr>
            <w:tcW w:w="2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(87.5)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(228.2)</w:t>
            </w: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Proceeds from the sale of property, plant, and equipment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r>
      <w:tr>
        <w:trPr>
          <w:trHeight w:val="15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 net</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r>
      <w:tr>
        <w:trPr>
          <w:trHeight w:val="153"/>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(45.9)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(170.0)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(315.7)</w:t>
            </w:r>
          </w:p>
        </w:tc>
      </w:tr>
      <w:tr>
        <w:trPr>
          <w:trHeight w:val="150"/>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9"/>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56"/>
        </w:trPr>
        <w:tc>
          <w:tcPr>
            <w:tcW w:w="5900" w:type="dxa"/>
            <w:vAlign w:val="bottom"/>
          </w:tcPr>
          <w:p>
            <w:pPr>
              <w:ind w:left="120"/>
              <w:spacing w:after="0"/>
              <w:rPr>
                <w:sz w:val="20"/>
                <w:szCs w:val="20"/>
                <w:color w:val="auto"/>
              </w:rPr>
            </w:pPr>
            <w:r>
              <w:rPr>
                <w:rFonts w:ascii="Arial" w:cs="Arial" w:eastAsia="Arial" w:hAnsi="Arial"/>
                <w:sz w:val="11"/>
                <w:szCs w:val="11"/>
                <w:color w:val="auto"/>
              </w:rPr>
              <w:t>Borrowings on long-term debt</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2,652.2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3,718.0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4,735.6</w:t>
            </w: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Repayments on long-term debt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(4,735.6)</w:t>
            </w:r>
          </w:p>
        </w:tc>
      </w:tr>
      <w:tr>
        <w:trPr>
          <w:trHeight w:val="156"/>
        </w:trPr>
        <w:tc>
          <w:tcPr>
            <w:tcW w:w="5900" w:type="dxa"/>
            <w:vAlign w:val="bottom"/>
          </w:tcPr>
          <w:p>
            <w:pPr>
              <w:ind w:left="120"/>
              <w:spacing w:after="0"/>
              <w:rPr>
                <w:sz w:val="20"/>
                <w:szCs w:val="20"/>
                <w:color w:val="auto"/>
              </w:rPr>
            </w:pPr>
            <w:r>
              <w:rPr>
                <w:rFonts w:ascii="Arial" w:cs="Arial" w:eastAsia="Arial" w:hAnsi="Arial"/>
                <w:sz w:val="11"/>
                <w:szCs w:val="11"/>
                <w:color w:val="auto"/>
              </w:rPr>
              <w:t>Payments for convertible note bond hedge</w:t>
            </w: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(68.7)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Proceeds from issuance of convertible note warrant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900" w:type="dxa"/>
            <w:vAlign w:val="bottom"/>
          </w:tcPr>
          <w:p>
            <w:pPr>
              <w:ind w:left="120"/>
              <w:spacing w:after="0"/>
              <w:rPr>
                <w:sz w:val="20"/>
                <w:szCs w:val="20"/>
                <w:color w:val="auto"/>
              </w:rPr>
            </w:pPr>
            <w:r>
              <w:rPr>
                <w:rFonts w:ascii="Arial" w:cs="Arial" w:eastAsia="Arial" w:hAnsi="Arial"/>
                <w:sz w:val="11"/>
                <w:szCs w:val="11"/>
                <w:color w:val="auto"/>
              </w:rPr>
              <w:t>Proceeds from partial unwind of convertible note bond hedge</w:t>
            </w:r>
          </w:p>
        </w:tc>
        <w:tc>
          <w:tcPr>
            <w:tcW w:w="26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55.8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Payments for partial unwind of convertible note warrant</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900" w:type="dxa"/>
            <w:vAlign w:val="bottom"/>
          </w:tcPr>
          <w:p>
            <w:pPr>
              <w:ind w:left="120"/>
              <w:spacing w:after="0"/>
              <w:rPr>
                <w:sz w:val="20"/>
                <w:szCs w:val="20"/>
                <w:color w:val="auto"/>
              </w:rPr>
            </w:pPr>
            <w:r>
              <w:rPr>
                <w:rFonts w:ascii="Arial" w:cs="Arial" w:eastAsia="Arial" w:hAnsi="Arial"/>
                <w:sz w:val="11"/>
                <w:szCs w:val="11"/>
                <w:color w:val="auto"/>
              </w:rPr>
              <w:t>Payments of cash dividends</w:t>
            </w: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(36.8)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(33.2)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(23.8)</w:t>
            </w: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Payments for repurchases of common stock</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(214.3)</w:t>
            </w:r>
          </w:p>
        </w:tc>
      </w:tr>
      <w:tr>
        <w:trPr>
          <w:trHeight w:val="156"/>
        </w:trPr>
        <w:tc>
          <w:tcPr>
            <w:tcW w:w="5900" w:type="dxa"/>
            <w:vAlign w:val="bottom"/>
          </w:tcPr>
          <w:p>
            <w:pPr>
              <w:ind w:left="120"/>
              <w:spacing w:after="0"/>
              <w:rPr>
                <w:sz w:val="20"/>
                <w:szCs w:val="20"/>
                <w:color w:val="auto"/>
              </w:rPr>
            </w:pPr>
            <w:r>
              <w:rPr>
                <w:rFonts w:ascii="Arial" w:cs="Arial" w:eastAsia="Arial" w:hAnsi="Arial"/>
                <w:sz w:val="11"/>
                <w:szCs w:val="11"/>
                <w:color w:val="auto"/>
              </w:rPr>
              <w:t>Payments of debt issuance costs</w:t>
            </w:r>
          </w:p>
        </w:tc>
        <w:tc>
          <w:tcPr>
            <w:tcW w:w="2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(10.4)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62"/>
        </w:trPr>
        <w:tc>
          <w:tcPr>
            <w:tcW w:w="59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Payments of earnout liability up to acquisition-date fair value</w:t>
            </w: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 net</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r>
      <w:tr>
        <w:trPr>
          <w:trHeight w:val="153"/>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cash used in financing activities</w:t>
            </w: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(77.0)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(96.8)</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(237.3)</w:t>
            </w:r>
          </w:p>
        </w:tc>
      </w:tr>
      <w:tr>
        <w:trPr>
          <w:trHeight w:val="150"/>
        </w:trPr>
        <w:tc>
          <w:tcPr>
            <w:tcW w:w="5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9"/>
        </w:trPr>
        <w:tc>
          <w:tcPr>
            <w:tcW w:w="5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increase/(decrease) in cash and cash equivalents</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(152.4)</w:t>
            </w:r>
          </w:p>
        </w:tc>
      </w:tr>
      <w:tr>
        <w:trPr>
          <w:trHeight w:val="15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at beginning of period</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309.9</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282.2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434.6</w:t>
            </w:r>
          </w:p>
        </w:tc>
      </w:tr>
      <w:tr>
        <w:trPr>
          <w:trHeight w:val="17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at end of period</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330.9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309.9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282.2</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Disclosures</w:t>
            </w:r>
          </w:p>
        </w:tc>
        <w:tc>
          <w:tcPr>
            <w:tcW w:w="2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6"/>
        </w:trPr>
        <w:tc>
          <w:tcPr>
            <w:tcW w:w="4500" w:type="dxa"/>
            <w:vAlign w:val="bottom"/>
          </w:tcPr>
          <w:p>
            <w:pPr>
              <w:ind w:left="120"/>
              <w:spacing w:after="0"/>
              <w:rPr>
                <w:sz w:val="20"/>
                <w:szCs w:val="20"/>
                <w:color w:val="auto"/>
              </w:rPr>
            </w:pPr>
            <w:r>
              <w:rPr>
                <w:rFonts w:ascii="Arial" w:cs="Arial" w:eastAsia="Arial" w:hAnsi="Arial"/>
                <w:sz w:val="11"/>
                <w:szCs w:val="11"/>
                <w:color w:val="auto"/>
              </w:rPr>
              <w:t>Income taxes paid, net</w:t>
            </w:r>
          </w:p>
        </w:tc>
        <w:tc>
          <w:tcPr>
            <w:tcW w:w="2180" w:type="dxa"/>
            <w:vAlign w:val="bottom"/>
          </w:tcPr>
          <w:p>
            <w:pPr>
              <w:jc w:val="right"/>
              <w:ind w:right="64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14.4</w:t>
            </w:r>
          </w:p>
        </w:tc>
        <w:tc>
          <w:tcPr>
            <w:tcW w:w="840" w:type="dxa"/>
            <w:vAlign w:val="bottom"/>
          </w:tcPr>
          <w:p>
            <w:pPr>
              <w:jc w:val="right"/>
              <w:ind w:right="64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57.8</w:t>
            </w:r>
          </w:p>
        </w:tc>
        <w:tc>
          <w:tcPr>
            <w:tcW w:w="800" w:type="dxa"/>
            <w:vAlign w:val="bottom"/>
          </w:tcPr>
          <w:p>
            <w:pPr>
              <w:jc w:val="right"/>
              <w:ind w:right="583"/>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139.7</w:t>
            </w:r>
          </w:p>
        </w:tc>
      </w:tr>
      <w:tr>
        <w:trPr>
          <w:trHeight w:val="162"/>
        </w:trPr>
        <w:tc>
          <w:tcPr>
            <w:tcW w:w="4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Interest paid</w:t>
            </w: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29.0</w:t>
            </w: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24.2</w:t>
            </w: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r>
      <w:tr>
        <w:trPr>
          <w:trHeight w:val="170"/>
        </w:trPr>
        <w:tc>
          <w:tcPr>
            <w:tcW w:w="4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9"/>
        </w:trPr>
        <w:tc>
          <w:tcPr>
            <w:tcW w:w="4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Non-cash investing and financing activities</w:t>
            </w:r>
          </w:p>
        </w:tc>
        <w:tc>
          <w:tcPr>
            <w:tcW w:w="2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6"/>
        </w:trPr>
        <w:tc>
          <w:tcPr>
            <w:tcW w:w="4500" w:type="dxa"/>
            <w:vAlign w:val="bottom"/>
          </w:tcPr>
          <w:p>
            <w:pPr>
              <w:ind w:left="120"/>
              <w:spacing w:after="0"/>
              <w:rPr>
                <w:sz w:val="20"/>
                <w:szCs w:val="20"/>
                <w:color w:val="auto"/>
              </w:rPr>
            </w:pPr>
            <w:r>
              <w:rPr>
                <w:rFonts w:ascii="Arial" w:cs="Arial" w:eastAsia="Arial" w:hAnsi="Arial"/>
                <w:sz w:val="11"/>
                <w:szCs w:val="11"/>
                <w:color w:val="auto"/>
              </w:rPr>
              <w:t>Issuance of common stock for acquisition of business</w:t>
            </w:r>
          </w:p>
        </w:tc>
        <w:tc>
          <w:tcPr>
            <w:tcW w:w="2180" w:type="dxa"/>
            <w:vAlign w:val="bottom"/>
          </w:tcPr>
          <w:p>
            <w:pPr>
              <w:jc w:val="right"/>
              <w:ind w:right="64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4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583"/>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22.0</w:t>
            </w:r>
          </w:p>
        </w:tc>
      </w:tr>
      <w:tr>
        <w:trPr>
          <w:trHeight w:val="162"/>
        </w:trPr>
        <w:tc>
          <w:tcPr>
            <w:tcW w:w="4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Issuance of common stock for settlement of earnout liability</w:t>
            </w: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r>
      <w:tr>
        <w:trPr>
          <w:trHeight w:val="156"/>
        </w:trPr>
        <w:tc>
          <w:tcPr>
            <w:tcW w:w="4500" w:type="dxa"/>
            <w:vAlign w:val="bottom"/>
          </w:tcPr>
          <w:p>
            <w:pPr>
              <w:ind w:left="120"/>
              <w:spacing w:after="0"/>
              <w:rPr>
                <w:sz w:val="20"/>
                <w:szCs w:val="20"/>
                <w:color w:val="auto"/>
              </w:rPr>
            </w:pPr>
            <w:r>
              <w:rPr>
                <w:rFonts w:ascii="Arial" w:cs="Arial" w:eastAsia="Arial" w:hAnsi="Arial"/>
                <w:sz w:val="11"/>
                <w:szCs w:val="11"/>
                <w:color w:val="auto"/>
              </w:rPr>
              <w:t>Capital expenditures in accounts payable</w:t>
            </w:r>
          </w:p>
        </w:tc>
        <w:tc>
          <w:tcPr>
            <w:tcW w:w="218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4.6</w:t>
            </w:r>
          </w:p>
        </w:tc>
        <w:tc>
          <w:tcPr>
            <w:tcW w:w="84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3.0</w:t>
            </w:r>
          </w:p>
        </w:tc>
        <w:tc>
          <w:tcPr>
            <w:tcW w:w="8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6.8</w:t>
            </w:r>
          </w:p>
        </w:tc>
      </w:tr>
      <w:tr>
        <w:trPr>
          <w:trHeight w:val="162"/>
        </w:trPr>
        <w:tc>
          <w:tcPr>
            <w:tcW w:w="4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Dividends declared not yet paid</w:t>
            </w: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10.9</w:t>
            </w: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10.2</w:t>
            </w: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r>
      <w:tr>
        <w:trPr>
          <w:trHeight w:val="156"/>
        </w:trPr>
        <w:tc>
          <w:tcPr>
            <w:tcW w:w="4500" w:type="dxa"/>
            <w:vAlign w:val="bottom"/>
          </w:tcPr>
          <w:p>
            <w:pPr>
              <w:ind w:left="120"/>
              <w:spacing w:after="0"/>
              <w:rPr>
                <w:sz w:val="20"/>
                <w:szCs w:val="20"/>
                <w:color w:val="auto"/>
              </w:rPr>
            </w:pPr>
            <w:r>
              <w:rPr>
                <w:rFonts w:ascii="Arial" w:cs="Arial" w:eastAsia="Arial" w:hAnsi="Arial"/>
                <w:sz w:val="11"/>
                <w:szCs w:val="11"/>
                <w:color w:val="auto"/>
              </w:rPr>
              <w:t>Increase in lease assets in exchange for lease liabilities:</w:t>
            </w:r>
          </w:p>
        </w:tc>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45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leases</w:t>
            </w:r>
          </w:p>
        </w:tc>
        <w:tc>
          <w:tcPr>
            <w:tcW w:w="21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9.8</w:t>
            </w: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5.6</w:t>
            </w: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w:t>
            </w:r>
          </w:p>
        </w:tc>
      </w:tr>
      <w:tr>
        <w:trPr>
          <w:trHeight w:val="153"/>
        </w:trPr>
        <w:tc>
          <w:tcPr>
            <w:tcW w:w="4500" w:type="dxa"/>
            <w:vAlign w:val="bottom"/>
          </w:tcPr>
          <w:p>
            <w:pPr>
              <w:ind w:left="200"/>
              <w:spacing w:after="0"/>
              <w:rPr>
                <w:sz w:val="20"/>
                <w:szCs w:val="20"/>
                <w:color w:val="auto"/>
              </w:rPr>
            </w:pPr>
            <w:r>
              <w:rPr>
                <w:rFonts w:ascii="Arial" w:cs="Arial" w:eastAsia="Arial" w:hAnsi="Arial"/>
                <w:sz w:val="11"/>
                <w:szCs w:val="11"/>
                <w:color w:val="auto"/>
              </w:rPr>
              <w:t>Financing leases</w:t>
            </w:r>
          </w:p>
        </w:tc>
        <w:tc>
          <w:tcPr>
            <w:tcW w:w="218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1.8</w:t>
            </w:r>
          </w:p>
        </w:tc>
        <w:tc>
          <w:tcPr>
            <w:tcW w:w="84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2.4</w:t>
            </w:r>
          </w:p>
        </w:tc>
        <w:tc>
          <w:tcPr>
            <w:tcW w:w="8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1" w:lineRule="exact"/>
        <w:rPr>
          <w:sz w:val="20"/>
          <w:szCs w:val="20"/>
          <w:color w:val="auto"/>
        </w:rPr>
      </w:pPr>
    </w:p>
    <w:p>
      <w:pPr>
        <w:ind w:right="520"/>
        <w:spacing w:after="0" w:line="264" w:lineRule="auto"/>
        <w:rPr>
          <w:sz w:val="20"/>
          <w:szCs w:val="20"/>
          <w:color w:val="auto"/>
        </w:rPr>
      </w:pPr>
      <w:r>
        <w:rPr>
          <w:rFonts w:ascii="Arial" w:cs="Arial" w:eastAsia="Arial" w:hAnsi="Arial"/>
          <w:sz w:val="13"/>
          <w:szCs w:val="13"/>
          <w:b w:val="1"/>
          <w:bCs w:val="1"/>
          <w:color w:val="auto"/>
        </w:rPr>
        <w:t xml:space="preserve">Consolidated Statements of Changes in Shareholders' Equity </w:t>
      </w:r>
      <w:r>
        <w:rPr>
          <w:rFonts w:ascii="Arial" w:cs="Arial" w:eastAsia="Arial" w:hAnsi="Arial"/>
          <w:sz w:val="13"/>
          <w:szCs w:val="13"/>
          <w:color w:val="auto"/>
        </w:rPr>
        <w:t>(in millions, except per share data)</w:t>
      </w:r>
    </w:p>
    <w:p>
      <w:pPr>
        <w:spacing w:after="0" w:line="194" w:lineRule="exact"/>
        <w:rPr>
          <w:sz w:val="20"/>
          <w:szCs w:val="20"/>
          <w:color w:val="auto"/>
        </w:rPr>
      </w:pPr>
    </w:p>
    <w:p>
      <w:pPr>
        <w:ind w:left="3160"/>
        <w:spacing w:after="0"/>
        <w:rPr>
          <w:sz w:val="20"/>
          <w:szCs w:val="20"/>
          <w:color w:val="auto"/>
        </w:rPr>
      </w:pPr>
      <w:r>
        <w:rPr>
          <w:rFonts w:ascii="Arial" w:cs="Arial" w:eastAsia="Arial" w:hAnsi="Arial"/>
          <w:sz w:val="11"/>
          <w:szCs w:val="11"/>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17780</wp:posOffset>
            </wp:positionV>
            <wp:extent cx="11588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58875" cy="6985"/>
                    </a:xfrm>
                    <a:prstGeom prst="rect">
                      <a:avLst/>
                    </a:prstGeom>
                    <a:noFill/>
                  </pic:spPr>
                </pic:pic>
              </a:graphicData>
            </a:graphic>
          </wp:anchor>
        </w:drawing>
      </w:r>
    </w:p>
    <w:p>
      <w:pPr>
        <w:spacing w:after="0" w:line="23" w:lineRule="exact"/>
        <w:rPr>
          <w:sz w:val="20"/>
          <w:szCs w:val="20"/>
          <w:color w:val="auto"/>
        </w:rPr>
      </w:pPr>
    </w:p>
    <w:p>
      <w:pPr>
        <w:jc w:val="both"/>
        <w:ind w:left="2900"/>
        <w:spacing w:after="0"/>
        <w:tabs>
          <w:tab w:leader="none" w:pos="3780" w:val="left"/>
        </w:tabs>
        <w:rPr>
          <w:sz w:val="20"/>
          <w:szCs w:val="20"/>
          <w:color w:val="auto"/>
        </w:rPr>
      </w:pPr>
      <w:r>
        <w:rPr>
          <w:rFonts w:ascii="Arial" w:cs="Arial" w:eastAsia="Arial" w:hAnsi="Arial"/>
          <w:sz w:val="11"/>
          <w:szCs w:val="11"/>
          <w:b w:val="1"/>
          <w:bCs w:val="1"/>
          <w:color w:val="auto"/>
        </w:rPr>
        <w:t>Number</w:t>
      </w:r>
      <w:r>
        <w:rPr>
          <w:sz w:val="20"/>
          <w:szCs w:val="20"/>
          <w:color w:val="auto"/>
        </w:rPr>
        <w:tab/>
      </w:r>
      <w:r>
        <w:rPr>
          <w:rFonts w:ascii="Arial" w:cs="Arial" w:eastAsia="Arial" w:hAnsi="Arial"/>
          <w:sz w:val="11"/>
          <w:szCs w:val="11"/>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60" w:type="dxa"/>
            <w:vAlign w:val="bottom"/>
          </w:tcPr>
          <w:p>
            <w:pPr>
              <w:jc w:val="center"/>
              <w:ind w:left="5"/>
              <w:spacing w:after="0"/>
              <w:rPr>
                <w:sz w:val="20"/>
                <w:szCs w:val="20"/>
                <w:color w:val="auto"/>
              </w:rPr>
            </w:pPr>
            <w:r>
              <w:rPr>
                <w:rFonts w:ascii="Arial" w:cs="Arial" w:eastAsia="Arial" w:hAnsi="Arial"/>
                <w:sz w:val="11"/>
                <w:szCs w:val="11"/>
                <w:b w:val="1"/>
                <w:bCs w:val="1"/>
                <w:color w:val="auto"/>
              </w:rPr>
              <w:t>Accumulated Other</w:t>
            </w:r>
          </w:p>
        </w:tc>
        <w:tc>
          <w:tcPr>
            <w:tcW w:w="182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Treasury Stock</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20" w:type="dxa"/>
            <w:vAlign w:val="bottom"/>
          </w:tcPr>
          <w:p>
            <w:pPr>
              <w:jc w:val="center"/>
              <w:ind w:right="106"/>
              <w:spacing w:after="0" w:line="91" w:lineRule="exact"/>
              <w:rPr>
                <w:sz w:val="20"/>
                <w:szCs w:val="20"/>
                <w:color w:val="auto"/>
              </w:rPr>
            </w:pPr>
            <w:r>
              <w:rPr>
                <w:rFonts w:ascii="Arial" w:cs="Arial" w:eastAsia="Arial" w:hAnsi="Arial"/>
                <w:sz w:val="10"/>
                <w:szCs w:val="10"/>
                <w:b w:val="1"/>
                <w:bCs w:val="1"/>
                <w:color w:val="auto"/>
              </w:rPr>
              <w:t>Additional Paid-</w:t>
            </w:r>
          </w:p>
        </w:tc>
        <w:tc>
          <w:tcPr>
            <w:tcW w:w="820" w:type="dxa"/>
            <w:vAlign w:val="bottom"/>
          </w:tcPr>
          <w:p>
            <w:pPr>
              <w:ind w:left="160"/>
              <w:spacing w:after="0" w:line="91" w:lineRule="exact"/>
              <w:rPr>
                <w:sz w:val="20"/>
                <w:szCs w:val="20"/>
                <w:color w:val="auto"/>
              </w:rPr>
            </w:pPr>
            <w:r>
              <w:rPr>
                <w:rFonts w:ascii="Arial" w:cs="Arial" w:eastAsia="Arial" w:hAnsi="Arial"/>
                <w:sz w:val="10"/>
                <w:szCs w:val="10"/>
                <w:b w:val="1"/>
                <w:bCs w:val="1"/>
                <w:color w:val="auto"/>
              </w:rPr>
              <w:t>Retained</w:t>
            </w:r>
          </w:p>
        </w:tc>
        <w:tc>
          <w:tcPr>
            <w:tcW w:w="1560" w:type="dxa"/>
            <w:vAlign w:val="bottom"/>
          </w:tcPr>
          <w:p>
            <w:pPr>
              <w:jc w:val="center"/>
              <w:ind w:left="5"/>
              <w:spacing w:after="0" w:line="91" w:lineRule="exact"/>
              <w:rPr>
                <w:sz w:val="20"/>
                <w:szCs w:val="20"/>
                <w:color w:val="auto"/>
              </w:rPr>
            </w:pPr>
            <w:r>
              <w:rPr>
                <w:rFonts w:ascii="Arial" w:cs="Arial" w:eastAsia="Arial" w:hAnsi="Arial"/>
                <w:sz w:val="10"/>
                <w:szCs w:val="10"/>
                <w:b w:val="1"/>
                <w:bCs w:val="1"/>
                <w:color w:val="auto"/>
              </w:rPr>
              <w:t>Comprehensive Income</w:t>
            </w:r>
          </w:p>
        </w:tc>
        <w:tc>
          <w:tcPr>
            <w:tcW w:w="1820" w:type="dxa"/>
            <w:vAlign w:val="bottom"/>
            <w:tcBorders>
              <w:bottom w:val="single" w:sz="8" w:color="auto"/>
            </w:tcBorders>
            <w:gridSpan w:val="2"/>
            <w:vMerge w:val="continue"/>
          </w:tcPr>
          <w:p>
            <w:pPr>
              <w:spacing w:after="0"/>
              <w:rPr>
                <w:sz w:val="7"/>
                <w:szCs w:val="7"/>
                <w:color w:val="auto"/>
              </w:rPr>
            </w:pPr>
          </w:p>
        </w:tc>
        <w:tc>
          <w:tcPr>
            <w:tcW w:w="1240" w:type="dxa"/>
            <w:vAlign w:val="bottom"/>
          </w:tcPr>
          <w:p>
            <w:pPr>
              <w:jc w:val="center"/>
              <w:ind w:left="146"/>
              <w:spacing w:after="0" w:line="91" w:lineRule="exact"/>
              <w:rPr>
                <w:sz w:val="20"/>
                <w:szCs w:val="20"/>
                <w:color w:val="auto"/>
              </w:rPr>
            </w:pPr>
            <w:r>
              <w:rPr>
                <w:rFonts w:ascii="Arial" w:cs="Arial" w:eastAsia="Arial" w:hAnsi="Arial"/>
                <w:sz w:val="10"/>
                <w:szCs w:val="10"/>
                <w:b w:val="1"/>
                <w:bCs w:val="1"/>
                <w:color w:val="auto"/>
              </w:rPr>
              <w:t>Total Shareholders'</w:t>
            </w:r>
          </w:p>
        </w:tc>
        <w:tc>
          <w:tcPr>
            <w:tcW w:w="0" w:type="dxa"/>
            <w:vAlign w:val="bottom"/>
          </w:tcPr>
          <w:p>
            <w:pPr>
              <w:spacing w:after="0"/>
              <w:rPr>
                <w:sz w:val="1"/>
                <w:szCs w:val="1"/>
                <w:color w:val="auto"/>
              </w:rPr>
            </w:pPr>
          </w:p>
        </w:tc>
      </w:tr>
      <w:tr>
        <w:trPr>
          <w:trHeight w:val="150"/>
        </w:trPr>
        <w:tc>
          <w:tcPr>
            <w:tcW w:w="1020" w:type="dxa"/>
            <w:vAlign w:val="bottom"/>
          </w:tcPr>
          <w:p>
            <w:pPr>
              <w:jc w:val="center"/>
              <w:ind w:right="106"/>
              <w:spacing w:after="0"/>
              <w:rPr>
                <w:sz w:val="20"/>
                <w:szCs w:val="20"/>
                <w:color w:val="auto"/>
              </w:rPr>
            </w:pPr>
            <w:r>
              <w:rPr>
                <w:rFonts w:ascii="Arial" w:cs="Arial" w:eastAsia="Arial" w:hAnsi="Arial"/>
                <w:sz w:val="11"/>
                <w:szCs w:val="11"/>
                <w:b w:val="1"/>
                <w:bCs w:val="1"/>
                <w:color w:val="auto"/>
              </w:rPr>
              <w:t>In Capital</w:t>
            </w:r>
          </w:p>
        </w:tc>
        <w:tc>
          <w:tcPr>
            <w:tcW w:w="820" w:type="dxa"/>
            <w:vAlign w:val="bottom"/>
          </w:tcPr>
          <w:p>
            <w:pPr>
              <w:ind w:left="160"/>
              <w:spacing w:after="0"/>
              <w:rPr>
                <w:sz w:val="20"/>
                <w:szCs w:val="20"/>
                <w:color w:val="auto"/>
              </w:rPr>
            </w:pPr>
            <w:r>
              <w:rPr>
                <w:rFonts w:ascii="Arial" w:cs="Arial" w:eastAsia="Arial" w:hAnsi="Arial"/>
                <w:sz w:val="11"/>
                <w:szCs w:val="11"/>
                <w:b w:val="1"/>
                <w:bCs w:val="1"/>
                <w:color w:val="auto"/>
              </w:rPr>
              <w:t>Earnings</w:t>
            </w:r>
          </w:p>
        </w:tc>
        <w:tc>
          <w:tcPr>
            <w:tcW w:w="1560" w:type="dxa"/>
            <w:vAlign w:val="bottom"/>
          </w:tcPr>
          <w:p>
            <w:pPr>
              <w:jc w:val="center"/>
              <w:ind w:left="5"/>
              <w:spacing w:after="0"/>
              <w:rPr>
                <w:sz w:val="20"/>
                <w:szCs w:val="20"/>
                <w:color w:val="auto"/>
              </w:rPr>
            </w:pPr>
            <w:r>
              <w:rPr>
                <w:rFonts w:ascii="Arial" w:cs="Arial" w:eastAsia="Arial" w:hAnsi="Arial"/>
                <w:sz w:val="11"/>
                <w:szCs w:val="11"/>
                <w:b w:val="1"/>
                <w:bCs w:val="1"/>
                <w:color w:val="auto"/>
              </w:rPr>
              <w:t>(Loss)</w:t>
            </w:r>
          </w:p>
        </w:tc>
        <w:tc>
          <w:tcPr>
            <w:tcW w:w="860" w:type="dxa"/>
            <w:vAlign w:val="bottom"/>
          </w:tcPr>
          <w:p>
            <w:pPr>
              <w:ind w:left="200"/>
              <w:spacing w:after="0"/>
              <w:rPr>
                <w:sz w:val="20"/>
                <w:szCs w:val="20"/>
                <w:color w:val="auto"/>
              </w:rPr>
            </w:pPr>
            <w:r>
              <w:rPr>
                <w:rFonts w:ascii="Arial" w:cs="Arial" w:eastAsia="Arial" w:hAnsi="Arial"/>
                <w:sz w:val="11"/>
                <w:szCs w:val="11"/>
                <w:b w:val="1"/>
                <w:bCs w:val="1"/>
                <w:color w:val="auto"/>
              </w:rPr>
              <w:t>Number</w:t>
            </w:r>
          </w:p>
        </w:tc>
        <w:tc>
          <w:tcPr>
            <w:tcW w:w="960" w:type="dxa"/>
            <w:vAlign w:val="bottom"/>
          </w:tcPr>
          <w:p>
            <w:pPr>
              <w:ind w:left="260"/>
              <w:spacing w:after="0"/>
              <w:rPr>
                <w:sz w:val="20"/>
                <w:szCs w:val="20"/>
                <w:color w:val="auto"/>
              </w:rPr>
            </w:pPr>
            <w:r>
              <w:rPr>
                <w:rFonts w:ascii="Arial" w:cs="Arial" w:eastAsia="Arial" w:hAnsi="Arial"/>
                <w:sz w:val="11"/>
                <w:szCs w:val="11"/>
                <w:b w:val="1"/>
                <w:bCs w:val="1"/>
                <w:color w:val="auto"/>
              </w:rPr>
              <w:t>Amount</w:t>
            </w:r>
          </w:p>
        </w:tc>
        <w:tc>
          <w:tcPr>
            <w:tcW w:w="1240" w:type="dxa"/>
            <w:vAlign w:val="bottom"/>
          </w:tcPr>
          <w:p>
            <w:pPr>
              <w:jc w:val="center"/>
              <w:ind w:left="1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240" w:space="340"/>
            <w:col w:w="6660"/>
          </w:cols>
          <w:pgMar w:left="300" w:top="129" w:right="359" w:bottom="1440" w:gutter="0" w:footer="0" w:header="0"/>
        </w:sectPr>
      </w:pPr>
    </w:p>
    <w:tbl>
      <w:tblPr>
        <w:tblLayout w:type="fixed"/>
        <w:tblInd w:w="0" w:type="dxa"/>
        <w:tblCellMar>
          <w:top w:w="0" w:type="dxa"/>
          <w:left w:w="0" w:type="dxa"/>
          <w:bottom w:w="0" w:type="dxa"/>
          <w:right w:w="0" w:type="dxa"/>
        </w:tblCellMar>
      </w:tblPr>
      <w:tr>
        <w:trPr>
          <w:trHeight w:val="150"/>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Balances at August 28,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218.5</w:t>
            </w:r>
          </w:p>
        </w:tc>
        <w:tc>
          <w:tcPr>
            <w:tcW w:w="32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1,173.0</w:t>
            </w:r>
          </w:p>
        </w:tc>
        <w:tc>
          <w:tcPr>
            <w:tcW w:w="660" w:type="dxa"/>
            <w:vAlign w:val="bottom"/>
            <w:tcBorders>
              <w:top w:val="single" w:sz="8" w:color="auto"/>
            </w:tcBorders>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rPr>
              <w:t>(0.5)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36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(360.0)</w:t>
            </w:r>
          </w:p>
        </w:tc>
        <w:tc>
          <w:tcPr>
            <w:tcW w:w="540" w:type="dxa"/>
            <w:vAlign w:val="bottom"/>
            <w:tcBorders>
              <w:top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1,056.9</w:t>
            </w: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17.1</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24"/>
        </w:trPr>
        <w:tc>
          <w:tcPr>
            <w:tcW w:w="26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3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3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5.4</w:t>
            </w:r>
          </w:p>
        </w:tc>
        <w:tc>
          <w:tcPr>
            <w:tcW w:w="5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color w:val="auto"/>
              </w:rPr>
              <w:t>based awards, net</w:t>
            </w:r>
          </w:p>
        </w:tc>
        <w:tc>
          <w:tcPr>
            <w:tcW w:w="820" w:type="dxa"/>
            <w:vAlign w:val="bottom"/>
            <w:tcBorders>
              <w:bottom w:val="single" w:sz="8" w:color="CCEEFF"/>
            </w:tcBorders>
            <w:vMerge w:val="continue"/>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Issuance of stock for acquisition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14.7</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0.4</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7.3</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22.0</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stock for settlement of earnout liability</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(3.6)</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(214.3)</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(214.3)</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 declared; $0.81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w:t>
            </w: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Other</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0.7</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0.1</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390.6</w:t>
            </w:r>
          </w:p>
        </w:tc>
        <w:tc>
          <w:tcPr>
            <w:tcW w:w="6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390.6</w:t>
            </w:r>
          </w:p>
        </w:tc>
        <w:tc>
          <w:tcPr>
            <w:tcW w:w="0" w:type="dxa"/>
            <w:vAlign w:val="bottom"/>
          </w:tcPr>
          <w:p>
            <w:pPr>
              <w:spacing w:after="0"/>
              <w:rPr>
                <w:sz w:val="1"/>
                <w:szCs w:val="1"/>
                <w:color w:val="auto"/>
              </w:rPr>
            </w:pPr>
          </w:p>
        </w:tc>
      </w:tr>
      <w:tr>
        <w:trPr>
          <w:trHeight w:val="147"/>
        </w:trPr>
        <w:tc>
          <w:tcPr>
            <w:tcW w:w="2680" w:type="dxa"/>
            <w:vAlign w:val="bottom"/>
          </w:tcPr>
          <w:p>
            <w:pPr>
              <w:ind w:left="20"/>
              <w:spacing w:after="0"/>
              <w:rPr>
                <w:sz w:val="20"/>
                <w:szCs w:val="20"/>
                <w:color w:val="auto"/>
              </w:rPr>
            </w:pPr>
            <w:r>
              <w:rPr>
                <w:rFonts w:ascii="Arial" w:cs="Arial" w:eastAsia="Arial" w:hAnsi="Arial"/>
                <w:sz w:val="11"/>
                <w:szCs w:val="11"/>
                <w:color w:val="auto"/>
              </w:rPr>
              <w:t>Balances at August 27, 2022</w:t>
            </w:r>
          </w:p>
        </w:tc>
        <w:tc>
          <w:tcPr>
            <w:tcW w:w="820" w:type="dxa"/>
            <w:vAlign w:val="bottom"/>
          </w:tcPr>
          <w:p>
            <w:pPr>
              <w:jc w:val="right"/>
              <w:spacing w:after="0"/>
              <w:rPr>
                <w:sz w:val="20"/>
                <w:szCs w:val="20"/>
                <w:color w:val="auto"/>
              </w:rPr>
            </w:pPr>
            <w:r>
              <w:rPr>
                <w:rFonts w:ascii="Arial" w:cs="Arial" w:eastAsia="Arial" w:hAnsi="Arial"/>
                <w:sz w:val="11"/>
                <w:szCs w:val="11"/>
                <w:color w:val="auto"/>
              </w:rPr>
              <w:t>51.8</w:t>
            </w:r>
          </w:p>
        </w:tc>
        <w:tc>
          <w:tcPr>
            <w:tcW w:w="42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25.9</w:t>
            </w:r>
          </w:p>
        </w:tc>
        <w:tc>
          <w:tcPr>
            <w:tcW w:w="3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256.3</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1,537.5</w:t>
            </w: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203"/>
              <w:spacing w:after="0"/>
              <w:rPr>
                <w:sz w:val="20"/>
                <w:szCs w:val="20"/>
                <w:color w:val="auto"/>
              </w:rPr>
            </w:pPr>
            <w:r>
              <w:rPr>
                <w:rFonts w:ascii="Arial" w:cs="Arial" w:eastAsia="Arial" w:hAnsi="Arial"/>
                <w:sz w:val="11"/>
                <w:szCs w:val="11"/>
                <w:color w:val="auto"/>
              </w:rPr>
              <w:t>(0.5)</w:t>
            </w:r>
          </w:p>
        </w:tc>
        <w:tc>
          <w:tcPr>
            <w:tcW w:w="580" w:type="dxa"/>
            <w:vAlign w:val="bottom"/>
          </w:tcPr>
          <w:p>
            <w:pPr>
              <w:jc w:val="right"/>
              <w:spacing w:after="0"/>
              <w:rPr>
                <w:sz w:val="20"/>
                <w:szCs w:val="20"/>
                <w:color w:val="auto"/>
              </w:rPr>
            </w:pPr>
            <w:r>
              <w:rPr>
                <w:rFonts w:ascii="Arial" w:cs="Arial" w:eastAsia="Arial" w:hAnsi="Arial"/>
                <w:sz w:val="11"/>
                <w:szCs w:val="11"/>
                <w:color w:val="auto"/>
              </w:rPr>
              <w:t>(21.5)</w:t>
            </w: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(556.2)</w:t>
            </w: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1,263.0</w:t>
            </w:r>
          </w:p>
        </w:tc>
        <w:tc>
          <w:tcPr>
            <w:tcW w:w="0" w:type="dxa"/>
            <w:vAlign w:val="bottom"/>
          </w:tcPr>
          <w:p>
            <w:pPr>
              <w:spacing w:after="0"/>
              <w:rPr>
                <w:sz w:val="1"/>
                <w:szCs w:val="1"/>
                <w:color w:val="auto"/>
              </w:rPr>
            </w:pPr>
          </w:p>
        </w:tc>
      </w:tr>
      <w:tr>
        <w:trPr>
          <w:trHeight w:val="124"/>
        </w:trPr>
        <w:tc>
          <w:tcPr>
            <w:tcW w:w="26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Adoption of Accounting Standards Update ("ASU")</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3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66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(33.0)</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color w:val="auto"/>
              </w:rPr>
              <w:t>2020-06</w:t>
            </w:r>
          </w:p>
        </w:tc>
        <w:tc>
          <w:tcPr>
            <w:tcW w:w="820" w:type="dxa"/>
            <w:vAlign w:val="bottom"/>
            <w:tcBorders>
              <w:bottom w:val="single" w:sz="8" w:color="CCEEFF"/>
            </w:tcBorders>
            <w:vMerge w:val="continue"/>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10.9</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24"/>
        </w:trPr>
        <w:tc>
          <w:tcPr>
            <w:tcW w:w="26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3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3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8.4</w:t>
            </w:r>
          </w:p>
        </w:tc>
        <w:tc>
          <w:tcPr>
            <w:tcW w:w="5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color w:val="auto"/>
              </w:rPr>
              <w:t>based awards, net</w:t>
            </w:r>
          </w:p>
        </w:tc>
        <w:tc>
          <w:tcPr>
            <w:tcW w:w="820" w:type="dxa"/>
            <w:vAlign w:val="bottom"/>
            <w:tcBorders>
              <w:bottom w:val="single" w:sz="8" w:color="CCEEFF"/>
            </w:tcBorders>
            <w:vMerge w:val="continue"/>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(0.3)</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(0.9)</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(55.1)</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(55.4)</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 declared; $1.12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w:t>
            </w: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Other comprehensive income</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0.1</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215.9</w:t>
            </w:r>
          </w:p>
        </w:tc>
        <w:tc>
          <w:tcPr>
            <w:tcW w:w="6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215.9</w:t>
            </w:r>
          </w:p>
        </w:tc>
        <w:tc>
          <w:tcPr>
            <w:tcW w:w="0" w:type="dxa"/>
            <w:vAlign w:val="bottom"/>
          </w:tcPr>
          <w:p>
            <w:pPr>
              <w:spacing w:after="0"/>
              <w:rPr>
                <w:sz w:val="1"/>
                <w:szCs w:val="1"/>
                <w:color w:val="auto"/>
              </w:rPr>
            </w:pPr>
          </w:p>
        </w:tc>
      </w:tr>
      <w:tr>
        <w:trPr>
          <w:trHeight w:val="147"/>
        </w:trPr>
        <w:tc>
          <w:tcPr>
            <w:tcW w:w="2680" w:type="dxa"/>
            <w:vAlign w:val="bottom"/>
          </w:tcPr>
          <w:p>
            <w:pPr>
              <w:ind w:left="20"/>
              <w:spacing w:after="0"/>
              <w:rPr>
                <w:sz w:val="20"/>
                <w:szCs w:val="20"/>
                <w:color w:val="auto"/>
              </w:rPr>
            </w:pPr>
            <w:r>
              <w:rPr>
                <w:rFonts w:ascii="Arial" w:cs="Arial" w:eastAsia="Arial" w:hAnsi="Arial"/>
                <w:sz w:val="11"/>
                <w:szCs w:val="11"/>
                <w:color w:val="auto"/>
              </w:rPr>
              <w:t>Balances at August 26, 2023</w:t>
            </w:r>
          </w:p>
        </w:tc>
        <w:tc>
          <w:tcPr>
            <w:tcW w:w="820" w:type="dxa"/>
            <w:vAlign w:val="bottom"/>
          </w:tcPr>
          <w:p>
            <w:pPr>
              <w:jc w:val="right"/>
              <w:spacing w:after="0"/>
              <w:rPr>
                <w:sz w:val="20"/>
                <w:szCs w:val="20"/>
                <w:color w:val="auto"/>
              </w:rPr>
            </w:pPr>
            <w:r>
              <w:rPr>
                <w:rFonts w:ascii="Arial" w:cs="Arial" w:eastAsia="Arial" w:hAnsi="Arial"/>
                <w:sz w:val="11"/>
                <w:szCs w:val="11"/>
                <w:color w:val="auto"/>
              </w:rPr>
              <w:t>51.8</w:t>
            </w:r>
          </w:p>
        </w:tc>
        <w:tc>
          <w:tcPr>
            <w:tcW w:w="42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25.9</w:t>
            </w:r>
          </w:p>
        </w:tc>
        <w:tc>
          <w:tcPr>
            <w:tcW w:w="38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197.7</w:t>
            </w: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1,747.8</w:t>
            </w: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203"/>
              <w:spacing w:after="0"/>
              <w:rPr>
                <w:sz w:val="20"/>
                <w:szCs w:val="20"/>
                <w:color w:val="auto"/>
              </w:rPr>
            </w:pPr>
            <w:r>
              <w:rPr>
                <w:rFonts w:ascii="Arial" w:cs="Arial" w:eastAsia="Arial" w:hAnsi="Arial"/>
                <w:sz w:val="11"/>
                <w:szCs w:val="11"/>
                <w:color w:val="auto"/>
              </w:rPr>
              <w:t>(0.4)</w:t>
            </w:r>
          </w:p>
        </w:tc>
        <w:tc>
          <w:tcPr>
            <w:tcW w:w="580" w:type="dxa"/>
            <w:vAlign w:val="bottom"/>
          </w:tcPr>
          <w:p>
            <w:pPr>
              <w:jc w:val="right"/>
              <w:spacing w:after="0"/>
              <w:rPr>
                <w:sz w:val="20"/>
                <w:szCs w:val="20"/>
                <w:color w:val="auto"/>
              </w:rPr>
            </w:pPr>
            <w:r>
              <w:rPr>
                <w:rFonts w:ascii="Arial" w:cs="Arial" w:eastAsia="Arial" w:hAnsi="Arial"/>
                <w:sz w:val="11"/>
                <w:szCs w:val="11"/>
                <w:color w:val="auto"/>
              </w:rPr>
              <w:t>(22.0)</w:t>
            </w: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(602.9)</w:t>
            </w:r>
          </w:p>
        </w:tc>
        <w:tc>
          <w:tcPr>
            <w:tcW w:w="540" w:type="dxa"/>
            <w:vAlign w:val="bottom"/>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1,368.1</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Partial repurchase of convertible notes</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Partial unwind of convertible note bond hedge</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55.8</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55.8</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Partial unwind of convertible note warrant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21"/>
        </w:trPr>
        <w:tc>
          <w:tcPr>
            <w:tcW w:w="2680" w:type="dxa"/>
            <w:vAlign w:val="bottom"/>
          </w:tcPr>
          <w:p>
            <w:pPr>
              <w:ind w:left="20"/>
              <w:spacing w:after="0" w:line="121" w:lineRule="exact"/>
              <w:rPr>
                <w:sz w:val="20"/>
                <w:szCs w:val="20"/>
                <w:color w:val="auto"/>
              </w:rPr>
            </w:pPr>
            <w:r>
              <w:rPr>
                <w:rFonts w:ascii="Arial" w:cs="Arial" w:eastAsia="Arial" w:hAnsi="Arial"/>
                <w:sz w:val="11"/>
                <w:szCs w:val="11"/>
                <w:color w:val="auto"/>
              </w:rPr>
              <w:t>Convertible note bond hedge purchase, net of tax of</w:t>
            </w: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(51.9)</w:t>
            </w:r>
          </w:p>
        </w:tc>
        <w:tc>
          <w:tcPr>
            <w:tcW w:w="3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0"/>
                <w:szCs w:val="10"/>
                <w:color w:val="auto"/>
              </w:rPr>
            </w:pPr>
          </w:p>
        </w:tc>
        <w:tc>
          <w:tcPr>
            <w:tcW w:w="108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(51.9)</w:t>
            </w:r>
          </w:p>
        </w:tc>
        <w:tc>
          <w:tcPr>
            <w:tcW w:w="0" w:type="dxa"/>
            <w:vAlign w:val="bottom"/>
          </w:tcPr>
          <w:p>
            <w:pPr>
              <w:spacing w:after="0"/>
              <w:rPr>
                <w:sz w:val="1"/>
                <w:szCs w:val="1"/>
                <w:color w:val="auto"/>
              </w:rPr>
            </w:pPr>
          </w:p>
        </w:tc>
      </w:tr>
      <w:tr>
        <w:trPr>
          <w:trHeight w:val="85"/>
        </w:trPr>
        <w:tc>
          <w:tcPr>
            <w:tcW w:w="2680" w:type="dxa"/>
            <w:vAlign w:val="bottom"/>
            <w:vMerge w:val="restart"/>
          </w:tcPr>
          <w:p>
            <w:pPr>
              <w:ind w:left="20"/>
              <w:spacing w:after="0"/>
              <w:rPr>
                <w:sz w:val="20"/>
                <w:szCs w:val="20"/>
                <w:color w:val="auto"/>
              </w:rPr>
            </w:pPr>
            <w:r>
              <w:rPr>
                <w:rFonts w:ascii="Arial" w:cs="Arial" w:eastAsia="Arial" w:hAnsi="Arial"/>
                <w:sz w:val="11"/>
                <w:szCs w:val="11"/>
                <w:color w:val="auto"/>
              </w:rPr>
              <w:t>$16.8</w:t>
            </w:r>
          </w:p>
        </w:tc>
        <w:tc>
          <w:tcPr>
            <w:tcW w:w="8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6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convertible note warrant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31.3</w:t>
            </w: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31.3</w:t>
            </w: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14.5</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0.1</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24"/>
        </w:trPr>
        <w:tc>
          <w:tcPr>
            <w:tcW w:w="26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Issuance of stock for employee benefit and stock-</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3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3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5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24"/>
        </w:trPr>
        <w:tc>
          <w:tcPr>
            <w:tcW w:w="268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1"/>
                <w:szCs w:val="11"/>
                <w:color w:val="auto"/>
              </w:rPr>
              <w:t>based awards, net</w:t>
            </w:r>
          </w:p>
        </w:tc>
        <w:tc>
          <w:tcPr>
            <w:tcW w:w="820" w:type="dxa"/>
            <w:vAlign w:val="bottom"/>
            <w:tcBorders>
              <w:bottom w:val="single" w:sz="8" w:color="CCEEFF"/>
            </w:tcBorders>
            <w:vMerge w:val="continue"/>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660" w:type="dxa"/>
            <w:vAlign w:val="bottom"/>
            <w:tcBorders>
              <w:bottom w:val="single" w:sz="8" w:color="CCEEFF"/>
            </w:tcBorders>
            <w:shd w:val="clear" w:color="auto" w:fill="CCEEFF"/>
          </w:tcPr>
          <w:p>
            <w:pPr>
              <w:spacing w:after="0"/>
              <w:rPr>
                <w:sz w:val="10"/>
                <w:szCs w:val="10"/>
                <w:color w:val="auto"/>
              </w:rPr>
            </w:pPr>
          </w:p>
        </w:tc>
        <w:tc>
          <w:tcPr>
            <w:tcW w:w="10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(0.6)</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108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(1.3)</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(74.5)</w:t>
            </w: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(75.1)</w:t>
            </w: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dividends declared; $1.27 per share</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w:t>
            </w:r>
          </w:p>
        </w:tc>
        <w:tc>
          <w:tcPr>
            <w:tcW w:w="6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(37.5)</w:t>
            </w:r>
          </w:p>
        </w:tc>
        <w:tc>
          <w:tcPr>
            <w:tcW w:w="0" w:type="dxa"/>
            <w:vAlign w:val="bottom"/>
          </w:tcPr>
          <w:p>
            <w:pPr>
              <w:spacing w:after="0"/>
              <w:rPr>
                <w:sz w:val="1"/>
                <w:szCs w:val="1"/>
                <w:color w:val="auto"/>
              </w:rPr>
            </w:pPr>
          </w:p>
        </w:tc>
      </w:tr>
      <w:tr>
        <w:trPr>
          <w:trHeight w:val="156"/>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6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13.0</w:t>
            </w:r>
          </w:p>
        </w:tc>
        <w:tc>
          <w:tcPr>
            <w:tcW w:w="0" w:type="dxa"/>
            <w:vAlign w:val="bottom"/>
          </w:tcPr>
          <w:p>
            <w:pPr>
              <w:spacing w:after="0"/>
              <w:rPr>
                <w:sz w:val="1"/>
                <w:szCs w:val="1"/>
                <w:color w:val="auto"/>
              </w:rPr>
            </w:pPr>
          </w:p>
        </w:tc>
      </w:tr>
      <w:tr>
        <w:trPr>
          <w:trHeight w:val="175"/>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Balances at August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51.8</w:t>
            </w:r>
          </w:p>
        </w:tc>
        <w:tc>
          <w:tcPr>
            <w:tcW w:w="4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194.2</w:t>
            </w: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1,723.3</w:t>
            </w:r>
          </w:p>
        </w:tc>
        <w:tc>
          <w:tcPr>
            <w:tcW w:w="66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rPr>
              <w:t>(0.4)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(669.7)</w:t>
            </w:r>
          </w:p>
        </w:tc>
        <w:tc>
          <w:tcPr>
            <w:tcW w:w="540" w:type="dxa"/>
            <w:vAlign w:val="bottom"/>
            <w:tcBorders>
              <w:bottom w:val="single" w:sz="8" w:color="auto"/>
            </w:tcBorders>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1,273.3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Winnebago Industries, Inc.</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rPr>
          <w:sz w:val="20"/>
          <w:szCs w:val="20"/>
          <w:color w:val="auto"/>
        </w:rPr>
      </w:pPr>
      <w:r>
        <w:rPr>
          <w:rFonts w:ascii="Arial" w:cs="Arial" w:eastAsia="Arial" w:hAnsi="Arial"/>
          <w:sz w:val="13"/>
          <w:szCs w:val="13"/>
          <w:i w:val="1"/>
          <w:iCs w:val="1"/>
          <w:color w:val="auto"/>
        </w:rPr>
        <w:t>(All amounts are in millions, except share and per share data, unless otherwise designated)</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2"/>
          <w:szCs w:val="12"/>
          <w:b w:val="1"/>
          <w:bCs w:val="1"/>
          <w:color w:val="auto"/>
        </w:rPr>
        <w:t>Basis of Presentation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Nature of Operations</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2"/>
          <w:szCs w:val="12"/>
          <w:color w:val="auto"/>
        </w:rPr>
        <w:t>Winnebago Industries, Inc. is one of the leading North American manufacturers of recreation vehicles ("RVs") and marine products with a diversified portfolio used primarily in leisure travel and outdoor recreational activities. We also design and manufacture advanced battery solutions that deliver “house power,” supporting internal electrical features and appliances for a variety of outdoor products including RVs, boats, specialty and other low-speed vehicles, as well as other industrial applications. Other products manufactured by us consist primarily of original equipment manufacturing parts for other manufacturers and commercial vehicles. We produce our motorhome RV units in Iowa and Indiana; our towable RV units in Indiana; our marine units in Indiana and Florida; and our battery solutions in Florida. We distribute our RV and marine products primarily through independent dealers across the U.S. and Canada, who then retail the products to the end consumer. We also distribute our marine products internationally through independent dealers, who then retail the products to the end consumer. Our battery solutions are primarily sold to customers in the U.S.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Consolidation</w:t>
      </w:r>
    </w:p>
    <w:p>
      <w:pPr>
        <w:spacing w:after="0" w:line="95"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The consolidated financial statements include the accounts of Winnebago Industries, Inc. and its wholly-owned subsidiaries. Intercompany account balances and transactions have been eliminated in consolidation. The use of the terms "Winnebago Industries," "Winnebago," "we," "our," and "us" in this Annual Report on Form 10-K, unless the context otherwise requires, refer to Winnebago Industries, Inc. and its wholly-owned subsidiaries.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Period</w:t>
      </w:r>
    </w:p>
    <w:p>
      <w:pPr>
        <w:spacing w:after="0" w:line="84" w:lineRule="exact"/>
        <w:rPr>
          <w:sz w:val="20"/>
          <w:szCs w:val="20"/>
          <w:color w:val="auto"/>
        </w:rPr>
      </w:pPr>
    </w:p>
    <w:p>
      <w:pPr>
        <w:ind w:right="280"/>
        <w:spacing w:after="0" w:line="283" w:lineRule="auto"/>
        <w:rPr>
          <w:sz w:val="20"/>
          <w:szCs w:val="20"/>
          <w:color w:val="auto"/>
        </w:rPr>
      </w:pPr>
      <w:r>
        <w:rPr>
          <w:rFonts w:ascii="Arial" w:cs="Arial" w:eastAsia="Arial" w:hAnsi="Arial"/>
          <w:sz w:val="13"/>
          <w:szCs w:val="13"/>
          <w:color w:val="auto"/>
        </w:rPr>
        <w:t>We have a 5-4-4 quarterly accounting cycle with the fiscal year ending on the last Saturday in August. All references to Fiscal 2024 refer to the 53-week period ended August 31, 2024. Fiscal 2023 refers to the 52-week period ended August 26, 2023 and Fiscal 2022 refers to the 52-week period ended August 27, 2022.</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84" w:lineRule="exact"/>
        <w:rPr>
          <w:sz w:val="20"/>
          <w:szCs w:val="20"/>
          <w:color w:val="auto"/>
        </w:rPr>
      </w:pPr>
    </w:p>
    <w:p>
      <w:pPr>
        <w:jc w:val="both"/>
        <w:ind w:right="380"/>
        <w:spacing w:after="0" w:line="261" w:lineRule="auto"/>
        <w:rPr>
          <w:sz w:val="20"/>
          <w:szCs w:val="20"/>
          <w:color w:val="auto"/>
        </w:rPr>
      </w:pPr>
      <w:r>
        <w:rPr>
          <w:rFonts w:ascii="Arial" w:cs="Arial" w:eastAsia="Arial" w:hAnsi="Arial"/>
          <w:sz w:val="13"/>
          <w:szCs w:val="13"/>
          <w:color w:val="auto"/>
        </w:rPr>
        <w:t>The preparation of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years. Actual results could differ from those estimates.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and Cash Equivalents</w:t>
      </w:r>
    </w:p>
    <w:p>
      <w:pPr>
        <w:spacing w:after="0" w:line="84"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Cash and cash equivalents represent cash, demand deposits and highly liquid investments with original maturities of three months or less that are not legally restricted. Cash equivalents are recorded at cost, which approximates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Receivables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Receivables consist principally of amounts due from our dealer network for RVs and boats sold.</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We record an allowance using a model to reduce receivables by the expected credit loss and consider factors such as financial condition of the dealer, specific collection issues, current and expected economic conditions, and other factors that may impact our ability to collect. If there is a deterioration of a dealer's financial condition, if we become aware of additional information related to credit worthiness, or if future actual default rates on receivables differ from those currently anticipated, we may adjust the allowance for credit losses, which would affect earnings in the period the adjustments are made.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Inventories</w:t>
      </w:r>
    </w:p>
    <w:p>
      <w:pPr>
        <w:spacing w:after="0" w:line="95" w:lineRule="exact"/>
        <w:rPr>
          <w:sz w:val="20"/>
          <w:szCs w:val="20"/>
          <w:color w:val="auto"/>
        </w:rPr>
      </w:pPr>
    </w:p>
    <w:p>
      <w:pPr>
        <w:ind w:right="240"/>
        <w:spacing w:after="0" w:line="309" w:lineRule="auto"/>
        <w:rPr>
          <w:sz w:val="20"/>
          <w:szCs w:val="20"/>
          <w:color w:val="auto"/>
        </w:rPr>
      </w:pPr>
      <w:r>
        <w:rPr>
          <w:rFonts w:ascii="Arial" w:cs="Arial" w:eastAsia="Arial" w:hAnsi="Arial"/>
          <w:sz w:val="12"/>
          <w:szCs w:val="12"/>
          <w:color w:val="auto"/>
        </w:rPr>
        <w:t>Generally, inventories are stated at the lower of cost or net realizable value determined under the First-in, First-out basis ("FIFO"), except for the Winnebago Motorhome operating segment which is determined using the Last-in, First-out ("LIFO") basis. Manufacturing cost includes materials, labor, and overhead. Unallocated overhead and abnormal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and Equipment</w:t>
      </w:r>
    </w:p>
    <w:p>
      <w:pPr>
        <w:spacing w:after="0" w:line="84"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Asset Class</w:t>
            </w:r>
          </w:p>
        </w:tc>
        <w:tc>
          <w:tcPr>
            <w:tcW w:w="482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Asset Life</w:t>
            </w:r>
          </w:p>
        </w:tc>
      </w:tr>
      <w:tr>
        <w:trPr>
          <w:trHeight w:val="16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Buildings and improvements</w:t>
            </w:r>
          </w:p>
        </w:tc>
        <w:tc>
          <w:tcPr>
            <w:tcW w:w="4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 years</w:t>
            </w:r>
          </w:p>
        </w:tc>
      </w:tr>
      <w:tr>
        <w:trPr>
          <w:trHeight w:val="169"/>
        </w:trPr>
        <w:tc>
          <w:tcPr>
            <w:tcW w:w="6460" w:type="dxa"/>
            <w:vAlign w:val="bottom"/>
          </w:tcPr>
          <w:p>
            <w:pPr>
              <w:ind w:left="20"/>
              <w:spacing w:after="0"/>
              <w:rPr>
                <w:sz w:val="20"/>
                <w:szCs w:val="20"/>
                <w:color w:val="auto"/>
              </w:rPr>
            </w:pPr>
            <w:r>
              <w:rPr>
                <w:rFonts w:ascii="Arial" w:cs="Arial" w:eastAsia="Arial" w:hAnsi="Arial"/>
                <w:sz w:val="13"/>
                <w:szCs w:val="13"/>
                <w:color w:val="auto"/>
              </w:rPr>
              <w:t>Machinery and equipment</w:t>
            </w:r>
          </w:p>
        </w:tc>
        <w:tc>
          <w:tcPr>
            <w:tcW w:w="4820" w:type="dxa"/>
            <w:vAlign w:val="bottom"/>
          </w:tcPr>
          <w:p>
            <w:pPr>
              <w:jc w:val="right"/>
              <w:spacing w:after="0"/>
              <w:rPr>
                <w:sz w:val="20"/>
                <w:szCs w:val="20"/>
                <w:color w:val="auto"/>
              </w:rPr>
            </w:pPr>
            <w:r>
              <w:rPr>
                <w:rFonts w:ascii="Arial" w:cs="Arial" w:eastAsia="Arial" w:hAnsi="Arial"/>
                <w:sz w:val="13"/>
                <w:szCs w:val="13"/>
                <w:color w:val="auto"/>
              </w:rPr>
              <w:t>3-10 years</w:t>
            </w:r>
          </w:p>
        </w:tc>
      </w:tr>
      <w:tr>
        <w:trPr>
          <w:trHeight w:val="171"/>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w:t>
            </w:r>
          </w:p>
        </w:tc>
        <w:tc>
          <w:tcPr>
            <w:tcW w:w="4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 years</w:t>
            </w:r>
          </w:p>
        </w:tc>
      </w:tr>
      <w:tr>
        <w:trPr>
          <w:trHeight w:val="167"/>
        </w:trPr>
        <w:tc>
          <w:tcPr>
            <w:tcW w:w="6460" w:type="dxa"/>
            <w:vAlign w:val="bottom"/>
          </w:tcPr>
          <w:p>
            <w:pPr>
              <w:ind w:left="20"/>
              <w:spacing w:after="0"/>
              <w:rPr>
                <w:sz w:val="20"/>
                <w:szCs w:val="20"/>
                <w:color w:val="auto"/>
              </w:rPr>
            </w:pPr>
            <w:r>
              <w:rPr>
                <w:rFonts w:ascii="Arial" w:cs="Arial" w:eastAsia="Arial" w:hAnsi="Arial"/>
                <w:sz w:val="13"/>
                <w:szCs w:val="13"/>
                <w:color w:val="auto"/>
              </w:rPr>
              <w:t>Transportation equipment</w:t>
            </w:r>
          </w:p>
        </w:tc>
        <w:tc>
          <w:tcPr>
            <w:tcW w:w="4820" w:type="dxa"/>
            <w:vAlign w:val="bottom"/>
          </w:tcPr>
          <w:p>
            <w:pPr>
              <w:jc w:val="right"/>
              <w:spacing w:after="0"/>
              <w:rPr>
                <w:sz w:val="20"/>
                <w:szCs w:val="20"/>
                <w:color w:val="auto"/>
              </w:rPr>
            </w:pPr>
            <w:r>
              <w:rPr>
                <w:rFonts w:ascii="Arial" w:cs="Arial" w:eastAsia="Arial" w:hAnsi="Arial"/>
                <w:sz w:val="13"/>
                <w:szCs w:val="13"/>
                <w:color w:val="auto"/>
              </w:rPr>
              <w:t>5-6 years</w:t>
            </w:r>
          </w:p>
        </w:tc>
      </w:tr>
      <w:tr>
        <w:trPr>
          <w:trHeight w:val="430"/>
        </w:trPr>
        <w:tc>
          <w:tcPr>
            <w:tcW w:w="6460" w:type="dxa"/>
            <w:vAlign w:val="bottom"/>
          </w:tcPr>
          <w:p>
            <w:pPr>
              <w:spacing w:after="0"/>
              <w:rPr>
                <w:sz w:val="20"/>
                <w:szCs w:val="20"/>
                <w:color w:val="auto"/>
              </w:rPr>
            </w:pPr>
            <w:r>
              <w:rPr>
                <w:rFonts w:ascii="Arial" w:cs="Arial" w:eastAsia="Arial" w:hAnsi="Arial"/>
                <w:sz w:val="13"/>
                <w:szCs w:val="13"/>
                <w:b w:val="1"/>
                <w:bCs w:val="1"/>
                <w:color w:val="auto"/>
              </w:rPr>
              <w:t>Goodwill and Indefinite-Lived Intangible Assets</w:t>
            </w:r>
          </w:p>
        </w:tc>
        <w:tc>
          <w:tcPr>
            <w:tcW w:w="4820" w:type="dxa"/>
            <w:vAlign w:val="bottom"/>
          </w:tcPr>
          <w:p>
            <w:pPr>
              <w:spacing w:after="0"/>
              <w:rPr>
                <w:sz w:val="24"/>
                <w:szCs w:val="24"/>
                <w:color w:val="auto"/>
              </w:rPr>
            </w:pPr>
          </w:p>
        </w:tc>
      </w:tr>
      <w:tr>
        <w:trPr>
          <w:trHeight w:val="227"/>
        </w:trPr>
        <w:tc>
          <w:tcPr>
            <w:tcW w:w="6460" w:type="dxa"/>
            <w:vAlign w:val="bottom"/>
          </w:tcPr>
          <w:p>
            <w:pPr>
              <w:spacing w:after="0"/>
              <w:rPr>
                <w:sz w:val="20"/>
                <w:szCs w:val="20"/>
                <w:color w:val="auto"/>
              </w:rPr>
            </w:pPr>
            <w:r>
              <w:rPr>
                <w:rFonts w:ascii="Arial" w:cs="Arial" w:eastAsia="Arial" w:hAnsi="Arial"/>
                <w:sz w:val="13"/>
                <w:szCs w:val="13"/>
                <w:i w:val="1"/>
                <w:iCs w:val="1"/>
                <w:color w:val="auto"/>
              </w:rPr>
              <w:t>Goodwill</w:t>
            </w:r>
          </w:p>
        </w:tc>
        <w:tc>
          <w:tcPr>
            <w:tcW w:w="4820" w:type="dxa"/>
            <w:vAlign w:val="bottom"/>
          </w:tcPr>
          <w:p>
            <w:pPr>
              <w:spacing w:after="0"/>
              <w:rPr>
                <w:sz w:val="19"/>
                <w:szCs w:val="19"/>
                <w:color w:val="auto"/>
              </w:rPr>
            </w:pPr>
          </w:p>
        </w:tc>
      </w:tr>
    </w:tbl>
    <w:p>
      <w:pPr>
        <w:spacing w:after="0" w:line="77" w:lineRule="exact"/>
        <w:rPr>
          <w:sz w:val="20"/>
          <w:szCs w:val="20"/>
          <w:color w:val="auto"/>
        </w:rPr>
      </w:pPr>
    </w:p>
    <w:p>
      <w:pPr>
        <w:ind w:right="140"/>
        <w:spacing w:after="0" w:line="252" w:lineRule="auto"/>
        <w:rPr>
          <w:sz w:val="20"/>
          <w:szCs w:val="20"/>
          <w:color w:val="auto"/>
        </w:rPr>
      </w:pPr>
      <w:r>
        <w:rPr>
          <w:rFonts w:ascii="Arial" w:cs="Arial" w:eastAsia="Arial" w:hAnsi="Arial"/>
          <w:sz w:val="13"/>
          <w:szCs w:val="13"/>
          <w:color w:val="auto"/>
        </w:rPr>
        <w:t>Goodwill is tested for impairment at least annually, during the fourth quarter and whenever events occur or circumstances change that would indicate the carrying value may not be recoverable. Impairment testing for goodwill is performed at a reporting unit level and all goodwill is assigned to a reporting unit. Our reporting units are the same as the operating segments as defined in Note 3 in the Notes to Consolidated Financial Statements, included in Item 8 of Part II in this Annual Report on Form 10-K.</w:t>
      </w:r>
    </w:p>
    <w:p>
      <w:pPr>
        <w:spacing w:after="0" w:line="176"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We have the option to first assess qualitative factors to determine whether the fair value of a reporting unit is “more likely than not” less than its carrying value. If it is more likely than not that an impairment has occurred, we then perform the quantitative goodwill impairment test. We also generally perform a quantitative impairment test of our reporting units at least once every five years. If we perform the quantitative test, the carrying value of the reporting unit is compared to an estimate of the reporting unit’s fair value to identify impairment. The estimate of the reporting unit’s fair value involves significant unobservable inputs (Level 3 inputs). The fair value is determined by a blend of the income approach (discounted future cash flow) and market approach (guideline public company) using current industry information. In determining the estimated future cash flow, we consider and apply certain estimates and judgments, including current and projected future levels of income based on management plans, business trends, prospects, market and economic conditions, and market-participant considerations. If the quantitative assessment of goodwill impairment fails, an impairment loss equal to the amount that a reporting unit's carrying value exceeds its fair value will be recognized.</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During the fourth quarter of Fiscal 2024, we completed our annual goodwill impairment testing. We elected to rely on a qualitative assessment for the Grand Design, Barletta, and Lithionics reporting units, and performed a quantitative analysis for the Chris-Craft and Newmar reporting units. The results of our goodwill impairment testing indicated that the carrying value of the Chris-Craft reporting unit exceeded its fair value, resulting in a $30.3 million impairment charge, which represents the full goodwill balance attributable to the reporting unit. No impairment was identified for the fiscal years ended August 26, 2023 or August 27, 2022. For further information regarding the Fiscal 2024 impairment charge, refer to Note 7 in the Notes to Consolidated Financial Statements, included in Item 8 of Part II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Trade names</w:t>
      </w:r>
    </w:p>
    <w:p>
      <w:pPr>
        <w:spacing w:after="0" w:line="93" w:lineRule="exact"/>
        <w:rPr>
          <w:sz w:val="20"/>
          <w:szCs w:val="20"/>
          <w:color w:val="auto"/>
        </w:rPr>
      </w:pPr>
    </w:p>
    <w:p>
      <w:pPr>
        <w:ind w:right="40"/>
        <w:spacing w:after="0" w:line="275" w:lineRule="auto"/>
        <w:rPr>
          <w:sz w:val="20"/>
          <w:szCs w:val="20"/>
          <w:color w:val="auto"/>
        </w:rPr>
      </w:pPr>
      <w:r>
        <w:rPr>
          <w:rFonts w:ascii="Arial" w:cs="Arial" w:eastAsia="Arial" w:hAnsi="Arial"/>
          <w:sz w:val="12"/>
          <w:szCs w:val="12"/>
          <w:color w:val="auto"/>
        </w:rPr>
        <w:t>We have indefinite-lived intangible assets related to the Newmar trade name within the Motorhome RV segment, the Grand Design trade name within the Towable RV segment, and the Chris-Craft and Barletta trade names within the Marine segment. We also have a finite-lived trade name intangible asset related to Lithionics within Corporate / All Other. Annually in the fourth quarter, or if conditions indicate an interim review is necessary, we test indefinite-lived trade names for impairment. We have the option to first assess qualitative factors to determine whether the fair value of a trade name is “more likely than not” less than its carrying value. If it is more likely than not that an impairment has occurred, we then perform the quantitative impairment test. If we perform the quantitative test, the carrying value of the asset is compared to an estimate of its fair value to identify impairment. The fair value is determined by the relief-from-royalty method, which requires significant judgment. Actual results may differ from assumed and estimated amounts utilized in the analysis. If we conclude an impairment exists, the asset's carrying value will be written down to its fair value.</w:t>
      </w:r>
    </w:p>
    <w:p>
      <w:pPr>
        <w:spacing w:after="0" w:line="155"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During the fourth quarter of Fiscal 2024, we completed the annual impairment testing for indefinite-lived intangible assets. We elected to rely on a qualitative assessment for the Grand Design, and Barletta trade names, and performed a quantitative analysis for the Chris-Craft and Newmar trade names. No impairment was identified for the fiscal years ended August 31, 2024, August 26, 2023, or August 27, 2022.</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Long-Lived Assets</w:t>
      </w:r>
    </w:p>
    <w:p>
      <w:pPr>
        <w:spacing w:after="0" w:line="95"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Long-lived assets, which include property, plant and equipment, finite-lived intangible assets subject to amortization, and right-of-use assets are assessed for impairment whenever events or changes in circumstances such as asset utilization, physical change, legal factors or other matters indicate the carrying value of those assets may not be recoverable from future undiscounted cash flows. The impairment test involves comparing the carrying amount of the asset to the forecasted undiscounted future cash flows generated by that asset. These assumptions require significant judgment and actual results may differ from assumed and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ind w:right="420"/>
        <w:spacing w:after="0" w:line="261" w:lineRule="auto"/>
        <w:rPr>
          <w:sz w:val="20"/>
          <w:szCs w:val="20"/>
          <w:color w:val="auto"/>
        </w:rPr>
      </w:pPr>
      <w:r>
        <w:rPr>
          <w:rFonts w:ascii="Arial" w:cs="Arial" w:eastAsia="Arial" w:hAnsi="Arial"/>
          <w:sz w:val="13"/>
          <w:szCs w:val="13"/>
          <w:color w:val="auto"/>
        </w:rPr>
        <w:t>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reasonableness of the useful lives of the asset and other long-lived assets is regularly evaluated.</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No impairment loss of any long-lived asset was identified for the fiscal years ended August 31, 2024, August 26, 2023, or August 27, 2022.</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Self-Insurance</w:t>
      </w:r>
    </w:p>
    <w:p>
      <w:pPr>
        <w:spacing w:after="0" w:line="84"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Generally, we self-insure a portion of health insurance, product liability claims, and workers' compensation. We maintain insurance programs subject to applicable deductibles or retentions. Under these plans, liabilities are recognized for claims incurred, including those incurred but not reported. We use third-party administrators and actuaries who use historical claims experience and various state statutes to assist in the determination of the accrued liability balance. We review the valuations provided by the third-party administrators and actuaries to determine the adequacy of the reserves. Any material change in the aforementioned factors could have an adverse impact on operating results. Balances are included within self-insurance (accrued expenses) on the Consolidated Balance Sheets.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84"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In preparing these financial statements, we are required to estimate the income taxes in each of the jurisdictions in which we operate. This process involves estimating the current tax exposure together with assessing temporary differences resulting from differing treatment of items for tax and accounting purposes. These temporary differences result in deferred tax assets and liabilities, which are included on the Consolidated Balance Sheets. We then assess the likelihood that the deferred tax assets will be realized based on future taxable income and, to the extent that recovery is not likely, a valuation allowance is established. To the extent we establish a valuation allowance or change this allowance in a period, an expense or a benefit is included within the tax provision on the Consolidated Statements of Income.</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Litigation expense, including estimated defense costs, is recorded when probable and reasonably estimable.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84" w:lineRule="exact"/>
        <w:rPr>
          <w:sz w:val="20"/>
          <w:szCs w:val="20"/>
          <w:color w:val="auto"/>
        </w:rPr>
      </w:pPr>
    </w:p>
    <w:p>
      <w:pPr>
        <w:ind w:right="40"/>
        <w:spacing w:after="0" w:line="272" w:lineRule="auto"/>
        <w:rPr>
          <w:sz w:val="20"/>
          <w:szCs w:val="20"/>
          <w:color w:val="auto"/>
        </w:rPr>
      </w:pPr>
      <w:r>
        <w:rPr>
          <w:rFonts w:ascii="Arial" w:cs="Arial" w:eastAsia="Arial" w:hAnsi="Arial"/>
          <w:sz w:val="12"/>
          <w:szCs w:val="12"/>
          <w:color w:val="auto"/>
        </w:rPr>
        <w:t>Our primary source of revenue is generated through the sale of non-motorized towable RV units, motorhome RV units, and marine units to our independent dealer network (customers). Unit revenue is recognized at a point-in-time when the performance obligation is satisfied and control of the promised goods or services is transferred to the customer, which occurs when the unit is shipped to or picked-up from the manufacturing facilities by the customer. Control refers to the ability of the customer to direct the use of, and obtain substantially all of, the remaining benefits from the goods or services. We recognize revenue based on an amount that reflects the transaction price consideration that we expect to receive in exchange for those goods or services. Our transaction price consideration is fixed, unless otherwise disclosed as variable consideration. The amount of consideration received and recorded to revenue can vary with changes in marketing incentives and discounts offered to customers. These marketing incentives and discounts are considered variable consideration. We adjust the estimate of revenue at the earlier of when the most likely amount of consideration expected to be received changes or when the consideration becomes fixed. Our payment terms are typically before or on delivery, and do not include a significant financing component.</w:t>
      </w:r>
    </w:p>
    <w:p>
      <w:pPr>
        <w:spacing w:after="0" w:line="168" w:lineRule="exact"/>
        <w:rPr>
          <w:sz w:val="20"/>
          <w:szCs w:val="20"/>
          <w:color w:val="auto"/>
        </w:rPr>
      </w:pPr>
    </w:p>
    <w:p>
      <w:pPr>
        <w:ind w:right="260"/>
        <w:spacing w:after="0" w:line="250" w:lineRule="auto"/>
        <w:rPr>
          <w:sz w:val="20"/>
          <w:szCs w:val="20"/>
          <w:color w:val="auto"/>
        </w:rPr>
      </w:pPr>
      <w:r>
        <w:rPr>
          <w:rFonts w:ascii="Arial" w:cs="Arial" w:eastAsia="Arial" w:hAnsi="Arial"/>
          <w:sz w:val="13"/>
          <w:szCs w:val="13"/>
          <w:color w:val="auto"/>
        </w:rPr>
        <w:t>Net revenue includes shipping and handling charges billed directly to customers, and we also generate income through the sale of certain parts and services, acting as the principal in these arrangements. We have made an accounting policy election to account for any shipping and handling costs that occur after the transfer of control as a fulfillment cost that is accrued when control is transferred. We also have made an accounting policy election to exclude from revenue sales and usage-based taxes collected.</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179" w:lineRule="exact"/>
        <w:rPr>
          <w:sz w:val="20"/>
          <w:szCs w:val="20"/>
          <w:color w:val="auto"/>
        </w:rPr>
      </w:pPr>
    </w:p>
    <w:p>
      <w:pPr>
        <w:ind w:right="180"/>
        <w:spacing w:after="0" w:line="252" w:lineRule="auto"/>
        <w:rPr>
          <w:sz w:val="20"/>
          <w:szCs w:val="20"/>
          <w:color w:val="auto"/>
        </w:rPr>
      </w:pPr>
      <w:r>
        <w:rPr>
          <w:rFonts w:ascii="Arial" w:cs="Arial" w:eastAsia="Arial" w:hAnsi="Arial"/>
          <w:sz w:val="13"/>
          <w:szCs w:val="13"/>
          <w:color w:val="auto"/>
        </w:rPr>
        <w:t>The revenue standard requirements are applied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Refer to Note 13 in the Notes to Consolidated Financial Statements, included in Item 8 of Part II in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Advertising</w:t>
      </w:r>
    </w:p>
    <w:p>
      <w:pPr>
        <w:spacing w:after="0" w:line="84" w:lineRule="exact"/>
        <w:rPr>
          <w:sz w:val="20"/>
          <w:szCs w:val="20"/>
          <w:color w:val="auto"/>
        </w:rPr>
      </w:pPr>
    </w:p>
    <w:p>
      <w:pPr>
        <w:ind w:right="320"/>
        <w:spacing w:after="0" w:line="283" w:lineRule="auto"/>
        <w:rPr>
          <w:sz w:val="20"/>
          <w:szCs w:val="20"/>
          <w:color w:val="auto"/>
        </w:rPr>
      </w:pPr>
      <w:r>
        <w:rPr>
          <w:rFonts w:ascii="Arial" w:cs="Arial" w:eastAsia="Arial" w:hAnsi="Arial"/>
          <w:sz w:val="13"/>
          <w:szCs w:val="13"/>
          <w:color w:val="auto"/>
        </w:rPr>
        <w:t>Advertising costs, which consist primarily of trade shows and online content, were $21.9 million, $21.3 million, and $23.3 million in Fiscal 2024, 2023, and 2022, respectively. Advertising costs are included in selling, general, and administrative expenses and are expensed as incurred on the Consolidated Statements of Income.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Comprehensive Income</w:t>
      </w:r>
    </w:p>
    <w:p>
      <w:pPr>
        <w:spacing w:after="0" w:line="95" w:lineRule="exact"/>
        <w:rPr>
          <w:sz w:val="20"/>
          <w:szCs w:val="20"/>
          <w:color w:val="auto"/>
        </w:rPr>
      </w:pPr>
    </w:p>
    <w:p>
      <w:pPr>
        <w:ind w:right="660"/>
        <w:spacing w:after="0" w:line="266" w:lineRule="auto"/>
        <w:rPr>
          <w:sz w:val="20"/>
          <w:szCs w:val="20"/>
          <w:color w:val="auto"/>
        </w:rPr>
      </w:pPr>
      <w:r>
        <w:rPr>
          <w:rFonts w:ascii="Arial" w:cs="Arial" w:eastAsia="Arial" w:hAnsi="Arial"/>
          <w:sz w:val="13"/>
          <w:szCs w:val="13"/>
          <w:color w:val="auto"/>
        </w:rPr>
        <w:t>Comprehensive income represents the change in stockholders’ equity from transactions and other events and circumstances from sources other than shareholders. The difference between comprehensive income and net income was not material for the fiscal years ended August 31, 2024, August 26, 2023, and August 27, 2022.</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Subsequent Events</w:t>
      </w:r>
    </w:p>
    <w:p>
      <w:pPr>
        <w:spacing w:after="0" w:line="95" w:lineRule="exact"/>
        <w:rPr>
          <w:sz w:val="20"/>
          <w:szCs w:val="20"/>
          <w:color w:val="auto"/>
        </w:rPr>
      </w:pPr>
    </w:p>
    <w:p>
      <w:pPr>
        <w:ind w:right="440"/>
        <w:spacing w:after="0" w:line="266" w:lineRule="auto"/>
        <w:rPr>
          <w:sz w:val="20"/>
          <w:szCs w:val="20"/>
          <w:color w:val="auto"/>
        </w:rPr>
      </w:pPr>
      <w:r>
        <w:rPr>
          <w:rFonts w:ascii="Arial" w:cs="Arial" w:eastAsia="Arial" w:hAnsi="Arial"/>
          <w:sz w:val="13"/>
          <w:szCs w:val="13"/>
          <w:color w:val="auto"/>
        </w:rPr>
        <w:t>In preparing the accompanying consolidated financial statements, we have evaluated subsequent events for potential recognition and disclosure through the date of this filing noting no material subsequent events.</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Adopted Accounting Pronouncements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We did not adopt any new accounting standards during the fiscal year ended August 31, 2024 that had a material impact on our consolidated results of operations, financial position or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95"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 xml:space="preserve">In March 2024, the SEC adopted a final rule under SEC Release No. 33-11275, </w:t>
      </w:r>
      <w:r>
        <w:rPr>
          <w:rFonts w:ascii="Arial" w:cs="Arial" w:eastAsia="Arial" w:hAnsi="Arial"/>
          <w:sz w:val="13"/>
          <w:szCs w:val="13"/>
          <w:i w:val="1"/>
          <w:iCs w:val="1"/>
          <w:color w:val="auto"/>
        </w:rPr>
        <w:t>The Enhancement and Standardization of Climate-Related Disclosures for Investors</w:t>
      </w:r>
      <w:r>
        <w:rPr>
          <w:rFonts w:ascii="Arial" w:cs="Arial" w:eastAsia="Arial" w:hAnsi="Arial"/>
          <w:sz w:val="13"/>
          <w:szCs w:val="13"/>
          <w:color w:val="auto"/>
        </w:rPr>
        <w:t>. The new rule will require disclosure of greenhouse gas emissions, including Scope 1 and Scope 2 emissions; climate-related risks, governance, and oversight; and the financial impacts of severe weather events and other natural conditions, subject to certain materiality thresholds. These disclosures are required to be phased into our annual reporting beginning in Fiscal 2026. However, in April 2024, the SEC stayed the implementation of this rule pending the outcome of legal challenges. We continue to monitor developments and evaluate the impact of adoption on our Consolidated Financial Statements and related disclosures.</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 xml:space="preserve">In December 2023, the Financial Accounting Standards Board ("FASB") issued ASU 2023-09, </w:t>
      </w:r>
      <w:r>
        <w:rPr>
          <w:rFonts w:ascii="Arial" w:cs="Arial" w:eastAsia="Arial" w:hAnsi="Arial"/>
          <w:sz w:val="13"/>
          <w:szCs w:val="13"/>
          <w:i w:val="1"/>
          <w:iCs w:val="1"/>
          <w:color w:val="auto"/>
        </w:rPr>
        <w:t>Income Taxes (Topic 740): Improvements to Income Tax Disclosures</w:t>
      </w:r>
      <w:r>
        <w:rPr>
          <w:rFonts w:ascii="Arial" w:cs="Arial" w:eastAsia="Arial" w:hAnsi="Arial"/>
          <w:sz w:val="13"/>
          <w:szCs w:val="13"/>
          <w:color w:val="auto"/>
        </w:rPr>
        <w:t>, which requires expanded disclosures primarily related to the effective tax rate reconciliation and income taxes paid. The new guidance is effective for annual reporting periods beginning after December 15, 2024, with early adoption permitted. We are currently evaluating the impact of the standard on our consolidated financial statements and related disclosures. We will adopt the standard in our Annual Report on Form 10-K for our fiscal year ended August 29, 2026 and annual filings thereafter.</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 xml:space="preserve">In November 2023, the FASB issued ASU 2023-07, </w:t>
      </w:r>
      <w:r>
        <w:rPr>
          <w:rFonts w:ascii="Arial" w:cs="Arial" w:eastAsia="Arial" w:hAnsi="Arial"/>
          <w:sz w:val="13"/>
          <w:szCs w:val="13"/>
          <w:i w:val="1"/>
          <w:iCs w:val="1"/>
          <w:color w:val="auto"/>
        </w:rPr>
        <w:t>Segment Reporting (Topic 280): Improvements to Reportable Segment Disclosures</w:t>
      </w:r>
      <w:r>
        <w:rPr>
          <w:rFonts w:ascii="Arial" w:cs="Arial" w:eastAsia="Arial" w:hAnsi="Arial"/>
          <w:sz w:val="13"/>
          <w:szCs w:val="13"/>
          <w:color w:val="auto"/>
        </w:rPr>
        <w:t>, which requires incremental disclosures about significant segment expenses regularly provided to the Chief Operating Decision Maker. The new guidance is effective for annual reporting periods beginning after December 15, 2023, and interim periods within fiscal years beginning after December 15, 2024. We are currently evaluating the impact of the standard on our consolidated financial statements and related disclosures. We will adopt the standard in our Annual Report on Form 10-K for our fiscal year ended August 30, 2025 and filings thereafter.</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Business Combinations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Lithionics Battery, LLC</w:t>
      </w:r>
    </w:p>
    <w:p>
      <w:pPr>
        <w:spacing w:after="0" w:line="95"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On April 28, 2023, we purchased 100% of the equity interests of Lithionics Battery, LLC and Lithionics LLC (collectively, "Lithionics"), a premier lithium-ion battery solutions provider to the recreational equipment and specialty vehicle markets. Refer to Note 7 in the Notes to Consolidated Financial Statements included in Item 8 of Part II of this Annual Report on Form 10-K for more information relating to the goodwill and other intangible assets acquired. Pro forma results of operations for this acquisition have not been presented as the impact on our consolidated financial statements was not material.</w:t>
      </w:r>
    </w:p>
    <w:p>
      <w:pPr>
        <w:spacing w:after="0" w:line="165"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Total transaction costs related to the Lithionics acquisition of $3.1 million were expensed during the third quarter of Fiscal 2023. Transaction costs are included in selling, general and administrative expenses in the accompanying Consolidated Statements of Income.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Barletta Boat Company, LLC</w:t>
      </w:r>
    </w:p>
    <w:p>
      <w:pPr>
        <w:spacing w:after="0" w:line="84"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On August 31, 2021, we purchased 100% of the equity interests of Barletta Boat Company, LLC and Three Limes, LLC (collectively, "Barletta"), a manufacturer of high-quality, premium pontoon boats that are sold through a network of independent authorized dealers.</w:t>
      </w:r>
    </w:p>
    <w:p>
      <w:pPr>
        <w:spacing w:after="0" w:line="146" w:lineRule="exact"/>
        <w:rPr>
          <w:sz w:val="20"/>
          <w:szCs w:val="20"/>
          <w:color w:val="auto"/>
        </w:rPr>
      </w:pPr>
    </w:p>
    <w:p>
      <w:pPr>
        <w:ind w:right="280"/>
        <w:spacing w:after="0" w:line="266" w:lineRule="auto"/>
        <w:rPr>
          <w:sz w:val="20"/>
          <w:szCs w:val="20"/>
          <w:color w:val="auto"/>
        </w:rPr>
      </w:pPr>
      <w:r>
        <w:rPr>
          <w:rFonts w:ascii="Arial" w:cs="Arial" w:eastAsia="Arial" w:hAnsi="Arial"/>
          <w:sz w:val="13"/>
          <w:szCs w:val="13"/>
          <w:color w:val="auto"/>
        </w:rPr>
        <w:t>We acquired Barletta for a purchase price of $286.3 million, including cash payments of $240.1 million, $25.0 million in common stock issued to the sellers (subject to a discount noted below), and contingent consideration from earnout provisions. The common</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5" w:name="page46"/>
    <w:bookmarkEnd w:id="4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stock fair value included in the purchase price reflects a 12% discount, due to the lack of marketability as these are unregistered shares that have a one-year lockup restriction, which reduced the value of the common stock to $22.0 million. The contingent consideration includes both a potential stock payout as well as a potential cash payment based on achievement of certain financial performance metrics. In the third quarter of Fiscal 2024, we paid $20.5 million to settle the remaining earnout obligations associated with calendar year 2023. Comparatively, in the third quarter of Fiscal 2023, we paid $22.0 million to settle earnout obligations associated with calendar year 2022. In the third quarter of Fiscal 2022, we issued 0.2 million shares of common stock to settle earnout obligations associated with calendar year 2021.</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Pro forma results of operations for this acquisition have not been presented as the impact on our consolidated financial statements was not material.</w:t>
      </w:r>
    </w:p>
    <w:p>
      <w:pPr>
        <w:spacing w:after="0" w:line="190"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3.</w:t>
      </w:r>
      <w:r>
        <w:rPr>
          <w:sz w:val="20"/>
          <w:szCs w:val="20"/>
          <w:color w:val="auto"/>
        </w:rPr>
        <w:tab/>
      </w:r>
      <w:r>
        <w:rPr>
          <w:rFonts w:ascii="Arial" w:cs="Arial" w:eastAsia="Arial" w:hAnsi="Arial"/>
          <w:sz w:val="12"/>
          <w:szCs w:val="12"/>
          <w:b w:val="1"/>
          <w:bCs w:val="1"/>
          <w:color w:val="auto"/>
        </w:rPr>
        <w:t>Business Segments</w:t>
      </w:r>
    </w:p>
    <w:p>
      <w:pPr>
        <w:spacing w:after="0" w:line="201"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We have eight operating segments: 1) Grand Design towables, 2) Winnebago towables, 3) Winnebago motorhomes, 4) Newmar motorhomes, 5) Chris-Craft marine, 6) Barletta marine, 7) Winnebago specialty vehicles, and 8) Lithionics.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159" w:lineRule="exact"/>
        <w:rPr>
          <w:sz w:val="20"/>
          <w:szCs w:val="20"/>
          <w:color w:val="auto"/>
        </w:rPr>
      </w:pPr>
    </w:p>
    <w:p>
      <w:pPr>
        <w:ind w:right="160"/>
        <w:spacing w:after="0" w:line="281" w:lineRule="auto"/>
        <w:rPr>
          <w:sz w:val="20"/>
          <w:szCs w:val="20"/>
          <w:color w:val="auto"/>
        </w:rPr>
      </w:pPr>
      <w:r>
        <w:rPr>
          <w:rFonts w:ascii="Arial" w:cs="Arial" w:eastAsia="Arial" w:hAnsi="Arial"/>
          <w:sz w:val="12"/>
          <w:szCs w:val="12"/>
          <w:color w:val="auto"/>
        </w:rPr>
        <w:t>Our three reportable segments are: Towable RV (an aggregation of the Grand Design towables and the Winnebago towables operating segments), Motorhome RV (an aggregation of the Winnebago motorhomes and Newmar motorhomes operating segments), and Marine (an aggregation of the Chris-Craft marine and Barletta marine operating segments). Towable RV is comprised of non-motorized RV products that are generally towed by another vehicle, along with other related manufactured products and services. Motorhome RV is comprised of products that include a motorhome chassis, along with other related manufactured products and services. Marine is comprised of products that include boats, along with other related manufactured products and services.</w:t>
      </w:r>
    </w:p>
    <w:p>
      <w:pPr>
        <w:spacing w:after="0" w:line="149"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The Corporate / All Other category includes the Winnebago specialty vehicles and Lithionics operating segments as well as certain corporate administration expenses related to the oversight of the enterprise, such as corporate leadership and administration costs.</w:t>
      </w:r>
    </w:p>
    <w:p>
      <w:pPr>
        <w:spacing w:after="0" w:line="14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46"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between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in the Notes to Consolidated Financial Statements, included in Item 8 of Part II in this Annual Report on Form 10-K.</w:t>
      </w:r>
    </w:p>
    <w:p>
      <w:pPr>
        <w:spacing w:after="0" w:line="164" w:lineRule="exact"/>
        <w:rPr>
          <w:sz w:val="20"/>
          <w:szCs w:val="20"/>
          <w:color w:val="auto"/>
        </w:rPr>
      </w:pPr>
    </w:p>
    <w:p>
      <w:pPr>
        <w:ind w:right="240"/>
        <w:spacing w:after="0" w:line="253" w:lineRule="auto"/>
        <w:rPr>
          <w:sz w:val="20"/>
          <w:szCs w:val="20"/>
          <w:color w:val="auto"/>
        </w:rPr>
      </w:pPr>
      <w:r>
        <w:rPr>
          <w:rFonts w:ascii="Arial" w:cs="Arial" w:eastAsia="Arial" w:hAnsi="Arial"/>
          <w:sz w:val="13"/>
          <w:szCs w:val="13"/>
          <w:color w:val="auto"/>
        </w:rPr>
        <w:t>We monitor and evaluate operating performance of our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change in fair value of note receivable and other investments, contingent consideration fair value adjustment, goodwill impairment, loss on note repurchase, and non-operating income or loss.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Financial information by reportable segment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1,318.8</w:t>
            </w:r>
          </w:p>
        </w:tc>
        <w:tc>
          <w:tcPr>
            <w:tcW w:w="8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1,415.3</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2,597.4</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1,911.2</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Marine</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325.5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425.3</w:t>
            </w: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62"/>
        </w:trPr>
        <w:tc>
          <w:tcPr>
            <w:tcW w:w="5900" w:type="dxa"/>
            <w:vAlign w:val="bottom"/>
          </w:tcPr>
          <w:p>
            <w:pPr>
              <w:ind w:left="12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2,973.5</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3,490.7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4,957.7</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31"/>
        </w:trPr>
        <w:tc>
          <w:tcPr>
            <w:tcW w:w="59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70"/>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Adjusted EBITDA</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Towable RV</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383.6</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Motorhome RV</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73.7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238.0</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Marine</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w:t>
            </w:r>
          </w:p>
        </w:tc>
      </w:tr>
      <w:tr>
        <w:trPr>
          <w:trHeight w:val="16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 All Other</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w:t>
            </w:r>
          </w:p>
        </w:tc>
      </w:tr>
      <w:tr>
        <w:trPr>
          <w:trHeight w:val="187"/>
        </w:trPr>
        <w:tc>
          <w:tcPr>
            <w:tcW w:w="5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190.6</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354.7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Capital Expenditures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45.7</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Marine</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62"/>
        </w:trPr>
        <w:tc>
          <w:tcPr>
            <w:tcW w:w="5900" w:type="dxa"/>
            <w:vAlign w:val="bottom"/>
          </w:tcPr>
          <w:p>
            <w:pPr>
              <w:ind w:left="12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88.0</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2024</w:t>
            </w:r>
          </w:p>
        </w:tc>
        <w:tc>
          <w:tcPr>
            <w:tcW w:w="220" w:type="dxa"/>
            <w:vAlign w:val="bottom"/>
          </w:tcPr>
          <w:p>
            <w:pPr>
              <w:spacing w:after="0"/>
              <w:rPr>
                <w:sz w:val="14"/>
                <w:szCs w:val="14"/>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26, 2023</w:t>
            </w:r>
          </w:p>
        </w:tc>
        <w:tc>
          <w:tcPr>
            <w:tcW w:w="0" w:type="dxa"/>
            <w:vAlign w:val="bottom"/>
          </w:tcPr>
          <w:p>
            <w:pPr>
              <w:spacing w:after="0"/>
              <w:rPr>
                <w:sz w:val="1"/>
                <w:szCs w:val="1"/>
                <w:color w:val="auto"/>
              </w:rPr>
            </w:pPr>
          </w:p>
        </w:tc>
      </w:tr>
      <w:tr>
        <w:trPr>
          <w:trHeight w:val="160"/>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43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4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719.0</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751.2</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4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802.2</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Arial" w:cs="Arial" w:eastAsia="Arial" w:hAnsi="Arial"/>
                <w:sz w:val="13"/>
                <w:szCs w:val="13"/>
                <w:color w:val="auto"/>
              </w:rPr>
              <w:t>Marine</w:t>
            </w:r>
          </w:p>
        </w:tc>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377.8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426.9</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 All Other</w:t>
            </w:r>
          </w:p>
        </w:tc>
        <w:tc>
          <w:tcPr>
            <w:tcW w:w="43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452.1</w:t>
            </w:r>
          </w:p>
        </w:tc>
        <w:tc>
          <w:tcPr>
            <w:tcW w:w="0" w:type="dxa"/>
            <w:vAlign w:val="bottom"/>
          </w:tcPr>
          <w:p>
            <w:pPr>
              <w:spacing w:after="0"/>
              <w:rPr>
                <w:sz w:val="1"/>
                <w:szCs w:val="1"/>
                <w:color w:val="auto"/>
              </w:rPr>
            </w:pPr>
          </w:p>
        </w:tc>
      </w:tr>
      <w:tr>
        <w:trPr>
          <w:trHeight w:val="162"/>
        </w:trPr>
        <w:tc>
          <w:tcPr>
            <w:tcW w:w="3380" w:type="dxa"/>
            <w:vAlign w:val="bottom"/>
          </w:tcPr>
          <w:p>
            <w:pPr>
              <w:ind w:left="120"/>
              <w:spacing w:after="0"/>
              <w:rPr>
                <w:sz w:val="20"/>
                <w:szCs w:val="20"/>
                <w:color w:val="auto"/>
              </w:rPr>
            </w:pPr>
            <w:r>
              <w:rPr>
                <w:rFonts w:ascii="Arial" w:cs="Arial" w:eastAsia="Arial" w:hAnsi="Arial"/>
                <w:sz w:val="13"/>
                <w:szCs w:val="13"/>
                <w:color w:val="auto"/>
              </w:rPr>
              <w:t>Consolidated</w:t>
            </w:r>
          </w:p>
        </w:tc>
        <w:tc>
          <w:tcPr>
            <w:tcW w:w="4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2,384.2</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2,432.4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340" w:type="dxa"/>
            <w:vAlign w:val="bottom"/>
            <w:vMerge w:val="restart"/>
          </w:tcPr>
          <w:p>
            <w:pPr>
              <w:jc w:val="right"/>
              <w:ind w:right="1936"/>
              <w:spacing w:after="0"/>
              <w:rPr>
                <w:sz w:val="20"/>
                <w:szCs w:val="20"/>
                <w:color w:val="auto"/>
              </w:rPr>
            </w:pPr>
            <w:r>
              <w:rPr>
                <w:rFonts w:ascii="Arial" w:cs="Arial" w:eastAsia="Arial" w:hAnsi="Arial"/>
                <w:sz w:val="13"/>
                <w:szCs w:val="13"/>
                <w:color w:val="auto"/>
              </w:rPr>
              <w:t>47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33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38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Reconciliation of net income to consolidated Adjusted EBITDA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w:t>
            </w:r>
          </w:p>
        </w:tc>
        <w:tc>
          <w:tcPr>
            <w:tcW w:w="0" w:type="dxa"/>
            <w:vAlign w:val="bottom"/>
          </w:tcPr>
          <w:p>
            <w:pPr>
              <w:spacing w:after="0"/>
              <w:rPr>
                <w:sz w:val="1"/>
                <w:szCs w:val="1"/>
                <w:color w:val="auto"/>
              </w:rPr>
            </w:pPr>
          </w:p>
        </w:tc>
      </w:tr>
      <w:tr>
        <w:trPr>
          <w:trHeight w:val="169"/>
        </w:trPr>
        <w:tc>
          <w:tcPr>
            <w:tcW w:w="5900" w:type="dxa"/>
            <w:vAlign w:val="bottom"/>
          </w:tcPr>
          <w:p>
            <w:pPr>
              <w:ind w:left="100"/>
              <w:spacing w:after="0"/>
              <w:rPr>
                <w:sz w:val="20"/>
                <w:szCs w:val="20"/>
                <w:color w:val="auto"/>
              </w:rPr>
            </w:pPr>
            <w:r>
              <w:rPr>
                <w:rFonts w:ascii="Arial" w:cs="Arial" w:eastAsia="Arial" w:hAnsi="Arial"/>
                <w:sz w:val="13"/>
                <w:szCs w:val="13"/>
                <w:color w:val="auto"/>
              </w:rPr>
              <w:t>Interest expense, net</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21.1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71"/>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Provision for income taxes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0" w:type="dxa"/>
            <w:vAlign w:val="bottom"/>
          </w:tcPr>
          <w:p>
            <w:pPr>
              <w:spacing w:after="0"/>
              <w:rPr>
                <w:sz w:val="1"/>
                <w:szCs w:val="1"/>
                <w:color w:val="auto"/>
              </w:rPr>
            </w:pPr>
          </w:p>
        </w:tc>
      </w:tr>
      <w:tr>
        <w:trPr>
          <w:trHeight w:val="169"/>
        </w:trPr>
        <w:tc>
          <w:tcPr>
            <w:tcW w:w="5900" w:type="dxa"/>
            <w:vAlign w:val="bottom"/>
          </w:tcPr>
          <w:p>
            <w:pPr>
              <w:ind w:left="100"/>
              <w:spacing w:after="0"/>
              <w:rPr>
                <w:sz w:val="20"/>
                <w:szCs w:val="20"/>
                <w:color w:val="auto"/>
              </w:rPr>
            </w:pPr>
            <w:r>
              <w:rPr>
                <w:rFonts w:ascii="Arial" w:cs="Arial" w:eastAsia="Arial" w:hAnsi="Arial"/>
                <w:sz w:val="13"/>
                <w:szCs w:val="13"/>
                <w:color w:val="auto"/>
              </w:rPr>
              <w:t>Depreciation</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35.6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71"/>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Amortization</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59"/>
        </w:trPr>
        <w:tc>
          <w:tcPr>
            <w:tcW w:w="5900" w:type="dxa"/>
            <w:vAlign w:val="bottom"/>
          </w:tcPr>
          <w:p>
            <w:pPr>
              <w:ind w:left="20"/>
              <w:spacing w:after="0"/>
              <w:rPr>
                <w:sz w:val="20"/>
                <w:szCs w:val="20"/>
                <w:color w:val="auto"/>
              </w:rPr>
            </w:pPr>
            <w:r>
              <w:rPr>
                <w:rFonts w:ascii="Arial" w:cs="Arial" w:eastAsia="Arial" w:hAnsi="Arial"/>
                <w:sz w:val="13"/>
                <w:szCs w:val="13"/>
                <w:color w:val="auto"/>
              </w:rPr>
              <w:t>EBITDA</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118.1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346.6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609.6</w:t>
            </w:r>
          </w:p>
        </w:tc>
        <w:tc>
          <w:tcPr>
            <w:tcW w:w="0" w:type="dxa"/>
            <w:vAlign w:val="bottom"/>
          </w:tcPr>
          <w:p>
            <w:pPr>
              <w:spacing w:after="0"/>
              <w:rPr>
                <w:sz w:val="1"/>
                <w:szCs w:val="1"/>
                <w:color w:val="auto"/>
              </w:rPr>
            </w:pPr>
          </w:p>
        </w:tc>
      </w:tr>
      <w:tr>
        <w:trPr>
          <w:trHeight w:val="171"/>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Acquisition-related costs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69"/>
        </w:trPr>
        <w:tc>
          <w:tcPr>
            <w:tcW w:w="5900" w:type="dxa"/>
            <w:vAlign w:val="bottom"/>
          </w:tcPr>
          <w:p>
            <w:pPr>
              <w:ind w:left="100"/>
              <w:spacing w:after="0"/>
              <w:rPr>
                <w:sz w:val="20"/>
                <w:szCs w:val="20"/>
                <w:color w:val="auto"/>
              </w:rPr>
            </w:pPr>
            <w:r>
              <w:rPr>
                <w:rFonts w:ascii="Arial" w:cs="Arial" w:eastAsia="Arial" w:hAnsi="Arial"/>
                <w:sz w:val="13"/>
                <w:szCs w:val="13"/>
                <w:color w:val="auto"/>
              </w:rPr>
              <w:t>Litigation reserves</w:t>
            </w:r>
          </w:p>
        </w:tc>
        <w:tc>
          <w:tcPr>
            <w:tcW w:w="4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71"/>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note receivable and other investments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900" w:type="dxa"/>
            <w:vAlign w:val="bottom"/>
          </w:tcPr>
          <w:p>
            <w:pPr>
              <w:ind w:left="100"/>
              <w:spacing w:after="0"/>
              <w:rPr>
                <w:sz w:val="20"/>
                <w:szCs w:val="20"/>
                <w:color w:val="auto"/>
              </w:rPr>
            </w:pPr>
            <w:r>
              <w:rPr>
                <w:rFonts w:ascii="Arial" w:cs="Arial" w:eastAsia="Arial" w:hAnsi="Arial"/>
                <w:sz w:val="13"/>
                <w:szCs w:val="13"/>
                <w:color w:val="auto"/>
              </w:rPr>
              <w:t>Contingent consideration fair value adjustment</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71"/>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Goodwill impairment (Note 7)</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5900" w:type="dxa"/>
            <w:vAlign w:val="bottom"/>
          </w:tcPr>
          <w:p>
            <w:pPr>
              <w:ind w:left="100"/>
              <w:spacing w:after="0"/>
              <w:rPr>
                <w:sz w:val="20"/>
                <w:szCs w:val="20"/>
                <w:color w:val="auto"/>
              </w:rPr>
            </w:pPr>
            <w:r>
              <w:rPr>
                <w:rFonts w:ascii="Arial" w:cs="Arial" w:eastAsia="Arial" w:hAnsi="Arial"/>
                <w:sz w:val="13"/>
                <w:szCs w:val="13"/>
                <w:color w:val="auto"/>
              </w:rPr>
              <w:t>Loss on note repurchase (Note 9)</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Non-operating loss (income)</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2"/>
        </w:trPr>
        <w:tc>
          <w:tcPr>
            <w:tcW w:w="590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190.6</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354.7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648.9</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3"/>
                <w:szCs w:val="13"/>
                <w:color w:val="auto"/>
              </w:rPr>
              <w:t>Net revenues by geography are as follows:</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3,346.6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4,618.1</w:t>
            </w:r>
          </w:p>
        </w:tc>
        <w:tc>
          <w:tcPr>
            <w:tcW w:w="0" w:type="dxa"/>
            <w:vAlign w:val="bottom"/>
          </w:tcPr>
          <w:p>
            <w:pPr>
              <w:spacing w:after="0"/>
              <w:rPr>
                <w:sz w:val="1"/>
                <w:szCs w:val="1"/>
                <w:color w:val="auto"/>
              </w:rPr>
            </w:pPr>
          </w:p>
        </w:tc>
      </w:tr>
      <w:tr>
        <w:trPr>
          <w:trHeight w:val="16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International</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339.6</w:t>
            </w:r>
          </w:p>
        </w:tc>
        <w:tc>
          <w:tcPr>
            <w:tcW w:w="0" w:type="dxa"/>
            <w:vAlign w:val="bottom"/>
          </w:tcPr>
          <w:p>
            <w:pPr>
              <w:spacing w:after="0"/>
              <w:rPr>
                <w:sz w:val="1"/>
                <w:szCs w:val="1"/>
                <w:color w:val="auto"/>
              </w:rPr>
            </w:pPr>
          </w:p>
        </w:tc>
      </w:tr>
      <w:tr>
        <w:trPr>
          <w:trHeight w:val="187"/>
        </w:trPr>
        <w:tc>
          <w:tcPr>
            <w:tcW w:w="5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revenues</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2,973.5</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3,490.7</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4,957.7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4.</w:t>
      </w:r>
      <w:r>
        <w:rPr>
          <w:sz w:val="20"/>
          <w:szCs w:val="20"/>
          <w:color w:val="auto"/>
        </w:rPr>
        <w:tab/>
      </w:r>
      <w:r>
        <w:rPr>
          <w:rFonts w:ascii="Arial" w:cs="Arial" w:eastAsia="Arial" w:hAnsi="Arial"/>
          <w:sz w:val="12"/>
          <w:szCs w:val="12"/>
          <w:b w:val="1"/>
          <w:bCs w:val="1"/>
          <w:color w:val="auto"/>
        </w:rPr>
        <w:t>Investments and Fair Value Measurements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that are Measured at Fair Value on a Recurring Basis</w:t>
      </w:r>
    </w:p>
    <w:p>
      <w:pPr>
        <w:spacing w:after="0" w:line="95"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Unadjusted quoted prices which are available in active markets for identical assets or liabilities accessible at the measurement date.</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quoted prices included in Level 1 inputs that are observable for the asset or liability, either directly or indirectly, for substantially the full term of the asset or liability.</w:t>
      </w:r>
    </w:p>
    <w:p>
      <w:pPr>
        <w:spacing w:after="0" w:line="212" w:lineRule="exact"/>
        <w:rPr>
          <w:sz w:val="20"/>
          <w:szCs w:val="20"/>
          <w:color w:val="auto"/>
        </w:rPr>
      </w:pPr>
    </w:p>
    <w:p>
      <w:pPr>
        <w:ind w:left="520" w:right="80"/>
        <w:spacing w:after="0" w:line="266" w:lineRule="auto"/>
        <w:rPr>
          <w:sz w:val="20"/>
          <w:szCs w:val="20"/>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Unobservable inputs for the asset or liability used to measure fair value to the extent that observable inputs are not available, thereby allowing for situations in which there is little, if</w:t>
      </w:r>
      <w:r>
        <w:rPr>
          <w:rFonts w:ascii="Arial" w:cs="Arial" w:eastAsia="Arial" w:hAnsi="Arial"/>
          <w:sz w:val="13"/>
          <w:szCs w:val="13"/>
          <w:i w:val="1"/>
          <w:iCs w:val="1"/>
          <w:color w:val="auto"/>
        </w:rPr>
        <w:t xml:space="preserve"> </w:t>
      </w:r>
      <w:r>
        <w:rPr>
          <w:rFonts w:ascii="Arial" w:cs="Arial" w:eastAsia="Arial" w:hAnsi="Arial"/>
          <w:sz w:val="13"/>
          <w:szCs w:val="13"/>
          <w:color w:val="auto"/>
        </w:rPr>
        <w:t>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652"/>
        </w:trPr>
        <w:tc>
          <w:tcPr>
            <w:tcW w:w="5460" w:type="dxa"/>
            <w:vAlign w:val="bottom"/>
            <w:gridSpan w:val="3"/>
          </w:tcPr>
          <w:p>
            <w:pPr>
              <w:spacing w:after="0"/>
              <w:rPr>
                <w:sz w:val="20"/>
                <w:szCs w:val="20"/>
                <w:color w:val="auto"/>
              </w:rPr>
            </w:pPr>
            <w:r>
              <w:rPr>
                <w:rFonts w:ascii="Arial" w:cs="Arial" w:eastAsia="Arial" w:hAnsi="Arial"/>
                <w:sz w:val="13"/>
                <w:szCs w:val="13"/>
                <w:b w:val="1"/>
                <w:bCs w:val="1"/>
                <w:color w:val="auto"/>
              </w:rPr>
              <w:t>Assets and Liabilities that are Measured at Fair Value on a Recurring Basis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7"/>
        </w:trPr>
        <w:tc>
          <w:tcPr>
            <w:tcW w:w="5460" w:type="dxa"/>
            <w:vAlign w:val="bottom"/>
            <w:gridSpan w:val="3"/>
          </w:tcPr>
          <w:p>
            <w:pPr>
              <w:spacing w:after="0"/>
              <w:rPr>
                <w:sz w:val="20"/>
                <w:szCs w:val="20"/>
                <w:color w:val="auto"/>
              </w:rPr>
            </w:pPr>
            <w:r>
              <w:rPr>
                <w:rFonts w:ascii="Arial" w:cs="Arial" w:eastAsia="Arial" w:hAnsi="Arial"/>
                <w:sz w:val="13"/>
                <w:szCs w:val="13"/>
                <w:color w:val="auto"/>
              </w:rPr>
              <w:t>Financial assets and liabilities measured at fair value on a recurring basis are as follows: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3"/>
        </w:trPr>
        <w:tc>
          <w:tcPr>
            <w:tcW w:w="10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80" w:type="dxa"/>
            <w:vAlign w:val="bottom"/>
          </w:tcPr>
          <w:p>
            <w:pPr>
              <w:jc w:val="center"/>
              <w:ind w:left="276"/>
              <w:spacing w:after="0"/>
              <w:rPr>
                <w:sz w:val="20"/>
                <w:szCs w:val="20"/>
                <w:color w:val="auto"/>
              </w:rPr>
            </w:pPr>
            <w:r>
              <w:rPr>
                <w:rFonts w:ascii="Arial" w:cs="Arial" w:eastAsia="Arial" w:hAnsi="Arial"/>
                <w:sz w:val="13"/>
                <w:szCs w:val="13"/>
                <w:b w:val="1"/>
                <w:bCs w:val="1"/>
                <w:color w:val="auto"/>
                <w:w w:val="98"/>
              </w:rPr>
              <w:t>Fair Value at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Fair Value Hierarchy</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60"/>
        </w:trPr>
        <w:tc>
          <w:tcPr>
            <w:tcW w:w="408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1380" w:type="dxa"/>
            <w:vAlign w:val="bottom"/>
          </w:tcPr>
          <w:p>
            <w:pPr>
              <w:jc w:val="center"/>
              <w:ind w:left="276"/>
              <w:spacing w:after="0"/>
              <w:rPr>
                <w:sz w:val="20"/>
                <w:szCs w:val="20"/>
                <w:color w:val="auto"/>
              </w:rPr>
            </w:pPr>
            <w:r>
              <w:rPr>
                <w:rFonts w:ascii="Arial" w:cs="Arial" w:eastAsia="Arial" w:hAnsi="Arial"/>
                <w:sz w:val="13"/>
                <w:szCs w:val="13"/>
                <w:b w:val="1"/>
                <w:bCs w:val="1"/>
                <w:color w:val="auto"/>
                <w:w w:val="96"/>
              </w:rPr>
              <w:t>August 31, 2024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Level 2</w:t>
            </w:r>
          </w:p>
        </w:tc>
        <w:tc>
          <w:tcPr>
            <w:tcW w:w="360" w:type="dxa"/>
            <w:vAlign w:val="bottom"/>
          </w:tcPr>
          <w:p>
            <w:pPr>
              <w:spacing w:after="0"/>
              <w:rPr>
                <w:sz w:val="13"/>
                <w:szCs w:val="13"/>
                <w:color w:val="auto"/>
              </w:rPr>
            </w:pPr>
          </w:p>
        </w:tc>
        <w:tc>
          <w:tcPr>
            <w:tcW w:w="1360" w:type="dxa"/>
            <w:vAlign w:val="bottom"/>
          </w:tcPr>
          <w:p>
            <w:pPr>
              <w:jc w:val="right"/>
              <w:ind w:right="576"/>
              <w:spacing w:after="0"/>
              <w:rPr>
                <w:sz w:val="20"/>
                <w:szCs w:val="20"/>
                <w:color w:val="auto"/>
              </w:rPr>
            </w:pPr>
            <w:r>
              <w:rPr>
                <w:rFonts w:ascii="Arial" w:cs="Arial" w:eastAsia="Arial" w:hAnsi="Arial"/>
                <w:sz w:val="13"/>
                <w:szCs w:val="13"/>
                <w:b w:val="1"/>
                <w:bCs w:val="1"/>
                <w:color w:val="auto"/>
              </w:rPr>
              <w:t>Level 3</w:t>
            </w:r>
          </w:p>
        </w:tc>
      </w:tr>
      <w:tr>
        <w:trPr>
          <w:trHeight w:val="160"/>
        </w:trPr>
        <w:tc>
          <w:tcPr>
            <w:tcW w:w="4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Assets that fund deferred compensation:</w:t>
            </w:r>
          </w:p>
        </w:tc>
        <w:tc>
          <w:tcPr>
            <w:tcW w:w="13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9"/>
        </w:trPr>
        <w:tc>
          <w:tcPr>
            <w:tcW w:w="4080" w:type="dxa"/>
            <w:vAlign w:val="bottom"/>
            <w:gridSpan w:val="2"/>
          </w:tcPr>
          <w:p>
            <w:pPr>
              <w:ind w:left="120"/>
              <w:spacing w:after="0"/>
              <w:rPr>
                <w:sz w:val="20"/>
                <w:szCs w:val="20"/>
                <w:color w:val="auto"/>
              </w:rPr>
            </w:pPr>
            <w:r>
              <w:rPr>
                <w:rFonts w:ascii="Arial" w:cs="Arial" w:eastAsia="Arial" w:hAnsi="Arial"/>
                <w:sz w:val="13"/>
                <w:szCs w:val="13"/>
                <w:color w:val="auto"/>
              </w:rPr>
              <w:t>Domestic equity funds</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International equity funds</w:t>
            </w:r>
          </w:p>
        </w:tc>
        <w:tc>
          <w:tcPr>
            <w:tcW w:w="13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 assets at fair value</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0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80" w:type="dxa"/>
            <w:vAlign w:val="bottom"/>
          </w:tcPr>
          <w:p>
            <w:pPr>
              <w:jc w:val="center"/>
              <w:ind w:left="276"/>
              <w:spacing w:after="0"/>
              <w:rPr>
                <w:sz w:val="20"/>
                <w:szCs w:val="20"/>
                <w:color w:val="auto"/>
              </w:rPr>
            </w:pPr>
            <w:r>
              <w:rPr>
                <w:rFonts w:ascii="Arial" w:cs="Arial" w:eastAsia="Arial" w:hAnsi="Arial"/>
                <w:sz w:val="13"/>
                <w:szCs w:val="13"/>
                <w:b w:val="1"/>
                <w:bCs w:val="1"/>
                <w:color w:val="auto"/>
                <w:w w:val="98"/>
              </w:rPr>
              <w:t>Fair Value at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Fair Value Hierarchy</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160"/>
        </w:trPr>
        <w:tc>
          <w:tcPr>
            <w:tcW w:w="408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1380" w:type="dxa"/>
            <w:vAlign w:val="bottom"/>
          </w:tcPr>
          <w:p>
            <w:pPr>
              <w:jc w:val="center"/>
              <w:ind w:left="276"/>
              <w:spacing w:after="0"/>
              <w:rPr>
                <w:sz w:val="20"/>
                <w:szCs w:val="20"/>
                <w:color w:val="auto"/>
              </w:rPr>
            </w:pPr>
            <w:r>
              <w:rPr>
                <w:rFonts w:ascii="Arial" w:cs="Arial" w:eastAsia="Arial" w:hAnsi="Arial"/>
                <w:sz w:val="13"/>
                <w:szCs w:val="13"/>
                <w:b w:val="1"/>
                <w:bCs w:val="1"/>
                <w:color w:val="auto"/>
                <w:w w:val="96"/>
              </w:rPr>
              <w:t>August 26, 2023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2"/>
          </w:tcPr>
          <w:p>
            <w:pPr>
              <w:ind w:left="280"/>
              <w:spacing w:after="0"/>
              <w:rPr>
                <w:sz w:val="20"/>
                <w:szCs w:val="20"/>
                <w:color w:val="auto"/>
              </w:rPr>
            </w:pPr>
            <w:r>
              <w:rPr>
                <w:rFonts w:ascii="Arial" w:cs="Arial" w:eastAsia="Arial" w:hAnsi="Arial"/>
                <w:sz w:val="13"/>
                <w:szCs w:val="13"/>
                <w:b w:val="1"/>
                <w:bCs w:val="1"/>
                <w:color w:val="auto"/>
              </w:rPr>
              <w:t>Level 1</w:t>
            </w:r>
          </w:p>
        </w:tc>
        <w:tc>
          <w:tcPr>
            <w:tcW w:w="180" w:type="dxa"/>
            <w:vAlign w:val="bottom"/>
          </w:tcPr>
          <w:p>
            <w:pPr>
              <w:spacing w:after="0"/>
              <w:rPr>
                <w:sz w:val="13"/>
                <w:szCs w:val="13"/>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Level 2</w:t>
            </w:r>
          </w:p>
        </w:tc>
        <w:tc>
          <w:tcPr>
            <w:tcW w:w="360" w:type="dxa"/>
            <w:vAlign w:val="bottom"/>
          </w:tcPr>
          <w:p>
            <w:pPr>
              <w:spacing w:after="0"/>
              <w:rPr>
                <w:sz w:val="13"/>
                <w:szCs w:val="13"/>
                <w:color w:val="auto"/>
              </w:rPr>
            </w:pPr>
          </w:p>
        </w:tc>
        <w:tc>
          <w:tcPr>
            <w:tcW w:w="1360" w:type="dxa"/>
            <w:vAlign w:val="bottom"/>
          </w:tcPr>
          <w:p>
            <w:pPr>
              <w:jc w:val="right"/>
              <w:ind w:right="576"/>
              <w:spacing w:after="0"/>
              <w:rPr>
                <w:sz w:val="20"/>
                <w:szCs w:val="20"/>
                <w:color w:val="auto"/>
              </w:rPr>
            </w:pPr>
            <w:r>
              <w:rPr>
                <w:rFonts w:ascii="Arial" w:cs="Arial" w:eastAsia="Arial" w:hAnsi="Arial"/>
                <w:sz w:val="13"/>
                <w:szCs w:val="13"/>
                <w:b w:val="1"/>
                <w:bCs w:val="1"/>
                <w:color w:val="auto"/>
              </w:rPr>
              <w:t>Level 3</w:t>
            </w:r>
          </w:p>
        </w:tc>
      </w:tr>
      <w:tr>
        <w:trPr>
          <w:trHeight w:val="160"/>
        </w:trPr>
        <w:tc>
          <w:tcPr>
            <w:tcW w:w="4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Assets that fund deferred compensation:</w:t>
            </w:r>
          </w:p>
        </w:tc>
        <w:tc>
          <w:tcPr>
            <w:tcW w:w="13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69"/>
        </w:trPr>
        <w:tc>
          <w:tcPr>
            <w:tcW w:w="4080" w:type="dxa"/>
            <w:vAlign w:val="bottom"/>
            <w:gridSpan w:val="2"/>
          </w:tcPr>
          <w:p>
            <w:pPr>
              <w:ind w:left="120"/>
              <w:spacing w:after="0"/>
              <w:rPr>
                <w:sz w:val="20"/>
                <w:szCs w:val="20"/>
                <w:color w:val="auto"/>
              </w:rPr>
            </w:pPr>
            <w:r>
              <w:rPr>
                <w:rFonts w:ascii="Arial" w:cs="Arial" w:eastAsia="Arial" w:hAnsi="Arial"/>
                <w:sz w:val="13"/>
                <w:szCs w:val="13"/>
                <w:color w:val="auto"/>
              </w:rPr>
              <w:t>Domestic equity funds</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0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International equity funds</w:t>
            </w:r>
          </w:p>
        </w:tc>
        <w:tc>
          <w:tcPr>
            <w:tcW w:w="13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 assets at fair value</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000" w:type="dxa"/>
            <w:vAlign w:val="bottom"/>
            <w:shd w:val="clear" w:color="auto" w:fill="CCEEFF"/>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69"/>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Contingent consideration</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4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Earnout liability</w:t>
            </w:r>
          </w:p>
        </w:tc>
        <w:tc>
          <w:tcPr>
            <w:tcW w:w="13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r>
      <w:tr>
        <w:trPr>
          <w:trHeight w:val="162"/>
        </w:trPr>
        <w:tc>
          <w:tcPr>
            <w:tcW w:w="4080" w:type="dxa"/>
            <w:vAlign w:val="bottom"/>
            <w:gridSpan w:val="2"/>
          </w:tcPr>
          <w:p>
            <w:pPr>
              <w:ind w:left="20"/>
              <w:spacing w:after="0"/>
              <w:rPr>
                <w:sz w:val="20"/>
                <w:szCs w:val="20"/>
                <w:color w:val="auto"/>
              </w:rPr>
            </w:pPr>
            <w:r>
              <w:rPr>
                <w:rFonts w:ascii="Arial" w:cs="Arial" w:eastAsia="Arial" w:hAnsi="Arial"/>
                <w:sz w:val="13"/>
                <w:szCs w:val="13"/>
                <w:color w:val="auto"/>
              </w:rPr>
              <w:t>Total liabilities at fair value</w:t>
            </w:r>
          </w:p>
        </w:tc>
        <w:tc>
          <w:tcPr>
            <w:tcW w:w="1380" w:type="dxa"/>
            <w:vAlign w:val="bottom"/>
          </w:tcPr>
          <w:p>
            <w:pPr>
              <w:jc w:val="right"/>
              <w:ind w:right="123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60" w:type="dxa"/>
            <w:vAlign w:val="bottom"/>
            <w:gridSpan w:val="2"/>
          </w:tcPr>
          <w:p>
            <w:pPr>
              <w:ind w:left="138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18.4</w:t>
            </w:r>
          </w:p>
        </w:tc>
      </w:tr>
      <w:tr>
        <w:trPr>
          <w:trHeight w:val="20"/>
        </w:trPr>
        <w:tc>
          <w:tcPr>
            <w:tcW w:w="10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Assets that Fund Deferred Compensation</w:t>
      </w:r>
    </w:p>
    <w:p>
      <w:pPr>
        <w:spacing w:after="0" w:line="82"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Our assets that fund deferred compensation are marketable equity securities measured at fair value using quoted market prices and primarily consist of equity-based mutual funds. These securities, used to fund the Executive Deferred Compensation Plan, are classified as Level 1 as they are traded in an active market for which closing stock prices are readily available. Refer to Note 11 in the Notes to Consolidated Financial Statements, included in Item 8 of Part II in this Annual Report on Form 10-K for additional information regarding this plan.</w:t>
      </w:r>
    </w:p>
    <w:p>
      <w:pPr>
        <w:spacing w:after="0" w:line="170" w:lineRule="exact"/>
        <w:rPr>
          <w:sz w:val="20"/>
          <w:szCs w:val="20"/>
          <w:color w:val="auto"/>
        </w:rPr>
      </w:pPr>
    </w:p>
    <w:p>
      <w:pPr>
        <w:ind w:right="360"/>
        <w:spacing w:after="0" w:line="266" w:lineRule="auto"/>
        <w:rPr>
          <w:sz w:val="20"/>
          <w:szCs w:val="20"/>
          <w:color w:val="auto"/>
        </w:rPr>
      </w:pPr>
      <w:r>
        <w:rPr>
          <w:rFonts w:ascii="Arial" w:cs="Arial" w:eastAsia="Arial" w:hAnsi="Arial"/>
          <w:sz w:val="13"/>
          <w:szCs w:val="13"/>
          <w:color w:val="auto"/>
        </w:rPr>
        <w:t>The proportion of the assets that will fund the deferred compensation payments within a year are included in prepaid expenses and other current assets on the Consolidated Balance Sheets. The remaining assets are classified as non-current and are included in other long-term assets on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Contingent Consideration</w:t>
      </w:r>
    </w:p>
    <w:p>
      <w:pPr>
        <w:spacing w:after="0" w:line="93"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Contingent consideration represents the earnout liability related to the Barletta acquisition and is valued using a probability-weighted scenario analysis of projected gross profit results and discounted at a risk-free rate, which is classified as Level 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Pr>
          <w:p>
            <w:pPr>
              <w:spacing w:after="0"/>
              <w:rPr>
                <w:sz w:val="20"/>
                <w:szCs w:val="20"/>
                <w:color w:val="auto"/>
              </w:rPr>
            </w:pPr>
            <w:r>
              <w:rPr>
                <w:rFonts w:ascii="Arial" w:cs="Arial" w:eastAsia="Arial" w:hAnsi="Arial"/>
                <w:sz w:val="13"/>
                <w:szCs w:val="13"/>
                <w:color w:val="auto"/>
              </w:rPr>
              <w:t>The following table provides a reconciliation of the beginning and ending balances of the contingent consideration:</w:t>
            </w: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7720" w:type="dxa"/>
            <w:vAlign w:val="bottom"/>
          </w:tcPr>
          <w:p>
            <w:pPr>
              <w:spacing w:after="0"/>
              <w:rPr>
                <w:sz w:val="24"/>
                <w:szCs w:val="24"/>
                <w:color w:val="auto"/>
              </w:rPr>
            </w:pPr>
          </w:p>
        </w:tc>
        <w:tc>
          <w:tcPr>
            <w:tcW w:w="1300" w:type="dxa"/>
            <w:vAlign w:val="bottom"/>
          </w:tcPr>
          <w:p>
            <w:pPr>
              <w:jc w:val="right"/>
              <w:ind w:right="36"/>
              <w:spacing w:after="0"/>
              <w:rPr>
                <w:sz w:val="20"/>
                <w:szCs w:val="20"/>
                <w:color w:val="auto"/>
              </w:rPr>
            </w:pPr>
            <w:r>
              <w:rPr>
                <w:rFonts w:ascii="Arial" w:cs="Arial" w:eastAsia="Arial" w:hAnsi="Arial"/>
                <w:sz w:val="13"/>
                <w:szCs w:val="13"/>
                <w:b w:val="1"/>
                <w:bCs w:val="1"/>
                <w:color w:val="auto"/>
              </w:rPr>
              <w:t>August 31,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476"/>
              <w:spacing w:after="0"/>
              <w:rPr>
                <w:sz w:val="20"/>
                <w:szCs w:val="20"/>
                <w:color w:val="auto"/>
              </w:rPr>
            </w:pPr>
            <w:r>
              <w:rPr>
                <w:rFonts w:ascii="Arial" w:cs="Arial" w:eastAsia="Arial" w:hAnsi="Arial"/>
                <w:sz w:val="13"/>
                <w:szCs w:val="13"/>
                <w:b w:val="1"/>
                <w:bCs w:val="1"/>
                <w:color w:val="auto"/>
              </w:rPr>
              <w:t>August 26,</w:t>
            </w:r>
          </w:p>
        </w:tc>
      </w:tr>
      <w:tr>
        <w:trPr>
          <w:trHeight w:val="170"/>
        </w:trPr>
        <w:tc>
          <w:tcPr>
            <w:tcW w:w="7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r>
      <w:tr>
        <w:trPr>
          <w:trHeight w:val="16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fair value - contingent consideration</w:t>
            </w:r>
          </w:p>
        </w:tc>
        <w:tc>
          <w:tcPr>
            <w:tcW w:w="130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r>
      <w:tr>
        <w:trPr>
          <w:trHeight w:val="169"/>
        </w:trPr>
        <w:tc>
          <w:tcPr>
            <w:tcW w:w="7720" w:type="dxa"/>
            <w:vAlign w:val="bottom"/>
          </w:tcPr>
          <w:p>
            <w:pPr>
              <w:ind w:left="180"/>
              <w:spacing w:after="0"/>
              <w:rPr>
                <w:sz w:val="20"/>
                <w:szCs w:val="20"/>
                <w:color w:val="auto"/>
              </w:rPr>
            </w:pPr>
            <w:r>
              <w:rPr>
                <w:rFonts w:ascii="Arial" w:cs="Arial" w:eastAsia="Arial" w:hAnsi="Arial"/>
                <w:sz w:val="13"/>
                <w:szCs w:val="13"/>
                <w:color w:val="auto"/>
              </w:rPr>
              <w:t>Fair value adjustments</w:t>
            </w:r>
          </w:p>
        </w:tc>
        <w:tc>
          <w:tcPr>
            <w:tcW w:w="13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71"/>
        </w:trPr>
        <w:tc>
          <w:tcPr>
            <w:tcW w:w="7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Settlements</w:t>
            </w:r>
          </w:p>
        </w:tc>
        <w:tc>
          <w:tcPr>
            <w:tcW w:w="13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69"/>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Ending fair value - contingent consideration</w:t>
            </w:r>
          </w:p>
        </w:tc>
        <w:tc>
          <w:tcPr>
            <w:tcW w:w="130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As of August 26, 2023, the entire $18.4 million was included in other current liabilities on the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Measured at Fair Value on a Nonrecurring Basis</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Certain non-financial assets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During Fiscal 2024, we recognized a goodwill impairment charge of $30.3 million, representing a full impairment of the goodwill balance associated with the Chris-Craft reporting unit. No other impairments were recorded during Fiscal 2024 and no impairments were recorded during Fiscal 2023 or Fiscal 2022. Refer to Note 7 in the Notes to Consolidated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Financial Statements, included in Item 8 of Part II in this Annual Report on Form 10-K for more information regarding goodwill and intangible assets.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Assets and Liabilities Not Measured at Fair Value</w:t>
      </w:r>
    </w:p>
    <w:p>
      <w:pPr>
        <w:spacing w:after="0" w:line="95" w:lineRule="exact"/>
        <w:rPr>
          <w:sz w:val="20"/>
          <w:szCs w:val="20"/>
          <w:color w:val="auto"/>
        </w:rPr>
      </w:pPr>
    </w:p>
    <w:p>
      <w:pPr>
        <w:jc w:val="both"/>
        <w:ind w:right="220"/>
        <w:spacing w:after="0" w:line="261" w:lineRule="auto"/>
        <w:rPr>
          <w:sz w:val="20"/>
          <w:szCs w:val="20"/>
          <w:color w:val="auto"/>
        </w:rPr>
      </w:pPr>
      <w:r>
        <w:rPr>
          <w:rFonts w:ascii="Arial" w:cs="Arial" w:eastAsia="Arial" w:hAnsi="Arial"/>
          <w:sz w:val="13"/>
          <w:szCs w:val="13"/>
          <w:color w:val="auto"/>
        </w:rPr>
        <w:t>Certain financial instruments are not measured at fair value but are recorded at carrying amounts approximating fair value based on their short-term nature. These financial instruments include cash and cash equivalents, receivables, accounts payable, and other payables. If these instruments were measured at fair value in the financial statements, they would be classified as Level 1 in the fair value hierarchy.</w:t>
      </w:r>
    </w:p>
    <w:p>
      <w:pPr>
        <w:spacing w:after="0" w:line="159"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Our debt obligations are recorded at amortized cost but measured at fair value for disclosure purposes. The fair value of our debt was determined using current quoted prices in active markets for our publicly traded debt obligations, which is classified as Level 1 in the fair value hierarchy. See Note 9 in the Notes to Consolidated Financial Statements included in Item 8 of Part II of this Annual Report on Form 10-K for information about the fair value of our debt.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20"/>
                <w:szCs w:val="20"/>
                <w:color w:val="auto"/>
              </w:rPr>
            </w:pPr>
            <w:r>
              <w:rPr>
                <w:rFonts w:ascii="Arial" w:cs="Arial" w:eastAsia="Arial" w:hAnsi="Arial"/>
                <w:sz w:val="13"/>
                <w:szCs w:val="13"/>
                <w:b w:val="1"/>
                <w:bCs w:val="1"/>
                <w:color w:val="auto"/>
              </w:rPr>
              <w:t>Note 5. Inventories</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7720" w:type="dxa"/>
            <w:vAlign w:val="bottom"/>
          </w:tcPr>
          <w:p>
            <w:pPr>
              <w:spacing w:after="0"/>
              <w:rPr>
                <w:sz w:val="20"/>
                <w:szCs w:val="20"/>
                <w:color w:val="auto"/>
              </w:rPr>
            </w:pPr>
            <w:r>
              <w:rPr>
                <w:rFonts w:ascii="Arial" w:cs="Arial" w:eastAsia="Arial" w:hAnsi="Arial"/>
                <w:sz w:val="13"/>
                <w:szCs w:val="13"/>
                <w:color w:val="auto"/>
              </w:rPr>
              <w:t>Inventories consist of the following:</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2024</w:t>
            </w:r>
          </w:p>
        </w:tc>
        <w:tc>
          <w:tcPr>
            <w:tcW w:w="220" w:type="dxa"/>
            <w:vAlign w:val="bottom"/>
          </w:tcPr>
          <w:p>
            <w:pPr>
              <w:spacing w:after="0"/>
              <w:rPr>
                <w:sz w:val="15"/>
                <w:szCs w:val="15"/>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26, 2023</w:t>
            </w:r>
          </w:p>
        </w:tc>
        <w:tc>
          <w:tcPr>
            <w:tcW w:w="0" w:type="dxa"/>
            <w:vAlign w:val="bottom"/>
          </w:tcPr>
          <w:p>
            <w:pPr>
              <w:spacing w:after="0"/>
              <w:rPr>
                <w:sz w:val="1"/>
                <w:szCs w:val="1"/>
                <w:color w:val="auto"/>
              </w:rPr>
            </w:pPr>
          </w:p>
        </w:tc>
      </w:tr>
      <w:tr>
        <w:trPr>
          <w:trHeight w:val="160"/>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Finished goods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Work-in-process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171.9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159.9</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Raw materials</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305.6</w:t>
            </w:r>
          </w:p>
        </w:tc>
        <w:tc>
          <w:tcPr>
            <w:tcW w:w="0" w:type="dxa"/>
            <w:vAlign w:val="bottom"/>
          </w:tcPr>
          <w:p>
            <w:pPr>
              <w:spacing w:after="0"/>
              <w:rPr>
                <w:sz w:val="1"/>
                <w:szCs w:val="1"/>
                <w:color w:val="auto"/>
              </w:rPr>
            </w:pPr>
          </w:p>
        </w:tc>
      </w:tr>
      <w:tr>
        <w:trPr>
          <w:trHeight w:val="159"/>
        </w:trPr>
        <w:tc>
          <w:tcPr>
            <w:tcW w:w="7720" w:type="dxa"/>
            <w:vAlign w:val="bottom"/>
          </w:tcPr>
          <w:p>
            <w:pPr>
              <w:ind w:left="12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490.8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518.5</w:t>
            </w:r>
          </w:p>
        </w:tc>
        <w:tc>
          <w:tcPr>
            <w:tcW w:w="0" w:type="dxa"/>
            <w:vAlign w:val="bottom"/>
          </w:tcPr>
          <w:p>
            <w:pPr>
              <w:spacing w:after="0"/>
              <w:rPr>
                <w:sz w:val="1"/>
                <w:szCs w:val="1"/>
                <w:color w:val="auto"/>
              </w:rPr>
            </w:pP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Excess of FIFO over LIFO cost</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62"/>
        </w:trPr>
        <w:tc>
          <w:tcPr>
            <w:tcW w:w="7720" w:type="dxa"/>
            <w:vAlign w:val="bottom"/>
          </w:tcPr>
          <w:p>
            <w:pPr>
              <w:ind w:left="120"/>
              <w:spacing w:after="0"/>
              <w:rPr>
                <w:sz w:val="20"/>
                <w:szCs w:val="20"/>
                <w:color w:val="auto"/>
              </w:rPr>
            </w:pPr>
            <w:r>
              <w:rPr>
                <w:rFonts w:ascii="Arial" w:cs="Arial" w:eastAsia="Arial" w:hAnsi="Arial"/>
                <w:sz w:val="13"/>
                <w:szCs w:val="13"/>
                <w:color w:val="auto"/>
              </w:rPr>
              <w:t>Inventories, net</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470.6</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color w:val="auto"/>
              </w:rPr>
              <w:t>Inventory valuation methods consist of the following:</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5"/>
                <w:szCs w:val="15"/>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2024</w:t>
            </w:r>
          </w:p>
        </w:tc>
        <w:tc>
          <w:tcPr>
            <w:tcW w:w="220" w:type="dxa"/>
            <w:vAlign w:val="bottom"/>
          </w:tcPr>
          <w:p>
            <w:pPr>
              <w:spacing w:after="0"/>
              <w:rPr>
                <w:sz w:val="15"/>
                <w:szCs w:val="15"/>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26, 2023</w:t>
            </w:r>
          </w:p>
        </w:tc>
        <w:tc>
          <w:tcPr>
            <w:tcW w:w="0" w:type="dxa"/>
            <w:vAlign w:val="bottom"/>
          </w:tcPr>
          <w:p>
            <w:pPr>
              <w:spacing w:after="0"/>
              <w:rPr>
                <w:sz w:val="1"/>
                <w:szCs w:val="1"/>
                <w:color w:val="auto"/>
              </w:rPr>
            </w:pPr>
          </w:p>
        </w:tc>
      </w:tr>
      <w:tr>
        <w:trPr>
          <w:trHeight w:val="160"/>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LIFO basis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FIFO basis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255.9</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The above value of inventories, before reduction for the LIFO reserve, approximates replacement cost at the respective dates.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7720" w:type="dxa"/>
            <w:vAlign w:val="bottom"/>
          </w:tcPr>
          <w:p>
            <w:pPr>
              <w:spacing w:after="0"/>
              <w:rPr>
                <w:sz w:val="20"/>
                <w:szCs w:val="20"/>
                <w:color w:val="auto"/>
              </w:rPr>
            </w:pPr>
            <w:r>
              <w:rPr>
                <w:rFonts w:ascii="Arial" w:cs="Arial" w:eastAsia="Arial" w:hAnsi="Arial"/>
                <w:sz w:val="13"/>
                <w:szCs w:val="13"/>
                <w:b w:val="1"/>
                <w:bCs w:val="1"/>
                <w:color w:val="auto"/>
              </w:rPr>
              <w:t>Note 6.   Property, Plant, and Equipment</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720" w:type="dxa"/>
            <w:vAlign w:val="bottom"/>
          </w:tcPr>
          <w:p>
            <w:pPr>
              <w:spacing w:after="0"/>
              <w:rPr>
                <w:sz w:val="20"/>
                <w:szCs w:val="20"/>
                <w:color w:val="auto"/>
              </w:rPr>
            </w:pPr>
            <w:r>
              <w:rPr>
                <w:rFonts w:ascii="Arial" w:cs="Arial" w:eastAsia="Arial" w:hAnsi="Arial"/>
                <w:sz w:val="13"/>
                <w:szCs w:val="13"/>
                <w:color w:val="auto"/>
              </w:rPr>
              <w:t>Property, plant, and equipment is stated at cost, net of accumulated depreciation and consists of the following:</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2024</w:t>
            </w:r>
          </w:p>
        </w:tc>
        <w:tc>
          <w:tcPr>
            <w:tcW w:w="220" w:type="dxa"/>
            <w:vAlign w:val="bottom"/>
          </w:tcPr>
          <w:p>
            <w:pPr>
              <w:spacing w:after="0"/>
              <w:rPr>
                <w:sz w:val="16"/>
                <w:szCs w:val="16"/>
                <w:color w:val="auto"/>
              </w:rPr>
            </w:pPr>
          </w:p>
        </w:tc>
        <w:tc>
          <w:tcPr>
            <w:tcW w:w="1500" w:type="dxa"/>
            <w:vAlign w:val="bottom"/>
          </w:tcPr>
          <w:p>
            <w:pPr>
              <w:jc w:val="right"/>
              <w:ind w:right="316"/>
              <w:spacing w:after="0"/>
              <w:rPr>
                <w:sz w:val="20"/>
                <w:szCs w:val="20"/>
                <w:color w:val="auto"/>
              </w:rPr>
            </w:pPr>
            <w:r>
              <w:rPr>
                <w:rFonts w:ascii="Arial" w:cs="Arial" w:eastAsia="Arial" w:hAnsi="Arial"/>
                <w:sz w:val="13"/>
                <w:szCs w:val="13"/>
                <w:b w:val="1"/>
                <w:bCs w:val="1"/>
                <w:color w:val="auto"/>
              </w:rPr>
              <w:t>August 26, 2023</w:t>
            </w:r>
          </w:p>
        </w:tc>
        <w:tc>
          <w:tcPr>
            <w:tcW w:w="0" w:type="dxa"/>
            <w:vAlign w:val="bottom"/>
          </w:tcPr>
          <w:p>
            <w:pPr>
              <w:spacing w:after="0"/>
              <w:rPr>
                <w:sz w:val="1"/>
                <w:szCs w:val="1"/>
                <w:color w:val="auto"/>
              </w:rPr>
            </w:pPr>
          </w:p>
        </w:tc>
      </w:tr>
      <w:tr>
        <w:trPr>
          <w:trHeight w:val="160"/>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Land</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Buildings and building improvements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279.3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247.3</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Machinery and equipment</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Software</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Transportation</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Construction in progress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6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Property, plant, and equipment, gross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Accumulated depreciation</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Depreciation expense was $35.6 million, $29.2 million, and $24.2 million for Fiscal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560" w:val="left"/>
        </w:tabs>
        <w:rPr>
          <w:sz w:val="20"/>
          <w:szCs w:val="20"/>
          <w:color w:val="auto"/>
        </w:rPr>
      </w:pPr>
      <w:r>
        <w:rPr>
          <w:rFonts w:ascii="Arial" w:cs="Arial" w:eastAsia="Arial" w:hAnsi="Arial"/>
          <w:sz w:val="13"/>
          <w:szCs w:val="13"/>
          <w:b w:val="1"/>
          <w:bCs w:val="1"/>
          <w:color w:val="auto"/>
        </w:rPr>
        <w:t>Note 7.</w:t>
      </w:r>
      <w:r>
        <w:rPr>
          <w:sz w:val="20"/>
          <w:szCs w:val="20"/>
          <w:color w:val="auto"/>
        </w:rPr>
        <w:tab/>
      </w:r>
      <w:r>
        <w:rPr>
          <w:rFonts w:ascii="Arial" w:cs="Arial" w:eastAsia="Arial" w:hAnsi="Arial"/>
          <w:sz w:val="12"/>
          <w:szCs w:val="12"/>
          <w:b w:val="1"/>
          <w:bCs w:val="1"/>
          <w:color w:val="auto"/>
        </w:rPr>
        <w:t>Goodwill and Intangible Assets</w:t>
      </w:r>
    </w:p>
    <w:p>
      <w:pPr>
        <w:spacing w:after="0" w:line="190"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Goodwill and indefinite-lived intangible assets are reviewed for impairment at least annually during the fourth quarter and more frequently if events or changes in circumstances indicate an impairment may have occurred prior to the annual assessment. During our Fiscal 2024 impairment assessment, we recognized a $30.3 million impairment charge equal to the full carrying value of goodwill associated with the Chris-Craft reporting unit. The decline in fair value of the Chris-Craft reporting unit was driven primarily by a downward revision to forecasted cash flows made during the fourth quarter of Fiscal 2024 as part of our annual long range planning process, and a decline in market capitalization observed from guideline public companies. Projected future cash flows for the Chris-Craft reporting unit have declined compared to prior expectations as a result of sustained macroeconomic challenges impacting consumer demand, such as inflationary pressures and elevated interest rates, and the current uncertainty regarding timing and degree of economic recovery. All other intangible asset fair values were determined to be in excess of the carrying values as of August 31, 2024, and no impairments were recorded during Fiscal 2023 or Fiscal 2022.</w:t>
      </w:r>
    </w:p>
    <w:p>
      <w:pPr>
        <w:spacing w:after="0" w:line="168" w:lineRule="exact"/>
        <w:rPr>
          <w:sz w:val="20"/>
          <w:szCs w:val="20"/>
          <w:color w:val="auto"/>
        </w:rPr>
      </w:pPr>
    </w:p>
    <w:p>
      <w:pPr>
        <w:jc w:val="both"/>
        <w:ind w:right="60"/>
        <w:spacing w:after="0" w:line="261" w:lineRule="auto"/>
        <w:rPr>
          <w:sz w:val="20"/>
          <w:szCs w:val="20"/>
          <w:color w:val="auto"/>
        </w:rPr>
      </w:pPr>
      <w:r>
        <w:rPr>
          <w:rFonts w:ascii="Arial" w:cs="Arial" w:eastAsia="Arial" w:hAnsi="Arial"/>
          <w:sz w:val="13"/>
          <w:szCs w:val="13"/>
          <w:color w:val="auto"/>
        </w:rPr>
        <w:t>The valuation used to test goodwill for impairment is dependent upon a number of significant estimates and assumptions, including macroeconomic conditions, growth rates, competitive activities, cost containment, margin expansion and our business plans. We believe these estimates and assumptions are reasonable. However, future changes in the judgments, assumptions and estimates that are used in our goodwill impairment analysis, including discount and tax rates or future cash flow projections, could result in significantly different estimates of the fair values.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changes in the carrying value of goodwill by reportable segment for Fiscal 2024, 2023, and 2022 are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b w:val="1"/>
                <w:bCs w:val="1"/>
                <w:color w:val="auto"/>
              </w:rPr>
              <w:t>Towable</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b w:val="1"/>
                <w:bCs w:val="1"/>
                <w:color w:val="auto"/>
              </w:rPr>
              <w:t>Motorhome</w:t>
            </w:r>
          </w:p>
        </w:tc>
        <w:tc>
          <w:tcPr>
            <w:tcW w:w="320" w:type="dxa"/>
            <w:vAlign w:val="bottom"/>
          </w:tcPr>
          <w:p>
            <w:pPr>
              <w:spacing w:after="0"/>
              <w:rPr>
                <w:sz w:val="13"/>
                <w:szCs w:val="13"/>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Marine</w:t>
            </w:r>
          </w:p>
        </w:tc>
        <w:tc>
          <w:tcPr>
            <w:tcW w:w="100" w:type="dxa"/>
            <w:vAlign w:val="bottom"/>
          </w:tcPr>
          <w:p>
            <w:pPr>
              <w:spacing w:after="0"/>
              <w:rPr>
                <w:sz w:val="13"/>
                <w:szCs w:val="13"/>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Corporate / All Other</w:t>
            </w:r>
          </w:p>
        </w:tc>
        <w:tc>
          <w:tcPr>
            <w:tcW w:w="360" w:type="dxa"/>
            <w:vAlign w:val="bottom"/>
          </w:tcPr>
          <w:p>
            <w:pPr>
              <w:spacing w:after="0"/>
              <w:rPr>
                <w:sz w:val="13"/>
                <w:szCs w:val="13"/>
                <w:color w:val="auto"/>
              </w:rPr>
            </w:pPr>
          </w:p>
        </w:tc>
        <w:tc>
          <w:tcPr>
            <w:tcW w:w="1180" w:type="dxa"/>
            <w:vAlign w:val="bottom"/>
            <w:vMerge w:val="restart"/>
          </w:tcPr>
          <w:p>
            <w:pPr>
              <w:jc w:val="right"/>
              <w:ind w:right="55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10"/>
        </w:trPr>
        <w:tc>
          <w:tcPr>
            <w:tcW w:w="3300" w:type="dxa"/>
            <w:vAlign w:val="bottom"/>
            <w:vMerge w:val="restart"/>
          </w:tcPr>
          <w:p>
            <w:pPr>
              <w:ind w:left="20"/>
              <w:spacing w:after="0"/>
              <w:rPr>
                <w:sz w:val="20"/>
                <w:szCs w:val="20"/>
                <w:color w:val="auto"/>
              </w:rPr>
            </w:pPr>
            <w:r>
              <w:rPr>
                <w:rFonts w:ascii="Arial" w:cs="Arial" w:eastAsia="Arial" w:hAnsi="Arial"/>
                <w:sz w:val="11"/>
                <w:szCs w:val="11"/>
                <w:color w:val="auto"/>
              </w:rPr>
              <w:t>(in millions)</w:t>
            </w:r>
          </w:p>
        </w:tc>
        <w:tc>
          <w:tcPr>
            <w:tcW w:w="108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RV</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vMerge w:val="restart"/>
          </w:tcPr>
          <w:p>
            <w:pPr>
              <w:jc w:val="right"/>
              <w:ind w:right="616"/>
              <w:spacing w:after="0"/>
              <w:rPr>
                <w:sz w:val="20"/>
                <w:szCs w:val="20"/>
                <w:color w:val="auto"/>
              </w:rPr>
            </w:pPr>
            <w:r>
              <w:rPr>
                <w:rFonts w:ascii="Arial" w:cs="Arial" w:eastAsia="Arial" w:hAnsi="Arial"/>
                <w:sz w:val="13"/>
                <w:szCs w:val="13"/>
                <w:b w:val="1"/>
                <w:bCs w:val="1"/>
                <w:color w:val="auto"/>
              </w:rPr>
              <w:t>RV</w:t>
            </w:r>
          </w:p>
        </w:tc>
        <w:tc>
          <w:tcPr>
            <w:tcW w:w="8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30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CEEFF"/>
            </w:tcBorders>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August 27, 2022</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484.2</w:t>
            </w:r>
          </w:p>
        </w:tc>
        <w:tc>
          <w:tcPr>
            <w:tcW w:w="0" w:type="dxa"/>
            <w:vAlign w:val="bottom"/>
          </w:tcPr>
          <w:p>
            <w:pPr>
              <w:spacing w:after="0"/>
              <w:rPr>
                <w:sz w:val="1"/>
                <w:szCs w:val="1"/>
                <w:color w:val="auto"/>
              </w:rPr>
            </w:pPr>
          </w:p>
        </w:tc>
      </w:tr>
      <w:tr>
        <w:trPr>
          <w:trHeight w:val="170"/>
        </w:trPr>
        <w:tc>
          <w:tcPr>
            <w:tcW w:w="3300" w:type="dxa"/>
            <w:vAlign w:val="bottom"/>
            <w:tcBorders>
              <w:bottom w:val="single" w:sz="8" w:color="CCEEFF"/>
            </w:tcBorders>
          </w:tcPr>
          <w:p>
            <w:pPr>
              <w:ind w:left="120"/>
              <w:spacing w:after="0" w:line="170" w:lineRule="exact"/>
              <w:rPr>
                <w:sz w:val="20"/>
                <w:szCs w:val="20"/>
                <w:color w:val="auto"/>
              </w:rPr>
            </w:pPr>
            <w:r>
              <w:rPr>
                <w:rFonts w:ascii="Arial" w:cs="Arial" w:eastAsia="Arial" w:hAnsi="Arial"/>
                <w:sz w:val="13"/>
                <w:szCs w:val="13"/>
                <w:color w:val="auto"/>
              </w:rPr>
              <w:t>Acquisition of Lithionics</w:t>
            </w:r>
            <w:r>
              <w:rPr>
                <w:rFonts w:ascii="Arial" w:cs="Arial" w:eastAsia="Arial" w:hAnsi="Arial"/>
                <w:sz w:val="16"/>
                <w:szCs w:val="16"/>
                <w:color w:val="auto"/>
                <w:vertAlign w:val="superscript"/>
              </w:rPr>
              <w:t>(1)</w:t>
            </w:r>
          </w:p>
        </w:tc>
        <w:tc>
          <w:tcPr>
            <w:tcW w:w="10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August 26, 2023</w:t>
            </w:r>
          </w:p>
        </w:tc>
        <w:tc>
          <w:tcPr>
            <w:tcW w:w="1080" w:type="dxa"/>
            <w:vAlign w:val="bottom"/>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514.5</w:t>
            </w:r>
          </w:p>
        </w:tc>
        <w:tc>
          <w:tcPr>
            <w:tcW w:w="0" w:type="dxa"/>
            <w:vAlign w:val="bottom"/>
          </w:tcPr>
          <w:p>
            <w:pPr>
              <w:spacing w:after="0"/>
              <w:rPr>
                <w:sz w:val="1"/>
                <w:szCs w:val="1"/>
                <w:color w:val="auto"/>
              </w:rPr>
            </w:pPr>
          </w:p>
        </w:tc>
      </w:tr>
      <w:tr>
        <w:trPr>
          <w:trHeight w:val="169"/>
        </w:trPr>
        <w:tc>
          <w:tcPr>
            <w:tcW w:w="3300" w:type="dxa"/>
            <w:vAlign w:val="bottom"/>
          </w:tcPr>
          <w:p>
            <w:pPr>
              <w:ind w:left="120"/>
              <w:spacing w:after="0"/>
              <w:rPr>
                <w:sz w:val="20"/>
                <w:szCs w:val="20"/>
                <w:color w:val="auto"/>
              </w:rPr>
            </w:pPr>
            <w:r>
              <w:rPr>
                <w:rFonts w:ascii="Arial" w:cs="Arial" w:eastAsia="Arial" w:hAnsi="Arial"/>
                <w:sz w:val="13"/>
                <w:szCs w:val="13"/>
                <w:color w:val="auto"/>
              </w:rPr>
              <w:t>Impairment</w:t>
            </w:r>
          </w:p>
        </w:tc>
        <w:tc>
          <w:tcPr>
            <w:tcW w:w="10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87"/>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Balances at August 31, 2024</w:t>
            </w:r>
          </w:p>
        </w:tc>
        <w:tc>
          <w:tcPr>
            <w:tcW w:w="108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200" w:right="80" w:hanging="195"/>
        <w:spacing w:after="0" w:line="303" w:lineRule="auto"/>
        <w:tabs>
          <w:tab w:leader="none" w:pos="201" w:val="left"/>
        </w:tabs>
        <w:numPr>
          <w:ilvl w:val="0"/>
          <w:numId w:val="19"/>
        </w:numPr>
        <w:rPr>
          <w:rFonts w:ascii="Arial" w:cs="Arial" w:eastAsia="Arial" w:hAnsi="Arial"/>
          <w:sz w:val="7"/>
          <w:szCs w:val="7"/>
          <w:color w:val="auto"/>
        </w:rPr>
      </w:pPr>
      <w:r>
        <w:rPr>
          <w:rFonts w:ascii="Arial" w:cs="Arial" w:eastAsia="Arial" w:hAnsi="Arial"/>
          <w:sz w:val="11"/>
          <w:szCs w:val="11"/>
          <w:color w:val="auto"/>
        </w:rPr>
        <w:t>The change in Corporate / All Other activity is related to the acquisition of Lithionics that occurred on April 28, 2023. See Note 2 in the Notes to Consolidated Financial Statements included in Item 8 of Part II of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80" w:type="dxa"/>
            <w:vAlign w:val="bottom"/>
          </w:tcPr>
          <w:p>
            <w:pPr>
              <w:spacing w:after="0"/>
              <w:rPr>
                <w:sz w:val="20"/>
                <w:szCs w:val="20"/>
                <w:color w:val="auto"/>
              </w:rPr>
            </w:pPr>
            <w:r>
              <w:rPr>
                <w:rFonts w:ascii="Arial" w:cs="Arial" w:eastAsia="Arial" w:hAnsi="Arial"/>
                <w:sz w:val="13"/>
                <w:szCs w:val="13"/>
                <w:color w:val="auto"/>
              </w:rPr>
              <w:t>Other intangible assets, net of accumulated amortization, consist of the following:</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83"/>
        </w:trPr>
        <w:tc>
          <w:tcPr>
            <w:tcW w:w="5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6"/>
              </w:rPr>
              <w:t>August 31, 2024</w:t>
            </w: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r>
      <w:tr>
        <w:trPr>
          <w:trHeight w:val="16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Gross Carrying Amount</w:t>
            </w:r>
          </w:p>
        </w:tc>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Accumulated Amortization</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Net Carrying Value</w:t>
            </w:r>
          </w:p>
        </w:tc>
      </w:tr>
      <w:tr>
        <w:trPr>
          <w:trHeight w:val="16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Indefinite-lived 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352.3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352.3</w:t>
            </w: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Finite-lived trade name</w:t>
            </w:r>
          </w:p>
        </w:tc>
        <w:tc>
          <w:tcPr>
            <w:tcW w:w="120" w:type="dxa"/>
            <w:vAlign w:val="bottom"/>
          </w:tcPr>
          <w:p>
            <w:pPr>
              <w:spacing w:after="0"/>
              <w:rPr>
                <w:sz w:val="14"/>
                <w:szCs w:val="14"/>
                <w:color w:val="auto"/>
              </w:rPr>
            </w:pPr>
          </w:p>
        </w:tc>
        <w:tc>
          <w:tcPr>
            <w:tcW w:w="1620" w:type="dxa"/>
            <w:vAlign w:val="bottom"/>
          </w:tcPr>
          <w:p>
            <w:pPr>
              <w:jc w:val="right"/>
              <w:ind w:right="36"/>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Dealer networks/customer relationships</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Backlog</w:t>
            </w:r>
          </w:p>
        </w:tc>
        <w:tc>
          <w:tcPr>
            <w:tcW w:w="120" w:type="dxa"/>
            <w:vAlign w:val="bottom"/>
          </w:tcPr>
          <w:p>
            <w:pPr>
              <w:spacing w:after="0"/>
              <w:rPr>
                <w:sz w:val="14"/>
                <w:szCs w:val="14"/>
                <w:color w:val="auto"/>
              </w:rPr>
            </w:pPr>
          </w:p>
        </w:tc>
        <w:tc>
          <w:tcPr>
            <w:tcW w:w="1620" w:type="dxa"/>
            <w:vAlign w:val="bottom"/>
          </w:tcPr>
          <w:p>
            <w:pPr>
              <w:jc w:val="right"/>
              <w:ind w:right="36"/>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r>
      <w:tr>
        <w:trPr>
          <w:trHeight w:val="16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Non-compete agreements</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7"/>
        </w:trPr>
        <w:tc>
          <w:tcPr>
            <w:tcW w:w="5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628.5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149.5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6"/>
              </w:rPr>
              <w:t>August 26, 2023</w:t>
            </w: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Gross Carrying Amount</w:t>
            </w:r>
          </w:p>
        </w:tc>
        <w:tc>
          <w:tcPr>
            <w:tcW w:w="100" w:type="dxa"/>
            <w:vAlign w:val="bottom"/>
            <w:tcBorders>
              <w:bottom w:val="single" w:sz="8" w:color="CCEEFF"/>
            </w:tcBorders>
          </w:tcPr>
          <w:p>
            <w:pPr>
              <w:spacing w:after="0"/>
              <w:rPr>
                <w:sz w:val="13"/>
                <w:szCs w:val="13"/>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Accumulated Amortization</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Net Carrying Value</w:t>
            </w:r>
          </w:p>
        </w:tc>
      </w:tr>
      <w:tr>
        <w:trPr>
          <w:trHeight w:val="16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Indefinite-lived 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352.3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352.3</w:t>
            </w: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Finite-lived trade name</w:t>
            </w:r>
          </w:p>
        </w:tc>
        <w:tc>
          <w:tcPr>
            <w:tcW w:w="120" w:type="dxa"/>
            <w:vAlign w:val="bottom"/>
          </w:tcPr>
          <w:p>
            <w:pPr>
              <w:spacing w:after="0"/>
              <w:rPr>
                <w:sz w:val="14"/>
                <w:szCs w:val="14"/>
                <w:color w:val="auto"/>
              </w:rPr>
            </w:pPr>
          </w:p>
        </w:tc>
        <w:tc>
          <w:tcPr>
            <w:tcW w:w="1620" w:type="dxa"/>
            <w:vAlign w:val="bottom"/>
          </w:tcPr>
          <w:p>
            <w:pPr>
              <w:jc w:val="right"/>
              <w:ind w:right="36"/>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Dealer networks/customer relationships</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w:t>
            </w: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Backlog</w:t>
            </w:r>
          </w:p>
        </w:tc>
        <w:tc>
          <w:tcPr>
            <w:tcW w:w="120" w:type="dxa"/>
            <w:vAlign w:val="bottom"/>
          </w:tcPr>
          <w:p>
            <w:pPr>
              <w:spacing w:after="0"/>
              <w:rPr>
                <w:sz w:val="14"/>
                <w:szCs w:val="14"/>
                <w:color w:val="auto"/>
              </w:rPr>
            </w:pPr>
          </w:p>
        </w:tc>
        <w:tc>
          <w:tcPr>
            <w:tcW w:w="1620" w:type="dxa"/>
            <w:vAlign w:val="bottom"/>
          </w:tcPr>
          <w:p>
            <w:pPr>
              <w:jc w:val="right"/>
              <w:ind w:right="36"/>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6"/>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Developed technology</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r>
      <w:tr>
        <w:trPr>
          <w:trHeight w:val="169"/>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Non-compete agreements</w:t>
            </w: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r>
      <w:tr>
        <w:trPr>
          <w:trHeight w:val="187"/>
        </w:trPr>
        <w:tc>
          <w:tcPr>
            <w:tcW w:w="5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628.5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126.5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amortization period for finite-lived intangible assets as of August 31, 2024 was approximately six years.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Estimated future amortization expense related to finite-lived intangible assets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Amortization</w:t>
            </w:r>
          </w:p>
        </w:tc>
      </w:tr>
      <w:tr>
        <w:trPr>
          <w:trHeight w:val="160"/>
        </w:trPr>
        <w:tc>
          <w:tcPr>
            <w:tcW w:w="9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2025</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69"/>
        </w:trPr>
        <w:tc>
          <w:tcPr>
            <w:tcW w:w="9340" w:type="dxa"/>
            <w:vAlign w:val="bottom"/>
          </w:tcPr>
          <w:p>
            <w:pPr>
              <w:ind w:left="20"/>
              <w:spacing w:after="0"/>
              <w:rPr>
                <w:sz w:val="20"/>
                <w:szCs w:val="20"/>
                <w:color w:val="auto"/>
              </w:rPr>
            </w:pPr>
            <w:r>
              <w:rPr>
                <w:rFonts w:ascii="Arial" w:cs="Arial" w:eastAsia="Arial" w:hAnsi="Arial"/>
                <w:sz w:val="13"/>
                <w:szCs w:val="13"/>
                <w:color w:val="auto"/>
              </w:rPr>
              <w:t>Fiscal 2026</w:t>
            </w:r>
          </w:p>
        </w:tc>
        <w:tc>
          <w:tcPr>
            <w:tcW w:w="2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21.7</w:t>
            </w:r>
          </w:p>
        </w:tc>
      </w:tr>
      <w:tr>
        <w:trPr>
          <w:trHeight w:val="171"/>
        </w:trPr>
        <w:tc>
          <w:tcPr>
            <w:tcW w:w="9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2027</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r>
      <w:tr>
        <w:trPr>
          <w:trHeight w:val="169"/>
        </w:trPr>
        <w:tc>
          <w:tcPr>
            <w:tcW w:w="9340" w:type="dxa"/>
            <w:vAlign w:val="bottom"/>
          </w:tcPr>
          <w:p>
            <w:pPr>
              <w:ind w:left="20"/>
              <w:spacing w:after="0"/>
              <w:rPr>
                <w:sz w:val="20"/>
                <w:szCs w:val="20"/>
                <w:color w:val="auto"/>
              </w:rPr>
            </w:pPr>
            <w:r>
              <w:rPr>
                <w:rFonts w:ascii="Arial" w:cs="Arial" w:eastAsia="Arial" w:hAnsi="Arial"/>
                <w:sz w:val="13"/>
                <w:szCs w:val="13"/>
                <w:color w:val="auto"/>
              </w:rPr>
              <w:t>Fiscal 2028</w:t>
            </w:r>
          </w:p>
        </w:tc>
        <w:tc>
          <w:tcPr>
            <w:tcW w:w="2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21.4</w:t>
            </w:r>
          </w:p>
        </w:tc>
      </w:tr>
      <w:tr>
        <w:trPr>
          <w:trHeight w:val="171"/>
        </w:trPr>
        <w:tc>
          <w:tcPr>
            <w:tcW w:w="9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2029</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r>
      <w:tr>
        <w:trPr>
          <w:trHeight w:val="169"/>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w:t>
            </w:r>
          </w:p>
        </w:tc>
      </w:tr>
      <w:tr>
        <w:trPr>
          <w:trHeight w:val="187"/>
        </w:trPr>
        <w:tc>
          <w:tcPr>
            <w:tcW w:w="9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amortization expense remaining</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126.7</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Product Warranties</w:t>
      </w:r>
    </w:p>
    <w:p>
      <w:pPr>
        <w:spacing w:after="0" w:line="190"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70" w:lineRule="exact"/>
        <w:rPr>
          <w:sz w:val="20"/>
          <w:szCs w:val="20"/>
          <w:color w:val="auto"/>
        </w:rPr>
      </w:pPr>
    </w:p>
    <w:p>
      <w:pPr>
        <w:ind w:right="300"/>
        <w:spacing w:after="0" w:line="252" w:lineRule="auto"/>
        <w:rPr>
          <w:sz w:val="20"/>
          <w:szCs w:val="20"/>
          <w:color w:val="auto"/>
        </w:rPr>
      </w:pPr>
      <w:r>
        <w:rPr>
          <w:rFonts w:ascii="Arial" w:cs="Arial" w:eastAsia="Arial" w:hAnsi="Arial"/>
          <w:sz w:val="13"/>
          <w:szCs w:val="13"/>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color w:val="auto"/>
        </w:rPr>
        <w:t>Changes in the product warranty liability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r>
      <w:tr>
        <w:trPr>
          <w:trHeight w:val="16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r>
      <w:tr>
        <w:trPr>
          <w:trHeight w:val="170"/>
        </w:trPr>
        <w:tc>
          <w:tcPr>
            <w:tcW w:w="5880" w:type="dxa"/>
            <w:vAlign w:val="bottom"/>
          </w:tcPr>
          <w:p>
            <w:pPr>
              <w:ind w:left="120"/>
              <w:spacing w:after="0" w:line="170" w:lineRule="exact"/>
              <w:rPr>
                <w:sz w:val="20"/>
                <w:szCs w:val="20"/>
                <w:color w:val="auto"/>
              </w:rPr>
            </w:pPr>
            <w:r>
              <w:rPr>
                <w:rFonts w:ascii="Arial" w:cs="Arial" w:eastAsia="Arial" w:hAnsi="Arial"/>
                <w:sz w:val="13"/>
                <w:szCs w:val="13"/>
                <w:color w:val="auto"/>
              </w:rPr>
              <w:t>Business acquisitions</w:t>
            </w:r>
            <w:r>
              <w:rPr>
                <w:rFonts w:ascii="Arial" w:cs="Arial" w:eastAsia="Arial" w:hAnsi="Arial"/>
                <w:sz w:val="16"/>
                <w:szCs w:val="16"/>
                <w:color w:val="auto"/>
                <w:vertAlign w:val="superscript"/>
              </w:rPr>
              <w:t>(1)</w:t>
            </w:r>
          </w:p>
        </w:tc>
        <w:tc>
          <w:tcPr>
            <w:tcW w:w="40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70"/>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Provision</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r>
      <w:tr>
        <w:trPr>
          <w:trHeight w:val="169"/>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Claims paid</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(98.6)</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w:t>
            </w:r>
          </w:p>
        </w:tc>
      </w:tr>
      <w:tr>
        <w:trPr>
          <w:trHeight w:val="18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w:t>
            </w: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00" w:right="120" w:hanging="195"/>
        <w:spacing w:after="0" w:line="213" w:lineRule="auto"/>
        <w:tabs>
          <w:tab w:leader="none" w:pos="236" w:val="left"/>
        </w:tabs>
        <w:numPr>
          <w:ilvl w:val="0"/>
          <w:numId w:val="20"/>
        </w:numPr>
        <w:rPr>
          <w:rFonts w:ascii="Arial" w:cs="Arial" w:eastAsia="Arial" w:hAnsi="Arial"/>
          <w:sz w:val="17"/>
          <w:szCs w:val="17"/>
          <w:color w:val="auto"/>
          <w:vertAlign w:val="superscript"/>
        </w:rPr>
      </w:pPr>
      <w:r>
        <w:rPr>
          <w:rFonts w:ascii="Arial" w:cs="Arial" w:eastAsia="Arial" w:hAnsi="Arial"/>
          <w:sz w:val="11"/>
          <w:szCs w:val="11"/>
          <w:color w:val="auto"/>
        </w:rPr>
        <w:t>Refer to Note 2 in the Notes to Consolidated Financial Statements included in Item 8 of Part II of this Annual Report on Form 10-K for more information on the acquisition of Lithionics on April 28, 2023 and the acquisition of Barletta on August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20"/>
                <w:szCs w:val="20"/>
                <w:color w:val="auto"/>
              </w:rPr>
            </w:pPr>
            <w:r>
              <w:rPr>
                <w:rFonts w:ascii="Arial" w:cs="Arial" w:eastAsia="Arial" w:hAnsi="Arial"/>
                <w:sz w:val="13"/>
                <w:szCs w:val="13"/>
                <w:b w:val="1"/>
                <w:bCs w:val="1"/>
                <w:color w:val="auto"/>
              </w:rPr>
              <w:t>Note 9. Debt</w:t>
            </w: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4"/>
        </w:trPr>
        <w:tc>
          <w:tcPr>
            <w:tcW w:w="7720" w:type="dxa"/>
            <w:vAlign w:val="bottom"/>
          </w:tcPr>
          <w:p>
            <w:pPr>
              <w:spacing w:after="0"/>
              <w:rPr>
                <w:sz w:val="20"/>
                <w:szCs w:val="20"/>
                <w:color w:val="auto"/>
              </w:rPr>
            </w:pPr>
            <w:r>
              <w:rPr>
                <w:rFonts w:ascii="Arial" w:cs="Arial" w:eastAsia="Arial" w:hAnsi="Arial"/>
                <w:sz w:val="13"/>
                <w:szCs w:val="13"/>
                <w:color w:val="auto"/>
              </w:rPr>
              <w:t>The following table summarizes our outstanding debt:</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3"/>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August 31, 2024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August 26, 2023</w:t>
            </w:r>
          </w:p>
        </w:tc>
      </w:tr>
      <w:tr>
        <w:trPr>
          <w:trHeight w:val="16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ABL Credit Facility</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Senior Secured Notes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300.0</w:t>
            </w:r>
          </w:p>
        </w:tc>
      </w:tr>
      <w:tr>
        <w:trPr>
          <w:trHeight w:val="171"/>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 Convertible Notes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2025 Convertible Notes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w:t>
            </w:r>
          </w:p>
        </w:tc>
      </w:tr>
      <w:tr>
        <w:trPr>
          <w:trHeight w:val="162"/>
        </w:trPr>
        <w:tc>
          <w:tcPr>
            <w:tcW w:w="7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debt, gross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r>
      <w:tr>
        <w:trPr>
          <w:trHeight w:val="169"/>
        </w:trPr>
        <w:tc>
          <w:tcPr>
            <w:tcW w:w="7720" w:type="dxa"/>
            <w:vAlign w:val="bottom"/>
          </w:tcPr>
          <w:p>
            <w:pPr>
              <w:ind w:left="20"/>
              <w:spacing w:after="0"/>
              <w:rPr>
                <w:sz w:val="20"/>
                <w:szCs w:val="20"/>
                <w:color w:val="auto"/>
              </w:rPr>
            </w:pPr>
            <w:r>
              <w:rPr>
                <w:rFonts w:ascii="Arial" w:cs="Arial" w:eastAsia="Arial" w:hAnsi="Arial"/>
                <w:sz w:val="13"/>
                <w:szCs w:val="13"/>
                <w:color w:val="auto"/>
              </w:rPr>
              <w:t>Unamortized debt issuance cost, net</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0"/>
        </w:trPr>
        <w:tc>
          <w:tcPr>
            <w:tcW w:w="7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maturities of long-term debt, net</w:t>
            </w:r>
          </w:p>
        </w:tc>
        <w:tc>
          <w:tcPr>
            <w:tcW w:w="2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7720" w:type="dxa"/>
            <w:vAlign w:val="bottom"/>
          </w:tcPr>
          <w:p>
            <w:pPr>
              <w:ind w:left="120"/>
              <w:spacing w:after="0"/>
              <w:rPr>
                <w:sz w:val="20"/>
                <w:szCs w:val="20"/>
                <w:color w:val="auto"/>
              </w:rPr>
            </w:pPr>
            <w:r>
              <w:rPr>
                <w:rFonts w:ascii="Arial" w:cs="Arial" w:eastAsia="Arial" w:hAnsi="Arial"/>
                <w:sz w:val="13"/>
                <w:szCs w:val="13"/>
                <w:color w:val="auto"/>
              </w:rPr>
              <w:t>Long-term debt, net</w:t>
            </w: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592.4</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Agreements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On July 15, 2022, we amended and restated our asset-backed revolving credit agreement ("ABL Credit Facility") to, among other things, increase the commitments available from $192.5 million to</w:t>
      </w:r>
    </w:p>
    <w:p>
      <w:pPr>
        <w:spacing w:after="0" w:line="18" w:lineRule="exact"/>
        <w:rPr>
          <w:sz w:val="20"/>
          <w:szCs w:val="20"/>
          <w:color w:val="auto"/>
        </w:rPr>
      </w:pPr>
    </w:p>
    <w:p>
      <w:pPr>
        <w:ind w:right="20"/>
        <w:spacing w:after="0" w:line="246" w:lineRule="auto"/>
        <w:rPr>
          <w:sz w:val="20"/>
          <w:szCs w:val="20"/>
          <w:color w:val="auto"/>
        </w:rPr>
      </w:pPr>
      <w:r>
        <w:rPr>
          <w:rFonts w:ascii="Arial" w:cs="Arial" w:eastAsia="Arial" w:hAnsi="Arial"/>
          <w:sz w:val="13"/>
          <w:szCs w:val="13"/>
          <w:color w:val="auto"/>
        </w:rPr>
        <w:t>$350.0 million, and extend the maturity date from October 22, 2024 to July 15, 2027 (subject to certain factors which may accelerate the maturity date). The $350.0 million credit facility is on a revolving basis, subject to availability under a borrowing base consisting of eligible accounts receivable and eligible inventory. The ABL Credit Facility is available for issuance of letters of credit to a specified limit of $35.0 million. We pay a commitment fee of 0.25% based on the average daily amount of the facility available, but unused during the most recent quarter. We can elect to base the interest rate on various rates plus specific spreads depending on the borrowing amount outstanding. If drawn, interest on ABL Credit Facility borrowings is at a floating rate based upon our election, either term SOFR or REVSOFR30 (as defined in the ABL Credit Facility agreement), plus, in each case, a credit spread adjustment of 0.10%, as well as an applicable spread between</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1.25% and 1.75%, depending on the usage of the facility during the most recent quarter. Based on current usage, we would pay an applicable spread of 1.25%. In connection with the amendment, we capitalized $1.2 million of issuance costs that are being amortized over the five-year term of the ABL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Senior Secured Notes</w:t>
      </w:r>
    </w:p>
    <w:p>
      <w:pPr>
        <w:spacing w:after="0" w:line="84" w:lineRule="exact"/>
        <w:rPr>
          <w:sz w:val="20"/>
          <w:szCs w:val="20"/>
          <w:color w:val="auto"/>
        </w:rPr>
      </w:pPr>
    </w:p>
    <w:p>
      <w:pPr>
        <w:ind w:right="40"/>
        <w:spacing w:after="0" w:line="280" w:lineRule="auto"/>
        <w:rPr>
          <w:sz w:val="20"/>
          <w:szCs w:val="20"/>
          <w:color w:val="auto"/>
        </w:rPr>
      </w:pPr>
      <w:r>
        <w:rPr>
          <w:rFonts w:ascii="Arial" w:cs="Arial" w:eastAsia="Arial" w:hAnsi="Arial"/>
          <w:sz w:val="12"/>
          <w:szCs w:val="12"/>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 The Senior Secured Notes and the related guarantees are secured by (i) a first-priority lien on substantially all of our existing and future assets (other than certain collateral under the ABL Credit Facility) and (ii) a second-priority lien on our present and future receivables, inventory and other related assets and proceeds that secure the ABL Credit Facility on a first-priority basis.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Indenture limits certain of our abilities (subject to certain exceptions and qualifications) to incur additional debt and provide additional guarantees; make restricted payments; create or permit certain liens; make certain asset sales; use the proceeds from the sale of assets and subsidiary stock; create or permit restrictions on the ability of our restricted subsidiaries to pay dividends or make other inter-company distributions; engage in certain transactions with affiliates; designate subsidiaries as unrestricted subsidiaries; and consolidate, merge or transfer all or substantially all of our assets and the assets of our restricted subsidiaries.</w:t>
      </w:r>
    </w:p>
    <w:p>
      <w:pPr>
        <w:spacing w:after="0" w:line="176" w:lineRule="exact"/>
        <w:rPr>
          <w:sz w:val="20"/>
          <w:szCs w:val="20"/>
          <w:color w:val="auto"/>
        </w:rPr>
      </w:pPr>
    </w:p>
    <w:p>
      <w:pPr>
        <w:ind w:right="100"/>
        <w:spacing w:after="0" w:line="252" w:lineRule="auto"/>
        <w:rPr>
          <w:sz w:val="20"/>
          <w:szCs w:val="20"/>
          <w:color w:val="auto"/>
        </w:rPr>
      </w:pPr>
      <w:r>
        <w:rPr>
          <w:rFonts w:ascii="Arial" w:cs="Arial" w:eastAsia="Arial" w:hAnsi="Arial"/>
          <w:sz w:val="13"/>
          <w:szCs w:val="13"/>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are being amortized over the eight-year term of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2030 Convertible Notes</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On January 23, 2024, we issued $350.0 million in aggregate principal amount of 3.25% unsecured convertible senior notes due 2030 (“2030 Convertible Notes”). The net proceeds from the issuance of the 2030 Convertible Notes, after deducting the initial purchasers' transaction fees and offering expenses payable by us, were approximately $339.8 million. The 2030 Convertible Notes bear interest at the annual rate of 3.25%, payable on January 15 and July 15 of each year, beginning on July 15, 2024, and will mature on January 15, 2030, unless earlier repurchased, redeemed, or converted in accordance with their terms prior to such date.</w:t>
      </w:r>
    </w:p>
    <w:p>
      <w:pPr>
        <w:spacing w:after="0" w:line="176" w:lineRule="exact"/>
        <w:rPr>
          <w:sz w:val="20"/>
          <w:szCs w:val="20"/>
          <w:color w:val="auto"/>
        </w:rPr>
      </w:pPr>
    </w:p>
    <w:p>
      <w:pPr>
        <w:jc w:val="both"/>
        <w:ind w:right="200"/>
        <w:spacing w:after="0" w:line="261" w:lineRule="auto"/>
        <w:rPr>
          <w:sz w:val="20"/>
          <w:szCs w:val="20"/>
          <w:color w:val="auto"/>
        </w:rPr>
      </w:pPr>
      <w:r>
        <w:rPr>
          <w:rFonts w:ascii="Arial" w:cs="Arial" w:eastAsia="Arial" w:hAnsi="Arial"/>
          <w:sz w:val="13"/>
          <w:szCs w:val="13"/>
          <w:color w:val="auto"/>
        </w:rPr>
        <w:t>The 2030 Convertible Notes may be converted at any time on or after July 15, 2029, until the close of business on the second scheduled trading day immediately preceding their maturity date. Upon conversion, we will settle the principal amount of the 2030 Convertible Notes in cash, and any conversion premium in excess of the principal amount in cash, or a combination of cash and shares of common stock, at our election.</w:t>
      </w:r>
    </w:p>
    <w:p>
      <w:pPr>
        <w:spacing w:after="0" w:line="159"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The initial conversion rate of the 2030 Convertible Notes was 11.3724 shares of common stock per $1,000 principal amount of 2030 Convertible Notes, which is equal to an initial conversion price of approximately $87.93 per share. The conversion rate is subject to adjustment upon the occurrence of events specified in the Indenture to the 2030 Convertible Notes but will not be adjusted for accrued and unpaid interest on any 2030 Convertible Note being converted. In addition, upon the occurrence of a make-whole fundamental change (as defined in the Indenture to the 2030 Convertible Notes) during the make-whole fundamental change conversion period (as defined in the Indenture to the 2030 Convertible Notes), we will, in certain circumstances, increase the conversion rate by the number of additional shares described in the Indenture to the 2030 Convertible Notes for a holder that elects to convert such holder’s 2030 Convertible Notes in connection with such make-whole fundamental change. As of August 31, 2024, there have been no changes to the initial conversion rate.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Prior to the close of business on the business day immediately preceding July 15, 2029, the 2030 Convertible Notes will be convertible only under the following circumstances:</w:t>
      </w:r>
    </w:p>
    <w:p>
      <w:pPr>
        <w:spacing w:after="0" w:line="95" w:lineRule="exact"/>
        <w:rPr>
          <w:sz w:val="20"/>
          <w:szCs w:val="20"/>
          <w:color w:val="auto"/>
        </w:rPr>
      </w:pPr>
    </w:p>
    <w:p>
      <w:pPr>
        <w:ind w:left="520" w:right="140" w:hanging="260"/>
        <w:spacing w:after="0" w:line="253" w:lineRule="auto"/>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during any calendar quarter commencing after the calendar quarter ended on March 31, 2024 (and only during such calendar quarter), if the last reported sale price (as defined in the Indenture to the 2030 Convertible Notes) per share of the common stock is more than 130% of the applicable conversion price (as defined in the Indenture to the 2030 Convertible Notes) on each applicable trading day for at least 20 trading days (whether or not consecutive) during a period of 30 consecutive trading days ending on, and including, the last trading day of the immediately preceding calendar quarter;</w:t>
      </w:r>
    </w:p>
    <w:p>
      <w:pPr>
        <w:spacing w:after="0" w:line="59" w:lineRule="exact"/>
        <w:rPr>
          <w:rFonts w:ascii="Arial" w:cs="Arial" w:eastAsia="Arial" w:hAnsi="Arial"/>
          <w:sz w:val="13"/>
          <w:szCs w:val="13"/>
          <w:color w:val="auto"/>
        </w:rPr>
      </w:pPr>
    </w:p>
    <w:p>
      <w:pPr>
        <w:ind w:left="520" w:right="100" w:hanging="260"/>
        <w:spacing w:after="0" w:line="292" w:lineRule="auto"/>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during the five consecutive business day period immediately after any five consecutive trading day period (the "measurement period to the 2030 Convertible Notes") in which the trading price (as defined in the Indenture to the 2030 Convertible Notes) per $1,000 principal amount of 2030 Convertible Notes for each trading day of the measurement period to the 2030 Convertible Notes was less than 98% of the product of the last reported sale price per share of the common stock and the conversion rate for the 2030 Convertible Notes on each such trading day;</w:t>
      </w:r>
    </w:p>
    <w:p>
      <w:pPr>
        <w:spacing w:after="0" w:line="37" w:lineRule="exact"/>
        <w:rPr>
          <w:rFonts w:ascii="Arial" w:cs="Arial" w:eastAsia="Arial" w:hAnsi="Arial"/>
          <w:sz w:val="12"/>
          <w:szCs w:val="12"/>
          <w:color w:val="auto"/>
        </w:rPr>
      </w:pPr>
    </w:p>
    <w:p>
      <w:pPr>
        <w:ind w:left="520" w:hanging="260"/>
        <w:spacing w:after="0"/>
        <w:tabs>
          <w:tab w:leader="none" w:pos="5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upon the occurrence of certain specified corporate events set forth in the Indenture to the 2030 Convertible Notes; or</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if we call such 2030 Convertible Notes for redemption (as described below).</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The 2030 Convertible Notes will be redeemable, in whole or in part (subject to certain limitations), for cash at our option at any time, and from time to time, on or after January 15, 2028 and on or before the 40th scheduled trading day immediately before the maturity date, but only if the last reported sale price per share of our common stock exceeds 130% of the conversion price for a specified period of time (as set forth in the Indenture to the 2030 Convertible Notes). The redemption price will be equal to the principal amount of the 2030 Convertible Notes to be redeemed, plus accrued and unpaid interest, if any, to, but excluding, the redemption date.</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On January 18, 2024 and January 19, 2024, in connection with the offering of the 2030 Convertible Notes, we entered into privately negotiated convertible note hedge transactions (collectively, the “2030 Hedge Transactions”) that cover, subject to customary anti-dilution adjustments, the number of shares of our common stock that initially underlie the 2030 Convertible Notes, and are expected generally to reduce the potential dilution and/or offset any cash payments we are required to make in excess of the principal amount due, as the case may be, upon conversion of the 2030 Convertible Notes in the event that the market price of our common stock is greater than the strike price of the 2030 Hedge Transactions, which was initially $87.93 per share (subject to adjustment under the terms of the 2030 Hedge Transactions), corresponding to the initial conversion price of the 2030 Convertible Notes.</w:t>
      </w:r>
    </w:p>
    <w:p>
      <w:pPr>
        <w:spacing w:after="0" w:line="164" w:lineRule="exact"/>
        <w:rPr>
          <w:sz w:val="20"/>
          <w:szCs w:val="20"/>
          <w:color w:val="auto"/>
        </w:rPr>
      </w:pPr>
    </w:p>
    <w:p>
      <w:pPr>
        <w:ind w:right="260"/>
        <w:spacing w:after="0" w:line="275" w:lineRule="auto"/>
        <w:rPr>
          <w:sz w:val="20"/>
          <w:szCs w:val="20"/>
          <w:color w:val="auto"/>
        </w:rPr>
      </w:pPr>
      <w:r>
        <w:rPr>
          <w:rFonts w:ascii="Arial" w:cs="Arial" w:eastAsia="Arial" w:hAnsi="Arial"/>
          <w:sz w:val="12"/>
          <w:szCs w:val="12"/>
          <w:color w:val="auto"/>
        </w:rPr>
        <w:t>On January 18, 2024 and January 19, 2024, we also entered into privately negotiated warrant transactions (collectively, the “2030 Warrant Transactions” and, together with the 2030 Hedge Transactions, the “2030 Call Spread Transactions”), whereby we sold warrants at a higher strike price relating to the same number of shares of our common stock that initially underlie the 2030 Convertible Notes, subject to customary anti-dilution adjustments. The initial strike price of the 2030 warrants is $135.28 per share (subject to adjustment under the terms of the 2030 Warrant Transactions), which is approximately 100% above the last reported sale price of our common stock on January 18, 2024. The 2030 Warrant Transactions could have a dilutive effect to our stockholders to the extent that the market price per share of our common stock, as measured under the terms of the 2030 Warrant Transactions, exceeds the applicable strike price of the warrants.</w:t>
      </w:r>
    </w:p>
    <w:p>
      <w:pPr>
        <w:spacing w:after="0" w:line="122"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The 2030 Hedge Transactions and the 2030 Warrant Transactions are separate transactions, and in each case, are not part of the terms of the 2030 Convertible Notes and will not affect any holder’s rights under the 2030 Convertible Notes. Holders of the 2030 Convertible Notes will not have any rights with respect to the 2030 Call Spread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Treatment of the 2030 Convertible Notes and Related 2030 Hedge Transactions and 2030 Warrant Transactions</w:t>
      </w:r>
    </w:p>
    <w:p>
      <w:pPr>
        <w:spacing w:after="0" w:line="82" w:lineRule="exact"/>
        <w:rPr>
          <w:sz w:val="20"/>
          <w:szCs w:val="20"/>
          <w:color w:val="auto"/>
        </w:rPr>
      </w:pPr>
    </w:p>
    <w:p>
      <w:pPr>
        <w:ind w:right="60"/>
        <w:spacing w:after="0" w:line="327" w:lineRule="auto"/>
        <w:rPr>
          <w:sz w:val="20"/>
          <w:szCs w:val="20"/>
          <w:color w:val="auto"/>
        </w:rPr>
      </w:pPr>
      <w:r>
        <w:rPr>
          <w:rFonts w:ascii="Arial" w:cs="Arial" w:eastAsia="Arial" w:hAnsi="Arial"/>
          <w:sz w:val="12"/>
          <w:szCs w:val="12"/>
          <w:color w:val="auto"/>
        </w:rPr>
        <w:t>The 2030 Convertible Notes are accounted for as a single liability measured at amortized cost. Interest expense, representing the amortization of the $10.2 million of debt issuance costs as well as the contractual interest expense are amortized using an effective interest rate of 3.8% over the term of the 2030 Convertible Notes. We recorded $7.8 million of interest expense during Fiscal 2024.</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The net after-tax cost incurred in connection with the 2030 Call Spread Transactions was $20.6 million. These transactions are classified as equity and are not remeasured each reporting period.</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2025 Convertible Notes</w:t>
      </w:r>
    </w:p>
    <w:p>
      <w:pPr>
        <w:spacing w:after="0" w:line="84" w:lineRule="exact"/>
        <w:rPr>
          <w:sz w:val="20"/>
          <w:szCs w:val="20"/>
          <w:color w:val="auto"/>
        </w:rPr>
      </w:pPr>
    </w:p>
    <w:p>
      <w:pPr>
        <w:jc w:val="both"/>
        <w:ind w:right="40"/>
        <w:spacing w:after="0" w:line="261" w:lineRule="auto"/>
        <w:rPr>
          <w:sz w:val="20"/>
          <w:szCs w:val="20"/>
          <w:color w:val="auto"/>
        </w:rPr>
      </w:pPr>
      <w:r>
        <w:rPr>
          <w:rFonts w:ascii="Arial" w:cs="Arial" w:eastAsia="Arial" w:hAnsi="Arial"/>
          <w:sz w:val="13"/>
          <w:szCs w:val="13"/>
          <w:color w:val="auto"/>
        </w:rPr>
        <w:t>On November 1, 2019, we issued $300.0 million in aggregate principal amount of 1.5% unsecured convertible senior notes due 2025 (“2025 Convertible Notes”). The net proceeds from the issuance of the 2025 Convertible Notes, after deducting the initial purchasers' transaction fees and offering expense payable by us, were approximately $290.2 million. The 2025 Convertible Notes bear interest at the annual rate of 1.5%, payable on April 1 and October 1 of each year, beginning on April 1, 2020, and will mature on April 1, 2025, unless earlier converted or repurchased by us.</w:t>
      </w:r>
    </w:p>
    <w:p>
      <w:pPr>
        <w:spacing w:after="0" w:line="159" w:lineRule="exact"/>
        <w:rPr>
          <w:sz w:val="20"/>
          <w:szCs w:val="20"/>
          <w:color w:val="auto"/>
        </w:rPr>
      </w:pPr>
    </w:p>
    <w:p>
      <w:pPr>
        <w:ind w:right="520"/>
        <w:spacing w:after="0" w:line="253" w:lineRule="auto"/>
        <w:rPr>
          <w:sz w:val="20"/>
          <w:szCs w:val="20"/>
          <w:color w:val="auto"/>
        </w:rPr>
      </w:pPr>
      <w:r>
        <w:rPr>
          <w:rFonts w:ascii="Arial" w:cs="Arial" w:eastAsia="Arial" w:hAnsi="Arial"/>
          <w:sz w:val="13"/>
          <w:szCs w:val="13"/>
          <w:color w:val="auto"/>
        </w:rPr>
        <w:t>The 2025 Convertible Notes will be convertible into cash, shares of our common stock or a combination thereof, at our election, at an initial conversion rate of 15.6906 shares of common stock per $1,000 principal amount of 2025 Convertible Notes, which is equivalent to an initial conversion price of approximately $63.73 per share, as adjusted pursuant to the terms of the Indenture governing the 2025 Convertible Notes. The 2025 Convertible Notes may be converted at any time on or after October 1, 2024, until the close of business on the second scheduled trading day immediately preceding the maturity date.</w:t>
      </w:r>
    </w:p>
    <w:p>
      <w:pPr>
        <w:spacing w:after="0" w:line="176" w:lineRule="exact"/>
        <w:rPr>
          <w:sz w:val="20"/>
          <w:szCs w:val="20"/>
          <w:color w:val="auto"/>
        </w:rPr>
      </w:pPr>
    </w:p>
    <w:p>
      <w:pPr>
        <w:ind w:right="140"/>
        <w:spacing w:after="0" w:line="253" w:lineRule="auto"/>
        <w:rPr>
          <w:sz w:val="20"/>
          <w:szCs w:val="20"/>
          <w:color w:val="auto"/>
        </w:rPr>
      </w:pPr>
      <w:r>
        <w:rPr>
          <w:rFonts w:ascii="Arial" w:cs="Arial" w:eastAsia="Arial" w:hAnsi="Arial"/>
          <w:sz w:val="13"/>
          <w:szCs w:val="13"/>
          <w:color w:val="auto"/>
        </w:rPr>
        <w:t>The conversion rate of the 2025 Convertible Notes may be adjusted in certain circumstances, including in connection with a conversion of the 2025 Convertible Notes made following certain fundamental changes and under other circumstances set forth in the Indenture to the 2025 Convertible Notes. As of August 31, 2024, the conversion rate was 15.9923 shares of common stock per $1,000 principal amount of 2025 Convertible Notes, which is equivalent to a conversion price of approximately $62.53. The difference between the initial conversion rate and the conversion rate as of August 31, 2024 is due to cash dividends that have been declared following the issuance of the 2025 Convertible Notes.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It is our current intent to settle all conversions of the 2025 Convertible Notes in cash. Our ability to cash settle may be limited depending on the stock price at the time of conversion.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Prior to the close of business on the business day immediately preceding October 1, 2024, the 2025 Convertible Notes will be convertible only under the following circumstances: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520" w:right="100" w:hanging="260"/>
        <w:spacing w:after="0" w:line="261"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during any calendar quarter commencing after December 31, 2019 if the closing sale price of the common stock is more than 130% of the applicable conversion price on each applicable trading day for at least 20 trading days (whether or not consecutive) during a period of 30 consecutive trading days ending on, and including, the last trading day of the immediately preceding calendar quarter;</w:t>
      </w:r>
    </w:p>
    <w:p>
      <w:pPr>
        <w:spacing w:after="0" w:line="53" w:lineRule="exact"/>
        <w:rPr>
          <w:rFonts w:ascii="Arial" w:cs="Arial" w:eastAsia="Arial" w:hAnsi="Arial"/>
          <w:sz w:val="13"/>
          <w:szCs w:val="13"/>
          <w:color w:val="auto"/>
        </w:rPr>
      </w:pPr>
    </w:p>
    <w:p>
      <w:pPr>
        <w:jc w:val="both"/>
        <w:ind w:left="520" w:right="160" w:hanging="260"/>
        <w:spacing w:after="0" w:line="261" w:lineRule="auto"/>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during the five consecutive business day period after any five consecutive trading day period (the "measurement period to the 2025 Convertible Notes") in which the trading price per $1,000 principal amount of 2025 Convertible Notes for each trading day of the measurement period to the 2025 Convertible Notes was less than 98% of the product of the last reported sale price of the common stock and the conversion rate for the 2025 Convertible Notes on each such trading day; or</w:t>
      </w:r>
    </w:p>
    <w:p>
      <w:pPr>
        <w:spacing w:after="0" w:line="53" w:lineRule="exact"/>
        <w:rPr>
          <w:rFonts w:ascii="Arial" w:cs="Arial" w:eastAsia="Arial" w:hAnsi="Arial"/>
          <w:sz w:val="13"/>
          <w:szCs w:val="13"/>
          <w:color w:val="auto"/>
        </w:rPr>
      </w:pPr>
    </w:p>
    <w:p>
      <w:pPr>
        <w:ind w:left="520" w:hanging="260"/>
        <w:spacing w:after="0"/>
        <w:tabs>
          <w:tab w:leader="none" w:pos="5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upon the occurrence of certain specified corporate events set forth in the Indenture for the 2025 Convertible Notes.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We may not redeem the 2025 Convertible Notes at our option prior to the maturity date, and no sinking fund is provided for the 2025 Convertible Notes.</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On October 29, 2019 and October 30, 2019, in connection with the offering of the 2025 Convertible Notes, we entered into privately negotiated convertible note hedge transactions (collectively, the “2025 Hedge Transactions”) that cover, subject to customary anti-dilution adjustments, the number of shares of our common stock that initially underlie the 2025 Convertible Notes, and are expected generally to reduce the potential dilution and/or offset any cash payments we are required to make in excess of the principal amount due, as the case may be, upon conversion of the 2025 Convertible Notes in the event that the market price of our common stock is greater than the strike price of the 2025 Hedge Transactions, which was initially $63.73 per share (subject to adjustment under the terms of the 2025 Hedge Transactions), corresponding to the initial conversion price of the 2025 Convertible Notes.</w:t>
      </w:r>
    </w:p>
    <w:p>
      <w:pPr>
        <w:spacing w:after="0" w:line="164" w:lineRule="exact"/>
        <w:rPr>
          <w:sz w:val="20"/>
          <w:szCs w:val="20"/>
          <w:color w:val="auto"/>
        </w:rPr>
      </w:pPr>
    </w:p>
    <w:p>
      <w:pPr>
        <w:ind w:right="140"/>
        <w:spacing w:after="0" w:line="254" w:lineRule="auto"/>
        <w:rPr>
          <w:sz w:val="20"/>
          <w:szCs w:val="20"/>
          <w:color w:val="auto"/>
        </w:rPr>
      </w:pPr>
      <w:r>
        <w:rPr>
          <w:rFonts w:ascii="Arial" w:cs="Arial" w:eastAsia="Arial" w:hAnsi="Arial"/>
          <w:sz w:val="13"/>
          <w:szCs w:val="13"/>
          <w:color w:val="auto"/>
        </w:rPr>
        <w:t>On October 29, 2019 and October 30, 2019, we also entered into privately negotiated warrant transactions (collectively, the “2025 Warrant Transactions” and, together with the 2025 Hedge Transactions, the “2025 Call Spread Transactions”), whereby we sold warrants at a higher strike price relating to the same number of shares of our common stock that initially underlie the 2025 Convertible Notes, subject to customary anti-dilution adjustments. The initial strike price of the warrants is $96.20 per share (subject to adjustment under the terms of the 2025 Warrant Transactions), which is 100% above the last reported sale price of our common stock on October 29, 2019. The 2025 Warrant Transactions could have a dilutive effect to our shareholders to the extent that the market price per share of our common stock, as measured under the terms of the 2025 Warrant Transactions, exceeds the applicable strike price of the warrants.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We used $28.6 million of the net proceeds from the issuance of the 2025 Convertible Notes to pay the cost of the 2025 Call Spread Transactions.</w:t>
      </w:r>
    </w:p>
    <w:p>
      <w:pPr>
        <w:spacing w:after="0" w:line="158"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The 2025 Hedge Transactions and the 2025 Warrant Transactions are separate transactions, in each case, and are not part of the terms of the 2025 Convertible Notes and will not affect any holder’s rights under the 2025 Convertible Notes. Holders of the 2025 Convertible Notes will not have any rights with respect to the 2025 Call Spread Transactions.</w:t>
      </w:r>
    </w:p>
    <w:p>
      <w:pPr>
        <w:spacing w:after="0" w:line="146"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On January 18, 2024, we entered into separate, privately negotiated transactions (the "2025 Convertible Note Repurchases") with certain holders of the 2025 Convertible Notes to repurchase $240.7 million aggregate principal amount of the 2025 Convertible Notes using $293.8 million of the net proceeds received from the 2030 Convertible Notes. In connection with the 2025 Convertible Note Repurchases, we recorded a loss on note repurchase of $32.7 million in the accompanying Consolidated Statements of Income during Fiscal 2024. The loss on note repurchase represents the difference between the fair value of consideration transferred to the holders of the repurchased 2025 Convertible Notes and the conversion value of 2025 Convertible Notes repurchased pursuant to the original conversion terms. Concurrently with the 2025 Convertible Note Repurchases, we entered into agreements to terminate a proportionate amount of the 2025 Call Spread Transactions, which resulted in net proceeds of $30.5 million recorded as equity in the accompanying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Treatment of the 2025 Convertible Notes and Related 2025 Hedge Transactions and 2025 Warrant Transactions</w:t>
      </w:r>
    </w:p>
    <w:p>
      <w:pPr>
        <w:spacing w:after="0" w:line="93" w:lineRule="exact"/>
        <w:rPr>
          <w:sz w:val="20"/>
          <w:szCs w:val="20"/>
          <w:color w:val="auto"/>
        </w:rPr>
      </w:pPr>
    </w:p>
    <w:p>
      <w:pPr>
        <w:ind w:right="260"/>
        <w:spacing w:after="0" w:line="261" w:lineRule="auto"/>
        <w:rPr>
          <w:sz w:val="20"/>
          <w:szCs w:val="20"/>
          <w:color w:val="auto"/>
        </w:rPr>
      </w:pPr>
      <w:r>
        <w:rPr>
          <w:rFonts w:ascii="Arial" w:cs="Arial" w:eastAsia="Arial" w:hAnsi="Arial"/>
          <w:sz w:val="13"/>
          <w:szCs w:val="13"/>
          <w:color w:val="auto"/>
        </w:rPr>
        <w:t>The 2025 Convertible Notes are accounted for as a single liability measured at amortized cost. Interest expense, representing the amortization of the remaining debt issuance costs as well as the contractual interest expense are amortized using an effective interest rate of 2.1% over the term of the 2025 Convertible Notes. We recorded interest expense of $3.4 million, $6.3 million and $19.6 million for Fiscal 2024, 2023, and 2022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net after-tax cost incurred in connection with the 2025 Call Spread Transactions was $11.2 million. These transactions are classified as equity and are not remeasured each reporting period.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6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3"/>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Fair Value and Future Maturities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720" w:type="dxa"/>
            <w:vAlign w:val="bottom"/>
            <w:gridSpan w:val="2"/>
          </w:tcPr>
          <w:p>
            <w:pPr>
              <w:spacing w:after="0"/>
              <w:rPr>
                <w:sz w:val="20"/>
                <w:szCs w:val="20"/>
                <w:color w:val="auto"/>
              </w:rPr>
            </w:pPr>
            <w:r>
              <w:rPr>
                <w:rFonts w:ascii="Arial" w:cs="Arial" w:eastAsia="Arial" w:hAnsi="Arial"/>
                <w:sz w:val="13"/>
                <w:szCs w:val="13"/>
                <w:color w:val="auto"/>
              </w:rPr>
              <w:t>The fair value of outstanding debt obligations, gross is as follows: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August 31, 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August 26, 2023</w:t>
            </w:r>
          </w:p>
        </w:tc>
        <w:tc>
          <w:tcPr>
            <w:tcW w:w="0" w:type="dxa"/>
            <w:vAlign w:val="bottom"/>
          </w:tcPr>
          <w:p>
            <w:pPr>
              <w:spacing w:after="0"/>
              <w:rPr>
                <w:sz w:val="1"/>
                <w:szCs w:val="1"/>
                <w:color w:val="auto"/>
              </w:rPr>
            </w:pPr>
          </w:p>
        </w:tc>
      </w:tr>
      <w:tr>
        <w:trPr>
          <w:trHeight w:val="16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ABL Credit Facility</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Senior Secured Notes</w:t>
            </w:r>
          </w:p>
        </w:tc>
        <w:tc>
          <w:tcPr>
            <w:tcW w:w="2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291.2</w:t>
            </w:r>
          </w:p>
        </w:tc>
        <w:tc>
          <w:tcPr>
            <w:tcW w:w="0" w:type="dxa"/>
            <w:vAlign w:val="bottom"/>
          </w:tcPr>
          <w:p>
            <w:pPr>
              <w:spacing w:after="0"/>
              <w:rPr>
                <w:sz w:val="1"/>
                <w:szCs w:val="1"/>
                <w:color w:val="auto"/>
              </w:rPr>
            </w:pPr>
          </w:p>
        </w:tc>
      </w:tr>
      <w:tr>
        <w:trPr>
          <w:trHeight w:val="17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2030 Convertible Notes</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2025 Convertible Notes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349.0</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debt, gross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706.4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Aggregate contractual maturities of debt in future fiscal years are as follows: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6"/>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2025</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69"/>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Fiscal 2026</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2027</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720" w:type="dxa"/>
            <w:vAlign w:val="bottom"/>
            <w:gridSpan w:val="2"/>
          </w:tcPr>
          <w:p>
            <w:pPr>
              <w:ind w:left="20"/>
              <w:spacing w:after="0"/>
              <w:rPr>
                <w:sz w:val="20"/>
                <w:szCs w:val="20"/>
                <w:color w:val="auto"/>
              </w:rPr>
            </w:pPr>
            <w:r>
              <w:rPr>
                <w:rFonts w:ascii="Arial" w:cs="Arial" w:eastAsia="Arial" w:hAnsi="Arial"/>
                <w:sz w:val="13"/>
                <w:szCs w:val="13"/>
                <w:color w:val="auto"/>
              </w:rPr>
              <w:t>Fiscal 2028</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7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Fiscal 2029</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Thereafter</w:t>
            </w:r>
          </w:p>
        </w:tc>
        <w:tc>
          <w:tcPr>
            <w:tcW w:w="24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350.0</w:t>
            </w:r>
          </w:p>
        </w:tc>
        <w:tc>
          <w:tcPr>
            <w:tcW w:w="0" w:type="dxa"/>
            <w:vAlign w:val="bottom"/>
          </w:tcPr>
          <w:p>
            <w:pPr>
              <w:spacing w:after="0"/>
              <w:rPr>
                <w:sz w:val="1"/>
                <w:szCs w:val="1"/>
                <w:color w:val="auto"/>
              </w:rPr>
            </w:pPr>
          </w:p>
        </w:tc>
      </w:tr>
      <w:tr>
        <w:trPr>
          <w:trHeight w:val="160"/>
        </w:trPr>
        <w:tc>
          <w:tcPr>
            <w:tcW w:w="7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debt, gross</w:t>
            </w:r>
          </w:p>
        </w:tc>
        <w:tc>
          <w:tcPr>
            <w:tcW w:w="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709.3</w:t>
            </w: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3"/>
          <w:szCs w:val="13"/>
          <w:color w:val="auto"/>
        </w:rPr>
        <w:t>We were in compliance with all of our financial debt covenants as of August 31, 2024.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10. Leases</w:t>
      </w:r>
    </w:p>
    <w:p>
      <w:pPr>
        <w:spacing w:after="0" w:line="190"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Our leases primarily include operating leases for equipment and real estate, including office space and manufacturing space. Financing leases are primarily for real estate and solar energy producing equipment. For any lease with an initial term in excess of 12 months, the related lease assets and liabilities are recognized on the Consolidated Balance Sheets as either operating or finance leases at the inception of an agreement when it is determined that a lease exists. We have lease agreements that contain both lease and non-lease components, and have elected to combine lease and non-lease components for all classes of assets. Leases with an initial term of 12 months or less are not recorded on the Consolidated Balance Sheets. When the terms of multiple lease agreements are materially consistent, we have elected the portfolio approach for our asset and liability calculations.</w:t>
      </w:r>
    </w:p>
    <w:p>
      <w:pPr>
        <w:spacing w:after="0" w:line="164"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Lease assets represent the right to use an underlying asset for the lease term, and lease liabilities represent the obligation to make lease payments arising from the lease. These assets and liabilities are recognized based on the present value of future payments over the lease term at commencement date. We generally use a collateralized incremental borrowing rate based on the information available at commencement date, including lease term, in determining the present value of future payments. The assumed lease terms generally do not include options to extend or terminate the lease unless it is reasonably certain that the option will be exercised.</w:t>
      </w:r>
    </w:p>
    <w:p>
      <w:pPr>
        <w:spacing w:after="0" w:line="176" w:lineRule="exact"/>
        <w:rPr>
          <w:sz w:val="20"/>
          <w:szCs w:val="20"/>
          <w:color w:val="auto"/>
        </w:rPr>
      </w:pPr>
    </w:p>
    <w:p>
      <w:pPr>
        <w:ind w:right="460"/>
        <w:spacing w:after="0" w:line="292" w:lineRule="auto"/>
        <w:rPr>
          <w:sz w:val="20"/>
          <w:szCs w:val="20"/>
          <w:color w:val="auto"/>
        </w:rPr>
      </w:pPr>
      <w:r>
        <w:rPr>
          <w:rFonts w:ascii="Arial" w:cs="Arial" w:eastAsia="Arial" w:hAnsi="Arial"/>
          <w:sz w:val="12"/>
          <w:szCs w:val="12"/>
          <w:color w:val="auto"/>
        </w:rPr>
        <w:t>Some of our real estate operating leases require payment of real estate taxes, common area maintenance, and insurance. In addition, some of the leases are subject to annual changes in the consumer price index ("CPI"). These components comprise the majority of our variable lease cost and are excluded from the present value of the lease obligations. Fixed payments may contain predetermined fixed rent escalations. For operating leases, we recognize the related rent expense on a straight-line basis from the commencement date to the end of the lease term.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17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6"/>
        </w:trPr>
        <w:tc>
          <w:tcPr>
            <w:tcW w:w="5940" w:type="dxa"/>
            <w:vAlign w:val="bottom"/>
            <w:gridSpan w:val="3"/>
          </w:tcPr>
          <w:p>
            <w:pPr>
              <w:spacing w:after="0"/>
              <w:rPr>
                <w:sz w:val="20"/>
                <w:szCs w:val="20"/>
                <w:color w:val="auto"/>
              </w:rPr>
            </w:pPr>
            <w:r>
              <w:rPr>
                <w:rFonts w:ascii="Arial" w:cs="Arial" w:eastAsia="Arial" w:hAnsi="Arial"/>
                <w:sz w:val="13"/>
                <w:szCs w:val="13"/>
                <w:color w:val="auto"/>
              </w:rPr>
              <w:t>The supplemental balance sheet information related to our leases is as follows:</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3220" w:type="dxa"/>
            <w:vAlign w:val="bottom"/>
            <w:tcBorders>
              <w:bottom w:val="single" w:sz="8" w:color="auto"/>
            </w:tcBorders>
          </w:tcPr>
          <w:p>
            <w:pPr>
              <w:ind w:left="1520"/>
              <w:spacing w:after="0"/>
              <w:rPr>
                <w:sz w:val="20"/>
                <w:szCs w:val="20"/>
                <w:color w:val="auto"/>
              </w:rPr>
            </w:pPr>
            <w:r>
              <w:rPr>
                <w:rFonts w:ascii="Arial" w:cs="Arial" w:eastAsia="Arial" w:hAnsi="Arial"/>
                <w:sz w:val="13"/>
                <w:szCs w:val="13"/>
                <w:b w:val="1"/>
                <w:bCs w:val="1"/>
                <w:color w:val="auto"/>
              </w:rPr>
              <w:t>Classification</w:t>
            </w: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August 31, 2024</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August 26, 2023</w:t>
            </w:r>
          </w:p>
        </w:tc>
        <w:tc>
          <w:tcPr>
            <w:tcW w:w="0" w:type="dxa"/>
            <w:vAlign w:val="bottom"/>
          </w:tcPr>
          <w:p>
            <w:pPr>
              <w:spacing w:after="0"/>
              <w:rPr>
                <w:sz w:val="1"/>
                <w:szCs w:val="1"/>
                <w:color w:val="auto"/>
              </w:rPr>
            </w:pPr>
          </w:p>
        </w:tc>
      </w:tr>
      <w:tr>
        <w:trPr>
          <w:trHeight w:val="16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3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20" w:type="dxa"/>
            <w:vAlign w:val="bottom"/>
            <w:gridSpan w:val="2"/>
          </w:tcPr>
          <w:p>
            <w:pPr>
              <w:ind w:left="20"/>
              <w:spacing w:after="0"/>
              <w:rPr>
                <w:sz w:val="20"/>
                <w:szCs w:val="20"/>
                <w:color w:val="auto"/>
              </w:rPr>
            </w:pPr>
            <w:r>
              <w:rPr>
                <w:rFonts w:ascii="Arial" w:cs="Arial" w:eastAsia="Arial" w:hAnsi="Arial"/>
                <w:sz w:val="13"/>
                <w:szCs w:val="13"/>
                <w:color w:val="auto"/>
              </w:rPr>
              <w:t>Operating leases</w:t>
            </w:r>
          </w:p>
        </w:tc>
        <w:tc>
          <w:tcPr>
            <w:tcW w:w="3220" w:type="dxa"/>
            <w:vAlign w:val="bottom"/>
          </w:tcPr>
          <w:p>
            <w:pPr>
              <w:ind w:left="1520"/>
              <w:spacing w:after="0"/>
              <w:rPr>
                <w:sz w:val="20"/>
                <w:szCs w:val="20"/>
                <w:color w:val="auto"/>
              </w:rPr>
            </w:pPr>
            <w:r>
              <w:rPr>
                <w:rFonts w:ascii="Arial" w:cs="Arial" w:eastAsia="Arial" w:hAnsi="Arial"/>
                <w:sz w:val="13"/>
                <w:szCs w:val="13"/>
                <w:color w:val="auto"/>
              </w:rPr>
              <w:t>Operating lease assets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46.6</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7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Finance leases</w:t>
            </w:r>
          </w:p>
        </w:tc>
        <w:tc>
          <w:tcPr>
            <w:tcW w:w="3220" w:type="dxa"/>
            <w:vAlign w:val="bottom"/>
            <w:shd w:val="clear" w:color="auto" w:fill="CCEEFF"/>
          </w:tcPr>
          <w:p>
            <w:pPr>
              <w:ind w:left="1520"/>
              <w:spacing w:after="0"/>
              <w:rPr>
                <w:sz w:val="20"/>
                <w:szCs w:val="20"/>
                <w:color w:val="auto"/>
              </w:rPr>
            </w:pPr>
            <w:r>
              <w:rPr>
                <w:rFonts w:ascii="Arial" w:cs="Arial" w:eastAsia="Arial" w:hAnsi="Arial"/>
                <w:sz w:val="13"/>
                <w:szCs w:val="13"/>
                <w:color w:val="auto"/>
              </w:rPr>
              <w:t>Other long-term assets</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2"/>
        </w:trPr>
        <w:tc>
          <w:tcPr>
            <w:tcW w:w="2720" w:type="dxa"/>
            <w:vAlign w:val="bottom"/>
            <w:gridSpan w:val="2"/>
          </w:tcPr>
          <w:p>
            <w:pPr>
              <w:ind w:left="120"/>
              <w:spacing w:after="0"/>
              <w:rPr>
                <w:sz w:val="20"/>
                <w:szCs w:val="20"/>
                <w:color w:val="auto"/>
              </w:rPr>
            </w:pPr>
            <w:r>
              <w:rPr>
                <w:rFonts w:ascii="Arial" w:cs="Arial" w:eastAsia="Arial" w:hAnsi="Arial"/>
                <w:sz w:val="13"/>
                <w:szCs w:val="13"/>
                <w:color w:val="auto"/>
              </w:rPr>
              <w:t>Total lease assets</w:t>
            </w: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w:t>
            </w: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50.7</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Current: Operating leases</w:t>
            </w:r>
          </w:p>
        </w:tc>
        <w:tc>
          <w:tcPr>
            <w:tcW w:w="3220" w:type="dxa"/>
            <w:vAlign w:val="bottom"/>
            <w:shd w:val="clear" w:color="auto" w:fill="CCEEFF"/>
          </w:tcPr>
          <w:p>
            <w:pPr>
              <w:ind w:left="1520"/>
              <w:spacing w:after="0"/>
              <w:rPr>
                <w:sz w:val="20"/>
                <w:szCs w:val="20"/>
                <w:color w:val="auto"/>
              </w:rPr>
            </w:pPr>
            <w:r>
              <w:rPr>
                <w:rFonts w:ascii="Arial" w:cs="Arial" w:eastAsia="Arial" w:hAnsi="Arial"/>
                <w:sz w:val="13"/>
                <w:szCs w:val="13"/>
                <w:color w:val="auto"/>
              </w:rPr>
              <w:t>Other current liabilities</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9"/>
        </w:trPr>
        <w:tc>
          <w:tcPr>
            <w:tcW w:w="2720" w:type="dxa"/>
            <w:vAlign w:val="bottom"/>
            <w:gridSpan w:val="2"/>
          </w:tcPr>
          <w:p>
            <w:pPr>
              <w:ind w:left="20"/>
              <w:spacing w:after="0"/>
              <w:rPr>
                <w:sz w:val="20"/>
                <w:szCs w:val="20"/>
                <w:color w:val="auto"/>
              </w:rPr>
            </w:pPr>
            <w:r>
              <w:rPr>
                <w:rFonts w:ascii="Arial" w:cs="Arial" w:eastAsia="Arial" w:hAnsi="Arial"/>
                <w:sz w:val="13"/>
                <w:szCs w:val="13"/>
                <w:color w:val="auto"/>
              </w:rPr>
              <w:t>Current: Finance leases</w:t>
            </w:r>
          </w:p>
        </w:tc>
        <w:tc>
          <w:tcPr>
            <w:tcW w:w="3220" w:type="dxa"/>
            <w:vAlign w:val="bottom"/>
          </w:tcPr>
          <w:p>
            <w:pPr>
              <w:ind w:left="1520"/>
              <w:spacing w:after="0"/>
              <w:rPr>
                <w:sz w:val="20"/>
                <w:szCs w:val="20"/>
                <w:color w:val="auto"/>
              </w:rPr>
            </w:pPr>
            <w:r>
              <w:rPr>
                <w:rFonts w:ascii="Arial" w:cs="Arial" w:eastAsia="Arial" w:hAnsi="Arial"/>
                <w:sz w:val="13"/>
                <w:szCs w:val="13"/>
                <w:color w:val="auto"/>
              </w:rPr>
              <w:t>Other current liabilities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Non-Current: Operating leases</w:t>
            </w:r>
          </w:p>
        </w:tc>
        <w:tc>
          <w:tcPr>
            <w:tcW w:w="3740" w:type="dxa"/>
            <w:vAlign w:val="bottom"/>
            <w:gridSpan w:val="2"/>
            <w:shd w:val="clear" w:color="auto" w:fill="CCEEFF"/>
          </w:tcPr>
          <w:p>
            <w:pPr>
              <w:ind w:left="1520"/>
              <w:spacing w:after="0"/>
              <w:rPr>
                <w:sz w:val="20"/>
                <w:szCs w:val="20"/>
                <w:color w:val="auto"/>
              </w:rPr>
            </w:pPr>
            <w:r>
              <w:rPr>
                <w:rFonts w:ascii="Arial" w:cs="Arial" w:eastAsia="Arial" w:hAnsi="Arial"/>
                <w:sz w:val="13"/>
                <w:szCs w:val="13"/>
                <w:color w:val="auto"/>
              </w:rPr>
              <w:t>Long-term operating lease liabilities</w:t>
            </w: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Non-Current: Finance leases</w:t>
            </w:r>
          </w:p>
        </w:tc>
        <w:tc>
          <w:tcPr>
            <w:tcW w:w="3220" w:type="dxa"/>
            <w:vAlign w:val="bottom"/>
            <w:tcBorders>
              <w:bottom w:val="single" w:sz="8" w:color="CCEEFF"/>
            </w:tcBorders>
          </w:tcPr>
          <w:p>
            <w:pPr>
              <w:ind w:left="1520"/>
              <w:spacing w:after="0"/>
              <w:rPr>
                <w:sz w:val="20"/>
                <w:szCs w:val="20"/>
                <w:color w:val="auto"/>
              </w:rPr>
            </w:pPr>
            <w:r>
              <w:rPr>
                <w:rFonts w:ascii="Arial" w:cs="Arial" w:eastAsia="Arial" w:hAnsi="Arial"/>
                <w:sz w:val="13"/>
                <w:szCs w:val="13"/>
                <w:color w:val="auto"/>
              </w:rPr>
              <w:t>Other long-term liabilities</w:t>
            </w:r>
          </w:p>
        </w:tc>
        <w:tc>
          <w:tcPr>
            <w:tcW w:w="52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87"/>
        </w:trPr>
        <w:tc>
          <w:tcPr>
            <w:tcW w:w="2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 lease liabilities</w:t>
            </w:r>
          </w:p>
        </w:tc>
        <w:tc>
          <w:tcPr>
            <w:tcW w:w="32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Operating lease costs incurred are as follows:</w:t>
            </w:r>
          </w:p>
        </w:tc>
        <w:tc>
          <w:tcPr>
            <w:tcW w:w="3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720" w:type="dxa"/>
            <w:vAlign w:val="bottom"/>
            <w:gridSpan w:val="2"/>
            <w:vMerge w:val="continue"/>
          </w:tcPr>
          <w:p>
            <w:pPr>
              <w:spacing w:after="0"/>
              <w:rPr>
                <w:sz w:val="24"/>
                <w:szCs w:val="24"/>
                <w:color w:val="auto"/>
              </w:rPr>
            </w:pPr>
          </w:p>
        </w:tc>
        <w:tc>
          <w:tcPr>
            <w:tcW w:w="3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Classification</w:t>
            </w: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2024</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0"/>
        </w:trPr>
        <w:tc>
          <w:tcPr>
            <w:tcW w:w="272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3"/>
                <w:szCs w:val="13"/>
                <w:color w:val="auto"/>
              </w:rPr>
              <w:t>Operating lease expense</w:t>
            </w:r>
            <w:r>
              <w:rPr>
                <w:rFonts w:ascii="Arial" w:cs="Arial" w:eastAsia="Arial" w:hAnsi="Arial"/>
                <w:sz w:val="16"/>
                <w:szCs w:val="16"/>
                <w:color w:val="auto"/>
                <w:vertAlign w:val="superscript"/>
              </w:rPr>
              <w:t>(1)</w:t>
            </w: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Costs of goods sold and SG&amp;A</w:t>
            </w: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9"/>
        </w:trPr>
        <w:tc>
          <w:tcPr>
            <w:tcW w:w="2720" w:type="dxa"/>
            <w:vAlign w:val="bottom"/>
            <w:gridSpan w:val="2"/>
          </w:tcPr>
          <w:p>
            <w:pPr>
              <w:ind w:left="20"/>
              <w:spacing w:after="0"/>
              <w:rPr>
                <w:sz w:val="20"/>
                <w:szCs w:val="20"/>
                <w:color w:val="auto"/>
              </w:rPr>
            </w:pPr>
            <w:r>
              <w:rPr>
                <w:rFonts w:ascii="Arial" w:cs="Arial" w:eastAsia="Arial" w:hAnsi="Arial"/>
                <w:sz w:val="13"/>
                <w:szCs w:val="13"/>
                <w:color w:val="auto"/>
              </w:rPr>
              <w:t>Finance lease cost:</w:t>
            </w:r>
          </w:p>
        </w:tc>
        <w:tc>
          <w:tcPr>
            <w:tcW w:w="3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Depreciation of lease assets</w:t>
            </w:r>
          </w:p>
        </w:tc>
        <w:tc>
          <w:tcPr>
            <w:tcW w:w="32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Costs of goods sold and SG&amp;A</w:t>
            </w: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Interest on lease liabilities</w:t>
            </w:r>
          </w:p>
        </w:tc>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Interest expense, net</w:t>
            </w: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2"/>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lease cost</w:t>
            </w:r>
          </w:p>
        </w:tc>
        <w:tc>
          <w:tcPr>
            <w:tcW w:w="32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120" w:hanging="115"/>
        <w:spacing w:after="0"/>
        <w:tabs>
          <w:tab w:leader="none" w:pos="120" w:val="left"/>
        </w:tabs>
        <w:numPr>
          <w:ilvl w:val="0"/>
          <w:numId w:val="24"/>
        </w:numPr>
        <w:rPr>
          <w:rFonts w:ascii="Arial" w:cs="Arial" w:eastAsia="Arial" w:hAnsi="Arial"/>
          <w:sz w:val="14"/>
          <w:szCs w:val="14"/>
          <w:color w:val="auto"/>
          <w:vertAlign w:val="superscript"/>
        </w:rPr>
      </w:pPr>
      <w:r>
        <w:rPr>
          <w:rFonts w:ascii="Arial" w:cs="Arial" w:eastAsia="Arial" w:hAnsi="Arial"/>
          <w:sz w:val="10"/>
          <w:szCs w:val="10"/>
          <w:color w:val="auto"/>
        </w:rPr>
        <w:t>Operating lease expense includes short-term leases and variable lease payments, which are immaterial.</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Our future lease commitments as of August 31, 2024 included the following related party and non-related party leases: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auto"/>
              </w:rPr>
              <w:t>Operating Leases</w:t>
            </w: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Financing Leases</w:t>
            </w:r>
          </w:p>
        </w:tc>
      </w:tr>
      <w:tr>
        <w:trPr>
          <w:trHeight w:val="16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1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136"/>
              <w:spacing w:after="0" w:line="161" w:lineRule="exact"/>
              <w:rPr>
                <w:sz w:val="20"/>
                <w:szCs w:val="20"/>
                <w:color w:val="auto"/>
              </w:rPr>
            </w:pPr>
            <w:r>
              <w:rPr>
                <w:rFonts w:ascii="Arial" w:cs="Arial" w:eastAsia="Arial" w:hAnsi="Arial"/>
                <w:sz w:val="13"/>
                <w:szCs w:val="13"/>
                <w:b w:val="1"/>
                <w:bCs w:val="1"/>
                <w:color w:val="auto"/>
                <w:w w:val="98"/>
              </w:rPr>
              <w:t>Related Party Amount</w:t>
            </w:r>
            <w:r>
              <w:rPr>
                <w:rFonts w:ascii="Arial" w:cs="Arial" w:eastAsia="Arial" w:hAnsi="Arial"/>
                <w:sz w:val="16"/>
                <w:szCs w:val="16"/>
                <w:b w:val="1"/>
                <w:bCs w:val="1"/>
                <w:color w:val="auto"/>
                <w:w w:val="98"/>
                <w:vertAlign w:val="superscript"/>
              </w:rPr>
              <w:t>(1,2)</w:t>
            </w: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9"/>
              </w:rPr>
              <w:t>Non-Related Party Amount</w:t>
            </w:r>
          </w:p>
        </w:tc>
        <w:tc>
          <w:tcPr>
            <w:tcW w:w="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Non-Related Party Amount</w:t>
            </w:r>
          </w:p>
        </w:tc>
      </w:tr>
      <w:tr>
        <w:trPr>
          <w:trHeight w:val="160"/>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4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color w:val="auto"/>
              </w:rPr>
              <w:t>Fiscal 2026</w:t>
            </w:r>
          </w:p>
        </w:tc>
        <w:tc>
          <w:tcPr>
            <w:tcW w:w="1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7.1</w:t>
            </w:r>
          </w:p>
        </w:tc>
        <w:tc>
          <w:tcPr>
            <w:tcW w:w="4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9.4</w:t>
            </w:r>
          </w:p>
        </w:tc>
        <w:tc>
          <w:tcPr>
            <w:tcW w:w="2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2027</w:t>
            </w:r>
          </w:p>
        </w:tc>
        <w:tc>
          <w:tcPr>
            <w:tcW w:w="14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69"/>
        </w:trPr>
        <w:tc>
          <w:tcPr>
            <w:tcW w:w="3300" w:type="dxa"/>
            <w:vAlign w:val="bottom"/>
          </w:tcPr>
          <w:p>
            <w:pPr>
              <w:ind w:left="20"/>
              <w:spacing w:after="0"/>
              <w:rPr>
                <w:sz w:val="20"/>
                <w:szCs w:val="20"/>
                <w:color w:val="auto"/>
              </w:rPr>
            </w:pPr>
            <w:r>
              <w:rPr>
                <w:rFonts w:ascii="Arial" w:cs="Arial" w:eastAsia="Arial" w:hAnsi="Arial"/>
                <w:sz w:val="13"/>
                <w:szCs w:val="13"/>
                <w:color w:val="auto"/>
              </w:rPr>
              <w:t>Fiscal 2028</w:t>
            </w:r>
          </w:p>
        </w:tc>
        <w:tc>
          <w:tcPr>
            <w:tcW w:w="1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2.3</w:t>
            </w:r>
          </w:p>
        </w:tc>
        <w:tc>
          <w:tcPr>
            <w:tcW w:w="1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6.8</w:t>
            </w:r>
          </w:p>
        </w:tc>
        <w:tc>
          <w:tcPr>
            <w:tcW w:w="4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9.1</w:t>
            </w:r>
          </w:p>
        </w:tc>
        <w:tc>
          <w:tcPr>
            <w:tcW w:w="20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1"/>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Fiscal 2029</w:t>
            </w:r>
          </w:p>
        </w:tc>
        <w:tc>
          <w:tcPr>
            <w:tcW w:w="14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r>
      <w:tr>
        <w:trPr>
          <w:trHeight w:val="16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w:t>
            </w: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w:t>
            </w: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r>
      <w:tr>
        <w:trPr>
          <w:trHeight w:val="162"/>
        </w:trPr>
        <w:tc>
          <w:tcPr>
            <w:tcW w:w="3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future undiscounted lease payments</w:t>
            </w:r>
          </w:p>
        </w:tc>
        <w:tc>
          <w:tcPr>
            <w:tcW w:w="14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4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2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6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Interest</w:t>
            </w: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4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87"/>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reported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48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200" w:hanging="195"/>
        <w:spacing w:after="0" w:line="189" w:lineRule="auto"/>
        <w:tabs>
          <w:tab w:leader="none" w:pos="236" w:val="left"/>
        </w:tabs>
        <w:numPr>
          <w:ilvl w:val="0"/>
          <w:numId w:val="25"/>
        </w:numPr>
        <w:rPr>
          <w:rFonts w:ascii="Arial" w:cs="Arial" w:eastAsia="Arial" w:hAnsi="Arial"/>
          <w:sz w:val="17"/>
          <w:szCs w:val="17"/>
          <w:color w:val="auto"/>
          <w:vertAlign w:val="superscript"/>
        </w:rPr>
      </w:pPr>
      <w:r>
        <w:rPr>
          <w:rFonts w:ascii="Arial" w:cs="Arial" w:eastAsia="Arial" w:hAnsi="Arial"/>
          <w:sz w:val="11"/>
          <w:szCs w:val="11"/>
          <w:color w:val="auto"/>
        </w:rPr>
        <w:t>Future lease commitments do not include annual escalators based on the CPI. In the event there are changes to CPI, lease liabilities are not remeasured and instead are treated as variable lease payments and recognized in the period in which the obligation for those payments is incurred.</w:t>
      </w:r>
    </w:p>
    <w:p>
      <w:pPr>
        <w:ind w:left="240" w:hanging="235"/>
        <w:spacing w:after="0" w:line="180" w:lineRule="auto"/>
        <w:tabs>
          <w:tab w:leader="none" w:pos="240" w:val="left"/>
        </w:tabs>
        <w:numPr>
          <w:ilvl w:val="0"/>
          <w:numId w:val="25"/>
        </w:numPr>
        <w:rPr>
          <w:rFonts w:ascii="Arial" w:cs="Arial" w:eastAsia="Arial" w:hAnsi="Arial"/>
          <w:sz w:val="16"/>
          <w:szCs w:val="16"/>
          <w:color w:val="auto"/>
          <w:vertAlign w:val="superscript"/>
        </w:rPr>
      </w:pPr>
      <w:r>
        <w:rPr>
          <w:rFonts w:ascii="Arial" w:cs="Arial" w:eastAsia="Arial" w:hAnsi="Arial"/>
          <w:sz w:val="11"/>
          <w:szCs w:val="11"/>
          <w:color w:val="auto"/>
        </w:rPr>
        <w:t>Related to a lease agreement between one of our operating segments and a third party, of which one of our Executive Officers holds a 20% ownership interest.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6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646"/>
        </w:trPr>
        <w:tc>
          <w:tcPr>
            <w:tcW w:w="4660" w:type="dxa"/>
            <w:vAlign w:val="bottom"/>
            <w:gridSpan w:val="2"/>
          </w:tcPr>
          <w:p>
            <w:pPr>
              <w:spacing w:after="0"/>
              <w:rPr>
                <w:sz w:val="20"/>
                <w:szCs w:val="20"/>
                <w:color w:val="auto"/>
              </w:rPr>
            </w:pPr>
            <w:r>
              <w:rPr>
                <w:rFonts w:ascii="Arial" w:cs="Arial" w:eastAsia="Arial" w:hAnsi="Arial"/>
                <w:sz w:val="13"/>
                <w:szCs w:val="13"/>
                <w:color w:val="auto"/>
              </w:rPr>
              <w:t>Additional information related to our leases is as follows:</w:t>
            </w: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3"/>
        </w:trPr>
        <w:tc>
          <w:tcPr>
            <w:tcW w:w="10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2024</w:t>
            </w: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2023</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2022</w:t>
            </w:r>
          </w:p>
        </w:tc>
      </w:tr>
      <w:tr>
        <w:trPr>
          <w:trHeight w:val="16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w:t>
            </w:r>
          </w:p>
        </w:tc>
        <w:tc>
          <w:tcPr>
            <w:tcW w:w="2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9"/>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Operating cash flows from operating leases</w:t>
            </w:r>
          </w:p>
        </w:tc>
        <w:tc>
          <w:tcPr>
            <w:tcW w:w="2020" w:type="dxa"/>
            <w:vAlign w:val="bottom"/>
          </w:tcPr>
          <w:p>
            <w:pPr>
              <w:jc w:val="right"/>
              <w:ind w:right="1236"/>
              <w:spacing w:after="0"/>
              <w:rPr>
                <w:sz w:val="20"/>
                <w:szCs w:val="20"/>
                <w:color w:val="auto"/>
              </w:rPr>
            </w:pPr>
            <w:r>
              <w:rPr>
                <w:rFonts w:ascii="Arial" w:cs="Arial" w:eastAsia="Arial" w:hAnsi="Arial"/>
                <w:sz w:val="13"/>
                <w:szCs w:val="13"/>
                <w:color w:val="auto"/>
              </w:rPr>
              <w:t>$</w:t>
            </w:r>
          </w:p>
        </w:tc>
        <w:tc>
          <w:tcPr>
            <w:tcW w:w="600" w:type="dxa"/>
            <w:vAlign w:val="bottom"/>
          </w:tcPr>
          <w:p>
            <w:pPr>
              <w:ind w:left="260"/>
              <w:spacing w:after="0"/>
              <w:rPr>
                <w:sz w:val="20"/>
                <w:szCs w:val="20"/>
                <w:color w:val="auto"/>
              </w:rPr>
            </w:pPr>
            <w:r>
              <w:rPr>
                <w:rFonts w:ascii="Arial" w:cs="Arial" w:eastAsia="Arial" w:hAnsi="Arial"/>
                <w:sz w:val="13"/>
                <w:szCs w:val="13"/>
                <w:color w:val="auto"/>
              </w:rPr>
              <w:t>5.9</w:t>
            </w: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240" w:type="dxa"/>
            <w:vAlign w:val="bottom"/>
          </w:tcPr>
          <w:p>
            <w:pPr>
              <w:spacing w:after="0"/>
              <w:rPr>
                <w:sz w:val="14"/>
                <w:szCs w:val="14"/>
                <w:color w:val="auto"/>
              </w:rPr>
            </w:pPr>
          </w:p>
        </w:tc>
        <w:tc>
          <w:tcPr>
            <w:tcW w:w="1200" w:type="dxa"/>
            <w:vAlign w:val="bottom"/>
          </w:tcPr>
          <w:p>
            <w:pPr>
              <w:ind w:left="980"/>
              <w:spacing w:after="0"/>
              <w:rPr>
                <w:sz w:val="20"/>
                <w:szCs w:val="20"/>
                <w:color w:val="auto"/>
              </w:rPr>
            </w:pPr>
            <w:r>
              <w:rPr>
                <w:rFonts w:ascii="Arial" w:cs="Arial" w:eastAsia="Arial" w:hAnsi="Arial"/>
                <w:sz w:val="13"/>
                <w:szCs w:val="13"/>
                <w:color w:val="auto"/>
              </w:rPr>
              <w:t>5.0</w:t>
            </w:r>
          </w:p>
        </w:tc>
        <w:tc>
          <w:tcPr>
            <w:tcW w:w="3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ind w:left="1160"/>
              <w:spacing w:after="0"/>
              <w:rPr>
                <w:sz w:val="20"/>
                <w:szCs w:val="20"/>
                <w:color w:val="auto"/>
              </w:rPr>
            </w:pPr>
            <w:r>
              <w:rPr>
                <w:rFonts w:ascii="Arial" w:cs="Arial" w:eastAsia="Arial" w:hAnsi="Arial"/>
                <w:sz w:val="13"/>
                <w:szCs w:val="13"/>
                <w:color w:val="auto"/>
              </w:rPr>
              <w:t>3.7</w:t>
            </w:r>
          </w:p>
        </w:tc>
      </w:tr>
      <w:tr>
        <w:trPr>
          <w:trHeight w:val="171"/>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Operating cash flows from financing leases</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0.6</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3"/>
                <w:szCs w:val="13"/>
                <w:color w:val="auto"/>
              </w:rPr>
              <w:t>0.5</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ind w:left="1160"/>
              <w:spacing w:after="0"/>
              <w:rPr>
                <w:sz w:val="20"/>
                <w:szCs w:val="20"/>
                <w:color w:val="auto"/>
              </w:rPr>
            </w:pPr>
            <w:r>
              <w:rPr>
                <w:rFonts w:ascii="Arial" w:cs="Arial" w:eastAsia="Arial" w:hAnsi="Arial"/>
                <w:sz w:val="13"/>
                <w:szCs w:val="13"/>
                <w:color w:val="auto"/>
              </w:rPr>
              <w:t>0.4</w:t>
            </w:r>
          </w:p>
        </w:tc>
      </w:tr>
      <w:tr>
        <w:trPr>
          <w:trHeight w:val="169"/>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Financing cash flows from financing leases</w:t>
            </w:r>
          </w:p>
        </w:tc>
        <w:tc>
          <w:tcPr>
            <w:tcW w:w="20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auto"/>
              </w:rPr>
              <w:t>1.4</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ind w:left="980"/>
              <w:spacing w:after="0"/>
              <w:rPr>
                <w:sz w:val="20"/>
                <w:szCs w:val="20"/>
                <w:color w:val="auto"/>
              </w:rPr>
            </w:pPr>
            <w:r>
              <w:rPr>
                <w:rFonts w:ascii="Arial" w:cs="Arial" w:eastAsia="Arial" w:hAnsi="Arial"/>
                <w:sz w:val="13"/>
                <w:szCs w:val="13"/>
                <w:color w:val="auto"/>
              </w:rPr>
              <w:t>1.1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ind w:left="1160"/>
              <w:spacing w:after="0"/>
              <w:rPr>
                <w:sz w:val="20"/>
                <w:szCs w:val="20"/>
                <w:color w:val="auto"/>
              </w:rPr>
            </w:pPr>
            <w:r>
              <w:rPr>
                <w:rFonts w:ascii="Arial" w:cs="Arial" w:eastAsia="Arial" w:hAnsi="Arial"/>
                <w:sz w:val="13"/>
                <w:szCs w:val="13"/>
                <w:color w:val="auto"/>
              </w:rPr>
              <w:t>0.9</w:t>
            </w:r>
          </w:p>
        </w:tc>
      </w:tr>
      <w:tr>
        <w:trPr>
          <w:trHeight w:val="171"/>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remaining lease term:</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9"/>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Operating leases</w:t>
            </w:r>
          </w:p>
        </w:tc>
        <w:tc>
          <w:tcPr>
            <w:tcW w:w="2020" w:type="dxa"/>
            <w:vAlign w:val="bottom"/>
          </w:tcPr>
          <w:p>
            <w:pPr>
              <w:spacing w:after="0"/>
              <w:rPr>
                <w:sz w:val="14"/>
                <w:szCs w:val="14"/>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w w:val="88"/>
              </w:rPr>
              <w:t>7.0</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120"/>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ind w:left="1320"/>
              <w:spacing w:after="0"/>
              <w:rPr>
                <w:sz w:val="20"/>
                <w:szCs w:val="20"/>
                <w:color w:val="auto"/>
              </w:rPr>
            </w:pPr>
            <w:r>
              <w:rPr>
                <w:rFonts w:ascii="Arial" w:cs="Arial" w:eastAsia="Arial" w:hAnsi="Arial"/>
                <w:sz w:val="13"/>
                <w:szCs w:val="13"/>
                <w:color w:val="auto"/>
                <w:w w:val="88"/>
              </w:rPr>
              <w:t>8.1</w:t>
            </w:r>
          </w:p>
        </w:tc>
      </w:tr>
      <w:tr>
        <w:trPr>
          <w:trHeight w:val="171"/>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Finance leases</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3"/>
                <w:szCs w:val="13"/>
                <w:color w:val="auto"/>
                <w:w w:val="88"/>
              </w:rPr>
              <w:t>4.7</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ind w:left="1320"/>
              <w:spacing w:after="0"/>
              <w:rPr>
                <w:sz w:val="20"/>
                <w:szCs w:val="20"/>
                <w:color w:val="auto"/>
              </w:rPr>
            </w:pPr>
            <w:r>
              <w:rPr>
                <w:rFonts w:ascii="Arial" w:cs="Arial" w:eastAsia="Arial" w:hAnsi="Arial"/>
                <w:sz w:val="13"/>
                <w:szCs w:val="13"/>
                <w:color w:val="auto"/>
                <w:w w:val="88"/>
              </w:rPr>
              <w:t>6.0</w:t>
            </w:r>
          </w:p>
        </w:tc>
      </w:tr>
      <w:tr>
        <w:trPr>
          <w:trHeight w:val="169"/>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Weighted average discount rate:</w:t>
            </w: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Operating leases</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6"/>
              </w:rPr>
              <w:t>6.4 %</w:t>
            </w: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6.2 %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ind w:left="1160"/>
              <w:spacing w:after="0"/>
              <w:rPr>
                <w:sz w:val="20"/>
                <w:szCs w:val="20"/>
                <w:color w:val="auto"/>
              </w:rPr>
            </w:pPr>
            <w:r>
              <w:rPr>
                <w:rFonts w:ascii="Arial" w:cs="Arial" w:eastAsia="Arial" w:hAnsi="Arial"/>
                <w:sz w:val="13"/>
                <w:szCs w:val="13"/>
                <w:color w:val="auto"/>
                <w:w w:val="96"/>
              </w:rPr>
              <w:t>5.8 %</w:t>
            </w:r>
          </w:p>
        </w:tc>
      </w:tr>
      <w:tr>
        <w:trPr>
          <w:trHeight w:val="167"/>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Finance leases</w:t>
            </w:r>
          </w:p>
        </w:tc>
        <w:tc>
          <w:tcPr>
            <w:tcW w:w="20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auto"/>
                <w:w w:val="96"/>
              </w:rPr>
              <w:t>6.5 %</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980"/>
              <w:spacing w:after="0"/>
              <w:rPr>
                <w:sz w:val="20"/>
                <w:szCs w:val="20"/>
                <w:color w:val="auto"/>
              </w:rPr>
            </w:pPr>
            <w:r>
              <w:rPr>
                <w:rFonts w:ascii="Arial" w:cs="Arial" w:eastAsia="Arial" w:hAnsi="Arial"/>
                <w:sz w:val="13"/>
                <w:szCs w:val="13"/>
                <w:color w:val="auto"/>
              </w:rPr>
              <w:t>6.4 %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ind w:left="1160"/>
              <w:spacing w:after="0"/>
              <w:rPr>
                <w:sz w:val="20"/>
                <w:szCs w:val="20"/>
                <w:color w:val="auto"/>
              </w:rPr>
            </w:pPr>
            <w:r>
              <w:rPr>
                <w:rFonts w:ascii="Arial" w:cs="Arial" w:eastAsia="Arial" w:hAnsi="Arial"/>
                <w:sz w:val="13"/>
                <w:szCs w:val="13"/>
                <w:color w:val="auto"/>
                <w:w w:val="96"/>
              </w:rPr>
              <w:t>5.9 %</w:t>
            </w:r>
          </w:p>
        </w:tc>
      </w:tr>
      <w:tr>
        <w:trPr>
          <w:trHeight w:val="664"/>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Note 11. Employee and Retiree Benefits</w:t>
            </w: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4"/>
        </w:trPr>
        <w:tc>
          <w:tcPr>
            <w:tcW w:w="4660" w:type="dxa"/>
            <w:vAlign w:val="bottom"/>
            <w:gridSpan w:val="2"/>
          </w:tcPr>
          <w:p>
            <w:pPr>
              <w:spacing w:after="0"/>
              <w:rPr>
                <w:sz w:val="20"/>
                <w:szCs w:val="20"/>
                <w:color w:val="auto"/>
              </w:rPr>
            </w:pPr>
            <w:r>
              <w:rPr>
                <w:rFonts w:ascii="Arial" w:cs="Arial" w:eastAsia="Arial" w:hAnsi="Arial"/>
                <w:sz w:val="13"/>
                <w:szCs w:val="13"/>
                <w:color w:val="auto"/>
              </w:rPr>
              <w:t>Deferred compensation benefits are as follows:</w:t>
            </w:r>
          </w:p>
        </w:tc>
        <w:tc>
          <w:tcPr>
            <w:tcW w:w="2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3"/>
        </w:trPr>
        <w:tc>
          <w:tcPr>
            <w:tcW w:w="46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(in millions)</w:t>
            </w:r>
          </w:p>
        </w:tc>
        <w:tc>
          <w:tcPr>
            <w:tcW w:w="2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August 31, 2024</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August 26, 2023</w:t>
            </w:r>
          </w:p>
        </w:tc>
      </w:tr>
      <w:tr>
        <w:trPr>
          <w:trHeight w:val="16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Non-qualified deferred compensation</w:t>
            </w:r>
          </w:p>
        </w:tc>
        <w:tc>
          <w:tcPr>
            <w:tcW w:w="20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5.2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ind w:left="1260"/>
              <w:spacing w:after="0"/>
              <w:rPr>
                <w:sz w:val="20"/>
                <w:szCs w:val="20"/>
                <w:color w:val="auto"/>
              </w:rPr>
            </w:pPr>
            <w:r>
              <w:rPr>
                <w:rFonts w:ascii="Arial" w:cs="Arial" w:eastAsia="Arial" w:hAnsi="Arial"/>
                <w:sz w:val="13"/>
                <w:szCs w:val="13"/>
                <w:color w:val="auto"/>
              </w:rPr>
              <w:t>6.7</w:t>
            </w:r>
          </w:p>
        </w:tc>
      </w:tr>
      <w:tr>
        <w:trPr>
          <w:trHeight w:val="169"/>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Supplemental executive retirement plan</w:t>
            </w:r>
          </w:p>
        </w:tc>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9"/>
              </w:rPr>
              <w:t>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ind w:left="1260"/>
              <w:spacing w:after="0"/>
              <w:rPr>
                <w:sz w:val="20"/>
                <w:szCs w:val="20"/>
                <w:color w:val="auto"/>
              </w:rPr>
            </w:pPr>
            <w:r>
              <w:rPr>
                <w:rFonts w:ascii="Arial" w:cs="Arial" w:eastAsia="Arial" w:hAnsi="Arial"/>
                <w:sz w:val="13"/>
                <w:szCs w:val="13"/>
                <w:color w:val="auto"/>
              </w:rPr>
              <w:t>1.2</w:t>
            </w:r>
          </w:p>
        </w:tc>
      </w:tr>
      <w:tr>
        <w:trPr>
          <w:trHeight w:val="171"/>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Executive deferred compensation plan</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2.2</w:t>
            </w: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3"/>
                <w:szCs w:val="13"/>
                <w:color w:val="auto"/>
              </w:rPr>
              <w:t>1.8</w:t>
            </w:r>
          </w:p>
        </w:tc>
      </w:tr>
      <w:tr>
        <w:trPr>
          <w:trHeight w:val="159"/>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Total deferred compensation benefits</w:t>
            </w: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9"/>
              </w:rPr>
              <w:t>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ind w:left="1260"/>
              <w:spacing w:after="0"/>
              <w:rPr>
                <w:sz w:val="20"/>
                <w:szCs w:val="20"/>
                <w:color w:val="auto"/>
              </w:rPr>
            </w:pPr>
            <w:r>
              <w:rPr>
                <w:rFonts w:ascii="Arial" w:cs="Arial" w:eastAsia="Arial" w:hAnsi="Arial"/>
                <w:sz w:val="13"/>
                <w:szCs w:val="13"/>
                <w:color w:val="auto"/>
              </w:rPr>
              <w:t>9.7</w:t>
            </w:r>
          </w:p>
        </w:tc>
      </w:tr>
      <w:tr>
        <w:trPr>
          <w:trHeight w:val="171"/>
        </w:trPr>
        <w:tc>
          <w:tcPr>
            <w:tcW w:w="466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3"/>
                <w:szCs w:val="13"/>
                <w:color w:val="auto"/>
              </w:rPr>
              <w:t>Less current portion</w:t>
            </w:r>
            <w:r>
              <w:rPr>
                <w:rFonts w:ascii="Arial" w:cs="Arial" w:eastAsia="Arial" w:hAnsi="Arial"/>
                <w:sz w:val="16"/>
                <w:szCs w:val="16"/>
                <w:color w:val="auto"/>
                <w:vertAlign w:val="superscript"/>
              </w:rPr>
              <w:t>(1)</w:t>
            </w:r>
          </w:p>
        </w:tc>
        <w:tc>
          <w:tcPr>
            <w:tcW w:w="2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1.7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3"/>
                <w:szCs w:val="13"/>
                <w:color w:val="auto"/>
              </w:rPr>
              <w:t>1.8</w:t>
            </w:r>
          </w:p>
        </w:tc>
      </w:tr>
      <w:tr>
        <w:trPr>
          <w:trHeight w:val="160"/>
        </w:trPr>
        <w:tc>
          <w:tcPr>
            <w:tcW w:w="4660" w:type="dxa"/>
            <w:vAlign w:val="bottom"/>
            <w:gridSpan w:val="2"/>
          </w:tcPr>
          <w:p>
            <w:pPr>
              <w:ind w:left="120"/>
              <w:spacing w:after="0"/>
              <w:rPr>
                <w:sz w:val="20"/>
                <w:szCs w:val="20"/>
                <w:color w:val="auto"/>
              </w:rPr>
            </w:pPr>
            <w:r>
              <w:rPr>
                <w:rFonts w:ascii="Arial" w:cs="Arial" w:eastAsia="Arial" w:hAnsi="Arial"/>
                <w:sz w:val="13"/>
                <w:szCs w:val="13"/>
                <w:color w:val="auto"/>
              </w:rPr>
              <w:t>Deferred compensation benefits, net of current portion</w:t>
            </w:r>
          </w:p>
        </w:tc>
        <w:tc>
          <w:tcPr>
            <w:tcW w:w="2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tcPr>
          <w:p>
            <w:pPr>
              <w:spacing w:after="0"/>
              <w:rPr>
                <w:sz w:val="13"/>
                <w:szCs w:val="13"/>
                <w:color w:val="auto"/>
              </w:rPr>
            </w:pPr>
          </w:p>
        </w:tc>
        <w:tc>
          <w:tcPr>
            <w:tcW w:w="300" w:type="dxa"/>
            <w:vAlign w:val="bottom"/>
          </w:tcPr>
          <w:p>
            <w:pPr>
              <w:jc w:val="center"/>
              <w:spacing w:after="0"/>
              <w:rPr>
                <w:sz w:val="20"/>
                <w:szCs w:val="20"/>
                <w:color w:val="auto"/>
              </w:rPr>
            </w:pPr>
            <w:r>
              <w:rPr>
                <w:rFonts w:ascii="Arial" w:cs="Arial" w:eastAsia="Arial" w:hAnsi="Arial"/>
                <w:sz w:val="13"/>
                <w:szCs w:val="13"/>
                <w:color w:val="auto"/>
                <w:w w:val="99"/>
              </w:rPr>
              <w:t>6.6</w:t>
            </w:r>
          </w:p>
        </w:tc>
        <w:tc>
          <w:tcPr>
            <w:tcW w:w="100" w:type="dxa"/>
            <w:vAlign w:val="bottom"/>
          </w:tcPr>
          <w:p>
            <w:pPr>
              <w:spacing w:after="0"/>
              <w:rPr>
                <w:sz w:val="13"/>
                <w:szCs w:val="13"/>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Pr>
          <w:p>
            <w:pPr>
              <w:ind w:left="1260"/>
              <w:spacing w:after="0"/>
              <w:rPr>
                <w:sz w:val="20"/>
                <w:szCs w:val="20"/>
                <w:color w:val="auto"/>
              </w:rPr>
            </w:pPr>
            <w:r>
              <w:rPr>
                <w:rFonts w:ascii="Arial" w:cs="Arial" w:eastAsia="Arial" w:hAnsi="Arial"/>
                <w:sz w:val="13"/>
                <w:szCs w:val="13"/>
                <w:color w:val="auto"/>
              </w:rPr>
              <w:t>7.9</w:t>
            </w:r>
          </w:p>
        </w:tc>
      </w:tr>
      <w:tr>
        <w:trPr>
          <w:trHeight w:val="20"/>
        </w:trPr>
        <w:tc>
          <w:tcPr>
            <w:tcW w:w="1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vertAlign w:val="superscript"/>
        </w:rPr>
        <w:t>(1)</w:t>
      </w:r>
      <w:r>
        <w:rPr>
          <w:sz w:val="20"/>
          <w:szCs w:val="20"/>
          <w:color w:val="auto"/>
        </w:rPr>
        <w:tab/>
      </w:r>
      <w:r>
        <w:rPr>
          <w:rFonts w:ascii="Arial" w:cs="Arial" w:eastAsia="Arial" w:hAnsi="Arial"/>
          <w:sz w:val="11"/>
          <w:szCs w:val="11"/>
          <w:color w:val="auto"/>
        </w:rPr>
        <w:t>Included in accrued compensation on the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Deferred Compensation Benefits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Non-Qualified Deferred Compensation</w:t>
      </w:r>
    </w:p>
    <w:p>
      <w:pPr>
        <w:spacing w:after="0" w:line="82"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We have a non-qualified deferred compensation program which permitted key employees to annually elect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$0.4 million, $0.5 million, and $0.6 million in Fiscal 2024, 2023, and 2022,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Supplemental Executive Retirement Plan ("SERP")</w:t>
      </w:r>
    </w:p>
    <w:p>
      <w:pPr>
        <w:spacing w:after="0" w:line="82"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payments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company-owned life insurance ("COLI") by a release of all interests by the participant and assignment to Winnebago Industries as a prerequisite to participate in the SERP and transition from the Split Dollar Program. This program remains closed to new employee participation.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To assist in funding the deferred compensation and SERP liabilities, we have invested in COLI policies. The cash surrender value of these policies is presented in investment in life insurance in the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Consolidated Balance Sheets and consists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20" w:type="dxa"/>
            <w:vAlign w:val="bottom"/>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August 31, 2024</w:t>
            </w:r>
          </w:p>
        </w:tc>
        <w:tc>
          <w:tcPr>
            <w:tcW w:w="220" w:type="dxa"/>
            <w:vAlign w:val="bottom"/>
          </w:tcPr>
          <w:p>
            <w:pPr>
              <w:spacing w:after="0"/>
              <w:rPr>
                <w:sz w:val="14"/>
                <w:szCs w:val="14"/>
                <w:color w:val="auto"/>
              </w:rPr>
            </w:pPr>
          </w:p>
        </w:tc>
        <w:tc>
          <w:tcPr>
            <w:tcW w:w="1500" w:type="dxa"/>
            <w:vAlign w:val="bottom"/>
          </w:tcPr>
          <w:p>
            <w:pPr>
              <w:ind w:left="160"/>
              <w:spacing w:after="0"/>
              <w:rPr>
                <w:sz w:val="20"/>
                <w:szCs w:val="20"/>
                <w:color w:val="auto"/>
              </w:rPr>
            </w:pPr>
            <w:r>
              <w:rPr>
                <w:rFonts w:ascii="Arial" w:cs="Arial" w:eastAsia="Arial" w:hAnsi="Arial"/>
                <w:sz w:val="13"/>
                <w:szCs w:val="13"/>
                <w:b w:val="1"/>
                <w:bCs w:val="1"/>
                <w:color w:val="auto"/>
              </w:rPr>
              <w:t>August 26, 2023</w:t>
            </w:r>
          </w:p>
        </w:tc>
      </w:tr>
      <w:tr>
        <w:trPr>
          <w:trHeight w:val="160"/>
        </w:trPr>
        <w:tc>
          <w:tcPr>
            <w:tcW w:w="7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Cash value</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67.4</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center"/>
              <w:ind w:left="1076"/>
              <w:spacing w:after="0"/>
              <w:rPr>
                <w:sz w:val="20"/>
                <w:szCs w:val="20"/>
                <w:color w:val="auto"/>
              </w:rPr>
            </w:pPr>
            <w:r>
              <w:rPr>
                <w:rFonts w:ascii="Arial" w:cs="Arial" w:eastAsia="Arial" w:hAnsi="Arial"/>
                <w:sz w:val="13"/>
                <w:szCs w:val="13"/>
                <w:color w:val="auto"/>
                <w:w w:val="94"/>
              </w:rPr>
              <w:t>68.1</w:t>
            </w:r>
          </w:p>
        </w:tc>
      </w:tr>
      <w:tr>
        <w:trPr>
          <w:trHeight w:val="16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Borrowings</w:t>
            </w: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left="1056"/>
              <w:spacing w:after="0"/>
              <w:rPr>
                <w:sz w:val="20"/>
                <w:szCs w:val="20"/>
                <w:color w:val="auto"/>
              </w:rPr>
            </w:pPr>
            <w:r>
              <w:rPr>
                <w:rFonts w:ascii="Arial" w:cs="Arial" w:eastAsia="Arial" w:hAnsi="Arial"/>
                <w:sz w:val="13"/>
                <w:szCs w:val="13"/>
                <w:color w:val="auto"/>
                <w:w w:val="99"/>
              </w:rPr>
              <w:t>(38.8)</w:t>
            </w:r>
          </w:p>
        </w:tc>
      </w:tr>
      <w:tr>
        <w:trPr>
          <w:trHeight w:val="187"/>
        </w:trPr>
        <w:tc>
          <w:tcPr>
            <w:tcW w:w="7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Investment in life insurance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center"/>
              <w:ind w:left="1076"/>
              <w:spacing w:after="0"/>
              <w:rPr>
                <w:sz w:val="20"/>
                <w:szCs w:val="20"/>
                <w:color w:val="auto"/>
              </w:rPr>
            </w:pPr>
            <w:r>
              <w:rPr>
                <w:rFonts w:ascii="Arial" w:cs="Arial" w:eastAsia="Arial" w:hAnsi="Arial"/>
                <w:sz w:val="13"/>
                <w:szCs w:val="13"/>
                <w:color w:val="auto"/>
                <w:w w:val="94"/>
              </w:rPr>
              <w:t>29.3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Deferred Compensation Plan</w:t>
      </w:r>
    </w:p>
    <w:p>
      <w:pPr>
        <w:spacing w:after="0" w:line="93"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long-term assets in the Consolidated Balance Sheets. Such assets on August 31, 2024 and August 26, 2023 were $2.2 million and $1.8 million,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Profit Sharing Plan</w:t>
      </w:r>
    </w:p>
    <w:p>
      <w:pPr>
        <w:spacing w:after="0" w:line="84"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color w:val="auto"/>
        </w:rPr>
        <w:t>We have a qualified profit sharing and contributory 401(k) plan for eligible employees. The plan provides matching contributions made by Winnebago Industries and discretionary contributions as approved by the Board of Directors. Matching contributions to the plan for Fiscal 2024, 2023, and 2022 were $15.0 million, $13.4 million, and $12.0 million, respectively. No discretionary contributions were approved in Fiscal 2024 or Fiscal 2023. Discretionary contributions of $12.1 million were approved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Contingent Liabilities and Commitments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 Commitments</w:t>
      </w:r>
    </w:p>
    <w:p>
      <w:pPr>
        <w:spacing w:after="0" w:line="84" w:lineRule="exact"/>
        <w:rPr>
          <w:sz w:val="20"/>
          <w:szCs w:val="20"/>
          <w:color w:val="auto"/>
        </w:rPr>
      </w:pPr>
    </w:p>
    <w:p>
      <w:pPr>
        <w:jc w:val="both"/>
        <w:ind w:right="480"/>
        <w:spacing w:after="0" w:line="327" w:lineRule="auto"/>
        <w:rPr>
          <w:sz w:val="20"/>
          <w:szCs w:val="20"/>
          <w:color w:val="auto"/>
        </w:rPr>
      </w:pPr>
      <w:r>
        <w:rPr>
          <w:rFonts w:ascii="Arial" w:cs="Arial" w:eastAsia="Arial" w:hAnsi="Arial"/>
          <w:sz w:val="12"/>
          <w:szCs w:val="12"/>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23" w:lineRule="exact"/>
        <w:rPr>
          <w:sz w:val="20"/>
          <w:szCs w:val="20"/>
          <w:color w:val="auto"/>
        </w:rPr>
      </w:pPr>
    </w:p>
    <w:p>
      <w:pPr>
        <w:ind w:right="60"/>
        <w:spacing w:after="0" w:line="250" w:lineRule="auto"/>
        <w:rPr>
          <w:sz w:val="20"/>
          <w:szCs w:val="20"/>
          <w:color w:val="auto"/>
        </w:rPr>
      </w:pPr>
      <w:r>
        <w:rPr>
          <w:rFonts w:ascii="Arial" w:cs="Arial" w:eastAsia="Arial" w:hAnsi="Arial"/>
          <w:sz w:val="13"/>
          <w:szCs w:val="13"/>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repurchase agreements was approximately $1,673.7 million and $1,816.7 million as of August 31, 2024 and August 26, 2023, respectively.</w:t>
      </w:r>
    </w:p>
    <w:p>
      <w:pPr>
        <w:spacing w:after="0" w:line="169"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other current liabilities on the Consolidated Balance Sheets. Our repurchase accrual was $1.1 million and $1.3 million as of August 31, 2024 and August 26, 2023,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There was no material activity related to repurchase agreements during Fiscal 2024, 2023, and 2022.</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84"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13. Revenue Recognition</w:t>
      </w:r>
    </w:p>
    <w:p>
      <w:pPr>
        <w:spacing w:after="0" w:line="190" w:lineRule="exact"/>
        <w:rPr>
          <w:sz w:val="20"/>
          <w:szCs w:val="20"/>
          <w:color w:val="auto"/>
        </w:rPr>
      </w:pPr>
    </w:p>
    <w:p>
      <w:pPr>
        <w:ind w:right="120"/>
        <w:spacing w:after="0" w:line="272" w:lineRule="auto"/>
        <w:rPr>
          <w:sz w:val="20"/>
          <w:szCs w:val="20"/>
          <w:color w:val="auto"/>
        </w:rPr>
      </w:pPr>
      <w:r>
        <w:rPr>
          <w:rFonts w:ascii="Arial" w:cs="Arial" w:eastAsia="Arial" w:hAnsi="Arial"/>
          <w:sz w:val="13"/>
          <w:szCs w:val="13"/>
          <w:color w:val="auto"/>
        </w:rPr>
        <w:t>All operating revenue is generated from contracts with customers. Our primary revenue source is generated through the sale of manufactured towable RV units, motorhome RV units and marine units to our independent dealer network (our customers). The following table disaggregates revenue by reportable segment and product category: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6"/>
              <w:spacing w:after="0"/>
              <w:rPr>
                <w:sz w:val="20"/>
                <w:szCs w:val="20"/>
                <w:color w:val="auto"/>
              </w:rPr>
            </w:pPr>
            <w:r>
              <w:rPr>
                <w:rFonts w:ascii="Arial" w:cs="Arial" w:eastAsia="Arial" w:hAnsi="Arial"/>
                <w:sz w:val="13"/>
                <w:szCs w:val="13"/>
                <w:b w:val="1"/>
                <w:bCs w:val="1"/>
                <w:color w:val="auto"/>
              </w:rPr>
              <w:t>2022</w:t>
            </w:r>
          </w:p>
        </w:tc>
      </w:tr>
      <w:tr>
        <w:trPr>
          <w:trHeight w:val="160"/>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Revenues</w:t>
            </w: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69"/>
        </w:trPr>
        <w:tc>
          <w:tcPr>
            <w:tcW w:w="5880" w:type="dxa"/>
            <w:vAlign w:val="bottom"/>
          </w:tcPr>
          <w:p>
            <w:pPr>
              <w:ind w:left="20"/>
              <w:spacing w:after="0"/>
              <w:rPr>
                <w:sz w:val="20"/>
                <w:szCs w:val="20"/>
                <w:color w:val="auto"/>
              </w:rPr>
            </w:pPr>
            <w:r>
              <w:rPr>
                <w:rFonts w:ascii="Arial" w:cs="Arial" w:eastAsia="Arial" w:hAnsi="Arial"/>
                <w:sz w:val="13"/>
                <w:szCs w:val="13"/>
                <w:color w:val="auto"/>
              </w:rPr>
              <w:t>Towable RV:</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1"/>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Fifth Wheel</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1,260.9</w:t>
            </w:r>
          </w:p>
        </w:tc>
      </w:tr>
      <w:tr>
        <w:trPr>
          <w:trHeight w:val="169"/>
        </w:trPr>
        <w:tc>
          <w:tcPr>
            <w:tcW w:w="5880" w:type="dxa"/>
            <w:vAlign w:val="bottom"/>
          </w:tcPr>
          <w:p>
            <w:pPr>
              <w:ind w:left="120"/>
              <w:spacing w:after="0"/>
              <w:rPr>
                <w:sz w:val="20"/>
                <w:szCs w:val="20"/>
                <w:color w:val="auto"/>
              </w:rPr>
            </w:pPr>
            <w:r>
              <w:rPr>
                <w:rFonts w:ascii="Arial" w:cs="Arial" w:eastAsia="Arial" w:hAnsi="Arial"/>
                <w:sz w:val="13"/>
                <w:szCs w:val="13"/>
                <w:color w:val="auto"/>
              </w:rPr>
              <w:t>Travel Trailer</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627.5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658.2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1,296.6</w:t>
            </w:r>
          </w:p>
        </w:tc>
      </w:tr>
      <w:tr>
        <w:trPr>
          <w:trHeight w:val="171"/>
        </w:trPr>
        <w:tc>
          <w:tcPr>
            <w:tcW w:w="5880" w:type="dxa"/>
            <w:vAlign w:val="bottom"/>
            <w:shd w:val="clear" w:color="auto" w:fill="CCEEFF"/>
          </w:tcPr>
          <w:p>
            <w:pPr>
              <w:ind w:left="12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(1)</w:t>
            </w: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r>
      <w:tr>
        <w:trPr>
          <w:trHeight w:val="159"/>
        </w:trPr>
        <w:tc>
          <w:tcPr>
            <w:tcW w:w="58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Towable RV</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1,415.3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2,597.4</w:t>
            </w:r>
          </w:p>
        </w:tc>
      </w:tr>
      <w:tr>
        <w:trPr>
          <w:trHeight w:val="151"/>
        </w:trPr>
        <w:tc>
          <w:tcPr>
            <w:tcW w:w="5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Motorhome RV:</w:t>
            </w: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69"/>
        </w:trPr>
        <w:tc>
          <w:tcPr>
            <w:tcW w:w="5880" w:type="dxa"/>
            <w:vAlign w:val="bottom"/>
          </w:tcPr>
          <w:p>
            <w:pPr>
              <w:ind w:left="120"/>
              <w:spacing w:after="0"/>
              <w:rPr>
                <w:sz w:val="20"/>
                <w:szCs w:val="20"/>
                <w:color w:val="auto"/>
              </w:rPr>
            </w:pPr>
            <w:r>
              <w:rPr>
                <w:rFonts w:ascii="Arial" w:cs="Arial" w:eastAsia="Arial" w:hAnsi="Arial"/>
                <w:sz w:val="13"/>
                <w:szCs w:val="13"/>
                <w:color w:val="auto"/>
              </w:rPr>
              <w:t>Class A</w:t>
            </w: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545.8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736.0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786.8</w:t>
            </w:r>
          </w:p>
        </w:tc>
      </w:tr>
      <w:tr>
        <w:trPr>
          <w:trHeight w:val="171"/>
        </w:trPr>
        <w:tc>
          <w:tcPr>
            <w:tcW w:w="5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Class B</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718.0</w:t>
            </w:r>
          </w:p>
        </w:tc>
      </w:tr>
      <w:tr>
        <w:trPr>
          <w:trHeight w:val="170"/>
        </w:trPr>
        <w:tc>
          <w:tcPr>
            <w:tcW w:w="5880" w:type="dxa"/>
            <w:vAlign w:val="bottom"/>
            <w:tcBorders>
              <w:bottom w:val="single" w:sz="8" w:color="CCEEFF"/>
            </w:tcBorders>
          </w:tcPr>
          <w:p>
            <w:pPr>
              <w:ind w:left="120"/>
              <w:spacing w:after="0" w:line="170" w:lineRule="exact"/>
              <w:rPr>
                <w:sz w:val="20"/>
                <w:szCs w:val="20"/>
                <w:color w:val="auto"/>
              </w:rPr>
            </w:pPr>
            <w:r>
              <w:rPr>
                <w:rFonts w:ascii="Arial" w:cs="Arial" w:eastAsia="Arial" w:hAnsi="Arial"/>
                <w:sz w:val="13"/>
                <w:szCs w:val="13"/>
                <w:color w:val="auto"/>
              </w:rPr>
              <w:t>Class C and Other</w:t>
            </w:r>
            <w:r>
              <w:rPr>
                <w:rFonts w:ascii="Arial" w:cs="Arial" w:eastAsia="Arial" w:hAnsi="Arial"/>
                <w:sz w:val="16"/>
                <w:szCs w:val="16"/>
                <w:color w:val="auto"/>
                <w:vertAlign w:val="superscript"/>
              </w:rPr>
              <w:t>(1)</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466.3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399.3</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406.4</w:t>
            </w:r>
          </w:p>
        </w:tc>
      </w:tr>
      <w:tr>
        <w:trPr>
          <w:trHeight w:val="160"/>
        </w:trPr>
        <w:tc>
          <w:tcPr>
            <w:tcW w:w="58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Motorhome RV</w:t>
            </w:r>
          </w:p>
        </w:tc>
        <w:tc>
          <w:tcPr>
            <w:tcW w:w="3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1,560.1</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1,911.2</w:t>
            </w:r>
          </w:p>
        </w:tc>
      </w:tr>
      <w:tr>
        <w:trPr>
          <w:trHeight w:val="159"/>
        </w:trPr>
        <w:tc>
          <w:tcPr>
            <w:tcW w:w="5880" w:type="dxa"/>
            <w:vAlign w:val="bottom"/>
          </w:tcPr>
          <w:p>
            <w:pPr>
              <w:ind w:left="20"/>
              <w:spacing w:after="0"/>
              <w:rPr>
                <w:sz w:val="20"/>
                <w:szCs w:val="20"/>
                <w:color w:val="auto"/>
              </w:rPr>
            </w:pPr>
            <w:r>
              <w:rPr>
                <w:rFonts w:ascii="Arial" w:cs="Arial" w:eastAsia="Arial" w:hAnsi="Arial"/>
                <w:sz w:val="13"/>
                <w:szCs w:val="13"/>
                <w:color w:val="auto"/>
              </w:rPr>
              <w:t>Marine</w:t>
            </w:r>
          </w:p>
        </w:tc>
        <w:tc>
          <w:tcPr>
            <w:tcW w:w="3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325.5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469.7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425.3</w:t>
            </w:r>
          </w:p>
        </w:tc>
      </w:tr>
      <w:tr>
        <w:trPr>
          <w:trHeight w:val="171"/>
        </w:trPr>
        <w:tc>
          <w:tcPr>
            <w:tcW w:w="588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Corporate / All Other</w:t>
            </w:r>
            <w:r>
              <w:rPr>
                <w:rFonts w:ascii="Arial" w:cs="Arial" w:eastAsia="Arial" w:hAnsi="Arial"/>
                <w:sz w:val="16"/>
                <w:szCs w:val="16"/>
                <w:color w:val="auto"/>
                <w:vertAlign w:val="superscript"/>
              </w:rPr>
              <w:t>(2)</w:t>
            </w: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w:t>
            </w:r>
          </w:p>
        </w:tc>
      </w:tr>
      <w:tr>
        <w:trPr>
          <w:trHeight w:val="160"/>
        </w:trPr>
        <w:tc>
          <w:tcPr>
            <w:tcW w:w="5880" w:type="dxa"/>
            <w:vAlign w:val="bottom"/>
          </w:tcPr>
          <w:p>
            <w:pPr>
              <w:ind w:left="280"/>
              <w:spacing w:after="0"/>
              <w:rPr>
                <w:sz w:val="20"/>
                <w:szCs w:val="20"/>
                <w:color w:val="auto"/>
              </w:rPr>
            </w:pPr>
            <w:r>
              <w:rPr>
                <w:rFonts w:ascii="Arial" w:cs="Arial" w:eastAsia="Arial" w:hAnsi="Arial"/>
                <w:sz w:val="13"/>
                <w:szCs w:val="13"/>
                <w:color w:val="auto"/>
              </w:rPr>
              <w:t>Consolidated</w:t>
            </w: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2,973.5</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3,490.7</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4,957.7</w:t>
            </w:r>
          </w:p>
        </w:tc>
      </w:tr>
      <w:tr>
        <w:trPr>
          <w:trHeight w:val="20"/>
        </w:trPr>
        <w:tc>
          <w:tcPr>
            <w:tcW w:w="5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ind w:left="240" w:hanging="235"/>
        <w:spacing w:after="0"/>
        <w:tabs>
          <w:tab w:leader="none" w:pos="240" w:val="left"/>
        </w:tabs>
        <w:numPr>
          <w:ilvl w:val="0"/>
          <w:numId w:val="26"/>
        </w:numPr>
        <w:rPr>
          <w:rFonts w:ascii="Arial" w:cs="Arial" w:eastAsia="Arial" w:hAnsi="Arial"/>
          <w:sz w:val="17"/>
          <w:szCs w:val="17"/>
          <w:color w:val="auto"/>
          <w:vertAlign w:val="superscript"/>
        </w:rPr>
      </w:pPr>
      <w:r>
        <w:rPr>
          <w:rFonts w:ascii="Arial" w:cs="Arial" w:eastAsia="Arial" w:hAnsi="Arial"/>
          <w:sz w:val="11"/>
          <w:szCs w:val="11"/>
          <w:color w:val="auto"/>
        </w:rPr>
        <w:t>Relates to parts, accessories, and services.</w:t>
      </w:r>
    </w:p>
    <w:p>
      <w:pPr>
        <w:ind w:left="200" w:right="160" w:hanging="195"/>
        <w:spacing w:after="0" w:line="198" w:lineRule="auto"/>
        <w:tabs>
          <w:tab w:leader="none" w:pos="236" w:val="left"/>
        </w:tabs>
        <w:numPr>
          <w:ilvl w:val="0"/>
          <w:numId w:val="26"/>
        </w:numPr>
        <w:rPr>
          <w:rFonts w:ascii="Arial" w:cs="Arial" w:eastAsia="Arial" w:hAnsi="Arial"/>
          <w:sz w:val="17"/>
          <w:szCs w:val="17"/>
          <w:color w:val="auto"/>
          <w:vertAlign w:val="superscript"/>
        </w:rPr>
      </w:pPr>
      <w:r>
        <w:rPr>
          <w:rFonts w:ascii="Arial" w:cs="Arial" w:eastAsia="Arial" w:hAnsi="Arial"/>
          <w:sz w:val="11"/>
          <w:szCs w:val="11"/>
          <w:color w:val="auto"/>
        </w:rPr>
        <w:t>Relates to units, parts, accessories, and services associated with Winnebago specialty vehicles. In addition, this activity also includes Lithionics battery sales, including the related systems and accessories, that are sold directly to external customers.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We do not have material contract assets or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Risk</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 single dealer organization accounted for more than 10% of net revenues for Fiscal 2024, 2023, and 2022.</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Stock-Based Compensation Plans</w:t>
      </w:r>
    </w:p>
    <w:p>
      <w:pPr>
        <w:spacing w:after="0" w:line="201" w:lineRule="exact"/>
        <w:rPr>
          <w:sz w:val="20"/>
          <w:szCs w:val="20"/>
          <w:color w:val="auto"/>
        </w:rPr>
      </w:pPr>
    </w:p>
    <w:p>
      <w:pPr>
        <w:ind w:right="140"/>
        <w:spacing w:after="0" w:line="248" w:lineRule="auto"/>
        <w:rPr>
          <w:sz w:val="20"/>
          <w:szCs w:val="20"/>
          <w:color w:val="auto"/>
        </w:rPr>
      </w:pPr>
      <w:r>
        <w:rPr>
          <w:rFonts w:ascii="Arial" w:cs="Arial" w:eastAsia="Arial" w:hAnsi="Arial"/>
          <w:sz w:val="13"/>
          <w:szCs w:val="13"/>
          <w:color w:val="auto"/>
        </w:rPr>
        <w:t>On December 14, 2023, our shareholders approved the Amended and Restated 2019 Omnibus Incentive Plan (“Restated Plan”) as detailed in our Proxy Statement for the 2023 Annual Meeting of Shareholders. The Restated Plan continues to allow us to grant or issue non-qualified stock options, incentive stock options, share awards, and other equity compensation to key employees and to non-employee directors. The Restated Plan increased the number of shares of our common stock that may be awarded and issued under the Restated Plan by 2.4 million. As of August 31, 2024, 3.8 million shares remain available for future issuance, which will be increased by the number of shares subject to any outstanding awards under the Restated Plan or the 2014 Omnibus Equity, Performance Award, and Incentive Compensation Plan (“2014 Plan”) that expire or are forfeited or canceled. Share awards subject to full value awards granted under the Restated Plan will count as two shares against the share reserve. Awards under the 2014 Plan that were outstanding on December 14, 2023 will continue to be subject to the terms of the 2014 Plan, as applicable. Shares remaining available for future awards under the 2014 Plan were not carried over into the Restated Plan.</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Our outstanding options have a 10-year term. Options issued to employees generally vest over a three-year period in equal annual installments on the annual anniversary dates following the grant date. Share awards generally vest based either upon continued employment ("time-based") or upon attainment of specified goals. Outstanding share awards that are not time-based vest at the end of a three-year incentive period based upon the achievement of company performance goals ("performance-based"). Generally, time-based share awards vest in the same manner as options, except for time-based share awards to directors, which vest one year from the grant date.</w:t>
      </w:r>
    </w:p>
    <w:p>
      <w:pPr>
        <w:spacing w:after="0" w:line="165" w:lineRule="exact"/>
        <w:rPr>
          <w:sz w:val="20"/>
          <w:szCs w:val="20"/>
          <w:color w:val="auto"/>
        </w:rPr>
      </w:pPr>
    </w:p>
    <w:p>
      <w:pPr>
        <w:jc w:val="both"/>
        <w:ind w:right="200"/>
        <w:spacing w:after="0" w:line="261" w:lineRule="auto"/>
        <w:rPr>
          <w:sz w:val="20"/>
          <w:szCs w:val="20"/>
          <w:color w:val="auto"/>
        </w:rPr>
      </w:pPr>
      <w:r>
        <w:rPr>
          <w:rFonts w:ascii="Arial" w:cs="Arial" w:eastAsia="Arial" w:hAnsi="Arial"/>
          <w:sz w:val="13"/>
          <w:szCs w:val="13"/>
          <w:color w:val="auto"/>
        </w:rPr>
        <w:t>Beginning with our annual grant of restricted stock units in October 2018, dividend equivalents are attached to restricted stock units equal to dividends payable on the same number of shares of our common stock during the applicable period. Dividend equivalents, settled in cash, accrue on restricted stock unit awards during the vesting period. No dividend equivalents are paid on any restricted stock units that are forfeited prior to the vesting date.</w:t>
      </w:r>
    </w:p>
    <w:p>
      <w:pPr>
        <w:spacing w:after="0" w:line="159"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Our Employee Stock Purchase Plan ("ESPP") permits employees to purchase Winnebago Industries, Inc. common stock at a 15% discount from the market price at the end of semi-annual purchase periods and is compensatory. In Fiscal 2024 and 2023, approximately 47,000 shares and 29,000 shares, respectively, were purchased through the ESPP. Plan participants had accumulated $0.5 million for each period ended August 31, 2024 and August 26, 2023 to purchase our common stock pursuant to</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this plan. As of August 31, 2024, 550,000 shares were authorized for issuance and approximately 353,000 shares remain available for future issuance.</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color w:val="auto"/>
        </w:rPr>
        <w:t>Compensation expense associated with share-based awards is recognized over the requisite service or performance period of the award, unless accelerated by certain retirement eligibility provisions.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Forfeitures are recorded when they occur. Total stock-based compensation expense for the past three fiscal years consisted of the following components: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awards:</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9"/>
        </w:trPr>
        <w:tc>
          <w:tcPr>
            <w:tcW w:w="5900" w:type="dxa"/>
            <w:vAlign w:val="bottom"/>
          </w:tcPr>
          <w:p>
            <w:pPr>
              <w:ind w:left="120"/>
              <w:spacing w:after="0"/>
              <w:rPr>
                <w:sz w:val="20"/>
                <w:szCs w:val="20"/>
                <w:color w:val="auto"/>
              </w:rPr>
            </w:pPr>
            <w:r>
              <w:rPr>
                <w:rFonts w:ascii="Arial" w:cs="Arial" w:eastAsia="Arial" w:hAnsi="Arial"/>
                <w:sz w:val="13"/>
                <w:szCs w:val="13"/>
                <w:color w:val="auto"/>
              </w:rPr>
              <w:t>Time-based</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71"/>
        </w:trPr>
        <w:tc>
          <w:tcPr>
            <w:tcW w:w="59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Performance-based</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590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(1)</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60"/>
        </w:trPr>
        <w:tc>
          <w:tcPr>
            <w:tcW w:w="5900" w:type="dxa"/>
            <w:vAlign w:val="bottom"/>
          </w:tcPr>
          <w:p>
            <w:pPr>
              <w:ind w:left="120"/>
              <w:spacing w:after="0"/>
              <w:rPr>
                <w:sz w:val="20"/>
                <w:szCs w:val="20"/>
                <w:color w:val="auto"/>
              </w:rPr>
            </w:pPr>
            <w:r>
              <w:rPr>
                <w:rFonts w:ascii="Arial" w:cs="Arial" w:eastAsia="Arial" w:hAnsi="Arial"/>
                <w:sz w:val="13"/>
                <w:szCs w:val="13"/>
                <w:color w:val="auto"/>
              </w:rPr>
              <w:t>Total stock-based compensation expense</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00" w:right="140" w:hanging="195"/>
        <w:spacing w:after="0" w:line="213" w:lineRule="auto"/>
        <w:tabs>
          <w:tab w:leader="none" w:pos="236" w:val="left"/>
        </w:tabs>
        <w:numPr>
          <w:ilvl w:val="0"/>
          <w:numId w:val="27"/>
        </w:numPr>
        <w:rPr>
          <w:rFonts w:ascii="Arial" w:cs="Arial" w:eastAsia="Arial" w:hAnsi="Arial"/>
          <w:sz w:val="17"/>
          <w:szCs w:val="17"/>
          <w:color w:val="auto"/>
          <w:vertAlign w:val="superscript"/>
        </w:rPr>
      </w:pPr>
      <w:r>
        <w:rPr>
          <w:rFonts w:ascii="Arial" w:cs="Arial" w:eastAsia="Arial" w:hAnsi="Arial"/>
          <w:sz w:val="11"/>
          <w:szCs w:val="11"/>
          <w:color w:val="auto"/>
        </w:rPr>
        <w:t>Includes stock-based compensation expense related to Board of Directors stock award expense and ESPP expense. Directors may elect to defer all or part of their annual retainer into a deferred compensation plan. The plan allows them to defer into either money units or stock units.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Units - Time-Based</w:t>
      </w:r>
    </w:p>
    <w:p>
      <w:pPr>
        <w:spacing w:after="0" w:line="95" w:lineRule="exact"/>
        <w:rPr>
          <w:sz w:val="20"/>
          <w:szCs w:val="20"/>
          <w:color w:val="auto"/>
        </w:rPr>
      </w:pPr>
    </w:p>
    <w:p>
      <w:pPr>
        <w:ind w:right="160"/>
        <w:spacing w:after="0" w:line="265" w:lineRule="auto"/>
        <w:rPr>
          <w:sz w:val="20"/>
          <w:szCs w:val="20"/>
          <w:color w:val="auto"/>
        </w:rPr>
      </w:pPr>
      <w:r>
        <w:rPr>
          <w:rFonts w:ascii="Arial" w:cs="Arial" w:eastAsia="Arial" w:hAnsi="Arial"/>
          <w:sz w:val="13"/>
          <w:szCs w:val="13"/>
          <w:color w:val="auto"/>
        </w:rPr>
        <w:t>The fair value of time-based restricted stock units is determined based on the closing market price of our stock on the date of grant. A summary of the status of nonvested time-based restricted stock units at August 31, 2024, and changes during Fiscal 2024, is as follows:</w:t>
      </w:r>
    </w:p>
    <w:tbl>
      <w:tblPr>
        <w:tblLayout w:type="fixed"/>
        <w:tblInd w:w="0" w:type="dxa"/>
        <w:tblCellMar>
          <w:top w:w="0" w:type="dxa"/>
          <w:left w:w="0" w:type="dxa"/>
          <w:bottom w:w="0" w:type="dxa"/>
          <w:right w:w="0" w:type="dxa"/>
        </w:tblCellMar>
      </w:tblPr>
      <w:tr>
        <w:trPr>
          <w:trHeight w:val="179"/>
        </w:trPr>
        <w:tc>
          <w:tcPr>
            <w:tcW w:w="7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640"/>
              <w:spacing w:after="0" w:line="179" w:lineRule="exact"/>
              <w:rPr>
                <w:sz w:val="20"/>
                <w:szCs w:val="20"/>
                <w:color w:val="auto"/>
              </w:rPr>
            </w:pPr>
            <w:r>
              <w:rPr>
                <w:rFonts w:ascii="Arial" w:cs="Arial" w:eastAsia="Arial" w:hAnsi="Arial"/>
                <w:sz w:val="13"/>
                <w:szCs w:val="13"/>
                <w:b w:val="1"/>
                <w:bCs w:val="1"/>
                <w:color w:val="auto"/>
                <w:w w:val="99"/>
              </w:rPr>
              <w:t>Shares</w:t>
            </w:r>
            <w:r>
              <w:rPr>
                <w:rFonts w:ascii="Arial" w:cs="Arial" w:eastAsia="Arial" w:hAnsi="Arial"/>
                <w:sz w:val="16"/>
                <w:szCs w:val="16"/>
                <w:b w:val="1"/>
                <w:bCs w:val="1"/>
                <w:color w:val="auto"/>
                <w:w w:val="99"/>
                <w:vertAlign w:val="superscript"/>
              </w:rPr>
              <w:t>(1)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Weighted Average Fair Value</w:t>
            </w:r>
          </w:p>
        </w:tc>
      </w:tr>
      <w:tr>
        <w:trPr>
          <w:trHeight w:val="16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26, 2023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382,761</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56.81</w:t>
            </w:r>
          </w:p>
        </w:tc>
      </w:tr>
      <w:tr>
        <w:trPr>
          <w:trHeight w:val="169"/>
        </w:trPr>
        <w:tc>
          <w:tcPr>
            <w:tcW w:w="8740" w:type="dxa"/>
            <w:vAlign w:val="bottom"/>
            <w:gridSpan w:val="2"/>
          </w:tcPr>
          <w:p>
            <w:pPr>
              <w:ind w:left="120"/>
              <w:spacing w:after="0"/>
              <w:rPr>
                <w:sz w:val="20"/>
                <w:szCs w:val="20"/>
                <w:color w:val="auto"/>
              </w:rPr>
            </w:pPr>
            <w:r>
              <w:rPr>
                <w:rFonts w:ascii="Arial" w:cs="Arial" w:eastAsia="Arial" w:hAnsi="Arial"/>
                <w:sz w:val="13"/>
                <w:szCs w:val="13"/>
                <w:color w:val="auto"/>
              </w:rPr>
              <w:t>Granted</w:t>
            </w:r>
          </w:p>
        </w:tc>
        <w:tc>
          <w:tcPr>
            <w:tcW w:w="600" w:type="dxa"/>
            <w:vAlign w:val="bottom"/>
          </w:tcPr>
          <w:p>
            <w:pPr>
              <w:jc w:val="right"/>
              <w:spacing w:after="0"/>
              <w:rPr>
                <w:sz w:val="20"/>
                <w:szCs w:val="20"/>
                <w:color w:val="auto"/>
              </w:rPr>
            </w:pPr>
            <w:r>
              <w:rPr>
                <w:rFonts w:ascii="Arial" w:cs="Arial" w:eastAsia="Arial" w:hAnsi="Arial"/>
                <w:sz w:val="13"/>
                <w:szCs w:val="13"/>
                <w:color w:val="auto"/>
              </w:rPr>
              <w:t>216,158</w:t>
            </w:r>
          </w:p>
        </w:tc>
        <w:tc>
          <w:tcPr>
            <w:tcW w:w="860" w:type="dxa"/>
            <w:vAlign w:val="bottom"/>
            <w:gridSpan w:val="2"/>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58.79</w:t>
            </w:r>
          </w:p>
        </w:tc>
      </w:tr>
      <w:tr>
        <w:trPr>
          <w:trHeight w:val="171"/>
        </w:trPr>
        <w:tc>
          <w:tcPr>
            <w:tcW w:w="87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(144,778)</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60.35</w:t>
            </w:r>
          </w:p>
        </w:tc>
      </w:tr>
      <w:tr>
        <w:trPr>
          <w:trHeight w:val="169"/>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Forfeited/canceled</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(21,005)</w:t>
            </w:r>
          </w:p>
        </w:tc>
        <w:tc>
          <w:tcPr>
            <w:tcW w:w="860" w:type="dxa"/>
            <w:vAlign w:val="bottom"/>
            <w:tcBorders>
              <w:bottom w:val="single" w:sz="8" w:color="CCEEFF"/>
            </w:tcBorders>
            <w:gridSpan w:val="2"/>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59.40</w:t>
            </w:r>
          </w:p>
        </w:tc>
      </w:tr>
      <w:tr>
        <w:trPr>
          <w:trHeight w:val="182"/>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31, 2024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433,136</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53" w:lineRule="exact"/>
        <w:rPr>
          <w:sz w:val="20"/>
          <w:szCs w:val="20"/>
          <w:color w:val="auto"/>
        </w:rPr>
      </w:pPr>
    </w:p>
    <w:p>
      <w:pPr>
        <w:ind w:left="240" w:hanging="235"/>
        <w:spacing w:after="0"/>
        <w:tabs>
          <w:tab w:leader="none" w:pos="240" w:val="left"/>
        </w:tabs>
        <w:numPr>
          <w:ilvl w:val="0"/>
          <w:numId w:val="28"/>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above table are shown in whole numbers.</w:t>
      </w:r>
    </w:p>
    <w:p>
      <w:pPr>
        <w:spacing w:after="0" w:line="176" w:lineRule="exact"/>
        <w:rPr>
          <w:sz w:val="20"/>
          <w:szCs w:val="20"/>
          <w:color w:val="auto"/>
        </w:rPr>
      </w:pPr>
    </w:p>
    <w:p>
      <w:pPr>
        <w:ind w:right="380"/>
        <w:spacing w:after="0" w:line="266" w:lineRule="auto"/>
        <w:rPr>
          <w:sz w:val="20"/>
          <w:szCs w:val="20"/>
          <w:color w:val="auto"/>
        </w:rPr>
      </w:pPr>
      <w:r>
        <w:rPr>
          <w:rFonts w:ascii="Arial" w:cs="Arial" w:eastAsia="Arial" w:hAnsi="Arial"/>
          <w:sz w:val="13"/>
          <w:szCs w:val="13"/>
          <w:color w:val="auto"/>
        </w:rPr>
        <w:t>As of August 31, 2024, there was $10.0 million of unrecognized compensation expense related to nonvested time-based restricted stock units that are expected to be recognized over a weighted average period of 0.8 years. The total fair value of restricted stock units vested during Fiscal 2024, 2023, and 2022 was $8.4 million, $8.8 million, and $8.0 million,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Units - Performance-Based</w:t>
      </w:r>
    </w:p>
    <w:p>
      <w:pPr>
        <w:spacing w:after="0" w:line="84" w:lineRule="exact"/>
        <w:rPr>
          <w:sz w:val="20"/>
          <w:szCs w:val="20"/>
          <w:color w:val="auto"/>
        </w:rPr>
      </w:pPr>
    </w:p>
    <w:p>
      <w:pPr>
        <w:ind w:right="240"/>
        <w:spacing w:after="0" w:line="272" w:lineRule="auto"/>
        <w:rPr>
          <w:sz w:val="20"/>
          <w:szCs w:val="20"/>
          <w:color w:val="auto"/>
        </w:rPr>
      </w:pPr>
      <w:r>
        <w:rPr>
          <w:rFonts w:ascii="Arial" w:cs="Arial" w:eastAsia="Arial" w:hAnsi="Arial"/>
          <w:sz w:val="13"/>
          <w:szCs w:val="13"/>
          <w:color w:val="auto"/>
        </w:rPr>
        <w:t>The fair value of performance-based restricted stock units is determined based on the closing market price of our stock on the date of grant. A summary of the status of our nonvested performance-based restricted stock units at August 31, 2024, and changes during Fiscal 2024, is as follows:</w:t>
      </w: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640"/>
              <w:spacing w:after="0" w:line="171"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16"/>
                <w:szCs w:val="16"/>
                <w:b w:val="1"/>
                <w:bCs w:val="1"/>
                <w:color w:val="auto"/>
                <w:vertAlign w:val="superscript"/>
              </w:rPr>
              <w:t>(1)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Weighted Average Fair Value</w:t>
            </w:r>
          </w:p>
        </w:tc>
      </w:tr>
      <w:tr>
        <w:trPr>
          <w:trHeight w:val="160"/>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26, 2023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212,648</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60.59</w:t>
            </w:r>
          </w:p>
        </w:tc>
      </w:tr>
      <w:tr>
        <w:trPr>
          <w:trHeight w:val="169"/>
        </w:trPr>
        <w:tc>
          <w:tcPr>
            <w:tcW w:w="8760" w:type="dxa"/>
            <w:vAlign w:val="bottom"/>
            <w:gridSpan w:val="2"/>
          </w:tcPr>
          <w:p>
            <w:pPr>
              <w:ind w:left="120"/>
              <w:spacing w:after="0"/>
              <w:rPr>
                <w:sz w:val="20"/>
                <w:szCs w:val="20"/>
                <w:color w:val="auto"/>
              </w:rPr>
            </w:pPr>
            <w:r>
              <w:rPr>
                <w:rFonts w:ascii="Arial" w:cs="Arial" w:eastAsia="Arial" w:hAnsi="Arial"/>
                <w:sz w:val="13"/>
                <w:szCs w:val="13"/>
                <w:color w:val="auto"/>
              </w:rPr>
              <w:t>Granted</w:t>
            </w:r>
          </w:p>
        </w:tc>
        <w:tc>
          <w:tcPr>
            <w:tcW w:w="580" w:type="dxa"/>
            <w:vAlign w:val="bottom"/>
          </w:tcPr>
          <w:p>
            <w:pPr>
              <w:jc w:val="right"/>
              <w:spacing w:after="0"/>
              <w:rPr>
                <w:sz w:val="20"/>
                <w:szCs w:val="20"/>
                <w:color w:val="auto"/>
              </w:rPr>
            </w:pPr>
            <w:r>
              <w:rPr>
                <w:rFonts w:ascii="Arial" w:cs="Arial" w:eastAsia="Arial" w:hAnsi="Arial"/>
                <w:sz w:val="13"/>
                <w:szCs w:val="13"/>
                <w:color w:val="auto"/>
              </w:rPr>
              <w:t>113,068</w:t>
            </w:r>
          </w:p>
        </w:tc>
        <w:tc>
          <w:tcPr>
            <w:tcW w:w="860" w:type="dxa"/>
            <w:vAlign w:val="bottom"/>
            <w:gridSpan w:val="2"/>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58.20</w:t>
            </w:r>
          </w:p>
        </w:tc>
      </w:tr>
      <w:tr>
        <w:trPr>
          <w:trHeight w:val="171"/>
        </w:trPr>
        <w:tc>
          <w:tcPr>
            <w:tcW w:w="87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Vested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(76,060)</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54.49</w:t>
            </w:r>
          </w:p>
        </w:tc>
      </w:tr>
      <w:tr>
        <w:trPr>
          <w:trHeight w:val="169"/>
        </w:trPr>
        <w:tc>
          <w:tcPr>
            <w:tcW w:w="752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Forfeited/canceled</w:t>
            </w: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(25,645)</w:t>
            </w:r>
          </w:p>
        </w:tc>
        <w:tc>
          <w:tcPr>
            <w:tcW w:w="860" w:type="dxa"/>
            <w:vAlign w:val="bottom"/>
            <w:tcBorders>
              <w:bottom w:val="single" w:sz="8" w:color="CCEEFF"/>
            </w:tcBorders>
            <w:gridSpan w:val="2"/>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62.17</w:t>
            </w:r>
          </w:p>
        </w:tc>
      </w:tr>
      <w:tr>
        <w:trPr>
          <w:trHeight w:val="182"/>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31, 2024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224,011</w:t>
            </w: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61.28</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 w:lineRule="exact"/>
        <w:rPr>
          <w:sz w:val="20"/>
          <w:szCs w:val="20"/>
          <w:color w:val="auto"/>
        </w:rPr>
      </w:pPr>
    </w:p>
    <w:p>
      <w:pPr>
        <w:ind w:left="240" w:hanging="235"/>
        <w:spacing w:after="0"/>
        <w:tabs>
          <w:tab w:leader="none" w:pos="240" w:val="left"/>
        </w:tabs>
        <w:numPr>
          <w:ilvl w:val="0"/>
          <w:numId w:val="29"/>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above table are shown in whole numbers.</w:t>
      </w:r>
    </w:p>
    <w:p>
      <w:pPr>
        <w:spacing w:after="0" w:line="166"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color w:val="auto"/>
        </w:rPr>
        <w:t>As of August 31, 2024, there was $5.0 million of unrecognized compensation expense related to nonvested performance-based restricted stock units that are expected to be recognized over a weighted average period of 1.2 years. The total fair value of performance-based restricted stock units vested during Fiscal 2024, Fiscal 2023, and Fiscal 2022 was $4.5 million, $7.6 million, and $5.8 million, respectively.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100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95"/>
              </w:rPr>
              <w:t>Table of Contents</w:t>
            </w:r>
          </w:p>
        </w:tc>
        <w:tc>
          <w:tcPr>
            <w:tcW w:w="3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3"/>
        </w:trPr>
        <w:tc>
          <w:tcPr>
            <w:tcW w:w="4300" w:type="dxa"/>
            <w:vAlign w:val="bottom"/>
            <w:gridSpan w:val="2"/>
          </w:tcPr>
          <w:p>
            <w:pPr>
              <w:spacing w:after="0"/>
              <w:rPr>
                <w:sz w:val="20"/>
                <w:szCs w:val="20"/>
                <w:color w:val="auto"/>
              </w:rPr>
            </w:pPr>
            <w:r>
              <w:rPr>
                <w:rFonts w:ascii="Arial" w:cs="Arial" w:eastAsia="Arial" w:hAnsi="Arial"/>
                <w:sz w:val="13"/>
                <w:szCs w:val="13"/>
                <w:b w:val="1"/>
                <w:bCs w:val="1"/>
                <w:color w:val="auto"/>
              </w:rPr>
              <w:t>Stock Options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00" w:type="dxa"/>
            <w:vAlign w:val="bottom"/>
            <w:gridSpan w:val="2"/>
          </w:tcPr>
          <w:p>
            <w:pPr>
              <w:spacing w:after="0"/>
              <w:rPr>
                <w:sz w:val="20"/>
                <w:szCs w:val="20"/>
                <w:color w:val="auto"/>
              </w:rPr>
            </w:pPr>
            <w:r>
              <w:rPr>
                <w:rFonts w:ascii="Arial" w:cs="Arial" w:eastAsia="Arial" w:hAnsi="Arial"/>
                <w:sz w:val="13"/>
                <w:szCs w:val="13"/>
                <w:color w:val="auto"/>
              </w:rPr>
              <w:t>A summary of stock option activity for Fiscal 2024 is as follows: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Weighted Average Exercise</w:t>
            </w:r>
          </w:p>
        </w:tc>
        <w:tc>
          <w:tcPr>
            <w:tcW w:w="1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Weighted Average</w:t>
            </w: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50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Stock Options</w:t>
            </w:r>
            <w:r>
              <w:rPr>
                <w:rFonts w:ascii="Arial" w:cs="Arial" w:eastAsia="Arial" w:hAnsi="Arial"/>
                <w:sz w:val="16"/>
                <w:szCs w:val="16"/>
                <w:b w:val="1"/>
                <w:bCs w:val="1"/>
                <w:color w:val="auto"/>
                <w:vertAlign w:val="superscript"/>
              </w:rPr>
              <w:t>(1)</w:t>
            </w:r>
          </w:p>
        </w:tc>
        <w:tc>
          <w:tcPr>
            <w:tcW w:w="10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840" w:type="dxa"/>
            <w:vAlign w:val="bottom"/>
            <w:gridSpan w:val="2"/>
          </w:tcPr>
          <w:p>
            <w:pPr>
              <w:jc w:val="center"/>
              <w:ind w:right="80"/>
              <w:spacing w:after="0" w:line="128" w:lineRule="exact"/>
              <w:rPr>
                <w:sz w:val="20"/>
                <w:szCs w:val="20"/>
                <w:color w:val="auto"/>
              </w:rPr>
            </w:pPr>
            <w:r>
              <w:rPr>
                <w:rFonts w:ascii="Arial" w:cs="Arial" w:eastAsia="Arial" w:hAnsi="Arial"/>
                <w:sz w:val="13"/>
                <w:szCs w:val="13"/>
                <w:b w:val="1"/>
                <w:bCs w:val="1"/>
                <w:color w:val="auto"/>
                <w:w w:val="98"/>
              </w:rPr>
              <w:t>Remaining Contractual</w:t>
            </w:r>
          </w:p>
        </w:tc>
        <w:tc>
          <w:tcPr>
            <w:tcW w:w="80" w:type="dxa"/>
            <w:vAlign w:val="bottom"/>
          </w:tcPr>
          <w:p>
            <w:pPr>
              <w:spacing w:after="0"/>
              <w:rPr>
                <w:sz w:val="11"/>
                <w:szCs w:val="11"/>
                <w:color w:val="auto"/>
              </w:rPr>
            </w:pPr>
          </w:p>
        </w:tc>
        <w:tc>
          <w:tcPr>
            <w:tcW w:w="164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w w:val="96"/>
              </w:rPr>
              <w:t>Aggregate Intrinsic Value</w:t>
            </w:r>
          </w:p>
        </w:tc>
        <w:tc>
          <w:tcPr>
            <w:tcW w:w="0" w:type="dxa"/>
            <w:vAlign w:val="bottom"/>
          </w:tcPr>
          <w:p>
            <w:pPr>
              <w:spacing w:after="0"/>
              <w:rPr>
                <w:sz w:val="1"/>
                <w:szCs w:val="1"/>
                <w:color w:val="auto"/>
              </w:rPr>
            </w:pPr>
          </w:p>
        </w:tc>
      </w:tr>
      <w:tr>
        <w:trPr>
          <w:trHeight w:val="170"/>
        </w:trPr>
        <w:tc>
          <w:tcPr>
            <w:tcW w:w="10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Price Per Share</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Term (in years)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26, 2023</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388,980</w:t>
            </w:r>
          </w:p>
        </w:tc>
        <w:tc>
          <w:tcPr>
            <w:tcW w:w="1440" w:type="dxa"/>
            <w:vAlign w:val="bottom"/>
            <w:gridSpan w:val="2"/>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46.70</w:t>
            </w:r>
          </w:p>
        </w:tc>
        <w:tc>
          <w:tcPr>
            <w:tcW w:w="8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ind w:left="120"/>
              <w:spacing w:after="0"/>
              <w:rPr>
                <w:sz w:val="20"/>
                <w:szCs w:val="20"/>
                <w:color w:val="auto"/>
              </w:rPr>
            </w:pPr>
            <w:r>
              <w:rPr>
                <w:rFonts w:ascii="Arial" w:cs="Arial" w:eastAsia="Arial" w:hAnsi="Arial"/>
                <w:sz w:val="13"/>
                <w:szCs w:val="13"/>
                <w:color w:val="auto"/>
              </w:rPr>
              <w:t>Granted</w:t>
            </w:r>
          </w:p>
        </w:tc>
        <w:tc>
          <w:tcPr>
            <w:tcW w:w="1500" w:type="dxa"/>
            <w:vAlign w:val="bottom"/>
          </w:tcPr>
          <w:p>
            <w:pPr>
              <w:jc w:val="right"/>
              <w:spacing w:after="0"/>
              <w:rPr>
                <w:sz w:val="20"/>
                <w:szCs w:val="20"/>
                <w:color w:val="auto"/>
              </w:rPr>
            </w:pPr>
            <w:r>
              <w:rPr>
                <w:rFonts w:ascii="Arial" w:cs="Arial" w:eastAsia="Arial" w:hAnsi="Arial"/>
                <w:sz w:val="13"/>
                <w:szCs w:val="13"/>
                <w:color w:val="auto"/>
              </w:rPr>
              <w:t>70,299</w:t>
            </w:r>
          </w:p>
        </w:tc>
        <w:tc>
          <w:tcPr>
            <w:tcW w:w="1440" w:type="dxa"/>
            <w:vAlign w:val="bottom"/>
            <w:gridSpan w:val="2"/>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58.68</w:t>
            </w: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(8,161)</w:t>
            </w:r>
          </w:p>
        </w:tc>
        <w:tc>
          <w:tcPr>
            <w:tcW w:w="1440" w:type="dxa"/>
            <w:vAlign w:val="bottom"/>
            <w:gridSpan w:val="2"/>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31.70</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(12,719)</w:t>
            </w:r>
          </w:p>
        </w:tc>
        <w:tc>
          <w:tcPr>
            <w:tcW w:w="1440" w:type="dxa"/>
            <w:vAlign w:val="bottom"/>
            <w:tcBorders>
              <w:bottom w:val="single" w:sz="8" w:color="CCEEFF"/>
            </w:tcBorders>
            <w:gridSpan w:val="2"/>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98"/>
              </w:rPr>
              <w:t>60.00</w:t>
            </w:r>
          </w:p>
        </w:tc>
        <w:tc>
          <w:tcPr>
            <w:tcW w:w="8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August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438,399</w:t>
            </w:r>
          </w:p>
        </w:tc>
        <w:tc>
          <w:tcPr>
            <w:tcW w:w="1440" w:type="dxa"/>
            <w:vAlign w:val="bottom"/>
            <w:tcBorders>
              <w:bottom w:val="single" w:sz="8" w:color="CCEEFF"/>
            </w:tcBorders>
            <w:gridSpan w:val="2"/>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8"/>
              </w:rPr>
              <w:t>48.51</w:t>
            </w:r>
          </w:p>
        </w:tc>
        <w:tc>
          <w:tcPr>
            <w:tcW w:w="8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0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Exercisable at August 31, 2024</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322,767</w:t>
            </w:r>
          </w:p>
        </w:tc>
        <w:tc>
          <w:tcPr>
            <w:tcW w:w="1440" w:type="dxa"/>
            <w:vAlign w:val="bottom"/>
            <w:gridSpan w:val="2"/>
            <w:shd w:val="clear" w:color="auto" w:fill="CCEEFF"/>
          </w:tcPr>
          <w:p>
            <w:pPr>
              <w:jc w:val="right"/>
              <w:ind w:right="1196"/>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44.57</w:t>
            </w:r>
          </w:p>
        </w:tc>
        <w:tc>
          <w:tcPr>
            <w:tcW w:w="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40" w:hanging="235"/>
        <w:spacing w:after="0"/>
        <w:tabs>
          <w:tab w:leader="none" w:pos="240" w:val="left"/>
        </w:tabs>
        <w:numPr>
          <w:ilvl w:val="0"/>
          <w:numId w:val="30"/>
        </w:numPr>
        <w:rPr>
          <w:rFonts w:ascii="Arial" w:cs="Arial" w:eastAsia="Arial" w:hAnsi="Arial"/>
          <w:sz w:val="17"/>
          <w:szCs w:val="17"/>
          <w:color w:val="auto"/>
          <w:vertAlign w:val="superscript"/>
        </w:rPr>
      </w:pPr>
      <w:r>
        <w:rPr>
          <w:rFonts w:ascii="Arial" w:cs="Arial" w:eastAsia="Arial" w:hAnsi="Arial"/>
          <w:sz w:val="11"/>
          <w:szCs w:val="11"/>
          <w:color w:val="auto"/>
        </w:rPr>
        <w:t>Number of shares in the above table are shown in whole numbers.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As of August 31, 2024, there was $1.6 million of unrecognized compensation expense related to stock options that is expected to be recognized over a weighted average period of 0.8 years.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The fair value of each stock option is estimated on the date of grant using the Black-Scholes option-pricing model with the following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Valuation Assumptions</w:t>
            </w:r>
            <w:r>
              <w:rPr>
                <w:rFonts w:ascii="Arial" w:cs="Arial" w:eastAsia="Arial" w:hAnsi="Arial"/>
                <w:sz w:val="16"/>
                <w:szCs w:val="16"/>
                <w:color w:val="auto"/>
                <w:vertAlign w:val="superscript"/>
              </w:rPr>
              <w:t>(1)</w:t>
            </w:r>
          </w:p>
        </w:tc>
        <w:tc>
          <w:tcPr>
            <w:tcW w:w="26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6"/>
              <w:spacing w:after="0"/>
              <w:rPr>
                <w:sz w:val="20"/>
                <w:szCs w:val="20"/>
                <w:color w:val="auto"/>
              </w:rPr>
            </w:pPr>
            <w:r>
              <w:rPr>
                <w:rFonts w:ascii="Arial" w:cs="Arial" w:eastAsia="Arial" w:hAnsi="Arial"/>
                <w:sz w:val="13"/>
                <w:szCs w:val="13"/>
                <w:b w:val="1"/>
                <w:bCs w:val="1"/>
                <w:color w:val="auto"/>
              </w:rPr>
              <w:t>2022</w:t>
            </w:r>
          </w:p>
        </w:tc>
      </w:tr>
      <w:tr>
        <w:trPr>
          <w:trHeight w:val="160"/>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26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1.9 %</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r>
      <w:tr>
        <w:trPr>
          <w:trHeight w:val="170"/>
        </w:trPr>
        <w:tc>
          <w:tcPr>
            <w:tcW w:w="4040" w:type="dxa"/>
            <w:vAlign w:val="bottom"/>
          </w:tcPr>
          <w:p>
            <w:pPr>
              <w:ind w:left="20"/>
              <w:spacing w:after="0" w:line="170" w:lineRule="exact"/>
              <w:rPr>
                <w:sz w:val="20"/>
                <w:szCs w:val="20"/>
                <w:color w:val="auto"/>
              </w:rPr>
            </w:pPr>
            <w:r>
              <w:rPr>
                <w:rFonts w:ascii="Arial" w:cs="Arial" w:eastAsia="Arial" w:hAnsi="Arial"/>
                <w:sz w:val="13"/>
                <w:szCs w:val="13"/>
                <w:color w:val="auto"/>
              </w:rPr>
              <w:t>Risk-free interest rate</w:t>
            </w:r>
            <w:r>
              <w:rPr>
                <w:rFonts w:ascii="Arial" w:cs="Arial" w:eastAsia="Arial" w:hAnsi="Arial"/>
                <w:sz w:val="16"/>
                <w:szCs w:val="16"/>
                <w:color w:val="auto"/>
                <w:vertAlign w:val="superscript"/>
              </w:rPr>
              <w:t>(2)</w:t>
            </w:r>
          </w:p>
        </w:tc>
        <w:tc>
          <w:tcPr>
            <w:tcW w:w="2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4.6 %</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1.1 %</w:t>
            </w:r>
          </w:p>
        </w:tc>
      </w:tr>
      <w:tr>
        <w:trPr>
          <w:trHeight w:val="170"/>
        </w:trPr>
        <w:tc>
          <w:tcPr>
            <w:tcW w:w="404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Expected life of stock options (in years)</w:t>
            </w:r>
            <w:r>
              <w:rPr>
                <w:rFonts w:ascii="Arial" w:cs="Arial" w:eastAsia="Arial" w:hAnsi="Arial"/>
                <w:sz w:val="16"/>
                <w:szCs w:val="16"/>
                <w:color w:val="auto"/>
                <w:vertAlign w:val="superscript"/>
              </w:rPr>
              <w:t>(3)</w:t>
            </w:r>
          </w:p>
        </w:tc>
        <w:tc>
          <w:tcPr>
            <w:tcW w:w="26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70"/>
        </w:trPr>
        <w:tc>
          <w:tcPr>
            <w:tcW w:w="4040" w:type="dxa"/>
            <w:vAlign w:val="bottom"/>
          </w:tcPr>
          <w:p>
            <w:pPr>
              <w:ind w:left="20"/>
              <w:spacing w:after="0" w:line="170" w:lineRule="exact"/>
              <w:rPr>
                <w:sz w:val="20"/>
                <w:szCs w:val="20"/>
                <w:color w:val="auto"/>
              </w:rPr>
            </w:pPr>
            <w:r>
              <w:rPr>
                <w:rFonts w:ascii="Arial" w:cs="Arial" w:eastAsia="Arial" w:hAnsi="Arial"/>
                <w:sz w:val="13"/>
                <w:szCs w:val="13"/>
                <w:color w:val="auto"/>
              </w:rPr>
              <w:t>Expected stock price volatility</w:t>
            </w:r>
            <w:r>
              <w:rPr>
                <w:rFonts w:ascii="Arial" w:cs="Arial" w:eastAsia="Arial" w:hAnsi="Arial"/>
                <w:sz w:val="16"/>
                <w:szCs w:val="16"/>
                <w:color w:val="auto"/>
                <w:vertAlign w:val="superscript"/>
              </w:rPr>
              <w:t>(4)</w:t>
            </w:r>
          </w:p>
        </w:tc>
        <w:tc>
          <w:tcPr>
            <w:tcW w:w="2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50.8 %</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50.8 %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48.5 %</w:t>
            </w:r>
          </w:p>
        </w:tc>
      </w:tr>
      <w:tr>
        <w:trPr>
          <w:trHeight w:val="170"/>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fair value of options granted</w:t>
            </w:r>
          </w:p>
        </w:tc>
        <w:tc>
          <w:tcPr>
            <w:tcW w:w="260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25.10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96"/>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23.94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30.47</w:t>
            </w:r>
          </w:p>
        </w:tc>
      </w:tr>
    </w:tbl>
    <w:p>
      <w:pPr>
        <w:spacing w:after="0" w:line="10" w:lineRule="exact"/>
        <w:rPr>
          <w:sz w:val="20"/>
          <w:szCs w:val="20"/>
          <w:color w:val="auto"/>
        </w:rPr>
      </w:pPr>
    </w:p>
    <w:p>
      <w:pPr>
        <w:ind w:left="240" w:hanging="235"/>
        <w:spacing w:after="0"/>
        <w:tabs>
          <w:tab w:leader="none" w:pos="240" w:val="left"/>
        </w:tabs>
        <w:numPr>
          <w:ilvl w:val="0"/>
          <w:numId w:val="31"/>
        </w:numPr>
        <w:rPr>
          <w:rFonts w:ascii="Arial" w:cs="Arial" w:eastAsia="Arial" w:hAnsi="Arial"/>
          <w:sz w:val="17"/>
          <w:szCs w:val="17"/>
          <w:color w:val="auto"/>
          <w:vertAlign w:val="superscript"/>
        </w:rPr>
      </w:pPr>
      <w:r>
        <w:rPr>
          <w:rFonts w:ascii="Arial" w:cs="Arial" w:eastAsia="Arial" w:hAnsi="Arial"/>
          <w:sz w:val="11"/>
          <w:szCs w:val="11"/>
          <w:color w:val="auto"/>
        </w:rPr>
        <w:t>Forfeitures are recorded when they occur.</w:t>
      </w:r>
    </w:p>
    <w:p>
      <w:pPr>
        <w:ind w:left="240" w:hanging="235"/>
        <w:spacing w:after="0" w:line="205" w:lineRule="auto"/>
        <w:tabs>
          <w:tab w:leader="none" w:pos="240" w:val="left"/>
        </w:tabs>
        <w:numPr>
          <w:ilvl w:val="0"/>
          <w:numId w:val="31"/>
        </w:numPr>
        <w:rPr>
          <w:rFonts w:ascii="Arial" w:cs="Arial" w:eastAsia="Arial" w:hAnsi="Arial"/>
          <w:sz w:val="14"/>
          <w:szCs w:val="14"/>
          <w:color w:val="auto"/>
          <w:vertAlign w:val="superscript"/>
        </w:rPr>
      </w:pPr>
      <w:r>
        <w:rPr>
          <w:rFonts w:ascii="Arial" w:cs="Arial" w:eastAsia="Arial" w:hAnsi="Arial"/>
          <w:sz w:val="10"/>
          <w:szCs w:val="10"/>
          <w:color w:val="auto"/>
        </w:rPr>
        <w:t>Based on U.S. Treasury constant maturity interest rate whose term is consistent with the expected life of the stock options.</w:t>
      </w:r>
    </w:p>
    <w:p>
      <w:pPr>
        <w:ind w:left="240" w:hanging="235"/>
        <w:spacing w:after="0" w:line="205" w:lineRule="auto"/>
        <w:tabs>
          <w:tab w:leader="none" w:pos="240" w:val="left"/>
        </w:tabs>
        <w:numPr>
          <w:ilvl w:val="0"/>
          <w:numId w:val="31"/>
        </w:numPr>
        <w:rPr>
          <w:rFonts w:ascii="Arial" w:cs="Arial" w:eastAsia="Arial" w:hAnsi="Arial"/>
          <w:sz w:val="14"/>
          <w:szCs w:val="14"/>
          <w:color w:val="auto"/>
          <w:vertAlign w:val="superscript"/>
        </w:rPr>
      </w:pPr>
      <w:r>
        <w:rPr>
          <w:rFonts w:ascii="Arial" w:cs="Arial" w:eastAsia="Arial" w:hAnsi="Arial"/>
          <w:sz w:val="10"/>
          <w:szCs w:val="10"/>
          <w:color w:val="auto"/>
        </w:rPr>
        <w:t>Estimated based on historical experience.</w:t>
      </w:r>
    </w:p>
    <w:p>
      <w:pPr>
        <w:ind w:left="240" w:hanging="235"/>
        <w:spacing w:after="0" w:line="180" w:lineRule="auto"/>
        <w:tabs>
          <w:tab w:leader="none" w:pos="240" w:val="left"/>
        </w:tabs>
        <w:numPr>
          <w:ilvl w:val="0"/>
          <w:numId w:val="31"/>
        </w:numPr>
        <w:rPr>
          <w:rFonts w:ascii="Arial" w:cs="Arial" w:eastAsia="Arial" w:hAnsi="Arial"/>
          <w:sz w:val="16"/>
          <w:szCs w:val="16"/>
          <w:color w:val="auto"/>
          <w:vertAlign w:val="superscript"/>
        </w:rPr>
      </w:pPr>
      <w:r>
        <w:rPr>
          <w:rFonts w:ascii="Arial" w:cs="Arial" w:eastAsia="Arial" w:hAnsi="Arial"/>
          <w:sz w:val="11"/>
          <w:szCs w:val="11"/>
          <w:color w:val="auto"/>
        </w:rPr>
        <w:t>Based on historical experience over a term consistent with the expected life of the stock options.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Income Taxes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Income tax expense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2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4"/>
                <w:szCs w:val="14"/>
                <w:color w:val="auto"/>
              </w:rPr>
            </w:pPr>
          </w:p>
        </w:tc>
      </w:tr>
      <w:tr>
        <w:trPr>
          <w:trHeight w:val="160"/>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2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3540" w:type="dxa"/>
            <w:vAlign w:val="bottom"/>
          </w:tcPr>
          <w:p>
            <w:pPr>
              <w:ind w:left="120"/>
              <w:spacing w:after="0"/>
              <w:rPr>
                <w:sz w:val="20"/>
                <w:szCs w:val="20"/>
                <w:color w:val="auto"/>
              </w:rPr>
            </w:pPr>
            <w:r>
              <w:rPr>
                <w:rFonts w:ascii="Arial" w:cs="Arial" w:eastAsia="Arial" w:hAnsi="Arial"/>
                <w:sz w:val="13"/>
                <w:szCs w:val="13"/>
                <w:color w:val="auto"/>
              </w:rPr>
              <w:t>Federal</w:t>
            </w:r>
          </w:p>
        </w:tc>
        <w:tc>
          <w:tcPr>
            <w:tcW w:w="2500" w:type="dxa"/>
            <w:vAlign w:val="bottom"/>
            <w:gridSpan w:val="2"/>
          </w:tcPr>
          <w:p>
            <w:pPr>
              <w:ind w:left="2040"/>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105.9</w:t>
            </w:r>
          </w:p>
        </w:tc>
        <w:tc>
          <w:tcPr>
            <w:tcW w:w="40" w:type="dxa"/>
            <w:vAlign w:val="bottom"/>
          </w:tcPr>
          <w:p>
            <w:pPr>
              <w:spacing w:after="0"/>
              <w:rPr>
                <w:sz w:val="14"/>
                <w:szCs w:val="14"/>
                <w:color w:val="auto"/>
              </w:rPr>
            </w:pPr>
          </w:p>
        </w:tc>
      </w:tr>
      <w:tr>
        <w:trPr>
          <w:trHeight w:val="171"/>
        </w:trPr>
        <w:tc>
          <w:tcPr>
            <w:tcW w:w="3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20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40" w:type="dxa"/>
            <w:vAlign w:val="bottom"/>
          </w:tcPr>
          <w:p>
            <w:pPr>
              <w:spacing w:after="0"/>
              <w:rPr>
                <w:sz w:val="14"/>
                <w:szCs w:val="14"/>
                <w:color w:val="auto"/>
              </w:rPr>
            </w:pPr>
          </w:p>
        </w:tc>
      </w:tr>
      <w:tr>
        <w:trPr>
          <w:trHeight w:val="159"/>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w:t>
            </w:r>
          </w:p>
        </w:tc>
        <w:tc>
          <w:tcPr>
            <w:tcW w:w="20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130.8</w:t>
            </w:r>
          </w:p>
        </w:tc>
        <w:tc>
          <w:tcPr>
            <w:tcW w:w="40" w:type="dxa"/>
            <w:vAlign w:val="bottom"/>
          </w:tcPr>
          <w:p>
            <w:pPr>
              <w:spacing w:after="0"/>
              <w:rPr>
                <w:sz w:val="13"/>
                <w:szCs w:val="13"/>
                <w:color w:val="auto"/>
              </w:rPr>
            </w:pPr>
          </w:p>
        </w:tc>
      </w:tr>
      <w:tr>
        <w:trPr>
          <w:trHeight w:val="151"/>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w:t>
            </w:r>
          </w:p>
        </w:tc>
        <w:tc>
          <w:tcPr>
            <w:tcW w:w="2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9"/>
        </w:trPr>
        <w:tc>
          <w:tcPr>
            <w:tcW w:w="3540" w:type="dxa"/>
            <w:vAlign w:val="bottom"/>
          </w:tcPr>
          <w:p>
            <w:pPr>
              <w:ind w:left="120"/>
              <w:spacing w:after="0"/>
              <w:rPr>
                <w:sz w:val="20"/>
                <w:szCs w:val="20"/>
                <w:color w:val="auto"/>
              </w:rPr>
            </w:pPr>
            <w:r>
              <w:rPr>
                <w:rFonts w:ascii="Arial" w:cs="Arial" w:eastAsia="Arial" w:hAnsi="Arial"/>
                <w:sz w:val="13"/>
                <w:szCs w:val="13"/>
                <w:color w:val="auto"/>
              </w:rPr>
              <w:t>Federal</w:t>
            </w:r>
          </w:p>
        </w:tc>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4"/>
                <w:szCs w:val="14"/>
                <w:color w:val="auto"/>
              </w:rPr>
            </w:pPr>
          </w:p>
        </w:tc>
      </w:tr>
      <w:tr>
        <w:trPr>
          <w:trHeight w:val="171"/>
        </w:trPr>
        <w:tc>
          <w:tcPr>
            <w:tcW w:w="35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204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r>
      <w:tr>
        <w:trPr>
          <w:trHeight w:val="159"/>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w:t>
            </w:r>
          </w:p>
        </w:tc>
        <w:tc>
          <w:tcPr>
            <w:tcW w:w="20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40" w:type="dxa"/>
            <w:vAlign w:val="bottom"/>
          </w:tcPr>
          <w:p>
            <w:pPr>
              <w:spacing w:after="0"/>
              <w:rPr>
                <w:sz w:val="13"/>
                <w:szCs w:val="13"/>
                <w:color w:val="auto"/>
              </w:rPr>
            </w:pPr>
          </w:p>
        </w:tc>
      </w:tr>
      <w:tr>
        <w:trPr>
          <w:trHeight w:val="182"/>
        </w:trPr>
        <w:tc>
          <w:tcPr>
            <w:tcW w:w="3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w:t>
            </w:r>
          </w:p>
        </w:tc>
        <w:tc>
          <w:tcPr>
            <w:tcW w:w="2500" w:type="dxa"/>
            <w:vAlign w:val="bottom"/>
            <w:gridSpan w:val="2"/>
            <w:shd w:val="clear" w:color="auto" w:fill="CCEEFF"/>
          </w:tcPr>
          <w:p>
            <w:pPr>
              <w:ind w:left="2040"/>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40" w:type="dxa"/>
            <w:vAlign w:val="bottom"/>
          </w:tcPr>
          <w:p>
            <w:pPr>
              <w:spacing w:after="0"/>
              <w:rPr>
                <w:sz w:val="15"/>
                <w:szCs w:val="15"/>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62"/>
        </w:trPr>
        <w:tc>
          <w:tcPr>
            <w:tcW w:w="3540" w:type="dxa"/>
            <w:vAlign w:val="bottom"/>
          </w:tcPr>
          <w:p>
            <w:pPr>
              <w:spacing w:after="0"/>
              <w:rPr>
                <w:sz w:val="24"/>
                <w:szCs w:val="24"/>
                <w:color w:val="auto"/>
              </w:rPr>
            </w:pPr>
          </w:p>
        </w:tc>
        <w:tc>
          <w:tcPr>
            <w:tcW w:w="2500" w:type="dxa"/>
            <w:vAlign w:val="bottom"/>
            <w:gridSpan w:val="2"/>
          </w:tcPr>
          <w:p>
            <w:pPr>
              <w:ind w:left="2040"/>
              <w:spacing w:after="0"/>
              <w:rPr>
                <w:sz w:val="20"/>
                <w:szCs w:val="20"/>
                <w:color w:val="auto"/>
              </w:rPr>
            </w:pPr>
            <w:r>
              <w:rPr>
                <w:rFonts w:ascii="Arial" w:cs="Arial" w:eastAsia="Arial" w:hAnsi="Arial"/>
                <w:sz w:val="13"/>
                <w:szCs w:val="13"/>
                <w:color w:val="auto"/>
              </w:rPr>
              <w:t>62</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8"/>
        </w:trPr>
        <w:tc>
          <w:tcPr>
            <w:tcW w:w="3540" w:type="dxa"/>
            <w:vAlign w:val="bottom"/>
            <w:tcBorders>
              <w:bottom w:val="single" w:sz="8" w:color="9A9A9A"/>
            </w:tcBorders>
          </w:tcPr>
          <w:p>
            <w:pPr>
              <w:spacing w:after="0"/>
              <w:rPr>
                <w:sz w:val="6"/>
                <w:szCs w:val="6"/>
                <w:color w:val="auto"/>
              </w:rPr>
            </w:pPr>
          </w:p>
        </w:tc>
        <w:tc>
          <w:tcPr>
            <w:tcW w:w="20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right="300"/>
        <w:spacing w:after="0" w:line="266" w:lineRule="auto"/>
        <w:rPr>
          <w:sz w:val="20"/>
          <w:szCs w:val="20"/>
          <w:color w:val="auto"/>
        </w:rPr>
      </w:pPr>
      <w:r>
        <w:rPr>
          <w:rFonts w:ascii="Arial" w:cs="Arial" w:eastAsia="Arial" w:hAnsi="Arial"/>
          <w:sz w:val="13"/>
          <w:szCs w:val="13"/>
          <w:color w:val="auto"/>
        </w:rPr>
        <w:t>As of August 31, 2024 and August 26, 2023, $6.8 million and $10.7 million of U.S. federal income taxes receivable was included in prepaid expenses and other current assets on the Consolidated Balance Sheets,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gridSpan w:val="2"/>
          </w:tcPr>
          <w:p>
            <w:pPr>
              <w:spacing w:after="0"/>
              <w:rPr>
                <w:sz w:val="20"/>
                <w:szCs w:val="20"/>
                <w:color w:val="auto"/>
              </w:rPr>
            </w:pPr>
            <w:r>
              <w:rPr>
                <w:rFonts w:ascii="Arial" w:cs="Arial" w:eastAsia="Arial" w:hAnsi="Arial"/>
                <w:sz w:val="13"/>
                <w:szCs w:val="13"/>
                <w:color w:val="auto"/>
              </w:rPr>
              <w:t>A reconciliation of the U.S. statutory income tax rate to our effective income tax rate is as follows: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83"/>
        </w:trPr>
        <w:tc>
          <w:tcPr>
            <w:tcW w:w="6660" w:type="dxa"/>
            <w:vAlign w:val="bottom"/>
            <w:gridSpan w:val="2"/>
          </w:tcPr>
          <w:p>
            <w:pPr>
              <w:ind w:left="6200"/>
              <w:spacing w:after="0"/>
              <w:rPr>
                <w:sz w:val="20"/>
                <w:szCs w:val="20"/>
                <w:color w:val="auto"/>
              </w:rPr>
            </w:pPr>
            <w:r>
              <w:rPr>
                <w:rFonts w:ascii="Arial" w:cs="Arial" w:eastAsia="Arial" w:hAnsi="Arial"/>
                <w:sz w:val="13"/>
                <w:szCs w:val="13"/>
                <w:b w:val="1"/>
                <w:bCs w:val="1"/>
                <w:color w:val="auto"/>
              </w:rPr>
              <w:t>2024</w:t>
            </w:r>
          </w:p>
        </w:tc>
        <w:tc>
          <w:tcPr>
            <w:tcW w:w="2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2023</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right"/>
              <w:ind w:right="736"/>
              <w:spacing w:after="0"/>
              <w:rPr>
                <w:sz w:val="20"/>
                <w:szCs w:val="20"/>
                <w:color w:val="auto"/>
              </w:rPr>
            </w:pPr>
            <w:r>
              <w:rPr>
                <w:rFonts w:ascii="Arial" w:cs="Arial" w:eastAsia="Arial" w:hAnsi="Arial"/>
                <w:sz w:val="13"/>
                <w:szCs w:val="13"/>
                <w:b w:val="1"/>
                <w:bCs w:val="1"/>
                <w:color w:val="auto"/>
              </w:rPr>
              <w:t>2022</w:t>
            </w:r>
          </w:p>
        </w:tc>
      </w:tr>
      <w:tr>
        <w:trPr>
          <w:trHeight w:val="160"/>
        </w:trPr>
        <w:tc>
          <w:tcPr>
            <w:tcW w:w="6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U.S. federal statutory rate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21.0 %</w:t>
            </w: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State taxes, net of federal benefit</w:t>
            </w:r>
          </w:p>
        </w:tc>
        <w:tc>
          <w:tcPr>
            <w:tcW w:w="620" w:type="dxa"/>
            <w:vAlign w:val="bottom"/>
          </w:tcPr>
          <w:p>
            <w:pPr>
              <w:jc w:val="right"/>
              <w:spacing w:after="0"/>
              <w:rPr>
                <w:sz w:val="20"/>
                <w:szCs w:val="20"/>
                <w:color w:val="auto"/>
              </w:rPr>
            </w:pPr>
            <w:r>
              <w:rPr>
                <w:rFonts w:ascii="Arial" w:cs="Arial" w:eastAsia="Arial" w:hAnsi="Arial"/>
                <w:sz w:val="13"/>
                <w:szCs w:val="13"/>
                <w:color w:val="auto"/>
              </w:rPr>
              <w:t>8.4 %</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3.5 %</w:t>
            </w:r>
          </w:p>
        </w:tc>
      </w:tr>
      <w:tr>
        <w:trPr>
          <w:trHeight w:val="17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tax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Non-deductible compensation</w:t>
            </w:r>
          </w:p>
        </w:tc>
        <w:tc>
          <w:tcPr>
            <w:tcW w:w="620" w:type="dxa"/>
            <w:vAlign w:val="bottom"/>
          </w:tcPr>
          <w:p>
            <w:pPr>
              <w:jc w:val="right"/>
              <w:spacing w:after="0"/>
              <w:rPr>
                <w:sz w:val="20"/>
                <w:szCs w:val="20"/>
                <w:color w:val="auto"/>
              </w:rPr>
            </w:pPr>
            <w:r>
              <w:rPr>
                <w:rFonts w:ascii="Arial" w:cs="Arial" w:eastAsia="Arial" w:hAnsi="Arial"/>
                <w:sz w:val="13"/>
                <w:szCs w:val="13"/>
                <w:color w:val="auto"/>
              </w:rPr>
              <w:t>6.6 %</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1.1 %</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0.9 %</w:t>
            </w:r>
          </w:p>
        </w:tc>
      </w:tr>
      <w:tr>
        <w:trPr>
          <w:trHeight w:val="17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Non-deductible debt inducement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19.4 %</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Non-deductible goodwill impairment</w:t>
            </w:r>
          </w:p>
        </w:tc>
        <w:tc>
          <w:tcPr>
            <w:tcW w:w="620" w:type="dxa"/>
            <w:vAlign w:val="bottom"/>
          </w:tcPr>
          <w:p>
            <w:pPr>
              <w:jc w:val="right"/>
              <w:spacing w:after="0"/>
              <w:rPr>
                <w:sz w:val="20"/>
                <w:szCs w:val="20"/>
                <w:color w:val="auto"/>
              </w:rPr>
            </w:pPr>
            <w:r>
              <w:rPr>
                <w:rFonts w:ascii="Arial" w:cs="Arial" w:eastAsia="Arial" w:hAnsi="Arial"/>
                <w:sz w:val="13"/>
                <w:szCs w:val="13"/>
                <w:color w:val="auto"/>
              </w:rPr>
              <w:t>16.6 %</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88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Valuation allowance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5.0 %</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r>
        <w:trPr>
          <w:trHeight w:val="169"/>
        </w:trPr>
        <w:tc>
          <w:tcPr>
            <w:tcW w:w="6660" w:type="dxa"/>
            <w:vAlign w:val="bottom"/>
            <w:gridSpan w:val="2"/>
          </w:tcPr>
          <w:p>
            <w:pPr>
              <w:ind w:left="20"/>
              <w:spacing w:after="0"/>
              <w:rPr>
                <w:sz w:val="20"/>
                <w:szCs w:val="20"/>
                <w:color w:val="auto"/>
              </w:rPr>
            </w:pPr>
            <w:r>
              <w:rPr>
                <w:rFonts w:ascii="Arial" w:cs="Arial" w:eastAsia="Arial" w:hAnsi="Arial"/>
                <w:sz w:val="13"/>
                <w:szCs w:val="13"/>
                <w:color w:val="auto"/>
              </w:rPr>
              <w:t>Tax-free and dividend income</w:t>
            </w: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7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Uncertain tax position settlements and adjustments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0.1 %</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6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items</w:t>
            </w:r>
          </w:p>
        </w:tc>
        <w:tc>
          <w:tcPr>
            <w:tcW w:w="1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0.9 %</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r>
      <w:tr>
        <w:trPr>
          <w:trHeight w:val="182"/>
        </w:trPr>
        <w:tc>
          <w:tcPr>
            <w:tcW w:w="66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Effective tax provision rate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66.2 %</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22.7 %</w:t>
            </w: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color w:val="auto"/>
        </w:rPr>
        <w:t>Our effective tax rate increased to 66.2% in Fiscal 2024 compared to 22.7% in Fiscal 2023 primarily due to the impact of the non-deductible debt inducement loss and non-deductible goodwill impairment over a lower pretax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80" w:type="dxa"/>
            <w:vAlign w:val="bottom"/>
          </w:tcPr>
          <w:p>
            <w:pPr>
              <w:spacing w:after="0"/>
              <w:rPr>
                <w:sz w:val="20"/>
                <w:szCs w:val="20"/>
                <w:color w:val="auto"/>
              </w:rPr>
            </w:pPr>
            <w:r>
              <w:rPr>
                <w:rFonts w:ascii="Arial" w:cs="Arial" w:eastAsia="Arial" w:hAnsi="Arial"/>
                <w:sz w:val="13"/>
                <w:szCs w:val="13"/>
                <w:color w:val="auto"/>
              </w:rPr>
              <w:t>The tax effects of temporary differences that give rise to deferred income taxes were as follows:</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3"/>
                <w:szCs w:val="13"/>
                <w:b w:val="1"/>
                <w:bCs w:val="1"/>
                <w:color w:val="auto"/>
              </w:rPr>
              <w:t>August 31, 2024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August 26, 2023</w:t>
            </w:r>
          </w:p>
        </w:tc>
        <w:tc>
          <w:tcPr>
            <w:tcW w:w="0" w:type="dxa"/>
            <w:vAlign w:val="bottom"/>
          </w:tcPr>
          <w:p>
            <w:pPr>
              <w:spacing w:after="0"/>
              <w:rPr>
                <w:sz w:val="1"/>
                <w:szCs w:val="1"/>
                <w:color w:val="auto"/>
              </w:rPr>
            </w:pPr>
          </w:p>
        </w:tc>
      </w:tr>
      <w:tr>
        <w:trPr>
          <w:trHeight w:val="16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Warranty reserves</w:t>
            </w: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2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80" w:type="dxa"/>
            <w:vAlign w:val="bottom"/>
          </w:tcPr>
          <w:p>
            <w:pPr>
              <w:ind w:left="20"/>
              <w:spacing w:after="0"/>
              <w:rPr>
                <w:sz w:val="20"/>
                <w:szCs w:val="20"/>
                <w:color w:val="auto"/>
              </w:rPr>
            </w:pPr>
            <w:r>
              <w:rPr>
                <w:rFonts w:ascii="Arial" w:cs="Arial" w:eastAsia="Arial" w:hAnsi="Arial"/>
                <w:sz w:val="13"/>
                <w:szCs w:val="13"/>
                <w:color w:val="auto"/>
              </w:rPr>
              <w:t>Deferred compensation</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Self-insurance reserve</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Pr>
          <w:p>
            <w:pPr>
              <w:ind w:left="20"/>
              <w:spacing w:after="0"/>
              <w:rPr>
                <w:sz w:val="20"/>
                <w:szCs w:val="20"/>
                <w:color w:val="auto"/>
              </w:rPr>
            </w:pPr>
            <w:r>
              <w:rPr>
                <w:rFonts w:ascii="Arial" w:cs="Arial" w:eastAsia="Arial" w:hAnsi="Arial"/>
                <w:sz w:val="13"/>
                <w:szCs w:val="13"/>
                <w:color w:val="auto"/>
              </w:rPr>
              <w:t>Convertible notes</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Capitalized research and development costs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Pr>
          <w:p>
            <w:pPr>
              <w:ind w:left="20"/>
              <w:spacing w:after="0"/>
              <w:rPr>
                <w:sz w:val="20"/>
                <w:szCs w:val="20"/>
                <w:color w:val="auto"/>
              </w:rPr>
            </w:pPr>
            <w:r>
              <w:rPr>
                <w:rFonts w:ascii="Arial" w:cs="Arial" w:eastAsia="Arial" w:hAnsi="Arial"/>
                <w:sz w:val="13"/>
                <w:szCs w:val="13"/>
                <w:color w:val="auto"/>
              </w:rPr>
              <w:t>Other</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18.1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Valuation allowance</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5580" w:type="dxa"/>
            <w:vAlign w:val="bottom"/>
          </w:tcPr>
          <w:p>
            <w:pPr>
              <w:ind w:left="120"/>
              <w:spacing w:after="0"/>
              <w:rPr>
                <w:sz w:val="20"/>
                <w:szCs w:val="20"/>
                <w:color w:val="auto"/>
              </w:rPr>
            </w:pPr>
            <w:r>
              <w:rPr>
                <w:rFonts w:ascii="Arial" w:cs="Arial" w:eastAsia="Arial" w:hAnsi="Arial"/>
                <w:sz w:val="13"/>
                <w:szCs w:val="13"/>
                <w:color w:val="auto"/>
              </w:rPr>
              <w:t>Total deferred tax assets</w:t>
            </w: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79.8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Pr>
          <w:p>
            <w:pPr>
              <w:ind w:left="20"/>
              <w:spacing w:after="0"/>
              <w:rPr>
                <w:sz w:val="20"/>
                <w:szCs w:val="20"/>
                <w:color w:val="auto"/>
              </w:rPr>
            </w:pPr>
            <w:r>
              <w:rPr>
                <w:rFonts w:ascii="Arial" w:cs="Arial" w:eastAsia="Arial" w:hAnsi="Arial"/>
                <w:sz w:val="13"/>
                <w:szCs w:val="13"/>
                <w:color w:val="auto"/>
              </w:rPr>
              <w:t>Depreciation</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Leases</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Total deferred tax liabilities</w:t>
            </w:r>
          </w:p>
        </w:tc>
        <w:tc>
          <w:tcPr>
            <w:tcW w:w="42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deferred income tax liabilities, net</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Changes in the unrecognized tax benefits are as follows:</w:t>
            </w:r>
          </w:p>
        </w:tc>
        <w:tc>
          <w:tcPr>
            <w:tcW w:w="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5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beginning of year</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center"/>
              <w:ind w:left="1036"/>
              <w:spacing w:after="0"/>
              <w:rPr>
                <w:sz w:val="20"/>
                <w:szCs w:val="20"/>
                <w:color w:val="auto"/>
              </w:rPr>
            </w:pPr>
            <w:r>
              <w:rPr>
                <w:rFonts w:ascii="Arial" w:cs="Arial" w:eastAsia="Arial" w:hAnsi="Arial"/>
                <w:sz w:val="13"/>
                <w:szCs w:val="13"/>
                <w:color w:val="auto"/>
                <w:w w:val="99"/>
              </w:rPr>
              <w:t>5.5</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80" w:type="dxa"/>
            <w:vAlign w:val="bottom"/>
          </w:tcPr>
          <w:p>
            <w:pPr>
              <w:ind w:left="120"/>
              <w:spacing w:after="0"/>
              <w:rPr>
                <w:sz w:val="20"/>
                <w:szCs w:val="20"/>
                <w:color w:val="auto"/>
              </w:rPr>
            </w:pPr>
            <w:r>
              <w:rPr>
                <w:rFonts w:ascii="Arial" w:cs="Arial" w:eastAsia="Arial" w:hAnsi="Arial"/>
                <w:sz w:val="13"/>
                <w:szCs w:val="13"/>
                <w:color w:val="auto"/>
              </w:rPr>
              <w:t>Gross decreases-tax positions in a prior year</w:t>
            </w:r>
          </w:p>
        </w:tc>
        <w:tc>
          <w:tcPr>
            <w:tcW w:w="420" w:type="dxa"/>
            <w:vAlign w:val="bottom"/>
          </w:tcPr>
          <w:p>
            <w:pPr>
              <w:spacing w:after="0"/>
              <w:rPr>
                <w:sz w:val="14"/>
                <w:szCs w:val="14"/>
                <w:color w:val="auto"/>
              </w:rPr>
            </w:pPr>
          </w:p>
        </w:tc>
        <w:tc>
          <w:tcPr>
            <w:tcW w:w="1400" w:type="dxa"/>
            <w:vAlign w:val="bottom"/>
          </w:tcPr>
          <w:p>
            <w:pPr>
              <w:jc w:val="center"/>
              <w:ind w:left="1036"/>
              <w:spacing w:after="0"/>
              <w:rPr>
                <w:sz w:val="20"/>
                <w:szCs w:val="20"/>
                <w:color w:val="auto"/>
              </w:rPr>
            </w:pPr>
            <w:r>
              <w:rPr>
                <w:rFonts w:ascii="Arial" w:cs="Arial" w:eastAsia="Arial" w:hAnsi="Arial"/>
                <w:sz w:val="13"/>
                <w:szCs w:val="13"/>
                <w:color w:val="auto"/>
                <w:w w:val="97"/>
              </w:rPr>
              <w:t>(1.7)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Gross increases-tax positions in a prior year</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left="1036"/>
              <w:spacing w:after="0"/>
              <w:rPr>
                <w:sz w:val="20"/>
                <w:szCs w:val="20"/>
                <w:color w:val="auto"/>
              </w:rPr>
            </w:pPr>
            <w:r>
              <w:rPr>
                <w:rFonts w:ascii="Arial" w:cs="Arial" w:eastAsia="Arial" w:hAnsi="Arial"/>
                <w:sz w:val="13"/>
                <w:szCs w:val="13"/>
                <w:color w:val="auto"/>
                <w:w w:val="99"/>
              </w:rPr>
              <w:t>0.2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Gross increases-current year tax positions</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036"/>
              <w:spacing w:after="0"/>
              <w:rPr>
                <w:sz w:val="20"/>
                <w:szCs w:val="20"/>
                <w:color w:val="auto"/>
              </w:rPr>
            </w:pPr>
            <w:r>
              <w:rPr>
                <w:rFonts w:ascii="Arial" w:cs="Arial" w:eastAsia="Arial" w:hAnsi="Arial"/>
                <w:sz w:val="13"/>
                <w:szCs w:val="13"/>
                <w:color w:val="auto"/>
                <w:w w:val="99"/>
              </w:rPr>
              <w:t>0.9</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end of year</w:t>
            </w: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jc w:val="center"/>
              <w:ind w:left="1036"/>
              <w:spacing w:after="0"/>
              <w:rPr>
                <w:sz w:val="20"/>
                <w:szCs w:val="20"/>
                <w:color w:val="auto"/>
              </w:rPr>
            </w:pPr>
            <w:r>
              <w:rPr>
                <w:rFonts w:ascii="Arial" w:cs="Arial" w:eastAsia="Arial" w:hAnsi="Arial"/>
                <w:sz w:val="13"/>
                <w:szCs w:val="13"/>
                <w:color w:val="auto"/>
                <w:w w:val="99"/>
              </w:rPr>
              <w:t>4.9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Accrued interest and penalties</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036"/>
              <w:spacing w:after="0"/>
              <w:rPr>
                <w:sz w:val="20"/>
                <w:szCs w:val="20"/>
                <w:color w:val="auto"/>
              </w:rPr>
            </w:pPr>
            <w:r>
              <w:rPr>
                <w:rFonts w:ascii="Arial" w:cs="Arial" w:eastAsia="Arial" w:hAnsi="Arial"/>
                <w:sz w:val="13"/>
                <w:szCs w:val="13"/>
                <w:color w:val="auto"/>
                <w:w w:val="99"/>
              </w:rPr>
              <w:t>0.5</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unrecognized tax benefits</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center"/>
              <w:ind w:left="1036"/>
              <w:spacing w:after="0"/>
              <w:rPr>
                <w:sz w:val="20"/>
                <w:szCs w:val="20"/>
                <w:color w:val="auto"/>
              </w:rPr>
            </w:pPr>
            <w:r>
              <w:rPr>
                <w:rFonts w:ascii="Arial" w:cs="Arial" w:eastAsia="Arial" w:hAnsi="Arial"/>
                <w:sz w:val="13"/>
                <w:szCs w:val="13"/>
                <w:color w:val="auto"/>
                <w:w w:val="99"/>
              </w:rPr>
              <w:t>5.4</w:t>
            </w:r>
          </w:p>
        </w:tc>
        <w:tc>
          <w:tcPr>
            <w:tcW w:w="1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2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right="440"/>
        <w:spacing w:after="0" w:line="266" w:lineRule="auto"/>
        <w:rPr>
          <w:sz w:val="20"/>
          <w:szCs w:val="20"/>
          <w:color w:val="auto"/>
        </w:rPr>
      </w:pPr>
      <w:r>
        <w:rPr>
          <w:rFonts w:ascii="Arial" w:cs="Arial" w:eastAsia="Arial" w:hAnsi="Arial"/>
          <w:sz w:val="13"/>
          <w:szCs w:val="13"/>
          <w:color w:val="auto"/>
        </w:rPr>
        <w:t>The amount of unrecognized tax benefits is not expected to change materially within the next 12 months. If the remaining uncertain tax positions are ultimately resolved favorably, $5.1 million of unrecognized tax benefits would have a favorable impact on our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effective tax rate. It is our policy to recognize interest and penalties accrued relative to unrecognized tax benefits in income tax expense.</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13"/>
          <w:szCs w:val="13"/>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August 31, 2024, our federal returns from Fiscal 2021 to present are subject to review by the IRS. With limited exception, state returns from Fiscal 2020 to present continue to be subject to review by state taxing jurisdictions. Several years may lapse before an uncertain tax position is audited and finally resolved and it is difficult to predict the outcome of such audits. We believe we have adequately reserved for our exposure to potential additional payments for uncertain tax positions in our liability for unrecognized tax benefits.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16. Earnings per Share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Basic and diluted earnings per share are calculated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millions, except per share data)</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b w:val="1"/>
                <w:bCs w:val="1"/>
                <w:color w:val="auto"/>
              </w:rPr>
              <w:t>2022</w:t>
            </w:r>
          </w:p>
        </w:tc>
      </w:tr>
      <w:tr>
        <w:trPr>
          <w:trHeight w:val="16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basic</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69"/>
        </w:trPr>
        <w:tc>
          <w:tcPr>
            <w:tcW w:w="5900" w:type="dxa"/>
            <w:vAlign w:val="bottom"/>
          </w:tcPr>
          <w:p>
            <w:pPr>
              <w:ind w:left="100"/>
              <w:spacing w:after="0"/>
              <w:rPr>
                <w:sz w:val="20"/>
                <w:szCs w:val="20"/>
                <w:color w:val="auto"/>
              </w:rPr>
            </w:pPr>
            <w:r>
              <w:rPr>
                <w:rFonts w:ascii="Arial" w:cs="Arial" w:eastAsia="Arial" w:hAnsi="Arial"/>
                <w:sz w:val="13"/>
                <w:szCs w:val="13"/>
                <w:color w:val="auto"/>
              </w:rPr>
              <w:t>Net income</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4"/>
                <w:szCs w:val="14"/>
                <w:color w:val="auto"/>
              </w:rPr>
            </w:pPr>
          </w:p>
        </w:tc>
        <w:tc>
          <w:tcPr>
            <w:tcW w:w="420" w:type="dxa"/>
            <w:vAlign w:val="bottom"/>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215.9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390.6</w:t>
            </w:r>
          </w:p>
        </w:tc>
      </w:tr>
      <w:tr>
        <w:trPr>
          <w:trHeight w:val="170"/>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Weighted average common shares outstanding</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r>
      <w:tr>
        <w:trPr>
          <w:trHeight w:val="162"/>
        </w:trPr>
        <w:tc>
          <w:tcPr>
            <w:tcW w:w="5900" w:type="dxa"/>
            <w:vAlign w:val="bottom"/>
          </w:tcPr>
          <w:p>
            <w:pPr>
              <w:ind w:left="180"/>
              <w:spacing w:after="0" w:line="161" w:lineRule="exact"/>
              <w:rPr>
                <w:sz w:val="20"/>
                <w:szCs w:val="20"/>
                <w:color w:val="auto"/>
              </w:rPr>
            </w:pPr>
            <w:r>
              <w:rPr>
                <w:rFonts w:ascii="Arial" w:cs="Arial" w:eastAsia="Arial" w:hAnsi="Arial"/>
                <w:sz w:val="13"/>
                <w:szCs w:val="13"/>
                <w:color w:val="auto"/>
              </w:rPr>
              <w:t>Basic earnings per common share</w:t>
            </w:r>
            <w:r>
              <w:rPr>
                <w:rFonts w:ascii="Arial" w:cs="Arial" w:eastAsia="Arial" w:hAnsi="Arial"/>
                <w:sz w:val="16"/>
                <w:szCs w:val="16"/>
                <w:color w:val="auto"/>
                <w:vertAlign w:val="superscript"/>
              </w:rPr>
              <w:t>(1)</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0.44</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12.03</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31"/>
        </w:trPr>
        <w:tc>
          <w:tcPr>
            <w:tcW w:w="59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r>
      <w:tr>
        <w:trPr>
          <w:trHeight w:val="170"/>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Earnings per share - diluted</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5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w:t>
            </w:r>
          </w:p>
        </w:tc>
      </w:tr>
      <w:tr>
        <w:trPr>
          <w:trHeight w:val="169"/>
        </w:trPr>
        <w:tc>
          <w:tcPr>
            <w:tcW w:w="5900" w:type="dxa"/>
            <w:vAlign w:val="bottom"/>
          </w:tcPr>
          <w:p>
            <w:pPr>
              <w:ind w:left="100"/>
              <w:spacing w:after="0"/>
              <w:rPr>
                <w:sz w:val="20"/>
                <w:szCs w:val="20"/>
                <w:color w:val="auto"/>
              </w:rPr>
            </w:pPr>
            <w:r>
              <w:rPr>
                <w:rFonts w:ascii="Arial" w:cs="Arial" w:eastAsia="Arial" w:hAnsi="Arial"/>
                <w:sz w:val="13"/>
                <w:szCs w:val="13"/>
                <w:color w:val="auto"/>
              </w:rPr>
              <w:t>Interest expense on convertible notes, net of tax</w:t>
            </w:r>
          </w:p>
        </w:tc>
        <w:tc>
          <w:tcPr>
            <w:tcW w:w="40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5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Diluted net income</w:t>
            </w: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220.6</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390.6</w:t>
            </w:r>
          </w:p>
        </w:tc>
      </w:tr>
      <w:tr>
        <w:trPr>
          <w:trHeight w:val="151"/>
        </w:trPr>
        <w:tc>
          <w:tcPr>
            <w:tcW w:w="5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0"/>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Dilutive impact of stock compensation awards</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171"/>
        </w:trPr>
        <w:tc>
          <w:tcPr>
            <w:tcW w:w="5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Dilutive impact of convertible notes</w:t>
            </w:r>
          </w:p>
        </w:tc>
        <w:tc>
          <w:tcPr>
            <w:tcW w:w="4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9"/>
        </w:trPr>
        <w:tc>
          <w:tcPr>
            <w:tcW w:w="5900" w:type="dxa"/>
            <w:vAlign w:val="bottom"/>
          </w:tcPr>
          <w:p>
            <w:pPr>
              <w:ind w:left="20"/>
              <w:spacing w:after="0"/>
              <w:rPr>
                <w:sz w:val="20"/>
                <w:szCs w:val="20"/>
                <w:color w:val="auto"/>
              </w:rPr>
            </w:pPr>
            <w:r>
              <w:rPr>
                <w:rFonts w:ascii="Arial" w:cs="Arial" w:eastAsia="Arial" w:hAnsi="Arial"/>
                <w:sz w:val="13"/>
                <w:szCs w:val="13"/>
                <w:color w:val="auto"/>
              </w:rPr>
              <w:t>Weighted average common shares outstanding, assuming dilution</w:t>
            </w:r>
          </w:p>
        </w:tc>
        <w:tc>
          <w:tcPr>
            <w:tcW w:w="4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29.5</w:t>
            </w:r>
          </w:p>
        </w:tc>
        <w:tc>
          <w:tcPr>
            <w:tcW w:w="8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33.0</w:t>
            </w:r>
          </w:p>
        </w:tc>
      </w:tr>
      <w:tr>
        <w:trPr>
          <w:trHeight w:val="171"/>
        </w:trPr>
        <w:tc>
          <w:tcPr>
            <w:tcW w:w="5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9"/>
        </w:trPr>
        <w:tc>
          <w:tcPr>
            <w:tcW w:w="5900" w:type="dxa"/>
            <w:vAlign w:val="bottom"/>
          </w:tcPr>
          <w:p>
            <w:pPr>
              <w:ind w:left="20"/>
              <w:spacing w:after="0"/>
              <w:rPr>
                <w:sz w:val="20"/>
                <w:szCs w:val="20"/>
                <w:color w:val="auto"/>
              </w:rPr>
            </w:pPr>
            <w:r>
              <w:rPr>
                <w:rFonts w:ascii="Arial" w:cs="Arial" w:eastAsia="Arial" w:hAnsi="Arial"/>
                <w:sz w:val="13"/>
                <w:szCs w:val="13"/>
                <w:color w:val="auto"/>
              </w:rPr>
              <w:t>Anti-dilutive securities excluded from weighted average diluted common shares outstanding</w:t>
            </w: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213"/>
        </w:trPr>
        <w:tc>
          <w:tcPr>
            <w:tcW w:w="5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r>
      <w:tr>
        <w:trPr>
          <w:trHeight w:val="160"/>
        </w:trPr>
        <w:tc>
          <w:tcPr>
            <w:tcW w:w="5900" w:type="dxa"/>
            <w:vAlign w:val="bottom"/>
          </w:tcPr>
          <w:p>
            <w:pPr>
              <w:ind w:left="180"/>
              <w:spacing w:after="0" w:line="161" w:lineRule="exact"/>
              <w:rPr>
                <w:sz w:val="20"/>
                <w:szCs w:val="20"/>
                <w:color w:val="auto"/>
              </w:rPr>
            </w:pPr>
            <w:r>
              <w:rPr>
                <w:rFonts w:ascii="Arial" w:cs="Arial" w:eastAsia="Arial" w:hAnsi="Arial"/>
                <w:sz w:val="13"/>
                <w:szCs w:val="13"/>
                <w:color w:val="auto"/>
              </w:rPr>
              <w:t>Diluted earnings per common share</w:t>
            </w:r>
            <w:r>
              <w:rPr>
                <w:rFonts w:ascii="Arial" w:cs="Arial" w:eastAsia="Arial" w:hAnsi="Arial"/>
                <w:sz w:val="16"/>
                <w:szCs w:val="16"/>
                <w:color w:val="auto"/>
                <w:vertAlign w:val="superscript"/>
              </w:rPr>
              <w:t>(1)</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0.44</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w:t>
            </w:r>
          </w:p>
        </w:tc>
      </w:tr>
      <w:tr>
        <w:trPr>
          <w:trHeight w:val="20"/>
        </w:trPr>
        <w:tc>
          <w:tcPr>
            <w:tcW w:w="5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200" w:hanging="195"/>
        <w:spacing w:after="0"/>
        <w:tabs>
          <w:tab w:leader="none" w:pos="200" w:val="left"/>
        </w:tabs>
        <w:numPr>
          <w:ilvl w:val="0"/>
          <w:numId w:val="32"/>
        </w:numPr>
        <w:rPr>
          <w:rFonts w:ascii="Arial" w:cs="Arial" w:eastAsia="Arial" w:hAnsi="Arial"/>
          <w:sz w:val="17"/>
          <w:szCs w:val="17"/>
          <w:color w:val="auto"/>
          <w:vertAlign w:val="superscript"/>
        </w:rPr>
      </w:pPr>
      <w:r>
        <w:rPr>
          <w:rFonts w:ascii="Arial" w:cs="Arial" w:eastAsia="Arial" w:hAnsi="Arial"/>
          <w:sz w:val="11"/>
          <w:szCs w:val="11"/>
          <w:color w:val="auto"/>
        </w:rPr>
        <w:t>Earnings per share amounts are calculated based on unrounded numbers and therefore may not recalculate using the rounded numbers provided.</w:t>
      </w:r>
    </w:p>
    <w:p>
      <w:pPr>
        <w:spacing w:after="0" w:line="176"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We adopted ASU 2020-06 in the first quarter of Fiscal 2023, which required us to prospectively utilize the if-converted method to calculate the dilutive impact of all convertible notes. Prior to adoption, we utilized the treasury stock method for calculating the dilutive impact of convertible notes.</w:t>
      </w:r>
    </w:p>
    <w:p>
      <w:pPr>
        <w:spacing w:after="0" w:line="157" w:lineRule="exact"/>
        <w:rPr>
          <w:sz w:val="20"/>
          <w:szCs w:val="20"/>
          <w:color w:val="auto"/>
        </w:rPr>
      </w:pPr>
    </w:p>
    <w:p>
      <w:pPr>
        <w:ind w:right="100"/>
        <w:spacing w:after="0" w:line="254" w:lineRule="auto"/>
        <w:rPr>
          <w:sz w:val="20"/>
          <w:szCs w:val="20"/>
          <w:color w:val="auto"/>
        </w:rPr>
      </w:pPr>
      <w:r>
        <w:rPr>
          <w:rFonts w:ascii="Arial" w:cs="Arial" w:eastAsia="Arial" w:hAnsi="Arial"/>
          <w:sz w:val="13"/>
          <w:szCs w:val="13"/>
          <w:color w:val="auto"/>
        </w:rPr>
        <w:t>Under the if-converted method, the 2025 Convertible Notes are assumed to be converted into common stock at the beginning of the reporting period, as the 2025 Convertible Notes will be convertible into cash, shares of our common stock or a combination thereof, at our election. If dilutive, the resulting shares are included in the denominator of the calculation and interest charges, net of any income tax effects are added back to the numerator of the calculation. For the 2030 Convertible Notes, we are required to settle the principal amount in cash and any conversion premium in excess of the principal amount in cash, shares of common stock, or a combination of cash and shares of common stock, at our election. As such, the 2030 Convertible Notes only have an impact on diluted earnings per share when the average share price of our common stock exceeds the conversion price.</w:t>
      </w:r>
    </w:p>
    <w:p>
      <w:pPr>
        <w:spacing w:after="0" w:line="164" w:lineRule="exact"/>
        <w:rPr>
          <w:sz w:val="20"/>
          <w:szCs w:val="20"/>
          <w:color w:val="auto"/>
        </w:rPr>
      </w:pPr>
    </w:p>
    <w:p>
      <w:pPr>
        <w:jc w:val="both"/>
        <w:ind w:right="220"/>
        <w:spacing w:after="0" w:line="261" w:lineRule="auto"/>
        <w:rPr>
          <w:sz w:val="20"/>
          <w:szCs w:val="20"/>
          <w:color w:val="auto"/>
        </w:rPr>
      </w:pPr>
      <w:r>
        <w:rPr>
          <w:rFonts w:ascii="Arial" w:cs="Arial" w:eastAsia="Arial" w:hAnsi="Arial"/>
          <w:sz w:val="13"/>
          <w:szCs w:val="13"/>
          <w:color w:val="auto"/>
        </w:rPr>
        <w:t>For all periods presented, the dilutive effect of stock compensation awards, if any, was determined using the treasury stock method. 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9A. 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Evaluation of Disclosure Controls and Procedures</w:t>
      </w:r>
    </w:p>
    <w:p>
      <w:pPr>
        <w:spacing w:after="0" w:line="93"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Annual Report on Form 10-K (the "Evaluation Date"). Based on this evaluation, the Chief Executive Officer and Chief Financial Officer concluded that our disclosure controls and procedures were effective as of the Evaluation Date.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Evaluation of Internal Control Over Financial Reporting</w:t>
      </w:r>
    </w:p>
    <w:p>
      <w:pPr>
        <w:spacing w:after="0" w:line="93" w:lineRule="exact"/>
        <w:rPr>
          <w:sz w:val="20"/>
          <w:szCs w:val="20"/>
          <w:color w:val="auto"/>
        </w:rPr>
      </w:pPr>
    </w:p>
    <w:p>
      <w:pPr>
        <w:ind w:right="80"/>
        <w:spacing w:after="0" w:line="252" w:lineRule="auto"/>
        <w:rPr>
          <w:sz w:val="20"/>
          <w:szCs w:val="20"/>
          <w:color w:val="auto"/>
        </w:rPr>
      </w:pPr>
      <w:r>
        <w:rPr>
          <w:rFonts w:ascii="Arial" w:cs="Arial" w:eastAsia="Arial" w:hAnsi="Arial"/>
          <w:sz w:val="13"/>
          <w:szCs w:val="13"/>
          <w:color w:val="auto"/>
        </w:rPr>
        <w:t>Management's report on internal control over financial reporting as of August 31, 2024 is included within Item 8 of Part II in this Annual Report on Form 10-K and is incorporated herein by reference. The report of Deloitte &amp; Touche LLP on the effectiveness of internal control over financial reporting is included within Item 8 of Part II in this Annual Report on Form 10-K and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84"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color w:val="auto"/>
        </w:rPr>
        <w:t>There were no significant changes in internal control over financial reporting during the quarter ended August 31, 2024 that have materially affected, or are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9B. Other Information.</w:t>
      </w:r>
    </w:p>
    <w:p>
      <w:pPr>
        <w:spacing w:after="0" w:line="8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During the three months ended August 31, 2024, no director or officer of the Company adopted, modified or terminated a “Rule 10b5-1 trading arrangement” or “non-Rule 10b5-1 trading arrangement,” as each term is defined in Item 408(a) of Regulation S-K.</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9C. Disclosure Regarding Foreign Jurisdictions that Prevent Inspections.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65" w:name="page66"/>
    <w:bookmarkEnd w:id="6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III</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10. Directors, Executive Officers and Corporate Governance.</w:t>
      </w:r>
    </w:p>
    <w:p>
      <w:pPr>
        <w:spacing w:after="0" w:line="95" w:lineRule="exact"/>
        <w:rPr>
          <w:sz w:val="20"/>
          <w:szCs w:val="20"/>
          <w:color w:val="auto"/>
        </w:rPr>
      </w:pPr>
    </w:p>
    <w:p>
      <w:pPr>
        <w:spacing w:after="0" w:line="309" w:lineRule="auto"/>
        <w:rPr>
          <w:sz w:val="20"/>
          <w:szCs w:val="20"/>
          <w:color w:val="auto"/>
        </w:rPr>
      </w:pPr>
      <w:r>
        <w:rPr>
          <w:rFonts w:ascii="Arial" w:cs="Arial" w:eastAsia="Arial" w:hAnsi="Arial"/>
          <w:sz w:val="12"/>
          <w:szCs w:val="12"/>
          <w:color w:val="auto"/>
        </w:rPr>
        <w:t xml:space="preserve">Reference is made to the table entitled "Information about our Executive Officers" in Part I of this Annual Report on Form 10-K and to the information included under the captions </w:t>
      </w:r>
      <w:r>
        <w:rPr>
          <w:rFonts w:ascii="Arial" w:cs="Arial" w:eastAsia="Arial" w:hAnsi="Arial"/>
          <w:sz w:val="12"/>
          <w:szCs w:val="12"/>
          <w:i w:val="1"/>
          <w:iCs w:val="1"/>
          <w:color w:val="auto"/>
        </w:rPr>
        <w:t>Corporate Governance</w:t>
      </w:r>
      <w:r>
        <w:rPr>
          <w:rFonts w:ascii="Arial" w:cs="Arial" w:eastAsia="Arial" w:hAnsi="Arial"/>
          <w:sz w:val="12"/>
          <w:szCs w:val="12"/>
          <w:color w:val="auto"/>
        </w:rPr>
        <w:t xml:space="preserve"> and </w:t>
      </w:r>
      <w:r>
        <w:rPr>
          <w:rFonts w:ascii="Arial" w:cs="Arial" w:eastAsia="Arial" w:hAnsi="Arial"/>
          <w:sz w:val="12"/>
          <w:szCs w:val="12"/>
          <w:i w:val="1"/>
          <w:iCs w:val="1"/>
          <w:color w:val="auto"/>
        </w:rPr>
        <w:t>Election of Directors,</w:t>
      </w:r>
      <w:r>
        <w:rPr>
          <w:rFonts w:ascii="Arial" w:cs="Arial" w:eastAsia="Arial" w:hAnsi="Arial"/>
          <w:sz w:val="12"/>
          <w:szCs w:val="12"/>
          <w:color w:val="auto"/>
        </w:rPr>
        <w:t xml:space="preserve"> in our Proxy Statement for the Annual Meeting of Shareholders scheduled to be held December 17, 2024, which information is incorporated by reference herein.</w:t>
      </w:r>
    </w:p>
    <w:p>
      <w:pPr>
        <w:spacing w:after="0" w:line="143" w:lineRule="exact"/>
        <w:rPr>
          <w:sz w:val="20"/>
          <w:szCs w:val="20"/>
          <w:color w:val="auto"/>
        </w:rPr>
      </w:pPr>
    </w:p>
    <w:p>
      <w:pPr>
        <w:jc w:val="both"/>
        <w:ind w:right="300"/>
        <w:spacing w:after="0" w:line="252" w:lineRule="auto"/>
        <w:rPr>
          <w:sz w:val="20"/>
          <w:szCs w:val="20"/>
          <w:color w:val="auto"/>
        </w:rPr>
      </w:pPr>
      <w:r>
        <w:rPr>
          <w:rFonts w:ascii="Arial" w:cs="Arial" w:eastAsia="Arial" w:hAnsi="Arial"/>
          <w:sz w:val="13"/>
          <w:szCs w:val="13"/>
          <w:color w:val="auto"/>
        </w:rPr>
        <w:t>We have adopted a written code of ethics, the "Code of Conduct", which is applicable to each of our employees, including our Chief Executive Officer and Chief Financial Officer (such two officers, collectively, the "Senior Officers"). In accordance with the rules and regulations of the SEC, a copy of the Code of Conduct is posted on our website at www.winnebagoind.com in the "Governance Documents" section under "Investors - Corporate Governance."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We intend to disclose any changes in or waivers from the Code of Conduct applicable to any Senior Officer on our website at www.winnebagoind.com or by filing a Form 8-K.</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11. Executive Compensation.</w:t>
      </w:r>
    </w:p>
    <w:p>
      <w:pPr>
        <w:spacing w:after="0" w:line="95"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 xml:space="preserve">Reference is made to the information included under the captions </w:t>
      </w:r>
      <w:r>
        <w:rPr>
          <w:rFonts w:ascii="Arial" w:cs="Arial" w:eastAsia="Arial" w:hAnsi="Arial"/>
          <w:sz w:val="13"/>
          <w:szCs w:val="13"/>
          <w:i w:val="1"/>
          <w:iCs w:val="1"/>
          <w:color w:val="auto"/>
        </w:rPr>
        <w:t>Director Compensation</w:t>
      </w:r>
      <w:r>
        <w:rPr>
          <w:rFonts w:ascii="Arial" w:cs="Arial" w:eastAsia="Arial" w:hAnsi="Arial"/>
          <w:sz w:val="13"/>
          <w:szCs w:val="13"/>
          <w:color w:val="auto"/>
        </w:rPr>
        <w:t xml:space="preserve"> and </w:t>
      </w:r>
      <w:r>
        <w:rPr>
          <w:rFonts w:ascii="Arial" w:cs="Arial" w:eastAsia="Arial" w:hAnsi="Arial"/>
          <w:sz w:val="13"/>
          <w:szCs w:val="13"/>
          <w:i w:val="1"/>
          <w:iCs w:val="1"/>
          <w:color w:val="auto"/>
        </w:rPr>
        <w:t>Compensation Discussion and Analysis</w:t>
      </w:r>
      <w:r>
        <w:rPr>
          <w:rFonts w:ascii="Arial" w:cs="Arial" w:eastAsia="Arial" w:hAnsi="Arial"/>
          <w:sz w:val="13"/>
          <w:szCs w:val="13"/>
          <w:color w:val="auto"/>
        </w:rPr>
        <w:t xml:space="preserve"> in our Proxy Statement for the Annual Meeting of Shareholders scheduled to be held December 17, 2024, which information is incorporated by reference herein.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12. Security Ownership of Certain Beneficial Owners and Management and Related Shareholder Matters.</w:t>
      </w:r>
    </w:p>
    <w:p>
      <w:pPr>
        <w:spacing w:after="0" w:line="95" w:lineRule="exact"/>
        <w:rPr>
          <w:sz w:val="20"/>
          <w:szCs w:val="20"/>
          <w:color w:val="auto"/>
        </w:rPr>
      </w:pPr>
    </w:p>
    <w:p>
      <w:pPr>
        <w:jc w:val="both"/>
        <w:ind w:right="360"/>
        <w:spacing w:after="0" w:line="252" w:lineRule="auto"/>
        <w:rPr>
          <w:sz w:val="20"/>
          <w:szCs w:val="20"/>
          <w:color w:val="auto"/>
        </w:rPr>
      </w:pPr>
      <w:r>
        <w:rPr>
          <w:rFonts w:ascii="Arial" w:cs="Arial" w:eastAsia="Arial" w:hAnsi="Arial"/>
          <w:sz w:val="13"/>
          <w:szCs w:val="13"/>
          <w:color w:val="auto"/>
        </w:rPr>
        <w:t xml:space="preserve">Reference is made to the share ownership information and table entitled </w:t>
      </w:r>
      <w:r>
        <w:rPr>
          <w:rFonts w:ascii="Arial" w:cs="Arial" w:eastAsia="Arial" w:hAnsi="Arial"/>
          <w:sz w:val="13"/>
          <w:szCs w:val="13"/>
          <w:i w:val="1"/>
          <w:iCs w:val="1"/>
          <w:color w:val="auto"/>
        </w:rPr>
        <w:t>Security Ownership of Certain Beneficial Owners and Management</w:t>
      </w:r>
      <w:r>
        <w:rPr>
          <w:rFonts w:ascii="Arial" w:cs="Arial" w:eastAsia="Arial" w:hAnsi="Arial"/>
          <w:sz w:val="13"/>
          <w:szCs w:val="13"/>
          <w:color w:val="auto"/>
        </w:rPr>
        <w:t xml:space="preserve"> and the information included under the caption </w:t>
      </w:r>
      <w:r>
        <w:rPr>
          <w:rFonts w:ascii="Arial" w:cs="Arial" w:eastAsia="Arial" w:hAnsi="Arial"/>
          <w:sz w:val="13"/>
          <w:szCs w:val="13"/>
          <w:i w:val="1"/>
          <w:iCs w:val="1"/>
          <w:color w:val="auto"/>
        </w:rPr>
        <w:t>Equity</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Plan Information </w:t>
      </w:r>
      <w:r>
        <w:rPr>
          <w:rFonts w:ascii="Arial" w:cs="Arial" w:eastAsia="Arial" w:hAnsi="Arial"/>
          <w:sz w:val="13"/>
          <w:szCs w:val="13"/>
          <w:color w:val="auto"/>
        </w:rPr>
        <w:t>included in our Proxy Statement for the Annual Meeting of Shareholders scheduled to be held December 17, 2024, which information is incorporated by reference</w:t>
      </w:r>
      <w:r>
        <w:rPr>
          <w:rFonts w:ascii="Arial" w:cs="Arial" w:eastAsia="Arial" w:hAnsi="Arial"/>
          <w:sz w:val="13"/>
          <w:szCs w:val="13"/>
          <w:i w:val="1"/>
          <w:iCs w:val="1"/>
          <w:color w:val="auto"/>
        </w:rPr>
        <w:t xml:space="preserve"> </w:t>
      </w:r>
      <w:r>
        <w:rPr>
          <w:rFonts w:ascii="Arial" w:cs="Arial" w:eastAsia="Arial" w:hAnsi="Arial"/>
          <w:sz w:val="13"/>
          <w:szCs w:val="13"/>
          <w:color w:val="auto"/>
        </w:rPr>
        <w:t>herein.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13. Certain Relationships and Related Transactions, and Director Independence.</w:t>
      </w:r>
    </w:p>
    <w:p>
      <w:pPr>
        <w:spacing w:after="0" w:line="84" w:lineRule="exact"/>
        <w:rPr>
          <w:sz w:val="20"/>
          <w:szCs w:val="20"/>
          <w:color w:val="auto"/>
        </w:rPr>
      </w:pPr>
    </w:p>
    <w:p>
      <w:pPr>
        <w:jc w:val="both"/>
        <w:ind w:right="340"/>
        <w:spacing w:after="0" w:line="283" w:lineRule="auto"/>
        <w:rPr>
          <w:sz w:val="20"/>
          <w:szCs w:val="20"/>
          <w:color w:val="auto"/>
        </w:rPr>
      </w:pPr>
      <w:r>
        <w:rPr>
          <w:rFonts w:ascii="Arial" w:cs="Arial" w:eastAsia="Arial" w:hAnsi="Arial"/>
          <w:sz w:val="13"/>
          <w:szCs w:val="13"/>
          <w:color w:val="auto"/>
        </w:rPr>
        <w:t xml:space="preserve">Reference is made to the information included under the caption </w:t>
      </w:r>
      <w:r>
        <w:rPr>
          <w:rFonts w:ascii="Arial" w:cs="Arial" w:eastAsia="Arial" w:hAnsi="Arial"/>
          <w:sz w:val="13"/>
          <w:szCs w:val="13"/>
          <w:i w:val="1"/>
          <w:iCs w:val="1"/>
          <w:color w:val="auto"/>
        </w:rPr>
        <w:t>Corporate Governance</w:t>
      </w:r>
      <w:r>
        <w:rPr>
          <w:rFonts w:ascii="Arial" w:cs="Arial" w:eastAsia="Arial" w:hAnsi="Arial"/>
          <w:sz w:val="13"/>
          <w:szCs w:val="13"/>
          <w:color w:val="auto"/>
        </w:rPr>
        <w:t xml:space="preserve"> in our Proxy Statement for the Annual Meeting of Shareholders scheduled to be held December 17, 2024, which information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Principal Accountant Fees and Services.</w:t>
      </w:r>
    </w:p>
    <w:p>
      <w:pPr>
        <w:spacing w:after="0" w:line="84"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 xml:space="preserve">Information about fees and services billed to us by our principal accountant, Deloitte &amp; Touche LLP (PCAOB ID No. 34) is included under the caption </w:t>
      </w:r>
      <w:r>
        <w:rPr>
          <w:rFonts w:ascii="Arial" w:cs="Arial" w:eastAsia="Arial" w:hAnsi="Arial"/>
          <w:sz w:val="13"/>
          <w:szCs w:val="13"/>
          <w:i w:val="1"/>
          <w:iCs w:val="1"/>
          <w:color w:val="auto"/>
        </w:rPr>
        <w:t>Independent Registered Public Accountant's Fees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Services </w:t>
      </w:r>
      <w:r>
        <w:rPr>
          <w:rFonts w:ascii="Arial" w:cs="Arial" w:eastAsia="Arial" w:hAnsi="Arial"/>
          <w:sz w:val="13"/>
          <w:szCs w:val="13"/>
          <w:color w:val="auto"/>
        </w:rPr>
        <w:t>in our Proxy Statement for the Annual Meeting of Shareholders scheduled to be held December 17, 2024,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IV</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Exhibits and Financial Statement Schedules.</w:t>
      </w:r>
    </w:p>
    <w:p>
      <w:pPr>
        <w:spacing w:after="0" w:line="201"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consolidated financial statements are set forth within Item 8 of Part II in this Annual Report on Form 10-K.</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Financial Statement Schedules: Winnebago Industries, Inc. and Subsidiaries</w:t>
      </w:r>
    </w:p>
    <w:p>
      <w:pPr>
        <w:spacing w:after="0" w:line="201" w:lineRule="exact"/>
        <w:rPr>
          <w:sz w:val="20"/>
          <w:szCs w:val="20"/>
          <w:color w:val="auto"/>
        </w:rPr>
      </w:pPr>
    </w:p>
    <w:p>
      <w:pPr>
        <w:ind w:left="520" w:hanging="119"/>
        <w:spacing w:after="0" w:line="266" w:lineRule="auto"/>
        <w:rPr>
          <w:sz w:val="20"/>
          <w:szCs w:val="20"/>
          <w:color w:val="auto"/>
        </w:rPr>
      </w:pPr>
      <w:r>
        <w:rPr>
          <w:rFonts w:ascii="Arial" w:cs="Arial" w:eastAsia="Arial" w:hAnsi="Arial"/>
          <w:sz w:val="13"/>
          <w:szCs w:val="13"/>
          <w:color w:val="auto"/>
        </w:rPr>
        <w:t>All schedules are omitted because of the absence of the conditions under which they are required or because the information required is shown in the consolidated financial statements or the notes thereto.</w:t>
      </w:r>
    </w:p>
    <w:p>
      <w:pPr>
        <w:spacing w:after="0" w:line="157"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Exhibit Index</w:t>
      </w:r>
    </w:p>
    <w:p>
      <w:pPr>
        <w:spacing w:after="0" w:line="73" w:lineRule="exact"/>
        <w:rPr>
          <w:sz w:val="20"/>
          <w:szCs w:val="20"/>
          <w:color w:val="auto"/>
        </w:rPr>
      </w:pPr>
    </w:p>
    <w:p>
      <w:pPr>
        <w:ind w:left="778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12700</wp:posOffset>
            </wp:positionV>
            <wp:extent cx="168402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ectPr>
          <w:pgSz w:w="11900" w:h="16838" w:orient="portrait"/>
          <w:cols w:equalWidth="0" w:num="1">
            <w:col w:w="11080"/>
          </w:cols>
          <w:pgMar w:left="300" w:top="129" w:right="519" w:bottom="1440" w:gutter="0" w:footer="0" w:header="0"/>
        </w:sectPr>
      </w:pPr>
    </w:p>
    <w:p>
      <w:pPr>
        <w:spacing w:after="0" w:line="52" w:lineRule="exact"/>
        <w:rPr>
          <w:sz w:val="20"/>
          <w:szCs w:val="20"/>
          <w:color w:val="auto"/>
        </w:rPr>
      </w:pPr>
    </w:p>
    <w:p>
      <w:pPr>
        <w:ind w:left="520"/>
        <w:spacing w:after="0"/>
        <w:tabs>
          <w:tab w:leader="none" w:pos="14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12700</wp:posOffset>
            </wp:positionV>
            <wp:extent cx="6616065"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6065" cy="114300"/>
                    </a:xfrm>
                    <a:prstGeom prst="rect">
                      <a:avLst/>
                    </a:prstGeom>
                    <a:noFill/>
                  </pic:spPr>
                </pic:pic>
              </a:graphicData>
            </a:graphic>
          </wp:anchor>
        </w:drawing>
      </w:r>
    </w:p>
    <w:p>
      <w:pPr>
        <w:spacing w:after="0" w:line="11" w:lineRule="exact"/>
        <w:rPr>
          <w:sz w:val="20"/>
          <w:szCs w:val="20"/>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3.1 </w:t>
      </w:r>
      <w:hyperlink r:id="rId85">
        <w:r>
          <w:rPr>
            <w:rFonts w:ascii="Arial" w:cs="Arial" w:eastAsia="Arial" w:hAnsi="Arial"/>
            <w:sz w:val="13"/>
            <w:szCs w:val="13"/>
            <w:u w:val="single" w:color="auto"/>
            <w:color w:val="0000FF"/>
          </w:rPr>
          <w:t>Articles of Incorporation of Winnebago Industries, Inc., effective January 1, 2022.</w:t>
        </w:r>
      </w:hyperlink>
    </w:p>
    <w:p>
      <w:pPr>
        <w:spacing w:after="0" w:line="20" w:lineRule="exact"/>
        <w:rPr>
          <w:sz w:val="20"/>
          <w:szCs w:val="20"/>
          <w:color w:val="auto"/>
        </w:rPr>
      </w:pP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3.2 </w:t>
      </w:r>
      <w:hyperlink r:id="rId86">
        <w:r>
          <w:rPr>
            <w:rFonts w:ascii="Arial" w:cs="Arial" w:eastAsia="Arial" w:hAnsi="Arial"/>
            <w:sz w:val="13"/>
            <w:szCs w:val="13"/>
            <w:u w:val="single" w:color="auto"/>
            <w:color w:val="0000FF"/>
          </w:rPr>
          <w:t>Bylaws of Winnebago Industries, Inc., effective August 15, 2023.</w:t>
        </w:r>
      </w:hyperlink>
    </w:p>
    <w:p>
      <w:pPr>
        <w:ind w:left="1280"/>
        <w:spacing w:after="0" w:line="209" w:lineRule="auto"/>
        <w:rPr>
          <w:rFonts w:ascii="Arial" w:cs="Arial" w:eastAsia="Arial" w:hAnsi="Arial"/>
          <w:sz w:val="13"/>
          <w:szCs w:val="13"/>
          <w:color w:val="0000FF"/>
        </w:rPr>
      </w:pPr>
      <w:hyperlink r:id="rId87"/>
      <w:r>
        <w:rPr>
          <w:rFonts w:ascii="Arial" w:cs="Arial" w:eastAsia="Arial" w:hAnsi="Arial"/>
          <w:sz w:val="25"/>
          <w:szCs w:val="25"/>
          <w:color w:val="000000"/>
          <w:vertAlign w:val="subscript"/>
        </w:rPr>
        <w:t>4.1</w:t>
      </w:r>
      <w:r>
        <w:rPr>
          <w:rFonts w:ascii="Arial" w:cs="Arial" w:eastAsia="Arial" w:hAnsi="Arial"/>
          <w:sz w:val="13"/>
          <w:szCs w:val="13"/>
          <w:color w:val="0000FF"/>
        </w:rPr>
        <w:t xml:space="preserve"> </w:t>
      </w:r>
      <w:hyperlink r:id="rId87">
        <w:r>
          <w:rPr>
            <w:rFonts w:ascii="Arial" w:cs="Arial" w:eastAsia="Arial" w:hAnsi="Arial"/>
            <w:sz w:val="13"/>
            <w:szCs w:val="13"/>
            <w:u w:val="single" w:color="auto"/>
            <w:color w:val="0000FF"/>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-145415</wp:posOffset>
            </wp:positionV>
            <wp:extent cx="661606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47" w:lineRule="exact"/>
        <w:rPr>
          <w:sz w:val="20"/>
          <w:szCs w:val="20"/>
          <w:color w:val="auto"/>
        </w:rPr>
      </w:pPr>
    </w:p>
    <w:p>
      <w:pPr>
        <w:ind w:left="1480" w:right="280" w:hanging="204"/>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4.2 </w:t>
      </w:r>
      <w:hyperlink r:id="rId89">
        <w:r>
          <w:rPr>
            <w:rFonts w:ascii="Arial" w:cs="Arial" w:eastAsia="Arial" w:hAnsi="Arial"/>
            <w:sz w:val="13"/>
            <w:szCs w:val="13"/>
            <w:u w:val="single" w:color="auto"/>
            <w:color w:val="0000FF"/>
          </w:rPr>
          <w:t>Indenture, dated November 1, 2019, by and between Winnebago Industries, Inc. and U.S. Bank</w:t>
        </w:r>
      </w:hyperlink>
      <w:r>
        <w:rPr>
          <w:rFonts w:ascii="Arial" w:cs="Arial" w:eastAsia="Arial" w:hAnsi="Arial"/>
          <w:sz w:val="13"/>
          <w:szCs w:val="13"/>
          <w:color w:val="auto"/>
        </w:rPr>
        <w:t xml:space="preserve"> </w:t>
      </w:r>
      <w:hyperlink r:id="rId89">
        <w:r>
          <w:rPr>
            <w:rFonts w:ascii="Arial" w:cs="Arial" w:eastAsia="Arial" w:hAnsi="Arial"/>
            <w:sz w:val="13"/>
            <w:szCs w:val="13"/>
            <w:u w:val="single" w:color="auto"/>
            <w:color w:val="0000FF"/>
          </w:rPr>
          <w:t>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1905</wp:posOffset>
            </wp:positionV>
            <wp:extent cx="6616065" cy="107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4.3 </w:t>
      </w:r>
      <w:hyperlink r:id="rId89">
        <w:r>
          <w:rPr>
            <w:rFonts w:ascii="Arial" w:cs="Arial" w:eastAsia="Arial" w:hAnsi="Arial"/>
            <w:sz w:val="13"/>
            <w:szCs w:val="13"/>
            <w:u w:val="single" w:color="auto"/>
            <w:color w:val="0000FF"/>
          </w:rPr>
          <w:t>Form of 1.50% Convertible Senior Note due 2025 (included in Exhibit 4.2).</w:t>
        </w:r>
      </w:hyperlink>
    </w:p>
    <w:p>
      <w:pPr>
        <w:spacing w:after="0" w:line="20" w:lineRule="exact"/>
        <w:rPr>
          <w:sz w:val="20"/>
          <w:szCs w:val="20"/>
          <w:color w:val="auto"/>
        </w:rPr>
      </w:pPr>
    </w:p>
    <w:p>
      <w:pPr>
        <w:ind w:left="1480" w:right="380" w:hanging="204"/>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4.4 </w:t>
      </w:r>
      <w:hyperlink r:id="rId91">
        <w:r>
          <w:rPr>
            <w:rFonts w:ascii="Arial" w:cs="Arial" w:eastAsia="Arial" w:hAnsi="Arial"/>
            <w:sz w:val="13"/>
            <w:szCs w:val="13"/>
            <w:u w:val="single" w:color="auto"/>
            <w:color w:val="0000FF"/>
          </w:rPr>
          <w:t>Indenture, dated as of July 8, 2020, by and among Winnebago Industries, Inc., the guarantors</w:t>
        </w:r>
      </w:hyperlink>
      <w:r>
        <w:rPr>
          <w:rFonts w:ascii="Arial" w:cs="Arial" w:eastAsia="Arial" w:hAnsi="Arial"/>
          <w:sz w:val="13"/>
          <w:szCs w:val="13"/>
          <w:color w:val="auto"/>
        </w:rPr>
        <w:t xml:space="preserve"> </w:t>
      </w:r>
      <w:hyperlink r:id="rId91">
        <w:r>
          <w:rPr>
            <w:rFonts w:ascii="Arial" w:cs="Arial" w:eastAsia="Arial" w:hAnsi="Arial"/>
            <w:sz w:val="13"/>
            <w:szCs w:val="13"/>
            <w:u w:val="single" w:color="auto"/>
            <w:color w:val="0000FF"/>
          </w:rPr>
          <w:t>named therein and U.S. Bank National Association, as trustee.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1905</wp:posOffset>
            </wp:positionV>
            <wp:extent cx="6616065" cy="107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4.5 </w:t>
      </w:r>
      <w:hyperlink r:id="rId91">
        <w:r>
          <w:rPr>
            <w:rFonts w:ascii="Arial" w:cs="Arial" w:eastAsia="Arial" w:hAnsi="Arial"/>
            <w:sz w:val="13"/>
            <w:szCs w:val="13"/>
            <w:u w:val="single" w:color="auto"/>
            <w:color w:val="0000FF"/>
          </w:rPr>
          <w:t>Form of 6.250% Senior Secured Note due 2028 (included in Exhibit 4.4)</w:t>
        </w:r>
      </w:hyperlink>
    </w:p>
    <w:p>
      <w:pPr>
        <w:spacing w:after="0" w:line="20" w:lineRule="exact"/>
        <w:rPr>
          <w:sz w:val="20"/>
          <w:szCs w:val="20"/>
          <w:color w:val="auto"/>
        </w:rPr>
      </w:pPr>
    </w:p>
    <w:p>
      <w:pPr>
        <w:ind w:left="1480" w:right="20" w:hanging="204"/>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4.6 </w:t>
      </w:r>
      <w:hyperlink r:id="rId93">
        <w:r>
          <w:rPr>
            <w:rFonts w:ascii="Arial" w:cs="Arial" w:eastAsia="Arial" w:hAnsi="Arial"/>
            <w:sz w:val="13"/>
            <w:szCs w:val="13"/>
            <w:u w:val="single" w:color="auto"/>
            <w:color w:val="0000FF"/>
          </w:rPr>
          <w:t>Indenture, dated January 23, 2024, by and between Winnebago Industries, Inc. and U.S. Bank Trust</w:t>
        </w:r>
      </w:hyperlink>
      <w:r>
        <w:rPr>
          <w:rFonts w:ascii="Arial" w:cs="Arial" w:eastAsia="Arial" w:hAnsi="Arial"/>
          <w:sz w:val="13"/>
          <w:szCs w:val="13"/>
          <w:color w:val="auto"/>
        </w:rPr>
        <w:t xml:space="preserve"> </w:t>
      </w:r>
      <w:hyperlink r:id="rId93">
        <w:r>
          <w:rPr>
            <w:rFonts w:ascii="Arial" w:cs="Arial" w:eastAsia="Arial" w:hAnsi="Arial"/>
            <w:sz w:val="13"/>
            <w:szCs w:val="13"/>
            <w:u w:val="single" w:color="auto"/>
            <w:color w:val="0000FF"/>
          </w:rPr>
          <w:t>Company, National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1905</wp:posOffset>
            </wp:positionV>
            <wp:extent cx="6616065" cy="1079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1280"/>
        <w:spacing w:after="0"/>
        <w:rPr>
          <w:rFonts w:ascii="Arial" w:cs="Arial" w:eastAsia="Arial" w:hAnsi="Arial"/>
          <w:sz w:val="13"/>
          <w:szCs w:val="13"/>
          <w:color w:val="auto"/>
        </w:rPr>
      </w:pPr>
      <w:r>
        <w:rPr>
          <w:rFonts w:ascii="Arial" w:cs="Arial" w:eastAsia="Arial" w:hAnsi="Arial"/>
          <w:sz w:val="13"/>
          <w:szCs w:val="13"/>
          <w:color w:val="auto"/>
        </w:rPr>
        <w:t xml:space="preserve">4.7 </w:t>
      </w:r>
      <w:hyperlink r:id="rId93">
        <w:r>
          <w:rPr>
            <w:rFonts w:ascii="Arial" w:cs="Arial" w:eastAsia="Arial" w:hAnsi="Arial"/>
            <w:sz w:val="13"/>
            <w:szCs w:val="13"/>
            <w:u w:val="single" w:color="auto"/>
            <w:color w:val="0000FF"/>
          </w:rPr>
          <w:t>Form of 3.250% Convertible Senior Note due 2030 (included in Exhibit 4.6).</w:t>
        </w:r>
      </w:hyperlink>
    </w:p>
    <w:p>
      <w:pPr>
        <w:spacing w:after="0" w:line="10" w:lineRule="exact"/>
        <w:rPr>
          <w:sz w:val="20"/>
          <w:szCs w:val="20"/>
          <w:color w:val="auto"/>
        </w:rPr>
      </w:pPr>
    </w:p>
    <w:p>
      <w:pPr>
        <w:ind w:left="1480"/>
        <w:spacing w:after="0"/>
        <w:rPr>
          <w:rFonts w:ascii="Arial" w:cs="Arial" w:eastAsia="Arial" w:hAnsi="Arial"/>
          <w:sz w:val="13"/>
          <w:szCs w:val="13"/>
          <w:u w:val="single" w:color="auto"/>
          <w:color w:val="0000FF"/>
        </w:rPr>
      </w:pPr>
      <w:hyperlink r:id="rId95">
        <w:r>
          <w:rPr>
            <w:rFonts w:ascii="Arial" w:cs="Arial" w:eastAsia="Arial" w:hAnsi="Arial"/>
            <w:sz w:val="13"/>
            <w:szCs w:val="13"/>
            <w:u w:val="single" w:color="auto"/>
            <w:color w:val="0000FF"/>
          </w:rPr>
          <w:t>Winnebago Industries, Inc. Deferred Compensation Plan previously filed with the Registrant's</w:t>
        </w:r>
      </w:hyperlink>
    </w:p>
    <w:p>
      <w:pPr>
        <w:ind w:left="120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10.1 </w:t>
      </w:r>
      <w:hyperlink r:id="rId95">
        <w:r>
          <w:rPr>
            <w:rFonts w:ascii="Arial" w:cs="Arial" w:eastAsia="Arial" w:hAnsi="Arial"/>
            <w:sz w:val="12"/>
            <w:szCs w:val="12"/>
            <w:u w:val="single" w:color="auto"/>
            <w:color w:val="0000FF"/>
          </w:rPr>
          <w:t>Quarterly Report on Form 10-Q for the quarter ended March 2, 1991 and incorporated by reference</w:t>
        </w:r>
      </w:hyperlink>
    </w:p>
    <w:p>
      <w:pPr>
        <w:ind w:left="1480"/>
        <w:spacing w:after="0"/>
        <w:rPr>
          <w:rFonts w:ascii="Arial" w:cs="Arial" w:eastAsia="Arial" w:hAnsi="Arial"/>
          <w:sz w:val="13"/>
          <w:szCs w:val="13"/>
          <w:u w:val="single" w:color="auto"/>
          <w:color w:val="0000FF"/>
        </w:rPr>
      </w:pPr>
      <w:hyperlink r:id="rId95">
        <w:r>
          <w:rPr>
            <w:rFonts w:ascii="Arial" w:cs="Arial" w:eastAsia="Arial" w:hAnsi="Arial"/>
            <w:sz w:val="13"/>
            <w:szCs w:val="13"/>
            <w:u w:val="single" w:color="auto"/>
            <w:color w:val="0000FF"/>
          </w:rPr>
          <w:t>herein and the Amendment dated June 29, 1995.*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85725</wp:posOffset>
            </wp:positionV>
            <wp:extent cx="6616065" cy="5930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6616065" cy="593090"/>
                    </a:xfrm>
                    <a:prstGeom prst="rect">
                      <a:avLst/>
                    </a:prstGeom>
                    <a:noFill/>
                  </pic:spPr>
                </pic:pic>
              </a:graphicData>
            </a:graphic>
          </wp:anchor>
        </w:drawing>
      </w:r>
    </w:p>
    <w:p>
      <w:pPr>
        <w:spacing w:after="0" w:line="116" w:lineRule="exact"/>
        <w:rPr>
          <w:sz w:val="20"/>
          <w:szCs w:val="20"/>
          <w:color w:val="auto"/>
        </w:rPr>
      </w:pPr>
    </w:p>
    <w:p>
      <w:pPr>
        <w:ind w:left="1480" w:right="180"/>
        <w:spacing w:after="0" w:line="228" w:lineRule="auto"/>
        <w:rPr>
          <w:rFonts w:ascii="Arial" w:cs="Arial" w:eastAsia="Arial" w:hAnsi="Arial"/>
          <w:sz w:val="12"/>
          <w:szCs w:val="12"/>
          <w:u w:val="single" w:color="auto"/>
          <w:color w:val="0000FF"/>
        </w:rPr>
      </w:pPr>
      <w:hyperlink r:id="rId97">
        <w:r>
          <w:rPr>
            <w:rFonts w:ascii="Arial" w:cs="Arial" w:eastAsia="Arial" w:hAnsi="Arial"/>
            <w:sz w:val="12"/>
            <w:szCs w:val="12"/>
            <w:u w:val="single" w:color="auto"/>
            <w:color w:val="0000FF"/>
          </w:rPr>
          <w:t>Winnebago Industries, Inc. Executive Share Option Plan previously filed as Exhibit 10.J with the</w:t>
        </w:r>
      </w:hyperlink>
      <w:r>
        <w:rPr>
          <w:rFonts w:ascii="Arial" w:cs="Arial" w:eastAsia="Arial" w:hAnsi="Arial"/>
          <w:sz w:val="12"/>
          <w:szCs w:val="12"/>
          <w:u w:val="single" w:color="auto"/>
          <w:color w:val="0000FF"/>
        </w:rPr>
        <w:t xml:space="preserve"> </w:t>
      </w:r>
      <w:hyperlink r:id="rId97">
        <w:r>
          <w:rPr>
            <w:rFonts w:ascii="Arial" w:cs="Arial" w:eastAsia="Arial" w:hAnsi="Arial"/>
            <w:sz w:val="12"/>
            <w:szCs w:val="12"/>
            <w:u w:val="single" w:color="auto"/>
            <w:color w:val="0000FF"/>
          </w:rPr>
          <w:t>Registrant's Annual Report on Form 10-K for the fiscal year ended August 29, 1998 (Commission</w:t>
        </w:r>
      </w:hyperlink>
      <w:r>
        <w:rPr>
          <w:rFonts w:ascii="Arial" w:cs="Arial" w:eastAsia="Arial" w:hAnsi="Arial"/>
          <w:sz w:val="12"/>
          <w:szCs w:val="12"/>
          <w:u w:val="single" w:color="auto"/>
          <w:color w:val="0000FF"/>
        </w:rPr>
        <w:t xml:space="preserve"> </w:t>
      </w:r>
      <w:hyperlink r:id="rId97">
        <w:r>
          <w:rPr>
            <w:rFonts w:ascii="Arial" w:cs="Arial" w:eastAsia="Arial" w:hAnsi="Arial"/>
            <w:sz w:val="12"/>
            <w:szCs w:val="12"/>
            <w:u w:val="single" w:color="auto"/>
            <w:color w:val="0000FF"/>
          </w:rPr>
          <w:t>File Number 001-06403) and incorporated by reference herein, and the Amendment dated July 1,</w:t>
        </w:r>
      </w:hyperlink>
    </w:p>
    <w:p>
      <w:pPr>
        <w:spacing w:after="0" w:line="1" w:lineRule="exact"/>
        <w:rPr>
          <w:rFonts w:ascii="Arial" w:cs="Arial" w:eastAsia="Arial" w:hAnsi="Arial"/>
          <w:sz w:val="12"/>
          <w:szCs w:val="12"/>
          <w:u w:val="single" w:color="auto"/>
          <w:color w:val="0000FF"/>
        </w:rPr>
      </w:pPr>
    </w:p>
    <w:p>
      <w:pPr>
        <w:ind w:left="1480" w:right="140" w:hanging="275"/>
        <w:spacing w:after="0" w:line="219"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 </w:t>
      </w:r>
      <w:hyperlink r:id="rId97">
        <w:r>
          <w:rPr>
            <w:rFonts w:ascii="Arial" w:cs="Arial" w:eastAsia="Arial" w:hAnsi="Arial"/>
            <w:sz w:val="13"/>
            <w:szCs w:val="13"/>
            <w:u w:val="single" w:color="auto"/>
            <w:color w:val="0000FF"/>
          </w:rPr>
          <w:t>1999 previously filed as Exhibit 10.J with the Registrant's Quarterly Report on Form 10-Q for the</w:t>
        </w:r>
      </w:hyperlink>
      <w:r>
        <w:rPr>
          <w:rFonts w:ascii="Arial" w:cs="Arial" w:eastAsia="Arial" w:hAnsi="Arial"/>
          <w:sz w:val="13"/>
          <w:szCs w:val="13"/>
          <w:color w:val="auto"/>
        </w:rPr>
        <w:t xml:space="preserve"> </w:t>
      </w:r>
      <w:hyperlink r:id="rId97">
        <w:r>
          <w:rPr>
            <w:rFonts w:ascii="Arial" w:cs="Arial" w:eastAsia="Arial" w:hAnsi="Arial"/>
            <w:sz w:val="13"/>
            <w:szCs w:val="13"/>
            <w:u w:val="single" w:color="auto"/>
            <w:color w:val="0000FF"/>
          </w:rPr>
          <w:t>quarter ended May 29, 1999 (Commission File Number 001-06403) and incorporated by reference</w:t>
        </w:r>
      </w:hyperlink>
      <w:r>
        <w:rPr>
          <w:rFonts w:ascii="Arial" w:cs="Arial" w:eastAsia="Arial" w:hAnsi="Arial"/>
          <w:sz w:val="13"/>
          <w:szCs w:val="13"/>
          <w:u w:val="single" w:color="auto"/>
          <w:color w:val="0000FF"/>
        </w:rPr>
        <w:t xml:space="preserve"> </w:t>
      </w:r>
      <w:hyperlink r:id="rId97">
        <w:r>
          <w:rPr>
            <w:rFonts w:ascii="Arial" w:cs="Arial" w:eastAsia="Arial" w:hAnsi="Arial"/>
            <w:sz w:val="13"/>
            <w:szCs w:val="13"/>
            <w:u w:val="single" w:color="auto"/>
            <w:color w:val="0000FF"/>
          </w:rPr>
          <w:t>herein and the Amendment dated January 1, 2001.*</w:t>
        </w:r>
      </w:hyperlink>
    </w:p>
    <w:p>
      <w:pPr>
        <w:spacing w:after="0" w:line="130" w:lineRule="exact"/>
        <w:rPr>
          <w:rFonts w:ascii="Arial" w:cs="Arial" w:eastAsia="Arial" w:hAnsi="Arial"/>
          <w:sz w:val="13"/>
          <w:szCs w:val="13"/>
          <w:color w:val="auto"/>
        </w:rPr>
      </w:pPr>
    </w:p>
    <w:p>
      <w:pPr>
        <w:ind w:left="1200" w:right="120" w:firstLine="276"/>
        <w:spacing w:after="0" w:line="231" w:lineRule="auto"/>
        <w:rPr>
          <w:rFonts w:ascii="Arial" w:cs="Arial" w:eastAsia="Arial" w:hAnsi="Arial"/>
          <w:sz w:val="12"/>
          <w:szCs w:val="12"/>
          <w:color w:val="000000"/>
        </w:rPr>
      </w:pPr>
      <w:hyperlink r:id="rId98">
        <w:r>
          <w:rPr>
            <w:rFonts w:ascii="Arial" w:cs="Arial" w:eastAsia="Arial" w:hAnsi="Arial"/>
            <w:sz w:val="12"/>
            <w:szCs w:val="12"/>
            <w:u w:val="single" w:color="auto"/>
            <w:color w:val="0000FF"/>
          </w:rPr>
          <w:t>Winnebago Industries, Inc. Executive Deferred Compensation Plan previously filed as Exhibit 10.C</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10.3 </w:t>
      </w:r>
      <w:hyperlink r:id="rId98">
        <w:r>
          <w:rPr>
            <w:rFonts w:ascii="Arial" w:cs="Arial" w:eastAsia="Arial" w:hAnsi="Arial"/>
            <w:sz w:val="12"/>
            <w:szCs w:val="12"/>
            <w:u w:val="single" w:color="auto"/>
            <w:color w:val="0000FF"/>
          </w:rPr>
          <w:t>with the Registrant's Quarterly Report on Form 10-Q for the quarter ended November 25, 2006</w:t>
        </w:r>
      </w:hyperlink>
    </w:p>
    <w:p>
      <w:pPr>
        <w:spacing w:after="0" w:line="1" w:lineRule="exact"/>
        <w:rPr>
          <w:sz w:val="20"/>
          <w:szCs w:val="20"/>
          <w:color w:val="auto"/>
        </w:rPr>
      </w:pPr>
    </w:p>
    <w:p>
      <w:pPr>
        <w:ind w:left="1480"/>
        <w:spacing w:after="0"/>
        <w:rPr>
          <w:rFonts w:ascii="Arial" w:cs="Arial" w:eastAsia="Arial" w:hAnsi="Arial"/>
          <w:sz w:val="13"/>
          <w:szCs w:val="13"/>
          <w:u w:val="single" w:color="auto"/>
          <w:color w:val="0000FF"/>
        </w:rPr>
      </w:pPr>
      <w:hyperlink r:id="rId98">
        <w:r>
          <w:rPr>
            <w:rFonts w:ascii="Arial" w:cs="Arial" w:eastAsia="Arial" w:hAnsi="Arial"/>
            <w:sz w:val="13"/>
            <w:szCs w:val="13"/>
            <w:u w:val="single" w:color="auto"/>
            <w:color w:val="0000FF"/>
          </w:rPr>
          <w:t>(Commission File Number 001-06403) and the Amendment dated June 21,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85725</wp:posOffset>
            </wp:positionV>
            <wp:extent cx="6616065" cy="593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6616065" cy="593090"/>
                    </a:xfrm>
                    <a:prstGeom prst="rect">
                      <a:avLst/>
                    </a:prstGeom>
                    <a:noFill/>
                  </pic:spPr>
                </pic:pic>
              </a:graphicData>
            </a:graphic>
          </wp:anchor>
        </w:drawing>
      </w:r>
    </w:p>
    <w:p>
      <w:pPr>
        <w:spacing w:after="0" w:line="116" w:lineRule="exact"/>
        <w:rPr>
          <w:sz w:val="20"/>
          <w:szCs w:val="20"/>
          <w:color w:val="auto"/>
        </w:rPr>
      </w:pPr>
    </w:p>
    <w:p>
      <w:pPr>
        <w:jc w:val="both"/>
        <w:ind w:left="1480" w:right="20"/>
        <w:spacing w:after="0" w:line="228" w:lineRule="auto"/>
        <w:rPr>
          <w:rFonts w:ascii="Arial" w:cs="Arial" w:eastAsia="Arial" w:hAnsi="Arial"/>
          <w:sz w:val="12"/>
          <w:szCs w:val="12"/>
          <w:u w:val="single" w:color="auto"/>
          <w:color w:val="0000FF"/>
        </w:rPr>
      </w:pPr>
      <w:hyperlink r:id="rId100">
        <w:r>
          <w:rPr>
            <w:rFonts w:ascii="Arial" w:cs="Arial" w:eastAsia="Arial" w:hAnsi="Arial"/>
            <w:sz w:val="12"/>
            <w:szCs w:val="12"/>
            <w:u w:val="single" w:color="auto"/>
            <w:color w:val="0000FF"/>
          </w:rPr>
          <w:t>Winnebago Industries, Inc. 2014 Omnibus Equity, Performance Award, and Incentive Compensation</w:t>
        </w:r>
      </w:hyperlink>
      <w:r>
        <w:rPr>
          <w:rFonts w:ascii="Arial" w:cs="Arial" w:eastAsia="Arial" w:hAnsi="Arial"/>
          <w:sz w:val="12"/>
          <w:szCs w:val="12"/>
          <w:u w:val="single" w:color="auto"/>
          <w:color w:val="0000FF"/>
        </w:rPr>
        <w:t xml:space="preserve"> </w:t>
      </w:r>
      <w:hyperlink r:id="rId100">
        <w:r>
          <w:rPr>
            <w:rFonts w:ascii="Arial" w:cs="Arial" w:eastAsia="Arial" w:hAnsi="Arial"/>
            <w:sz w:val="12"/>
            <w:szCs w:val="12"/>
            <w:u w:val="single" w:color="auto"/>
            <w:color w:val="0000FF"/>
          </w:rPr>
          <w:t>Plan previously filed as Appendix B with the Registrant's Proxy Statement for the Annual Meeting of</w:t>
        </w:r>
      </w:hyperlink>
      <w:r>
        <w:rPr>
          <w:rFonts w:ascii="Arial" w:cs="Arial" w:eastAsia="Arial" w:hAnsi="Arial"/>
          <w:sz w:val="12"/>
          <w:szCs w:val="12"/>
          <w:u w:val="single" w:color="auto"/>
          <w:color w:val="0000FF"/>
        </w:rPr>
        <w:t xml:space="preserve"> </w:t>
      </w:r>
      <w:hyperlink r:id="rId100">
        <w:r>
          <w:rPr>
            <w:rFonts w:ascii="Arial" w:cs="Arial" w:eastAsia="Arial" w:hAnsi="Arial"/>
            <w:sz w:val="12"/>
            <w:szCs w:val="12"/>
            <w:u w:val="single" w:color="auto"/>
            <w:color w:val="0000FF"/>
          </w:rPr>
          <w:t>Shareholders held on December 17, 2013 (Commission File Number 001-06403) and incorporated</w:t>
        </w:r>
      </w:hyperlink>
    </w:p>
    <w:p>
      <w:pPr>
        <w:spacing w:after="0" w:line="1" w:lineRule="exact"/>
        <w:rPr>
          <w:rFonts w:ascii="Arial" w:cs="Arial" w:eastAsia="Arial" w:hAnsi="Arial"/>
          <w:sz w:val="12"/>
          <w:szCs w:val="12"/>
          <w:u w:val="single" w:color="auto"/>
          <w:color w:val="0000FF"/>
        </w:rPr>
      </w:pPr>
    </w:p>
    <w:p>
      <w:pPr>
        <w:ind w:left="1480" w:hanging="275"/>
        <w:spacing w:after="0" w:line="219"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10.4 </w:t>
      </w:r>
      <w:hyperlink r:id="rId100">
        <w:r>
          <w:rPr>
            <w:rFonts w:ascii="Arial" w:cs="Arial" w:eastAsia="Arial" w:hAnsi="Arial"/>
            <w:sz w:val="13"/>
            <w:szCs w:val="13"/>
            <w:u w:val="single" w:color="auto"/>
            <w:color w:val="0000FF"/>
          </w:rPr>
          <w:t>by reference herein and the Supplement previously filed as Exhibit 10.1 with the Registrant's Current</w:t>
        </w:r>
      </w:hyperlink>
      <w:r>
        <w:rPr>
          <w:rFonts w:ascii="Arial" w:cs="Arial" w:eastAsia="Arial" w:hAnsi="Arial"/>
          <w:sz w:val="13"/>
          <w:szCs w:val="13"/>
          <w:color w:val="auto"/>
        </w:rPr>
        <w:t xml:space="preserve"> </w:t>
      </w:r>
      <w:hyperlink r:id="rId100">
        <w:r>
          <w:rPr>
            <w:rFonts w:ascii="Arial" w:cs="Arial" w:eastAsia="Arial" w:hAnsi="Arial"/>
            <w:sz w:val="13"/>
            <w:szCs w:val="13"/>
            <w:u w:val="single" w:color="auto"/>
            <w:color w:val="0000FF"/>
          </w:rPr>
          <w:t>Report on Form 8-K dated December 6, 2013 (Commission File Number 001-06403) and</w:t>
        </w:r>
      </w:hyperlink>
      <w:r>
        <w:rPr>
          <w:rFonts w:ascii="Arial" w:cs="Arial" w:eastAsia="Arial" w:hAnsi="Arial"/>
          <w:sz w:val="13"/>
          <w:szCs w:val="13"/>
          <w:u w:val="single" w:color="auto"/>
          <w:color w:val="0000FF"/>
        </w:rPr>
        <w:t xml:space="preserve"> </w:t>
      </w:r>
      <w:hyperlink r:id="rId100">
        <w:r>
          <w:rPr>
            <w:rFonts w:ascii="Arial" w:cs="Arial" w:eastAsia="Arial" w:hAnsi="Arial"/>
            <w:sz w:val="13"/>
            <w:szCs w:val="13"/>
            <w:u w:val="single" w:color="auto"/>
            <w:color w:val="0000FF"/>
          </w:rPr>
          <w:t>incorporated by reference herein.*</w:t>
        </w:r>
      </w:hyperlink>
    </w:p>
    <w:p>
      <w:pPr>
        <w:spacing w:after="0" w:line="130" w:lineRule="exact"/>
        <w:rPr>
          <w:rFonts w:ascii="Arial" w:cs="Arial" w:eastAsia="Arial" w:hAnsi="Arial"/>
          <w:sz w:val="13"/>
          <w:szCs w:val="13"/>
          <w:color w:val="auto"/>
        </w:rPr>
      </w:pPr>
    </w:p>
    <w:p>
      <w:pPr>
        <w:ind w:left="1200" w:right="200" w:firstLine="276"/>
        <w:spacing w:after="0" w:line="231" w:lineRule="auto"/>
        <w:rPr>
          <w:rFonts w:ascii="Arial" w:cs="Arial" w:eastAsia="Arial" w:hAnsi="Arial"/>
          <w:sz w:val="12"/>
          <w:szCs w:val="12"/>
          <w:color w:val="000000"/>
        </w:rPr>
      </w:pPr>
      <w:hyperlink r:id="rId101">
        <w:r>
          <w:rPr>
            <w:rFonts w:ascii="Arial" w:cs="Arial" w:eastAsia="Arial" w:hAnsi="Arial"/>
            <w:sz w:val="12"/>
            <w:szCs w:val="12"/>
            <w:u w:val="single" w:color="auto"/>
            <w:color w:val="0000FF"/>
          </w:rPr>
          <w:t>Winnebago Industries, Inc. 2019 Omnibus Incentive Plan, previously filed as Appendix A to the</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10.5 </w:t>
      </w:r>
      <w:hyperlink r:id="rId101">
        <w:r>
          <w:rPr>
            <w:rFonts w:ascii="Arial" w:cs="Arial" w:eastAsia="Arial" w:hAnsi="Arial"/>
            <w:sz w:val="12"/>
            <w:szCs w:val="12"/>
            <w:u w:val="single" w:color="auto"/>
            <w:color w:val="0000FF"/>
          </w:rPr>
          <w:t>Registrant's Definitive Proxy Statement on Schedule 14A filed on October 31, 2018 (Commission</w:t>
        </w:r>
      </w:hyperlink>
    </w:p>
    <w:p>
      <w:pPr>
        <w:spacing w:after="0" w:line="1" w:lineRule="exact"/>
        <w:rPr>
          <w:sz w:val="20"/>
          <w:szCs w:val="20"/>
          <w:color w:val="auto"/>
        </w:rPr>
      </w:pPr>
    </w:p>
    <w:p>
      <w:pPr>
        <w:ind w:left="1480"/>
        <w:spacing w:after="0"/>
        <w:rPr>
          <w:rFonts w:ascii="Arial" w:cs="Arial" w:eastAsia="Arial" w:hAnsi="Arial"/>
          <w:sz w:val="13"/>
          <w:szCs w:val="13"/>
          <w:color w:val="0000FF"/>
        </w:rPr>
      </w:pPr>
      <w:hyperlink r:id="rId101">
        <w:r>
          <w:rPr>
            <w:rFonts w:ascii="Arial" w:cs="Arial" w:eastAsia="Arial" w:hAnsi="Arial"/>
            <w:sz w:val="13"/>
            <w:szCs w:val="13"/>
            <w:u w:val="single" w:color="auto"/>
            <w:color w:val="0000FF"/>
          </w:rPr>
          <w:t>File Number 001-06403) and incorporated by reference herein.</w:t>
        </w:r>
        <w:r>
          <w:rPr>
            <w:rFonts w:ascii="Arial" w:cs="Arial" w:eastAsia="Arial" w:hAnsi="Arial"/>
            <w:sz w:val="13"/>
            <w:szCs w:val="13"/>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85725</wp:posOffset>
            </wp:positionV>
            <wp:extent cx="6616065" cy="269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116" w:lineRule="exact"/>
        <w:rPr>
          <w:sz w:val="20"/>
          <w:szCs w:val="20"/>
          <w:color w:val="auto"/>
        </w:rPr>
      </w:pPr>
    </w:p>
    <w:p>
      <w:pPr>
        <w:ind w:left="1200" w:firstLine="276"/>
        <w:spacing w:after="0" w:line="231" w:lineRule="auto"/>
        <w:rPr>
          <w:rFonts w:ascii="Arial" w:cs="Arial" w:eastAsia="Arial" w:hAnsi="Arial"/>
          <w:sz w:val="12"/>
          <w:szCs w:val="12"/>
          <w:color w:val="000000"/>
        </w:rPr>
      </w:pPr>
      <w:hyperlink r:id="rId103">
        <w:r>
          <w:rPr>
            <w:rFonts w:ascii="Arial" w:cs="Arial" w:eastAsia="Arial" w:hAnsi="Arial"/>
            <w:sz w:val="12"/>
            <w:szCs w:val="12"/>
            <w:u w:val="single" w:color="auto"/>
            <w:color w:val="0000FF"/>
          </w:rPr>
          <w:t>Winnebago Industries, Inc. Amended and Restated 2019 Omnibus Incentive Plan, previously filed as</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10.6 </w:t>
      </w:r>
      <w:hyperlink r:id="rId103">
        <w:r>
          <w:rPr>
            <w:rFonts w:ascii="Arial" w:cs="Arial" w:eastAsia="Arial" w:hAnsi="Arial"/>
            <w:sz w:val="12"/>
            <w:szCs w:val="12"/>
            <w:u w:val="single" w:color="auto"/>
            <w:color w:val="0000FF"/>
          </w:rPr>
          <w:t>Appendix A to the Registrant's Definitive Proxy Statement on Schedule 14A filed on November 3,</w:t>
        </w:r>
      </w:hyperlink>
    </w:p>
    <w:p>
      <w:pPr>
        <w:spacing w:after="0" w:line="1" w:lineRule="exact"/>
        <w:rPr>
          <w:sz w:val="20"/>
          <w:szCs w:val="20"/>
          <w:color w:val="auto"/>
        </w:rPr>
      </w:pPr>
    </w:p>
    <w:p>
      <w:pPr>
        <w:ind w:left="1480"/>
        <w:spacing w:after="0"/>
        <w:rPr>
          <w:rFonts w:ascii="Arial" w:cs="Arial" w:eastAsia="Arial" w:hAnsi="Arial"/>
          <w:sz w:val="13"/>
          <w:szCs w:val="13"/>
          <w:u w:val="single" w:color="auto"/>
          <w:color w:val="0000FF"/>
        </w:rPr>
      </w:pPr>
      <w:hyperlink r:id="rId103">
        <w:r>
          <w:rPr>
            <w:rFonts w:ascii="Arial" w:cs="Arial" w:eastAsia="Arial" w:hAnsi="Arial"/>
            <w:sz w:val="13"/>
            <w:szCs w:val="13"/>
            <w:u w:val="single" w:color="auto"/>
            <w:color w:val="0000FF"/>
          </w:rPr>
          <w:t>2023 (Commission File Number 001-06403) and incorporated by reference herein.*</w:t>
        </w:r>
      </w:hyperlink>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Filing Date</w:t>
            </w:r>
          </w:p>
        </w:tc>
        <w:tc>
          <w:tcPr>
            <w:tcW w:w="80" w:type="dxa"/>
            <w:vAlign w:val="bottom"/>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8"/>
              </w:rPr>
              <w:t>Filed Herewith</w:t>
            </w:r>
          </w:p>
        </w:tc>
      </w:tr>
      <w:tr>
        <w:trPr>
          <w:trHeight w:val="158"/>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01/05/2022</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0"/>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08/17/2023</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4a</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97"/>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07/09/2020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07/09/2020</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1"/>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10.B</w:t>
            </w:r>
          </w:p>
        </w:tc>
        <w:tc>
          <w:tcPr>
            <w:tcW w:w="1060" w:type="dxa"/>
            <w:vAlign w:val="bottom"/>
          </w:tcPr>
          <w:p>
            <w:pPr>
              <w:jc w:val="right"/>
              <w:spacing w:after="0"/>
              <w:rPr>
                <w:sz w:val="20"/>
                <w:szCs w:val="20"/>
                <w:color w:val="auto"/>
              </w:rPr>
            </w:pPr>
            <w:r>
              <w:rPr>
                <w:rFonts w:ascii="Arial" w:cs="Arial" w:eastAsia="Arial" w:hAnsi="Arial"/>
                <w:sz w:val="13"/>
                <w:szCs w:val="13"/>
                <w:color w:val="auto"/>
              </w:rPr>
              <w:t>11/22/1995</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10.I</w:t>
            </w:r>
          </w:p>
        </w:tc>
        <w:tc>
          <w:tcPr>
            <w:tcW w:w="1060" w:type="dxa"/>
            <w:vAlign w:val="bottom"/>
          </w:tcPr>
          <w:p>
            <w:pPr>
              <w:jc w:val="right"/>
              <w:spacing w:after="0"/>
              <w:rPr>
                <w:sz w:val="20"/>
                <w:szCs w:val="20"/>
                <w:color w:val="auto"/>
              </w:rPr>
            </w:pPr>
            <w:r>
              <w:rPr>
                <w:rFonts w:ascii="Arial" w:cs="Arial" w:eastAsia="Arial" w:hAnsi="Arial"/>
                <w:sz w:val="13"/>
                <w:szCs w:val="13"/>
                <w:color w:val="auto"/>
              </w:rPr>
              <w:t>04/09/2001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10.BB</w:t>
            </w:r>
          </w:p>
        </w:tc>
        <w:tc>
          <w:tcPr>
            <w:tcW w:w="1060" w:type="dxa"/>
            <w:vAlign w:val="bottom"/>
          </w:tcPr>
          <w:p>
            <w:pPr>
              <w:jc w:val="right"/>
              <w:spacing w:after="0"/>
              <w:rPr>
                <w:sz w:val="20"/>
                <w:szCs w:val="20"/>
                <w:color w:val="auto"/>
              </w:rPr>
            </w:pPr>
            <w:r>
              <w:rPr>
                <w:rFonts w:ascii="Arial" w:cs="Arial" w:eastAsia="Arial" w:hAnsi="Arial"/>
                <w:sz w:val="13"/>
                <w:szCs w:val="13"/>
                <w:color w:val="auto"/>
              </w:rPr>
              <w:t>10/25/2011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12/06/2013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3"/>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DEF 14A</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A</w:t>
            </w:r>
          </w:p>
        </w:tc>
        <w:tc>
          <w:tcPr>
            <w:tcW w:w="1060" w:type="dxa"/>
            <w:vAlign w:val="bottom"/>
          </w:tcPr>
          <w:p>
            <w:pPr>
              <w:jc w:val="right"/>
              <w:spacing w:after="0"/>
              <w:rPr>
                <w:sz w:val="20"/>
                <w:szCs w:val="20"/>
                <w:color w:val="auto"/>
              </w:rPr>
            </w:pPr>
            <w:r>
              <w:rPr>
                <w:rFonts w:ascii="Arial" w:cs="Arial" w:eastAsia="Arial" w:hAnsi="Arial"/>
                <w:sz w:val="13"/>
                <w:szCs w:val="13"/>
                <w:color w:val="auto"/>
              </w:rPr>
              <w:t>10/31/2018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88"/>
        </w:trPr>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DEF 14A</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A</w:t>
            </w:r>
          </w:p>
        </w:tc>
        <w:tc>
          <w:tcPr>
            <w:tcW w:w="1060" w:type="dxa"/>
            <w:vAlign w:val="bottom"/>
          </w:tcPr>
          <w:p>
            <w:pPr>
              <w:jc w:val="right"/>
              <w:spacing w:after="0"/>
              <w:rPr>
                <w:sz w:val="20"/>
                <w:szCs w:val="20"/>
                <w:color w:val="auto"/>
              </w:rPr>
            </w:pPr>
            <w:r>
              <w:rPr>
                <w:rFonts w:ascii="Arial" w:cs="Arial" w:eastAsia="Arial" w:hAnsi="Arial"/>
                <w:sz w:val="13"/>
                <w:szCs w:val="13"/>
                <w:color w:val="auto"/>
              </w:rPr>
              <w:t>11/03/2023</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21" w:lineRule="exact"/>
        <w:rPr>
          <w:sz w:val="20"/>
          <w:szCs w:val="20"/>
          <w:color w:val="auto"/>
        </w:rPr>
      </w:pPr>
    </w:p>
    <w:p>
      <w:pPr>
        <w:sectPr>
          <w:pgSz w:w="11900" w:h="16838" w:orient="portrait"/>
          <w:cols w:equalWidth="0" w:num="2">
            <w:col w:w="7140" w:space="120"/>
            <w:col w:w="3820"/>
          </w:cols>
          <w:pgMar w:left="300" w:top="129" w:right="519" w:bottom="1440" w:gutter="0" w:footer="0" w:header="0"/>
          <w:type w:val="continuous"/>
        </w:sect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129" w:right="51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12700</wp:posOffset>
            </wp:positionV>
            <wp:extent cx="422402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4224020" cy="6985"/>
                    </a:xfrm>
                    <a:prstGeom prst="rect">
                      <a:avLst/>
                    </a:prstGeom>
                    <a:noFill/>
                  </pic:spPr>
                </pic:pic>
              </a:graphicData>
            </a:graphic>
          </wp:anchor>
        </w:drawing>
      </w:r>
    </w:p>
    <w:p>
      <w:pPr>
        <w:spacing w:after="0" w:line="11" w:lineRule="exact"/>
        <w:rPr>
          <w:sz w:val="20"/>
          <w:szCs w:val="20"/>
          <w:color w:val="auto"/>
        </w:rPr>
      </w:pPr>
    </w:p>
    <w:p>
      <w:pPr>
        <w:ind w:left="960" w:right="360" w:firstLine="276"/>
        <w:spacing w:after="0" w:line="231" w:lineRule="auto"/>
        <w:rPr>
          <w:rFonts w:ascii="Arial" w:cs="Arial" w:eastAsia="Arial" w:hAnsi="Arial"/>
          <w:sz w:val="12"/>
          <w:szCs w:val="12"/>
          <w:color w:val="000000"/>
        </w:rPr>
      </w:pPr>
      <w:hyperlink r:id="rId106">
        <w:r>
          <w:rPr>
            <w:rFonts w:ascii="Arial" w:cs="Arial" w:eastAsia="Arial" w:hAnsi="Arial"/>
            <w:sz w:val="12"/>
            <w:szCs w:val="12"/>
            <w:u w:val="single" w:color="auto"/>
            <w:color w:val="0000FF"/>
          </w:rPr>
          <w:t>Winnebago Industries, Inc. Employee Stock Purchase Plan as Amended on May 17, 2023 and</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10.7 </w:t>
      </w:r>
      <w:hyperlink r:id="rId106">
        <w:r>
          <w:rPr>
            <w:rFonts w:ascii="Arial" w:cs="Arial" w:eastAsia="Arial" w:hAnsi="Arial"/>
            <w:sz w:val="12"/>
            <w:szCs w:val="12"/>
            <w:u w:val="single" w:color="auto"/>
            <w:color w:val="0000FF"/>
          </w:rPr>
          <w:t>previously filed as Appendix B to the Registrant's Proxy Statement on Schedule 14A filed on</w:t>
        </w:r>
      </w:hyperlink>
    </w:p>
    <w:p>
      <w:pPr>
        <w:spacing w:after="0" w:line="1" w:lineRule="exact"/>
        <w:rPr>
          <w:sz w:val="20"/>
          <w:szCs w:val="20"/>
          <w:color w:val="auto"/>
        </w:rPr>
      </w:pPr>
    </w:p>
    <w:p>
      <w:pPr>
        <w:ind w:left="1220"/>
        <w:spacing w:after="0"/>
        <w:rPr>
          <w:rFonts w:ascii="Arial" w:cs="Arial" w:eastAsia="Arial" w:hAnsi="Arial"/>
          <w:sz w:val="13"/>
          <w:szCs w:val="13"/>
          <w:u w:val="single" w:color="auto"/>
          <w:color w:val="0000FF"/>
        </w:rPr>
      </w:pPr>
      <w:hyperlink r:id="rId106">
        <w:r>
          <w:rPr>
            <w:rFonts w:ascii="Arial" w:cs="Arial" w:eastAsia="Arial" w:hAnsi="Arial"/>
            <w:sz w:val="13"/>
            <w:szCs w:val="13"/>
            <w:u w:val="single" w:color="auto"/>
            <w:color w:val="0000FF"/>
          </w:rPr>
          <w:t>November 3, 2023 (Commission File Number 001-06403) and incorporated by reference 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5080</wp:posOffset>
            </wp:positionV>
            <wp:extent cx="6616065" cy="7543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616065" cy="754380"/>
                    </a:xfrm>
                    <a:prstGeom prst="rect">
                      <a:avLst/>
                    </a:prstGeom>
                    <a:noFill/>
                  </pic:spPr>
                </pic:pic>
              </a:graphicData>
            </a:graphic>
          </wp:anchor>
        </w:drawing>
      </w:r>
    </w:p>
    <w:p>
      <w:pPr>
        <w:ind w:left="1220" w:right="160"/>
        <w:spacing w:after="0" w:line="226" w:lineRule="auto"/>
        <w:rPr>
          <w:rFonts w:ascii="Arial" w:cs="Arial" w:eastAsia="Arial" w:hAnsi="Arial"/>
          <w:sz w:val="12"/>
          <w:szCs w:val="12"/>
          <w:u w:val="single" w:color="auto"/>
          <w:color w:val="0000FF"/>
        </w:rPr>
      </w:pPr>
      <w:hyperlink r:id="rId108">
        <w:r>
          <w:rPr>
            <w:rFonts w:ascii="Arial" w:cs="Arial" w:eastAsia="Arial" w:hAnsi="Arial"/>
            <w:sz w:val="12"/>
            <w:szCs w:val="12"/>
            <w:u w:val="single" w:color="auto"/>
            <w:color w:val="0000FF"/>
          </w:rPr>
          <w:t>Winnebago Industries, Inc. Directors' Deferred Compensation Plan previously filed as Exhibit 10.E</w:t>
        </w:r>
      </w:hyperlink>
      <w:r>
        <w:rPr>
          <w:rFonts w:ascii="Arial" w:cs="Arial" w:eastAsia="Arial" w:hAnsi="Arial"/>
          <w:sz w:val="12"/>
          <w:szCs w:val="12"/>
          <w:u w:val="single" w:color="auto"/>
          <w:color w:val="0000FF"/>
        </w:rPr>
        <w:t xml:space="preserve"> </w:t>
      </w:r>
      <w:hyperlink r:id="rId108">
        <w:r>
          <w:rPr>
            <w:rFonts w:ascii="Arial" w:cs="Arial" w:eastAsia="Arial" w:hAnsi="Arial"/>
            <w:sz w:val="12"/>
            <w:szCs w:val="12"/>
            <w:u w:val="single" w:color="auto"/>
            <w:color w:val="0000FF"/>
          </w:rPr>
          <w:t>with the Registrant's Annual Report on Form 10-K for the fiscal year ended August 30, 1997</w:t>
        </w:r>
      </w:hyperlink>
      <w:r>
        <w:rPr>
          <w:rFonts w:ascii="Arial" w:cs="Arial" w:eastAsia="Arial" w:hAnsi="Arial"/>
          <w:sz w:val="12"/>
          <w:szCs w:val="12"/>
          <w:u w:val="single" w:color="auto"/>
          <w:color w:val="0000FF"/>
        </w:rPr>
        <w:t xml:space="preserve"> </w:t>
      </w:r>
      <w:hyperlink r:id="rId108">
        <w:r>
          <w:rPr>
            <w:rFonts w:ascii="Arial" w:cs="Arial" w:eastAsia="Arial" w:hAnsi="Arial"/>
            <w:sz w:val="12"/>
            <w:szCs w:val="12"/>
            <w:u w:val="single" w:color="auto"/>
            <w:color w:val="0000FF"/>
          </w:rPr>
          <w:t>(Commission File Number 001-06403), and incorporated by reference herein and the Amendment</w:t>
        </w:r>
      </w:hyperlink>
      <w:r>
        <w:rPr>
          <w:rFonts w:ascii="Arial" w:cs="Arial" w:eastAsia="Arial" w:hAnsi="Arial"/>
          <w:sz w:val="12"/>
          <w:szCs w:val="12"/>
          <w:u w:val="single" w:color="auto"/>
          <w:color w:val="0000FF"/>
        </w:rPr>
        <w:t xml:space="preserve"> </w:t>
      </w:r>
      <w:hyperlink r:id="rId108">
        <w:r>
          <w:rPr>
            <w:rFonts w:ascii="Arial" w:cs="Arial" w:eastAsia="Arial" w:hAnsi="Arial"/>
            <w:sz w:val="12"/>
            <w:szCs w:val="12"/>
            <w:u w:val="single" w:color="auto"/>
            <w:color w:val="0000FF"/>
          </w:rPr>
          <w:t>dated October 15, 2003 previously filed as Exhibit 10.H with the Registrant's Quarterly Report on</w:t>
        </w:r>
      </w:hyperlink>
    </w:p>
    <w:p>
      <w:pPr>
        <w:spacing w:after="0" w:line="2" w:lineRule="exact"/>
        <w:rPr>
          <w:rFonts w:ascii="Arial" w:cs="Arial" w:eastAsia="Arial" w:hAnsi="Arial"/>
          <w:sz w:val="12"/>
          <w:szCs w:val="12"/>
          <w:u w:val="single" w:color="auto"/>
          <w:color w:val="0000FF"/>
        </w:rPr>
      </w:pPr>
    </w:p>
    <w:p>
      <w:pPr>
        <w:ind w:left="1220" w:right="160" w:hanging="275"/>
        <w:spacing w:after="0" w:line="233"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10.8 </w:t>
      </w:r>
      <w:hyperlink r:id="rId108">
        <w:r>
          <w:rPr>
            <w:rFonts w:ascii="Arial" w:cs="Arial" w:eastAsia="Arial" w:hAnsi="Arial"/>
            <w:sz w:val="12"/>
            <w:szCs w:val="12"/>
            <w:u w:val="single" w:color="auto"/>
            <w:color w:val="0000FF"/>
          </w:rPr>
          <w:t>Form 10-Q for the quarter ended November 29, 2003 (Commission File Number 001-06403) and</w:t>
        </w:r>
      </w:hyperlink>
      <w:r>
        <w:rPr>
          <w:rFonts w:ascii="Arial" w:cs="Arial" w:eastAsia="Arial" w:hAnsi="Arial"/>
          <w:sz w:val="12"/>
          <w:szCs w:val="12"/>
          <w:color w:val="auto"/>
        </w:rPr>
        <w:t xml:space="preserve"> </w:t>
      </w:r>
      <w:hyperlink r:id="rId108">
        <w:r>
          <w:rPr>
            <w:rFonts w:ascii="Arial" w:cs="Arial" w:eastAsia="Arial" w:hAnsi="Arial"/>
            <w:sz w:val="12"/>
            <w:szCs w:val="12"/>
            <w:u w:val="single" w:color="auto"/>
            <w:color w:val="0000FF"/>
          </w:rPr>
          <w:t>incorporated by reference herein and the Amendment dated October 11, 2006 previously filed as</w:t>
        </w:r>
      </w:hyperlink>
      <w:r>
        <w:rPr>
          <w:rFonts w:ascii="Arial" w:cs="Arial" w:eastAsia="Arial" w:hAnsi="Arial"/>
          <w:sz w:val="12"/>
          <w:szCs w:val="12"/>
          <w:u w:val="single" w:color="auto"/>
          <w:color w:val="0000FF"/>
        </w:rPr>
        <w:t xml:space="preserve"> </w:t>
      </w:r>
      <w:hyperlink r:id="rId108">
        <w:r>
          <w:rPr>
            <w:rFonts w:ascii="Arial" w:cs="Arial" w:eastAsia="Arial" w:hAnsi="Arial"/>
            <w:sz w:val="12"/>
            <w:szCs w:val="12"/>
            <w:u w:val="single" w:color="auto"/>
            <w:color w:val="0000FF"/>
          </w:rPr>
          <w:t>Exhibit 10.B with the Registrant's Quarterly Report on Form 10-Q for the quarter ended November</w:t>
        </w:r>
      </w:hyperlink>
      <w:r>
        <w:rPr>
          <w:rFonts w:ascii="Arial" w:cs="Arial" w:eastAsia="Arial" w:hAnsi="Arial"/>
          <w:sz w:val="12"/>
          <w:szCs w:val="12"/>
          <w:u w:val="single" w:color="auto"/>
          <w:color w:val="0000FF"/>
        </w:rPr>
        <w:t xml:space="preserve"> </w:t>
      </w:r>
      <w:hyperlink r:id="rId108">
        <w:r>
          <w:rPr>
            <w:rFonts w:ascii="Arial" w:cs="Arial" w:eastAsia="Arial" w:hAnsi="Arial"/>
            <w:sz w:val="12"/>
            <w:szCs w:val="12"/>
            <w:u w:val="single" w:color="auto"/>
            <w:color w:val="0000FF"/>
          </w:rPr>
          <w:t>25, 2006 (Commission File Number 001-06403) and the Amendment dated July 1, 2013.*</w:t>
        </w:r>
      </w:hyperlink>
    </w:p>
    <w:p>
      <w:pPr>
        <w:spacing w:after="0" w:line="22" w:lineRule="exact"/>
        <w:rPr>
          <w:rFonts w:ascii="Arial" w:cs="Arial" w:eastAsia="Arial" w:hAnsi="Arial"/>
          <w:sz w:val="12"/>
          <w:szCs w:val="12"/>
          <w:u w:val="single" w:color="auto"/>
          <w:color w:val="0000FF"/>
        </w:rPr>
      </w:pPr>
    </w:p>
    <w:p>
      <w:pPr>
        <w:ind w:left="960"/>
        <w:spacing w:after="0"/>
        <w:rPr>
          <w:sz w:val="20"/>
          <w:szCs w:val="20"/>
          <w:color w:val="auto"/>
        </w:rPr>
      </w:pPr>
      <w:r>
        <w:rPr>
          <w:rFonts w:ascii="Arial" w:cs="Arial" w:eastAsia="Arial" w:hAnsi="Arial"/>
          <w:sz w:val="24"/>
          <w:szCs w:val="24"/>
          <w:color w:val="000000"/>
          <w:vertAlign w:val="subscript"/>
        </w:rPr>
        <w:t>10.9</w:t>
      </w:r>
      <w:r>
        <w:rPr>
          <w:rFonts w:ascii="Arial" w:cs="Arial" w:eastAsia="Arial" w:hAnsi="Arial"/>
          <w:sz w:val="12"/>
          <w:szCs w:val="12"/>
          <w:color w:val="0000FF"/>
        </w:rPr>
        <w:t xml:space="preserve"> </w:t>
      </w:r>
      <w:r>
        <w:rPr>
          <w:rFonts w:ascii="Arial" w:cs="Arial" w:eastAsia="Arial" w:hAnsi="Arial"/>
          <w:sz w:val="12"/>
          <w:szCs w:val="12"/>
          <w:u w:val="single" w:color="auto"/>
          <w:color w:val="0000FF"/>
        </w:rPr>
        <w:t>Winnebago Industries, Inc. Directors' Deferred Compensation Plan, as Amended on May 17, 2023.*</w:t>
      </w:r>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82550</wp:posOffset>
            </wp:positionV>
            <wp:extent cx="6616065" cy="431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6616065" cy="431165"/>
                    </a:xfrm>
                    <a:prstGeom prst="rect">
                      <a:avLst/>
                    </a:prstGeom>
                    <a:noFill/>
                  </pic:spPr>
                </pic:pic>
              </a:graphicData>
            </a:graphic>
          </wp:anchor>
        </w:drawing>
      </w:r>
    </w:p>
    <w:p>
      <w:pPr>
        <w:spacing w:after="0" w:line="110" w:lineRule="exact"/>
        <w:rPr>
          <w:rFonts w:ascii="Arial" w:cs="Arial" w:eastAsia="Arial" w:hAnsi="Arial"/>
          <w:sz w:val="12"/>
          <w:szCs w:val="12"/>
          <w:u w:val="single" w:color="auto"/>
          <w:color w:val="0000FF"/>
        </w:rPr>
      </w:pPr>
    </w:p>
    <w:p>
      <w:pPr>
        <w:ind w:left="1220"/>
        <w:spacing w:after="0" w:line="214" w:lineRule="auto"/>
        <w:rPr>
          <w:rFonts w:ascii="Arial" w:cs="Arial" w:eastAsia="Arial" w:hAnsi="Arial"/>
          <w:sz w:val="13"/>
          <w:szCs w:val="13"/>
          <w:u w:val="single" w:color="auto"/>
          <w:color w:val="0000FF"/>
        </w:rPr>
      </w:pPr>
      <w:hyperlink r:id="rId95">
        <w:r>
          <w:rPr>
            <w:rFonts w:ascii="Arial" w:cs="Arial" w:eastAsia="Arial" w:hAnsi="Arial"/>
            <w:sz w:val="13"/>
            <w:szCs w:val="13"/>
            <w:u w:val="single" w:color="auto"/>
            <w:color w:val="0000FF"/>
          </w:rPr>
          <w:t>Winnebago Industries, Inc. Profit Sharing and Deferred Savings Investment Plan previously filed with</w:t>
        </w:r>
      </w:hyperlink>
      <w:r>
        <w:rPr>
          <w:rFonts w:ascii="Arial" w:cs="Arial" w:eastAsia="Arial" w:hAnsi="Arial"/>
          <w:sz w:val="13"/>
          <w:szCs w:val="13"/>
          <w:u w:val="single" w:color="auto"/>
          <w:color w:val="0000FF"/>
        </w:rPr>
        <w:t xml:space="preserve"> </w:t>
      </w:r>
      <w:hyperlink r:id="rId95">
        <w:r>
          <w:rPr>
            <w:rFonts w:ascii="Arial" w:cs="Arial" w:eastAsia="Arial" w:hAnsi="Arial"/>
            <w:sz w:val="13"/>
            <w:szCs w:val="13"/>
            <w:u w:val="single" w:color="auto"/>
            <w:color w:val="0000FF"/>
          </w:rPr>
          <w:t>the Registrant's Annual Report on Form 10-K for the fiscal year ended August 31, 1985</w:t>
        </w:r>
      </w:hyperlink>
    </w:p>
    <w:p>
      <w:pPr>
        <w:ind w:left="1220" w:right="140" w:hanging="346"/>
        <w:spacing w:after="0" w:line="22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10.10 </w:t>
      </w:r>
      <w:hyperlink r:id="rId95">
        <w:r>
          <w:rPr>
            <w:rFonts w:ascii="Arial" w:cs="Arial" w:eastAsia="Arial" w:hAnsi="Arial"/>
            <w:sz w:val="13"/>
            <w:szCs w:val="13"/>
            <w:u w:val="single" w:color="auto"/>
            <w:color w:val="0000FF"/>
          </w:rPr>
          <w:t>(Commission File Number 001-06403), and incorporated by reference herein, and the Amendment</w:t>
        </w:r>
      </w:hyperlink>
      <w:r>
        <w:rPr>
          <w:rFonts w:ascii="Arial" w:cs="Arial" w:eastAsia="Arial" w:hAnsi="Arial"/>
          <w:sz w:val="13"/>
          <w:szCs w:val="13"/>
          <w:color w:val="auto"/>
        </w:rPr>
        <w:t xml:space="preserve"> </w:t>
      </w:r>
      <w:hyperlink r:id="rId95">
        <w:r>
          <w:rPr>
            <w:rFonts w:ascii="Arial" w:cs="Arial" w:eastAsia="Arial" w:hAnsi="Arial"/>
            <w:sz w:val="13"/>
            <w:szCs w:val="13"/>
            <w:u w:val="single" w:color="auto"/>
            <w:color w:val="0000FF"/>
          </w:rPr>
          <w:t>dated July 1, 1995 and incorporated by reference herein.*</w:t>
        </w:r>
      </w:hyperlink>
    </w:p>
    <w:p>
      <w:pPr>
        <w:spacing w:after="0" w:line="131" w:lineRule="exact"/>
        <w:rPr>
          <w:sz w:val="20"/>
          <w:szCs w:val="20"/>
          <w:color w:val="auto"/>
        </w:rPr>
      </w:pPr>
    </w:p>
    <w:p>
      <w:pPr>
        <w:ind w:left="900" w:right="220" w:firstLine="337"/>
        <w:spacing w:after="0" w:line="272" w:lineRule="auto"/>
        <w:rPr>
          <w:rFonts w:ascii="Arial" w:cs="Arial" w:eastAsia="Arial" w:hAnsi="Arial"/>
          <w:sz w:val="12"/>
          <w:szCs w:val="12"/>
          <w:color w:val="000000"/>
        </w:rPr>
      </w:pPr>
      <w:hyperlink r:id="rId110">
        <w:r>
          <w:rPr>
            <w:rFonts w:ascii="Arial" w:cs="Arial" w:eastAsia="Arial" w:hAnsi="Arial"/>
            <w:sz w:val="12"/>
            <w:szCs w:val="12"/>
            <w:u w:val="single" w:color="auto"/>
            <w:color w:val="0000FF"/>
          </w:rPr>
          <w:t>Form of Non-Qualified Stock Option Agreement under Winnebago Industries, Inc. 2014 Omnibus</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10.11 </w:t>
      </w:r>
      <w:hyperlink r:id="rId110">
        <w:r>
          <w:rPr>
            <w:rFonts w:ascii="Arial" w:cs="Arial" w:eastAsia="Arial" w:hAnsi="Arial"/>
            <w:sz w:val="12"/>
            <w:szCs w:val="12"/>
            <w:u w:val="single" w:color="auto"/>
            <w:color w:val="0000FF"/>
          </w:rPr>
          <w:t>Equity, Performance Award, and Incentive Compensation Plan (Fiscal 2019 awards and later).</w:t>
        </w:r>
        <w:r>
          <w:rPr>
            <w:rFonts w:ascii="Arial" w:cs="Arial" w:eastAsia="Arial" w:hAnsi="Arial"/>
            <w:sz w:val="12"/>
            <w:szCs w:val="12"/>
            <w:u w:val="single" w:color="auto"/>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71120</wp:posOffset>
            </wp:positionV>
            <wp:extent cx="6616065" cy="269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92" w:lineRule="exact"/>
        <w:rPr>
          <w:sz w:val="20"/>
          <w:szCs w:val="20"/>
          <w:color w:val="auto"/>
        </w:rPr>
      </w:pPr>
    </w:p>
    <w:p>
      <w:pPr>
        <w:ind w:left="880" w:right="220" w:firstLine="347"/>
        <w:spacing w:after="0" w:line="272" w:lineRule="auto"/>
        <w:rPr>
          <w:rFonts w:ascii="Arial" w:cs="Arial" w:eastAsia="Arial" w:hAnsi="Arial"/>
          <w:sz w:val="12"/>
          <w:szCs w:val="12"/>
          <w:color w:val="000000"/>
        </w:rPr>
      </w:pPr>
      <w:hyperlink r:id="rId112">
        <w:r>
          <w:rPr>
            <w:rFonts w:ascii="Arial" w:cs="Arial" w:eastAsia="Arial" w:hAnsi="Arial"/>
            <w:sz w:val="12"/>
            <w:szCs w:val="12"/>
            <w:u w:val="single" w:color="auto"/>
            <w:color w:val="0000FF"/>
          </w:rPr>
          <w:t>Form of Non-Qualified Stock Option Agreement under Winnebago Industries, Inc. 2019 Omnibus</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10.12 </w:t>
      </w:r>
      <w:hyperlink r:id="rId112">
        <w:r>
          <w:rPr>
            <w:rFonts w:ascii="Arial" w:cs="Arial" w:eastAsia="Arial" w:hAnsi="Arial"/>
            <w:sz w:val="12"/>
            <w:szCs w:val="12"/>
            <w:u w:val="single" w:color="auto"/>
            <w:color w:val="0000FF"/>
          </w:rPr>
          <w:t>Equity, Performance Award, and Incentive Compensation Plan (Fiscal 2022 awards and later).</w:t>
        </w:r>
        <w:r>
          <w:rPr>
            <w:rFonts w:ascii="Arial" w:cs="Arial" w:eastAsia="Arial" w:hAnsi="Arial"/>
            <w:sz w:val="12"/>
            <w:szCs w:val="12"/>
            <w:u w:val="single" w:color="auto"/>
            <w:color w:val="3051F2"/>
          </w:rPr>
          <w:t>*</w:t>
        </w:r>
      </w:hyperlink>
    </w:p>
    <w:p>
      <w:pPr>
        <w:spacing w:after="0" w:line="112" w:lineRule="exact"/>
        <w:rPr>
          <w:sz w:val="20"/>
          <w:szCs w:val="20"/>
          <w:color w:val="auto"/>
        </w:rPr>
      </w:pPr>
    </w:p>
    <w:p>
      <w:pPr>
        <w:ind w:left="880" w:right="220" w:firstLine="347"/>
        <w:spacing w:after="0" w:line="272" w:lineRule="auto"/>
        <w:rPr>
          <w:rFonts w:ascii="Arial" w:cs="Arial" w:eastAsia="Arial" w:hAnsi="Arial"/>
          <w:sz w:val="12"/>
          <w:szCs w:val="12"/>
          <w:color w:val="000000"/>
        </w:rPr>
      </w:pPr>
      <w:hyperlink r:id="rId113">
        <w:r>
          <w:rPr>
            <w:rFonts w:ascii="Arial" w:cs="Arial" w:eastAsia="Arial" w:hAnsi="Arial"/>
            <w:sz w:val="12"/>
            <w:szCs w:val="12"/>
            <w:u w:val="single" w:color="auto"/>
            <w:color w:val="0000FF"/>
          </w:rPr>
          <w:t>Form of Non-Qualified Stock Option Agreement under Winnebago Industries, Inc. 2019 Omnibus</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10.13 </w:t>
      </w:r>
      <w:hyperlink r:id="rId113">
        <w:r>
          <w:rPr>
            <w:rFonts w:ascii="Arial" w:cs="Arial" w:eastAsia="Arial" w:hAnsi="Arial"/>
            <w:sz w:val="12"/>
            <w:szCs w:val="12"/>
            <w:u w:val="single" w:color="auto"/>
            <w:color w:val="0000FF"/>
          </w:rPr>
          <w:t>Equity, Performance Award, and Incentive Compensation Plan (Fiscal 2023 awards and later).</w:t>
        </w:r>
        <w:r>
          <w:rPr>
            <w:rFonts w:ascii="Arial" w:cs="Arial" w:eastAsia="Arial" w:hAnsi="Arial"/>
            <w:sz w:val="12"/>
            <w:szCs w:val="12"/>
            <w:u w:val="single" w:color="auto"/>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71120</wp:posOffset>
            </wp:positionV>
            <wp:extent cx="6616065" cy="269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92" w:lineRule="exact"/>
        <w:rPr>
          <w:sz w:val="20"/>
          <w:szCs w:val="20"/>
          <w:color w:val="auto"/>
        </w:rPr>
      </w:pPr>
    </w:p>
    <w:p>
      <w:pPr>
        <w:ind w:left="880" w:right="220" w:firstLine="347"/>
        <w:spacing w:after="0" w:line="272" w:lineRule="auto"/>
        <w:rPr>
          <w:rFonts w:ascii="Arial" w:cs="Arial" w:eastAsia="Arial" w:hAnsi="Arial"/>
          <w:sz w:val="12"/>
          <w:szCs w:val="12"/>
          <w:color w:val="000000"/>
        </w:rPr>
      </w:pPr>
      <w:hyperlink r:id="rId115">
        <w:r>
          <w:rPr>
            <w:rFonts w:ascii="Arial" w:cs="Arial" w:eastAsia="Arial" w:hAnsi="Arial"/>
            <w:sz w:val="12"/>
            <w:szCs w:val="12"/>
            <w:u w:val="single" w:color="auto"/>
            <w:color w:val="0000FF"/>
          </w:rPr>
          <w:t>Form of Non-Qualified Stock Option Agreement under Winnebago Industries, Inc. 2019 Omnibus</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10.14 </w:t>
      </w:r>
      <w:hyperlink r:id="rId115">
        <w:r>
          <w:rPr>
            <w:rFonts w:ascii="Arial" w:cs="Arial" w:eastAsia="Arial" w:hAnsi="Arial"/>
            <w:sz w:val="12"/>
            <w:szCs w:val="12"/>
            <w:u w:val="single" w:color="auto"/>
            <w:color w:val="0000FF"/>
          </w:rPr>
          <w:t>Equity, Performance Award, and Incentive Compensation Plan (Fiscal 2024 awards and later).</w:t>
        </w:r>
        <w:r>
          <w:rPr>
            <w:rFonts w:ascii="Arial" w:cs="Arial" w:eastAsia="Arial" w:hAnsi="Arial"/>
            <w:sz w:val="12"/>
            <w:szCs w:val="12"/>
            <w:u w:val="single" w:color="auto"/>
            <w:color w:val="3051F2"/>
          </w:rPr>
          <w:t>*</w:t>
        </w:r>
      </w:hyperlink>
    </w:p>
    <w:p>
      <w:pPr>
        <w:spacing w:after="0" w:line="112" w:lineRule="exact"/>
        <w:rPr>
          <w:sz w:val="20"/>
          <w:szCs w:val="20"/>
          <w:color w:val="auto"/>
        </w:rPr>
      </w:pPr>
    </w:p>
    <w:p>
      <w:pPr>
        <w:ind w:left="880" w:right="260" w:firstLine="347"/>
        <w:spacing w:after="0" w:line="236" w:lineRule="auto"/>
        <w:rPr>
          <w:sz w:val="20"/>
          <w:szCs w:val="20"/>
          <w:color w:val="auto"/>
        </w:rPr>
      </w:pPr>
      <w:r>
        <w:rPr>
          <w:rFonts w:ascii="Arial" w:cs="Arial" w:eastAsia="Arial" w:hAnsi="Arial"/>
          <w:sz w:val="13"/>
          <w:szCs w:val="13"/>
          <w:u w:val="single" w:color="auto"/>
          <w:color w:val="0000FF"/>
        </w:rPr>
        <w:t xml:space="preserve">Form of Non-Qualified Stock Option Agreement under Winnebago Industries, Inc. Amended and </w:t>
      </w:r>
      <w:r>
        <w:rPr>
          <w:rFonts w:ascii="Arial" w:cs="Arial" w:eastAsia="Arial" w:hAnsi="Arial"/>
          <w:sz w:val="13"/>
          <w:szCs w:val="13"/>
          <w:color w:val="000000"/>
        </w:rPr>
        <w:t xml:space="preserve">10.15 </w:t>
      </w:r>
      <w:r>
        <w:rPr>
          <w:rFonts w:ascii="Arial" w:cs="Arial" w:eastAsia="Arial" w:hAnsi="Arial"/>
          <w:sz w:val="13"/>
          <w:szCs w:val="13"/>
          <w:u w:val="single" w:color="auto"/>
          <w:color w:val="0000FF"/>
        </w:rPr>
        <w:t>Restated 2019 Omnibus Incentive Plan (Fiscal 2025 awards and later).</w:t>
      </w:r>
      <w:r>
        <w:rPr>
          <w:rFonts w:ascii="Arial" w:cs="Arial" w:eastAsia="Arial" w:hAnsi="Arial"/>
          <w:sz w:val="13"/>
          <w:szCs w:val="13"/>
          <w:color w:val="3051F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82550</wp:posOffset>
            </wp:positionV>
            <wp:extent cx="6616065" cy="3505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110" w:lineRule="exact"/>
        <w:rPr>
          <w:sz w:val="20"/>
          <w:szCs w:val="20"/>
          <w:color w:val="auto"/>
        </w:rPr>
      </w:pPr>
    </w:p>
    <w:p>
      <w:pPr>
        <w:ind w:left="880" w:right="120" w:firstLine="347"/>
        <w:spacing w:after="0" w:line="231" w:lineRule="auto"/>
        <w:rPr>
          <w:rFonts w:ascii="Arial" w:cs="Arial" w:eastAsia="Arial" w:hAnsi="Arial"/>
          <w:sz w:val="12"/>
          <w:szCs w:val="12"/>
          <w:color w:val="000000"/>
        </w:rPr>
      </w:pPr>
      <w:hyperlink r:id="rId117">
        <w:r>
          <w:rPr>
            <w:rFonts w:ascii="Arial" w:cs="Arial" w:eastAsia="Arial" w:hAnsi="Arial"/>
            <w:sz w:val="12"/>
            <w:szCs w:val="12"/>
            <w:u w:val="single" w:color="auto"/>
            <w:color w:val="0000FF"/>
          </w:rPr>
          <w:t>Form of Restricted Stock Unit Award Agreement (Executives) under Winnebago Industries, Inc.</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10.16 </w:t>
      </w:r>
      <w:hyperlink r:id="rId117">
        <w:r>
          <w:rPr>
            <w:rFonts w:ascii="Arial" w:cs="Arial" w:eastAsia="Arial" w:hAnsi="Arial"/>
            <w:sz w:val="12"/>
            <w:szCs w:val="12"/>
            <w:u w:val="single" w:color="auto"/>
            <w:color w:val="0000FF"/>
          </w:rPr>
          <w:t>2019 Omnibus Equity, Performance Award, and Incentive Compensation Plan (Fiscal 2022 awards</w:t>
        </w:r>
      </w:hyperlink>
    </w:p>
    <w:p>
      <w:pPr>
        <w:spacing w:after="0" w:line="1" w:lineRule="exact"/>
        <w:rPr>
          <w:sz w:val="20"/>
          <w:szCs w:val="20"/>
          <w:color w:val="auto"/>
        </w:rPr>
      </w:pPr>
    </w:p>
    <w:p>
      <w:pPr>
        <w:ind w:left="1220"/>
        <w:spacing w:after="0"/>
        <w:rPr>
          <w:rFonts w:ascii="Arial" w:cs="Arial" w:eastAsia="Arial" w:hAnsi="Arial"/>
          <w:sz w:val="13"/>
          <w:szCs w:val="13"/>
          <w:color w:val="0000FF"/>
        </w:rPr>
      </w:pPr>
      <w:hyperlink r:id="rId117">
        <w:r>
          <w:rPr>
            <w:rFonts w:ascii="Arial" w:cs="Arial" w:eastAsia="Arial" w:hAnsi="Arial"/>
            <w:sz w:val="13"/>
            <w:szCs w:val="13"/>
            <w:u w:val="single" w:color="auto"/>
            <w:color w:val="0000FF"/>
          </w:rPr>
          <w:t>and later).</w:t>
        </w:r>
        <w:r>
          <w:rPr>
            <w:rFonts w:ascii="Arial" w:cs="Arial" w:eastAsia="Arial" w:hAnsi="Arial"/>
            <w:sz w:val="13"/>
            <w:szCs w:val="13"/>
            <w:color w:val="3051F2"/>
          </w:rPr>
          <w:t>*</w:t>
        </w:r>
      </w:hyperlink>
    </w:p>
    <w:p>
      <w:pPr>
        <w:spacing w:after="0" w:line="136" w:lineRule="exact"/>
        <w:rPr>
          <w:sz w:val="20"/>
          <w:szCs w:val="20"/>
          <w:color w:val="auto"/>
        </w:rPr>
      </w:pPr>
    </w:p>
    <w:p>
      <w:pPr>
        <w:ind w:left="880" w:right="120" w:firstLine="347"/>
        <w:spacing w:after="0" w:line="231" w:lineRule="auto"/>
        <w:rPr>
          <w:rFonts w:ascii="Arial" w:cs="Arial" w:eastAsia="Arial" w:hAnsi="Arial"/>
          <w:sz w:val="12"/>
          <w:szCs w:val="12"/>
          <w:color w:val="000000"/>
        </w:rPr>
      </w:pPr>
      <w:hyperlink r:id="rId118">
        <w:r>
          <w:rPr>
            <w:rFonts w:ascii="Arial" w:cs="Arial" w:eastAsia="Arial" w:hAnsi="Arial"/>
            <w:sz w:val="12"/>
            <w:szCs w:val="12"/>
            <w:u w:val="single" w:color="auto"/>
            <w:color w:val="0000FF"/>
          </w:rPr>
          <w:t>Form of Restricted Stock Unit Award Agreement (Executives) under Winnebago Industries, Inc.</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10.17 </w:t>
      </w:r>
      <w:hyperlink r:id="rId118">
        <w:r>
          <w:rPr>
            <w:rFonts w:ascii="Arial" w:cs="Arial" w:eastAsia="Arial" w:hAnsi="Arial"/>
            <w:sz w:val="12"/>
            <w:szCs w:val="12"/>
            <w:u w:val="single" w:color="auto"/>
            <w:color w:val="0000FF"/>
          </w:rPr>
          <w:t>2019 Omnibus Equity, Performance Award, and Incentive Compensation Plan (Fiscal 2023 awards</w:t>
        </w:r>
      </w:hyperlink>
    </w:p>
    <w:p>
      <w:pPr>
        <w:spacing w:after="0" w:line="1" w:lineRule="exact"/>
        <w:rPr>
          <w:sz w:val="20"/>
          <w:szCs w:val="20"/>
          <w:color w:val="auto"/>
        </w:rPr>
      </w:pPr>
    </w:p>
    <w:p>
      <w:pPr>
        <w:ind w:left="1220"/>
        <w:spacing w:after="0"/>
        <w:rPr>
          <w:rFonts w:ascii="Arial" w:cs="Arial" w:eastAsia="Arial" w:hAnsi="Arial"/>
          <w:sz w:val="13"/>
          <w:szCs w:val="13"/>
          <w:color w:val="0000FF"/>
        </w:rPr>
      </w:pPr>
      <w:hyperlink r:id="rId118">
        <w:r>
          <w:rPr>
            <w:rFonts w:ascii="Arial" w:cs="Arial" w:eastAsia="Arial" w:hAnsi="Arial"/>
            <w:sz w:val="13"/>
            <w:szCs w:val="13"/>
            <w:u w:val="single" w:color="auto"/>
            <w:color w:val="0000FF"/>
          </w:rPr>
          <w:t>and later).</w:t>
        </w:r>
        <w:r>
          <w:rPr>
            <w:rFonts w:ascii="Arial" w:cs="Arial" w:eastAsia="Arial" w:hAnsi="Arial"/>
            <w:sz w:val="13"/>
            <w:szCs w:val="13"/>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85725</wp:posOffset>
            </wp:positionV>
            <wp:extent cx="6616065" cy="3505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116" w:lineRule="exact"/>
        <w:rPr>
          <w:sz w:val="20"/>
          <w:szCs w:val="20"/>
          <w:color w:val="auto"/>
        </w:rPr>
      </w:pPr>
    </w:p>
    <w:p>
      <w:pPr>
        <w:ind w:left="880" w:right="120" w:firstLine="347"/>
        <w:spacing w:after="0" w:line="231" w:lineRule="auto"/>
        <w:rPr>
          <w:rFonts w:ascii="Arial" w:cs="Arial" w:eastAsia="Arial" w:hAnsi="Arial"/>
          <w:sz w:val="12"/>
          <w:szCs w:val="12"/>
          <w:color w:val="000000"/>
        </w:rPr>
      </w:pPr>
      <w:hyperlink r:id="rId120">
        <w:r>
          <w:rPr>
            <w:rFonts w:ascii="Arial" w:cs="Arial" w:eastAsia="Arial" w:hAnsi="Arial"/>
            <w:sz w:val="12"/>
            <w:szCs w:val="12"/>
            <w:u w:val="single" w:color="auto"/>
            <w:color w:val="0000FF"/>
          </w:rPr>
          <w:t>Form of Restricted Stock Unit Award Agreement (Executives) under Winnebago Industries, Inc.</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10.18 </w:t>
      </w:r>
      <w:hyperlink r:id="rId120">
        <w:r>
          <w:rPr>
            <w:rFonts w:ascii="Arial" w:cs="Arial" w:eastAsia="Arial" w:hAnsi="Arial"/>
            <w:sz w:val="12"/>
            <w:szCs w:val="12"/>
            <w:u w:val="single" w:color="auto"/>
            <w:color w:val="0000FF"/>
          </w:rPr>
          <w:t>2019 Omnibus Equity, Performance Award, and Incentive Compensation Plan (Fiscal 2024 awards</w:t>
        </w:r>
      </w:hyperlink>
    </w:p>
    <w:p>
      <w:pPr>
        <w:spacing w:after="0" w:line="1" w:lineRule="exact"/>
        <w:rPr>
          <w:sz w:val="20"/>
          <w:szCs w:val="20"/>
          <w:color w:val="auto"/>
        </w:rPr>
      </w:pPr>
    </w:p>
    <w:p>
      <w:pPr>
        <w:ind w:left="1220"/>
        <w:spacing w:after="0"/>
        <w:rPr>
          <w:rFonts w:ascii="Arial" w:cs="Arial" w:eastAsia="Arial" w:hAnsi="Arial"/>
          <w:sz w:val="13"/>
          <w:szCs w:val="13"/>
          <w:color w:val="0000FF"/>
        </w:rPr>
      </w:pPr>
      <w:hyperlink r:id="rId120">
        <w:r>
          <w:rPr>
            <w:rFonts w:ascii="Arial" w:cs="Arial" w:eastAsia="Arial" w:hAnsi="Arial"/>
            <w:sz w:val="13"/>
            <w:szCs w:val="13"/>
            <w:u w:val="single" w:color="auto"/>
            <w:color w:val="0000FF"/>
          </w:rPr>
          <w:t>and later).</w:t>
        </w:r>
        <w:r>
          <w:rPr>
            <w:rFonts w:ascii="Arial" w:cs="Arial" w:eastAsia="Arial" w:hAnsi="Arial"/>
            <w:sz w:val="13"/>
            <w:szCs w:val="13"/>
            <w:color w:val="3051F2"/>
          </w:rPr>
          <w:t>*</w:t>
        </w:r>
      </w:hyperlink>
    </w:p>
    <w:p>
      <w:pPr>
        <w:spacing w:after="0" w:line="136" w:lineRule="exact"/>
        <w:rPr>
          <w:sz w:val="20"/>
          <w:szCs w:val="20"/>
          <w:color w:val="auto"/>
        </w:rPr>
      </w:pPr>
    </w:p>
    <w:p>
      <w:pPr>
        <w:ind w:left="880" w:right="320" w:firstLine="347"/>
        <w:spacing w:after="0" w:line="236" w:lineRule="auto"/>
        <w:rPr>
          <w:sz w:val="20"/>
          <w:szCs w:val="20"/>
          <w:color w:val="auto"/>
        </w:rPr>
      </w:pPr>
      <w:r>
        <w:rPr>
          <w:rFonts w:ascii="Arial" w:cs="Arial" w:eastAsia="Arial" w:hAnsi="Arial"/>
          <w:sz w:val="13"/>
          <w:szCs w:val="13"/>
          <w:u w:val="single" w:color="auto"/>
          <w:color w:val="0000FF"/>
        </w:rPr>
        <w:t xml:space="preserve">Form of Restricted Stock Unit Award Agreement (Executives) under Winnebago Industries, Inc. </w:t>
      </w:r>
      <w:r>
        <w:rPr>
          <w:rFonts w:ascii="Arial" w:cs="Arial" w:eastAsia="Arial" w:hAnsi="Arial"/>
          <w:sz w:val="13"/>
          <w:szCs w:val="13"/>
          <w:color w:val="000000"/>
        </w:rPr>
        <w:t xml:space="preserve">10.19 </w:t>
      </w:r>
      <w:r>
        <w:rPr>
          <w:rFonts w:ascii="Arial" w:cs="Arial" w:eastAsia="Arial" w:hAnsi="Arial"/>
          <w:sz w:val="13"/>
          <w:szCs w:val="13"/>
          <w:u w:val="single" w:color="auto"/>
          <w:color w:val="0000FF"/>
        </w:rPr>
        <w:t>Amended and Restated 2019 Omnibus Incentive Plan (Fiscal 2025 awards and later).</w:t>
      </w:r>
      <w:r>
        <w:rPr>
          <w:rFonts w:ascii="Arial" w:cs="Arial" w:eastAsia="Arial" w:hAnsi="Arial"/>
          <w:sz w:val="13"/>
          <w:szCs w:val="13"/>
          <w:color w:val="3051F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82550</wp:posOffset>
            </wp:positionV>
            <wp:extent cx="6616065" cy="3505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100" w:lineRule="exact"/>
        <w:rPr>
          <w:sz w:val="20"/>
          <w:szCs w:val="20"/>
          <w:color w:val="auto"/>
        </w:rPr>
      </w:pPr>
    </w:p>
    <w:p>
      <w:pPr>
        <w:ind w:left="1220"/>
        <w:spacing w:after="0"/>
        <w:rPr>
          <w:rFonts w:ascii="Arial" w:cs="Arial" w:eastAsia="Arial" w:hAnsi="Arial"/>
          <w:sz w:val="13"/>
          <w:szCs w:val="13"/>
          <w:u w:val="single" w:color="auto"/>
          <w:color w:val="0000FF"/>
        </w:rPr>
      </w:pPr>
      <w:hyperlink r:id="rId122">
        <w:r>
          <w:rPr>
            <w:rFonts w:ascii="Arial" w:cs="Arial" w:eastAsia="Arial" w:hAnsi="Arial"/>
            <w:sz w:val="13"/>
            <w:szCs w:val="13"/>
            <w:u w:val="single" w:color="auto"/>
            <w:color w:val="0000FF"/>
          </w:rPr>
          <w:t>Form of Restricted Stock Unit Award Agreement (Non-Employee Director) under Winnebago</w:t>
        </w:r>
      </w:hyperlink>
    </w:p>
    <w:p>
      <w:pPr>
        <w:ind w:left="88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10.20 </w:t>
      </w:r>
      <w:hyperlink r:id="rId122">
        <w:r>
          <w:rPr>
            <w:rFonts w:ascii="Arial" w:cs="Arial" w:eastAsia="Arial" w:hAnsi="Arial"/>
            <w:sz w:val="12"/>
            <w:szCs w:val="12"/>
            <w:u w:val="single" w:color="auto"/>
            <w:color w:val="0000FF"/>
          </w:rPr>
          <w:t>Industries, Inc. 2014 Omnibus Equity, Performance Award, and Incentive Compensation Plan (Fiscal</w:t>
        </w:r>
      </w:hyperlink>
    </w:p>
    <w:p>
      <w:pPr>
        <w:ind w:left="1220"/>
        <w:spacing w:after="0"/>
        <w:rPr>
          <w:rFonts w:ascii="Arial" w:cs="Arial" w:eastAsia="Arial" w:hAnsi="Arial"/>
          <w:sz w:val="13"/>
          <w:szCs w:val="13"/>
          <w:color w:val="0000FF"/>
        </w:rPr>
      </w:pPr>
      <w:hyperlink r:id="rId122">
        <w:r>
          <w:rPr>
            <w:rFonts w:ascii="Arial" w:cs="Arial" w:eastAsia="Arial" w:hAnsi="Arial"/>
            <w:sz w:val="13"/>
            <w:szCs w:val="13"/>
            <w:u w:val="single" w:color="auto"/>
            <w:color w:val="0000FF"/>
          </w:rPr>
          <w:t>2019 awards and later).</w:t>
        </w:r>
        <w:r>
          <w:rPr>
            <w:rFonts w:ascii="Arial" w:cs="Arial" w:eastAsia="Arial" w:hAnsi="Arial"/>
            <w:sz w:val="13"/>
            <w:szCs w:val="13"/>
            <w:color w:val="3051F2"/>
          </w:rPr>
          <w:t>*</w:t>
        </w:r>
      </w:hyperlink>
    </w:p>
    <w:p>
      <w:pPr>
        <w:spacing w:after="0" w:line="125" w:lineRule="exact"/>
        <w:rPr>
          <w:sz w:val="20"/>
          <w:szCs w:val="20"/>
          <w:color w:val="auto"/>
        </w:rPr>
      </w:pPr>
    </w:p>
    <w:p>
      <w:pPr>
        <w:ind w:left="1220"/>
        <w:spacing w:after="0"/>
        <w:rPr>
          <w:rFonts w:ascii="Arial" w:cs="Arial" w:eastAsia="Arial" w:hAnsi="Arial"/>
          <w:sz w:val="13"/>
          <w:szCs w:val="13"/>
          <w:u w:val="single" w:color="auto"/>
          <w:color w:val="0000FF"/>
        </w:rPr>
      </w:pPr>
      <w:hyperlink r:id="rId123">
        <w:r>
          <w:rPr>
            <w:rFonts w:ascii="Arial" w:cs="Arial" w:eastAsia="Arial" w:hAnsi="Arial"/>
            <w:sz w:val="13"/>
            <w:szCs w:val="13"/>
            <w:u w:val="single" w:color="auto"/>
            <w:color w:val="0000FF"/>
          </w:rPr>
          <w:t>Form of Restricted Stock Unit Award Agreement (Non-Employee Director) under Winnebago</w:t>
        </w:r>
      </w:hyperlink>
    </w:p>
    <w:p>
      <w:pPr>
        <w:ind w:left="88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10.21 </w:t>
      </w:r>
      <w:hyperlink r:id="rId123">
        <w:r>
          <w:rPr>
            <w:rFonts w:ascii="Arial" w:cs="Arial" w:eastAsia="Arial" w:hAnsi="Arial"/>
            <w:sz w:val="12"/>
            <w:szCs w:val="12"/>
            <w:u w:val="single" w:color="auto"/>
            <w:color w:val="0000FF"/>
          </w:rPr>
          <w:t>Industries, Inc. 2019 Omnibus Equity, Performance Award, and Incentive Compensation Plan (Fiscal</w:t>
        </w:r>
      </w:hyperlink>
    </w:p>
    <w:p>
      <w:pPr>
        <w:ind w:left="1220"/>
        <w:spacing w:after="0"/>
        <w:rPr>
          <w:rFonts w:ascii="Arial" w:cs="Arial" w:eastAsia="Arial" w:hAnsi="Arial"/>
          <w:sz w:val="13"/>
          <w:szCs w:val="13"/>
          <w:color w:val="0000FF"/>
        </w:rPr>
      </w:pPr>
      <w:hyperlink r:id="rId123">
        <w:r>
          <w:rPr>
            <w:rFonts w:ascii="Arial" w:cs="Arial" w:eastAsia="Arial" w:hAnsi="Arial"/>
            <w:sz w:val="13"/>
            <w:szCs w:val="13"/>
            <w:u w:val="single" w:color="auto"/>
            <w:color w:val="0000FF"/>
          </w:rPr>
          <w:t>2022 awards and later).</w:t>
        </w:r>
        <w:r>
          <w:rPr>
            <w:rFonts w:ascii="Arial" w:cs="Arial" w:eastAsia="Arial" w:hAnsi="Arial"/>
            <w:sz w:val="13"/>
            <w:szCs w:val="13"/>
            <w:color w:val="3051F2"/>
          </w:rPr>
          <w:t>*</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2"/>
        </w:trPr>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Filed Herewith</w:t>
            </w:r>
          </w:p>
        </w:tc>
      </w:tr>
      <w:tr>
        <w:trPr>
          <w:trHeight w:val="285"/>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DEF 14A</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B</w:t>
            </w:r>
          </w:p>
        </w:tc>
        <w:tc>
          <w:tcPr>
            <w:tcW w:w="1060" w:type="dxa"/>
            <w:vAlign w:val="bottom"/>
          </w:tcPr>
          <w:p>
            <w:pPr>
              <w:jc w:val="right"/>
              <w:spacing w:after="0"/>
              <w:rPr>
                <w:sz w:val="20"/>
                <w:szCs w:val="20"/>
                <w:color w:val="auto"/>
              </w:rPr>
            </w:pPr>
            <w:r>
              <w:rPr>
                <w:rFonts w:ascii="Arial" w:cs="Arial" w:eastAsia="Arial" w:hAnsi="Arial"/>
                <w:sz w:val="13"/>
                <w:szCs w:val="13"/>
                <w:color w:val="auto"/>
              </w:rPr>
              <w:t>11/03/2023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06"/>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06/28/2013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43"/>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10.C</w:t>
            </w:r>
          </w:p>
        </w:tc>
        <w:tc>
          <w:tcPr>
            <w:tcW w:w="1060" w:type="dxa"/>
            <w:vAlign w:val="bottom"/>
          </w:tcPr>
          <w:p>
            <w:pPr>
              <w:jc w:val="right"/>
              <w:spacing w:after="0"/>
              <w:rPr>
                <w:sz w:val="20"/>
                <w:szCs w:val="20"/>
                <w:color w:val="auto"/>
              </w:rPr>
            </w:pPr>
            <w:r>
              <w:rPr>
                <w:rFonts w:ascii="Arial" w:cs="Arial" w:eastAsia="Arial" w:hAnsi="Arial"/>
                <w:sz w:val="13"/>
                <w:szCs w:val="13"/>
                <w:color w:val="auto"/>
              </w:rPr>
              <w:t>11/22/1995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10.b</w:t>
            </w:r>
          </w:p>
        </w:tc>
        <w:tc>
          <w:tcPr>
            <w:tcW w:w="10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10j</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10k</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720" w:type="dxa"/>
            <w:vAlign w:val="bottom"/>
          </w:tcPr>
          <w:p>
            <w:pPr>
              <w:jc w:val="right"/>
              <w:spacing w:after="0"/>
              <w:rPr>
                <w:sz w:val="20"/>
                <w:szCs w:val="20"/>
                <w:color w:val="auto"/>
              </w:rPr>
            </w:pPr>
            <w:r>
              <w:rPr>
                <w:rFonts w:ascii="Arial" w:cs="Arial" w:eastAsia="Arial" w:hAnsi="Arial"/>
                <w:sz w:val="13"/>
                <w:szCs w:val="13"/>
                <w:color w:val="auto"/>
              </w:rPr>
              <w:t>10.11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10/18/2023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4"/>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10m</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10n</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720" w:type="dxa"/>
            <w:vAlign w:val="bottom"/>
          </w:tcPr>
          <w:p>
            <w:pPr>
              <w:jc w:val="right"/>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10/18/2023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8"/>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10.e</w:t>
            </w:r>
          </w:p>
        </w:tc>
        <w:tc>
          <w:tcPr>
            <w:tcW w:w="10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10q</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6900" w:space="100"/>
            <w:col w:w="3680"/>
          </w:cols>
          <w:pgMar w:left="300" w:top="129" w:right="919" w:bottom="1440" w:gutter="0" w:footer="0" w:header="0"/>
        </w:sectPr>
      </w:pPr>
    </w:p>
    <w:bookmarkStart w:id="68" w:name="page69"/>
    <w:bookmarkEnd w:id="6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12700</wp:posOffset>
            </wp:positionV>
            <wp:extent cx="6616065" cy="356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6616065" cy="356870"/>
                    </a:xfrm>
                    <a:prstGeom prst="rect">
                      <a:avLst/>
                    </a:prstGeom>
                    <a:noFill/>
                  </pic:spPr>
                </pic:pic>
              </a:graphicData>
            </a:graphic>
          </wp:anchor>
        </w:drawing>
      </w:r>
    </w:p>
    <w:p>
      <w:pPr>
        <w:spacing w:after="0" w:line="1" w:lineRule="exact"/>
        <w:rPr>
          <w:sz w:val="20"/>
          <w:szCs w:val="20"/>
          <w:color w:val="auto"/>
        </w:rPr>
      </w:pPr>
    </w:p>
    <w:p>
      <w:pPr>
        <w:ind w:left="1220"/>
        <w:spacing w:after="0"/>
        <w:rPr>
          <w:rFonts w:ascii="Arial" w:cs="Arial" w:eastAsia="Arial" w:hAnsi="Arial"/>
          <w:sz w:val="13"/>
          <w:szCs w:val="13"/>
          <w:u w:val="single" w:color="auto"/>
          <w:color w:val="0000FF"/>
        </w:rPr>
      </w:pPr>
      <w:hyperlink r:id="rId126">
        <w:r>
          <w:rPr>
            <w:rFonts w:ascii="Arial" w:cs="Arial" w:eastAsia="Arial" w:hAnsi="Arial"/>
            <w:sz w:val="13"/>
            <w:szCs w:val="13"/>
            <w:u w:val="single" w:color="auto"/>
            <w:color w:val="0000FF"/>
          </w:rPr>
          <w:t>Form of Restricted Stock Unit Award Agreement (Non-Employee Director) under Winnebago</w:t>
        </w:r>
      </w:hyperlink>
    </w:p>
    <w:p>
      <w:pPr>
        <w:ind w:left="88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10.22 </w:t>
      </w:r>
      <w:hyperlink r:id="rId126">
        <w:r>
          <w:rPr>
            <w:rFonts w:ascii="Arial" w:cs="Arial" w:eastAsia="Arial" w:hAnsi="Arial"/>
            <w:sz w:val="12"/>
            <w:szCs w:val="12"/>
            <w:u w:val="single" w:color="auto"/>
            <w:color w:val="0000FF"/>
          </w:rPr>
          <w:t>Industries, Inc. 2019 Omnibus Equity, Performance Award, and Incentive Compensation Plan (Fiscal</w:t>
        </w:r>
      </w:hyperlink>
    </w:p>
    <w:p>
      <w:pPr>
        <w:ind w:left="1220"/>
        <w:spacing w:after="0"/>
        <w:rPr>
          <w:rFonts w:ascii="Arial" w:cs="Arial" w:eastAsia="Arial" w:hAnsi="Arial"/>
          <w:sz w:val="13"/>
          <w:szCs w:val="13"/>
          <w:color w:val="0000FF"/>
        </w:rPr>
      </w:pPr>
      <w:hyperlink r:id="rId126">
        <w:r>
          <w:rPr>
            <w:rFonts w:ascii="Arial" w:cs="Arial" w:eastAsia="Arial" w:hAnsi="Arial"/>
            <w:sz w:val="13"/>
            <w:szCs w:val="13"/>
            <w:u w:val="single" w:color="auto"/>
            <w:color w:val="0000FF"/>
          </w:rPr>
          <w:t>2023 awards and later).</w:t>
        </w:r>
        <w:r>
          <w:rPr>
            <w:rFonts w:ascii="Arial" w:cs="Arial" w:eastAsia="Arial" w:hAnsi="Arial"/>
            <w:sz w:val="13"/>
            <w:szCs w:val="13"/>
            <w:color w:val="3051F2"/>
          </w:rPr>
          <w:t>*</w:t>
        </w:r>
      </w:hyperlink>
    </w:p>
    <w:p>
      <w:pPr>
        <w:spacing w:after="0" w:line="125" w:lineRule="exact"/>
        <w:rPr>
          <w:sz w:val="20"/>
          <w:szCs w:val="20"/>
          <w:color w:val="auto"/>
        </w:rPr>
      </w:pPr>
    </w:p>
    <w:p>
      <w:pPr>
        <w:ind w:left="1220"/>
        <w:spacing w:after="0"/>
        <w:rPr>
          <w:rFonts w:ascii="Arial" w:cs="Arial" w:eastAsia="Arial" w:hAnsi="Arial"/>
          <w:sz w:val="13"/>
          <w:szCs w:val="13"/>
          <w:u w:val="single" w:color="auto"/>
          <w:color w:val="0000FF"/>
        </w:rPr>
      </w:pPr>
      <w:hyperlink r:id="rId127">
        <w:r>
          <w:rPr>
            <w:rFonts w:ascii="Arial" w:cs="Arial" w:eastAsia="Arial" w:hAnsi="Arial"/>
            <w:sz w:val="13"/>
            <w:szCs w:val="13"/>
            <w:u w:val="single" w:color="auto"/>
            <w:color w:val="0000FF"/>
          </w:rPr>
          <w:t>Form of Restricted Stock Unit Award Agreement (Non-Employee Director) under Winnebago</w:t>
        </w:r>
      </w:hyperlink>
    </w:p>
    <w:p>
      <w:pPr>
        <w:ind w:left="880"/>
        <w:spacing w:after="0" w:line="221" w:lineRule="auto"/>
        <w:rPr>
          <w:rFonts w:ascii="Arial" w:cs="Arial" w:eastAsia="Arial" w:hAnsi="Arial"/>
          <w:sz w:val="12"/>
          <w:szCs w:val="12"/>
          <w:color w:val="auto"/>
        </w:rPr>
      </w:pPr>
      <w:r>
        <w:rPr>
          <w:rFonts w:ascii="Arial" w:cs="Arial" w:eastAsia="Arial" w:hAnsi="Arial"/>
          <w:sz w:val="12"/>
          <w:szCs w:val="12"/>
          <w:color w:val="auto"/>
        </w:rPr>
        <w:t xml:space="preserve">10.23 </w:t>
      </w:r>
      <w:hyperlink r:id="rId127">
        <w:r>
          <w:rPr>
            <w:rFonts w:ascii="Arial" w:cs="Arial" w:eastAsia="Arial" w:hAnsi="Arial"/>
            <w:sz w:val="12"/>
            <w:szCs w:val="12"/>
            <w:u w:val="single" w:color="auto"/>
            <w:color w:val="0000FF"/>
          </w:rPr>
          <w:t>Industries, Inc. 2019 Omnibus Equity, Performance Award, and Incentive Compensation Plan (Fiscal</w:t>
        </w:r>
      </w:hyperlink>
    </w:p>
    <w:p>
      <w:pPr>
        <w:ind w:left="1220"/>
        <w:spacing w:after="0"/>
        <w:rPr>
          <w:rFonts w:ascii="Arial" w:cs="Arial" w:eastAsia="Arial" w:hAnsi="Arial"/>
          <w:sz w:val="13"/>
          <w:szCs w:val="13"/>
          <w:color w:val="0000FF"/>
        </w:rPr>
      </w:pPr>
      <w:hyperlink r:id="rId127">
        <w:r>
          <w:rPr>
            <w:rFonts w:ascii="Arial" w:cs="Arial" w:eastAsia="Arial" w:hAnsi="Arial"/>
            <w:sz w:val="13"/>
            <w:szCs w:val="13"/>
            <w:u w:val="single" w:color="auto"/>
            <w:color w:val="0000FF"/>
          </w:rPr>
          <w:t>2024 awards and later).</w:t>
        </w:r>
        <w:r>
          <w:rPr>
            <w:rFonts w:ascii="Arial" w:cs="Arial" w:eastAsia="Arial" w:hAnsi="Arial"/>
            <w:sz w:val="13"/>
            <w:szCs w:val="13"/>
            <w:color w:val="3051F2"/>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85725</wp:posOffset>
            </wp:positionV>
            <wp:extent cx="6616065" cy="3505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116" w:lineRule="exact"/>
        <w:rPr>
          <w:sz w:val="20"/>
          <w:szCs w:val="20"/>
          <w:color w:val="auto"/>
        </w:rPr>
      </w:pPr>
    </w:p>
    <w:p>
      <w:pPr>
        <w:ind w:left="880" w:right="320" w:firstLine="347"/>
        <w:spacing w:after="0" w:line="231" w:lineRule="auto"/>
        <w:rPr>
          <w:sz w:val="20"/>
          <w:szCs w:val="20"/>
          <w:color w:val="auto"/>
        </w:rPr>
      </w:pPr>
      <w:r>
        <w:rPr>
          <w:rFonts w:ascii="Arial" w:cs="Arial" w:eastAsia="Arial" w:hAnsi="Arial"/>
          <w:sz w:val="12"/>
          <w:szCs w:val="12"/>
          <w:u w:val="single" w:color="auto"/>
          <w:color w:val="0000FF"/>
        </w:rPr>
        <w:t xml:space="preserve">Form of Restricted Stock Unit Award Agreement (Non-Employee Director) under Winnebago </w:t>
      </w:r>
      <w:r>
        <w:rPr>
          <w:rFonts w:ascii="Arial" w:cs="Arial" w:eastAsia="Arial" w:hAnsi="Arial"/>
          <w:sz w:val="12"/>
          <w:szCs w:val="12"/>
          <w:color w:val="000000"/>
        </w:rPr>
        <w:t xml:space="preserve">10.24 </w:t>
      </w:r>
      <w:r>
        <w:rPr>
          <w:rFonts w:ascii="Arial" w:cs="Arial" w:eastAsia="Arial" w:hAnsi="Arial"/>
          <w:sz w:val="12"/>
          <w:szCs w:val="12"/>
          <w:u w:val="single" w:color="auto"/>
          <w:color w:val="0000FF"/>
        </w:rPr>
        <w:t>Industries, Inc. Amended and Restated 2019 Omnibus Incentive Plan (Fiscal 2025 awards and</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3"/>
          <w:szCs w:val="13"/>
          <w:u w:val="single" w:color="auto"/>
          <w:color w:val="0000FF"/>
        </w:rPr>
        <w:t>later).</w:t>
      </w:r>
      <w:r>
        <w:rPr>
          <w:rFonts w:ascii="Arial" w:cs="Arial" w:eastAsia="Arial" w:hAnsi="Arial"/>
          <w:sz w:val="13"/>
          <w:szCs w:val="13"/>
          <w:color w:val="3051F2"/>
        </w:rPr>
        <w:t>*</w:t>
      </w:r>
    </w:p>
    <w:p>
      <w:pPr>
        <w:spacing w:after="0" w:line="26" w:lineRule="exact"/>
        <w:rPr>
          <w:sz w:val="20"/>
          <w:szCs w:val="20"/>
          <w:color w:val="auto"/>
        </w:rPr>
      </w:pPr>
    </w:p>
    <w:p>
      <w:pPr>
        <w:ind w:left="880"/>
        <w:spacing w:after="0"/>
        <w:rPr>
          <w:rFonts w:ascii="Arial" w:cs="Arial" w:eastAsia="Arial" w:hAnsi="Arial"/>
          <w:sz w:val="13"/>
          <w:szCs w:val="13"/>
          <w:color w:val="0000FF"/>
        </w:rPr>
      </w:pPr>
      <w:hyperlink r:id="rId129"/>
      <w:r>
        <w:rPr>
          <w:rFonts w:ascii="Arial" w:cs="Arial" w:eastAsia="Arial" w:hAnsi="Arial"/>
          <w:sz w:val="25"/>
          <w:szCs w:val="25"/>
          <w:color w:val="000000"/>
          <w:vertAlign w:val="subscript"/>
        </w:rPr>
        <w:t>10.25</w:t>
      </w:r>
      <w:r>
        <w:rPr>
          <w:rFonts w:ascii="Arial" w:cs="Arial" w:eastAsia="Arial" w:hAnsi="Arial"/>
          <w:sz w:val="13"/>
          <w:szCs w:val="13"/>
          <w:color w:val="0000FF"/>
        </w:rPr>
        <w:t xml:space="preserve"> </w:t>
      </w:r>
      <w:hyperlink r:id="rId129">
        <w:r>
          <w:rPr>
            <w:rFonts w:ascii="Arial" w:cs="Arial" w:eastAsia="Arial" w:hAnsi="Arial"/>
            <w:sz w:val="13"/>
            <w:szCs w:val="13"/>
            <w:u w:val="single" w:color="auto"/>
            <w:color w:val="0000FF"/>
          </w:rPr>
          <w:t>Form of Change in Control Agreemen</w:t>
        </w:r>
        <w:r>
          <w:rPr>
            <w:rFonts w:ascii="Arial" w:cs="Arial" w:eastAsia="Arial" w:hAnsi="Arial"/>
            <w:sz w:val="13"/>
            <w:szCs w:val="13"/>
            <w:u w:val="single" w:color="auto"/>
            <w:color w:val="3051F2"/>
          </w:rPr>
          <w:t>t.</w:t>
        </w:r>
      </w:hyperlink>
      <w:r>
        <w:rPr>
          <w:rFonts w:ascii="Arial" w:cs="Arial" w:eastAsia="Arial" w:hAnsi="Arial"/>
          <w:sz w:val="13"/>
          <w:szCs w:val="13"/>
          <w:color w:val="3051F2"/>
        </w:rPr>
        <w:t>*</w:t>
      </w:r>
    </w:p>
    <w:p>
      <w:pPr>
        <w:spacing w:after="0" w:line="53" w:lineRule="exact"/>
        <w:rPr>
          <w:sz w:val="20"/>
          <w:szCs w:val="20"/>
          <w:color w:val="auto"/>
        </w:rPr>
      </w:pPr>
    </w:p>
    <w:p>
      <w:pPr>
        <w:ind w:left="880"/>
        <w:spacing w:after="0"/>
        <w:rPr>
          <w:rFonts w:ascii="Arial" w:cs="Arial" w:eastAsia="Arial" w:hAnsi="Arial"/>
          <w:sz w:val="13"/>
          <w:szCs w:val="13"/>
          <w:color w:val="0000FF"/>
        </w:rPr>
      </w:pPr>
      <w:hyperlink r:id="rId130"/>
      <w:r>
        <w:rPr>
          <w:rFonts w:ascii="Arial" w:cs="Arial" w:eastAsia="Arial" w:hAnsi="Arial"/>
          <w:sz w:val="25"/>
          <w:szCs w:val="25"/>
          <w:color w:val="000000"/>
          <w:vertAlign w:val="subscript"/>
        </w:rPr>
        <w:t>10.26</w:t>
      </w:r>
      <w:r>
        <w:rPr>
          <w:rFonts w:ascii="Arial" w:cs="Arial" w:eastAsia="Arial" w:hAnsi="Arial"/>
          <w:sz w:val="13"/>
          <w:szCs w:val="13"/>
          <w:color w:val="0000FF"/>
        </w:rPr>
        <w:t xml:space="preserve"> </w:t>
      </w:r>
      <w:hyperlink r:id="rId130">
        <w:r>
          <w:rPr>
            <w:rFonts w:ascii="Arial" w:cs="Arial" w:eastAsia="Arial" w:hAnsi="Arial"/>
            <w:sz w:val="13"/>
            <w:szCs w:val="13"/>
            <w:u w:val="single" w:color="auto"/>
            <w:color w:val="0000FF"/>
          </w:rPr>
          <w:t>Winnebago Industries, Inc. Supplemental Executive Retirement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-139700</wp:posOffset>
            </wp:positionV>
            <wp:extent cx="661606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 xml:space="preserve">10.27 </w:t>
      </w:r>
      <w:r>
        <w:rPr>
          <w:rFonts w:ascii="Arial" w:cs="Arial" w:eastAsia="Arial" w:hAnsi="Arial"/>
          <w:sz w:val="13"/>
          <w:szCs w:val="13"/>
          <w:u w:val="single" w:color="auto"/>
          <w:color w:val="0000FF"/>
        </w:rPr>
        <w:t>Winnebago Industries, Inc. Officer Incentive Compensation Plan for Fiscal Period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12700</wp:posOffset>
            </wp:positionV>
            <wp:extent cx="6616065" cy="107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3"/>
          <w:szCs w:val="13"/>
          <w:color w:val="auto"/>
        </w:rPr>
        <w:t xml:space="preserve">10.28 </w:t>
      </w:r>
      <w:r>
        <w:rPr>
          <w:rFonts w:ascii="Arial" w:cs="Arial" w:eastAsia="Arial" w:hAnsi="Arial"/>
          <w:sz w:val="13"/>
          <w:szCs w:val="13"/>
          <w:u w:val="single" w:color="auto"/>
          <w:color w:val="0000FF"/>
        </w:rPr>
        <w:t>Winnebago Industries, Inc. Officer Incentive Compensation Plan for Fiscal Period 2025.*</w:t>
      </w:r>
    </w:p>
    <w:p>
      <w:pPr>
        <w:spacing w:after="0" w:line="20" w:lineRule="exact"/>
        <w:rPr>
          <w:sz w:val="20"/>
          <w:szCs w:val="20"/>
          <w:color w:val="auto"/>
        </w:rPr>
      </w:pPr>
    </w:p>
    <w:p>
      <w:pPr>
        <w:ind w:left="1220" w:right="400" w:hanging="346"/>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10.29 </w:t>
      </w:r>
      <w:hyperlink r:id="rId133">
        <w:r>
          <w:rPr>
            <w:rFonts w:ascii="Arial" w:cs="Arial" w:eastAsia="Arial" w:hAnsi="Arial"/>
            <w:sz w:val="13"/>
            <w:szCs w:val="13"/>
            <w:u w:val="single" w:color="auto"/>
            <w:color w:val="0000FF"/>
          </w:rPr>
          <w:t>Form of Performance Stock Unit Agreement under Winnebago Industries, Inc. 2019 Omnibus</w:t>
        </w:r>
      </w:hyperlink>
      <w:r>
        <w:rPr>
          <w:rFonts w:ascii="Arial" w:cs="Arial" w:eastAsia="Arial" w:hAnsi="Arial"/>
          <w:sz w:val="13"/>
          <w:szCs w:val="13"/>
          <w:color w:val="auto"/>
        </w:rPr>
        <w:t xml:space="preserve"> </w:t>
      </w:r>
      <w:hyperlink r:id="rId133">
        <w:r>
          <w:rPr>
            <w:rFonts w:ascii="Arial" w:cs="Arial" w:eastAsia="Arial" w:hAnsi="Arial"/>
            <w:sz w:val="13"/>
            <w:szCs w:val="13"/>
            <w:u w:val="single" w:color="auto"/>
            <w:color w:val="0000FF"/>
          </w:rPr>
          <w:t>Incentive Plan (Fiscal 2021 awards)*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661606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ind w:left="1220" w:right="400" w:hanging="346"/>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10.30 </w:t>
      </w:r>
      <w:hyperlink r:id="rId135">
        <w:r>
          <w:rPr>
            <w:rFonts w:ascii="Arial" w:cs="Arial" w:eastAsia="Arial" w:hAnsi="Arial"/>
            <w:sz w:val="13"/>
            <w:szCs w:val="13"/>
            <w:u w:val="single" w:color="auto"/>
            <w:color w:val="0000FF"/>
          </w:rPr>
          <w:t>Form of Performance Stock Unit Agreement under Winnebago Industries, Inc. 2019 Omnibus</w:t>
        </w:r>
      </w:hyperlink>
      <w:r>
        <w:rPr>
          <w:rFonts w:ascii="Arial" w:cs="Arial" w:eastAsia="Arial" w:hAnsi="Arial"/>
          <w:sz w:val="13"/>
          <w:szCs w:val="13"/>
          <w:color w:val="auto"/>
        </w:rPr>
        <w:t xml:space="preserve"> </w:t>
      </w:r>
      <w:hyperlink r:id="rId135">
        <w:r>
          <w:rPr>
            <w:rFonts w:ascii="Arial" w:cs="Arial" w:eastAsia="Arial" w:hAnsi="Arial"/>
            <w:sz w:val="13"/>
            <w:szCs w:val="13"/>
            <w:u w:val="single" w:color="auto"/>
            <w:color w:val="0000FF"/>
          </w:rPr>
          <w:t>Incentive Plan (Fiscal 2022 awards)*</w:t>
        </w:r>
      </w:hyperlink>
    </w:p>
    <w:p>
      <w:pPr>
        <w:spacing w:after="0" w:line="3" w:lineRule="exact"/>
        <w:rPr>
          <w:sz w:val="20"/>
          <w:szCs w:val="20"/>
          <w:color w:val="auto"/>
        </w:rPr>
      </w:pPr>
    </w:p>
    <w:p>
      <w:pPr>
        <w:ind w:left="1220" w:right="400" w:hanging="346"/>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10.31 </w:t>
      </w:r>
      <w:hyperlink r:id="rId136">
        <w:r>
          <w:rPr>
            <w:rFonts w:ascii="Arial" w:cs="Arial" w:eastAsia="Arial" w:hAnsi="Arial"/>
            <w:sz w:val="13"/>
            <w:szCs w:val="13"/>
            <w:u w:val="single" w:color="auto"/>
            <w:color w:val="0000FF"/>
          </w:rPr>
          <w:t>Form of Performance Stock Unit Agreement under Winnebago Industries, Inc. 2019 Omnibus</w:t>
        </w:r>
      </w:hyperlink>
      <w:r>
        <w:rPr>
          <w:rFonts w:ascii="Arial" w:cs="Arial" w:eastAsia="Arial" w:hAnsi="Arial"/>
          <w:sz w:val="13"/>
          <w:szCs w:val="13"/>
          <w:color w:val="auto"/>
        </w:rPr>
        <w:t xml:space="preserve"> </w:t>
      </w:r>
      <w:hyperlink r:id="rId136">
        <w:r>
          <w:rPr>
            <w:rFonts w:ascii="Arial" w:cs="Arial" w:eastAsia="Arial" w:hAnsi="Arial"/>
            <w:sz w:val="13"/>
            <w:szCs w:val="13"/>
            <w:u w:val="single" w:color="auto"/>
            <w:color w:val="0000FF"/>
          </w:rPr>
          <w:t>Incentive Plan (Fiscal 2023 awards)*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661606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ind w:left="1220" w:right="400" w:hanging="346"/>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10.32 </w:t>
      </w:r>
      <w:hyperlink r:id="rId138">
        <w:r>
          <w:rPr>
            <w:rFonts w:ascii="Arial" w:cs="Arial" w:eastAsia="Arial" w:hAnsi="Arial"/>
            <w:sz w:val="13"/>
            <w:szCs w:val="13"/>
            <w:u w:val="single" w:color="auto"/>
            <w:color w:val="0000FF"/>
          </w:rPr>
          <w:t>Form of Performance Stock Unit Agreement under Winnebago Industries, Inc. 2019 Omnibus</w:t>
        </w:r>
      </w:hyperlink>
      <w:r>
        <w:rPr>
          <w:rFonts w:ascii="Arial" w:cs="Arial" w:eastAsia="Arial" w:hAnsi="Arial"/>
          <w:sz w:val="13"/>
          <w:szCs w:val="13"/>
          <w:color w:val="auto"/>
        </w:rPr>
        <w:t xml:space="preserve"> </w:t>
      </w:r>
      <w:hyperlink r:id="rId138">
        <w:r>
          <w:rPr>
            <w:rFonts w:ascii="Arial" w:cs="Arial" w:eastAsia="Arial" w:hAnsi="Arial"/>
            <w:sz w:val="13"/>
            <w:szCs w:val="13"/>
            <w:u w:val="single" w:color="auto"/>
            <w:color w:val="0000FF"/>
          </w:rPr>
          <w:t>Incentive Plan (Fiscal 2024 awards)*</w:t>
        </w:r>
      </w:hyperlink>
    </w:p>
    <w:p>
      <w:pPr>
        <w:spacing w:after="0" w:line="3" w:lineRule="exact"/>
        <w:rPr>
          <w:sz w:val="20"/>
          <w:szCs w:val="20"/>
          <w:color w:val="auto"/>
        </w:rPr>
      </w:pPr>
    </w:p>
    <w:p>
      <w:pPr>
        <w:ind w:left="1220" w:right="440" w:hanging="346"/>
        <w:spacing w:after="0" w:line="236" w:lineRule="auto"/>
        <w:rPr>
          <w:sz w:val="20"/>
          <w:szCs w:val="20"/>
          <w:color w:val="auto"/>
        </w:rPr>
      </w:pPr>
      <w:r>
        <w:rPr>
          <w:rFonts w:ascii="Arial" w:cs="Arial" w:eastAsia="Arial" w:hAnsi="Arial"/>
          <w:sz w:val="13"/>
          <w:szCs w:val="13"/>
          <w:color w:val="auto"/>
        </w:rPr>
        <w:t xml:space="preserve">10.33 </w:t>
      </w:r>
      <w:r>
        <w:rPr>
          <w:rFonts w:ascii="Arial" w:cs="Arial" w:eastAsia="Arial" w:hAnsi="Arial"/>
          <w:sz w:val="13"/>
          <w:szCs w:val="13"/>
          <w:u w:val="single" w:color="auto"/>
          <w:color w:val="0000FF"/>
        </w:rPr>
        <w:t>Form of Performance Stock Unit Agreement under Winnebago Industries, Inc. Amended and</w:t>
      </w:r>
      <w:r>
        <w:rPr>
          <w:rFonts w:ascii="Arial" w:cs="Arial" w:eastAsia="Arial" w:hAnsi="Arial"/>
          <w:sz w:val="13"/>
          <w:szCs w:val="13"/>
          <w:color w:val="auto"/>
        </w:rPr>
        <w:t xml:space="preserve"> </w:t>
      </w:r>
      <w:r>
        <w:rPr>
          <w:rFonts w:ascii="Arial" w:cs="Arial" w:eastAsia="Arial" w:hAnsi="Arial"/>
          <w:sz w:val="13"/>
          <w:szCs w:val="13"/>
          <w:u w:val="single" w:color="auto"/>
          <w:color w:val="0000FF"/>
        </w:rPr>
        <w:t>Restated 2019 Omnibus Incentive Plan (Fiscal 2025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661606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ind w:left="1220" w:right="440" w:hanging="346"/>
        <w:spacing w:after="0" w:line="236" w:lineRule="auto"/>
        <w:rPr>
          <w:sz w:val="20"/>
          <w:szCs w:val="20"/>
          <w:color w:val="auto"/>
        </w:rPr>
      </w:pPr>
      <w:r>
        <w:rPr>
          <w:rFonts w:ascii="Arial" w:cs="Arial" w:eastAsia="Arial" w:hAnsi="Arial"/>
          <w:sz w:val="13"/>
          <w:szCs w:val="13"/>
          <w:color w:val="auto"/>
        </w:rPr>
        <w:t xml:space="preserve">10.34 </w:t>
      </w:r>
      <w:r>
        <w:rPr>
          <w:rFonts w:ascii="Arial" w:cs="Arial" w:eastAsia="Arial" w:hAnsi="Arial"/>
          <w:sz w:val="13"/>
          <w:szCs w:val="13"/>
          <w:u w:val="single" w:color="auto"/>
          <w:color w:val="0000FF"/>
        </w:rPr>
        <w:t>Form of Performance Stock Unit Agreement under Winnebago Industries, Inc. Amended and</w:t>
      </w:r>
      <w:r>
        <w:rPr>
          <w:rFonts w:ascii="Arial" w:cs="Arial" w:eastAsia="Arial" w:hAnsi="Arial"/>
          <w:sz w:val="13"/>
          <w:szCs w:val="13"/>
          <w:color w:val="auto"/>
        </w:rPr>
        <w:t xml:space="preserve"> </w:t>
      </w:r>
      <w:r>
        <w:rPr>
          <w:rFonts w:ascii="Arial" w:cs="Arial" w:eastAsia="Arial" w:hAnsi="Arial"/>
          <w:sz w:val="13"/>
          <w:szCs w:val="13"/>
          <w:u w:val="single" w:color="auto"/>
          <w:color w:val="0000FF"/>
        </w:rPr>
        <w:t>Restated 2019 Omnibus Incentive Plan (Fiscal 2025 1-Year awards)*</w:t>
      </w:r>
    </w:p>
    <w:p>
      <w:pPr>
        <w:jc w:val="center"/>
        <w:ind w:left="560"/>
        <w:spacing w:after="0" w:line="228" w:lineRule="auto"/>
        <w:rPr>
          <w:rFonts w:ascii="Arial" w:cs="Arial" w:eastAsia="Arial" w:hAnsi="Arial"/>
          <w:sz w:val="13"/>
          <w:szCs w:val="13"/>
          <w:u w:val="single" w:color="auto"/>
          <w:color w:val="0000FF"/>
        </w:rPr>
      </w:pPr>
      <w:hyperlink r:id="rId140">
        <w:r>
          <w:rPr>
            <w:rFonts w:ascii="Arial" w:cs="Arial" w:eastAsia="Arial" w:hAnsi="Arial"/>
            <w:sz w:val="13"/>
            <w:szCs w:val="13"/>
            <w:u w:val="single" w:color="auto"/>
            <w:color w:val="0000FF"/>
          </w:rPr>
          <w:t>Non-competition, Non-solicitation and Confidentiality Agreement by and among Octavius</w:t>
        </w:r>
      </w:hyperlink>
    </w:p>
    <w:p>
      <w:pPr>
        <w:ind w:left="1220" w:right="320" w:hanging="346"/>
        <w:spacing w:after="0" w:line="22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10.35 </w:t>
      </w:r>
      <w:hyperlink r:id="rId140">
        <w:r>
          <w:rPr>
            <w:rFonts w:ascii="Arial" w:cs="Arial" w:eastAsia="Arial" w:hAnsi="Arial"/>
            <w:sz w:val="13"/>
            <w:szCs w:val="13"/>
            <w:u w:val="single" w:color="auto"/>
            <w:color w:val="0000FF"/>
          </w:rPr>
          <w:t>Corporation, Winnebago Industries, Inc., Grand Design RV, LLC, RDB III, Inc., Ronald Fenech,</w:t>
        </w:r>
      </w:hyperlink>
      <w:r>
        <w:rPr>
          <w:rFonts w:ascii="Arial" w:cs="Arial" w:eastAsia="Arial" w:hAnsi="Arial"/>
          <w:sz w:val="13"/>
          <w:szCs w:val="13"/>
          <w:color w:val="auto"/>
        </w:rPr>
        <w:t xml:space="preserve"> </w:t>
      </w:r>
      <w:hyperlink r:id="rId140">
        <w:r>
          <w:rPr>
            <w:rFonts w:ascii="Arial" w:cs="Arial" w:eastAsia="Arial" w:hAnsi="Arial"/>
            <w:sz w:val="13"/>
            <w:szCs w:val="13"/>
            <w:u w:val="single" w:color="auto"/>
            <w:color w:val="0000FF"/>
          </w:rPr>
          <w:t>Donald Clark and William Fenech.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83185</wp:posOffset>
            </wp:positionV>
            <wp:extent cx="6616065" cy="431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6616065" cy="431165"/>
                    </a:xfrm>
                    <a:prstGeom prst="rect">
                      <a:avLst/>
                    </a:prstGeom>
                    <a:noFill/>
                  </pic:spPr>
                </pic:pic>
              </a:graphicData>
            </a:graphic>
          </wp:anchor>
        </w:drawing>
      </w:r>
    </w:p>
    <w:p>
      <w:pPr>
        <w:spacing w:after="0" w:line="111" w:lineRule="exact"/>
        <w:rPr>
          <w:sz w:val="20"/>
          <w:szCs w:val="20"/>
          <w:color w:val="auto"/>
        </w:rPr>
      </w:pPr>
    </w:p>
    <w:p>
      <w:pPr>
        <w:ind w:left="1220" w:right="120"/>
        <w:spacing w:after="0" w:line="231" w:lineRule="auto"/>
        <w:rPr>
          <w:rFonts w:ascii="Arial" w:cs="Arial" w:eastAsia="Arial" w:hAnsi="Arial"/>
          <w:sz w:val="12"/>
          <w:szCs w:val="12"/>
          <w:u w:val="single" w:color="auto"/>
          <w:color w:val="0000FF"/>
        </w:rPr>
      </w:pPr>
      <w:hyperlink r:id="rId142">
        <w:r>
          <w:rPr>
            <w:rFonts w:ascii="Arial" w:cs="Arial" w:eastAsia="Arial" w:hAnsi="Arial"/>
            <w:sz w:val="12"/>
            <w:szCs w:val="12"/>
            <w:u w:val="single" w:color="auto"/>
            <w:color w:val="0000FF"/>
          </w:rPr>
          <w:t>Non-Solicitation and Confidentiality Agreement by and among Octavius Corporation, Winnebago</w:t>
        </w:r>
      </w:hyperlink>
      <w:r>
        <w:rPr>
          <w:rFonts w:ascii="Arial" w:cs="Arial" w:eastAsia="Arial" w:hAnsi="Arial"/>
          <w:sz w:val="12"/>
          <w:szCs w:val="12"/>
          <w:u w:val="single" w:color="auto"/>
          <w:color w:val="0000FF"/>
        </w:rPr>
        <w:t xml:space="preserve"> </w:t>
      </w:r>
      <w:hyperlink r:id="rId142">
        <w:r>
          <w:rPr>
            <w:rFonts w:ascii="Arial" w:cs="Arial" w:eastAsia="Arial" w:hAnsi="Arial"/>
            <w:sz w:val="12"/>
            <w:szCs w:val="12"/>
            <w:u w:val="single" w:color="auto"/>
            <w:color w:val="0000FF"/>
          </w:rPr>
          <w:t>Industries, Inc., Grand Design, RV, LLC, Summit Partners Growth Equity Fund VIII-B, L.P., Summit</w:t>
        </w:r>
      </w:hyperlink>
    </w:p>
    <w:p>
      <w:pPr>
        <w:spacing w:after="0" w:line="1" w:lineRule="exact"/>
        <w:rPr>
          <w:sz w:val="20"/>
          <w:szCs w:val="20"/>
          <w:color w:val="auto"/>
        </w:rPr>
      </w:pPr>
    </w:p>
    <w:p>
      <w:pPr>
        <w:ind w:left="1220" w:right="280" w:hanging="346"/>
        <w:spacing w:after="0" w:line="251" w:lineRule="auto"/>
        <w:rPr>
          <w:rFonts w:ascii="Arial" w:cs="Arial" w:eastAsia="Arial" w:hAnsi="Arial"/>
          <w:sz w:val="12"/>
          <w:szCs w:val="12"/>
          <w:u w:val="single" w:color="auto"/>
          <w:color w:val="0000FF"/>
        </w:rPr>
      </w:pPr>
      <w:r>
        <w:rPr>
          <w:rFonts w:ascii="Arial" w:cs="Arial" w:eastAsia="Arial" w:hAnsi="Arial"/>
          <w:sz w:val="12"/>
          <w:szCs w:val="12"/>
          <w:color w:val="auto"/>
        </w:rPr>
        <w:t xml:space="preserve">10.36 </w:t>
      </w:r>
      <w:hyperlink r:id="rId142">
        <w:r>
          <w:rPr>
            <w:rFonts w:ascii="Arial" w:cs="Arial" w:eastAsia="Arial" w:hAnsi="Arial"/>
            <w:sz w:val="12"/>
            <w:szCs w:val="12"/>
            <w:u w:val="single" w:color="auto"/>
            <w:color w:val="0000FF"/>
          </w:rPr>
          <w:t>Partners Growth Equity Fund VIII-A, L.P., Summit Partners Entrepreneur Advisors Fund I, L.P.,</w:t>
        </w:r>
      </w:hyperlink>
      <w:r>
        <w:rPr>
          <w:rFonts w:ascii="Arial" w:cs="Arial" w:eastAsia="Arial" w:hAnsi="Arial"/>
          <w:sz w:val="12"/>
          <w:szCs w:val="12"/>
          <w:color w:val="auto"/>
        </w:rPr>
        <w:t xml:space="preserve"> </w:t>
      </w:r>
      <w:hyperlink r:id="rId142">
        <w:r>
          <w:rPr>
            <w:rFonts w:ascii="Arial" w:cs="Arial" w:eastAsia="Arial" w:hAnsi="Arial"/>
            <w:sz w:val="12"/>
            <w:szCs w:val="12"/>
            <w:u w:val="single" w:color="auto"/>
            <w:color w:val="0000FF"/>
          </w:rPr>
          <w:t>Summit Investors I, LLC, Summit Investors I (UK), L.P., and SP GE VIII-B GD RV Holdings, L.P.</w:t>
        </w:r>
      </w:hyperlink>
    </w:p>
    <w:p>
      <w:pPr>
        <w:spacing w:after="0" w:line="124" w:lineRule="exact"/>
        <w:rPr>
          <w:sz w:val="20"/>
          <w:szCs w:val="20"/>
          <w:color w:val="auto"/>
        </w:rPr>
      </w:pPr>
    </w:p>
    <w:p>
      <w:pPr>
        <w:ind w:left="1220" w:right="60"/>
        <w:spacing w:after="0" w:line="231" w:lineRule="auto"/>
        <w:rPr>
          <w:rFonts w:ascii="Arial" w:cs="Arial" w:eastAsia="Arial" w:hAnsi="Arial"/>
          <w:sz w:val="12"/>
          <w:szCs w:val="12"/>
          <w:u w:val="single" w:color="auto"/>
          <w:color w:val="0000FF"/>
        </w:rPr>
      </w:pPr>
      <w:hyperlink r:id="rId143">
        <w:r>
          <w:rPr>
            <w:rFonts w:ascii="Arial" w:cs="Arial" w:eastAsia="Arial" w:hAnsi="Arial"/>
            <w:sz w:val="12"/>
            <w:szCs w:val="12"/>
            <w:u w:val="single" w:color="auto"/>
            <w:color w:val="0000FF"/>
          </w:rPr>
          <w:t>Registration Rights Agreement by and among Winnebago Industries, Inc., Summit Partners Growth</w:t>
        </w:r>
      </w:hyperlink>
      <w:r>
        <w:rPr>
          <w:rFonts w:ascii="Arial" w:cs="Arial" w:eastAsia="Arial" w:hAnsi="Arial"/>
          <w:sz w:val="12"/>
          <w:szCs w:val="12"/>
          <w:u w:val="single" w:color="auto"/>
          <w:color w:val="0000FF"/>
        </w:rPr>
        <w:t xml:space="preserve"> </w:t>
      </w:r>
      <w:hyperlink r:id="rId143">
        <w:r>
          <w:rPr>
            <w:rFonts w:ascii="Arial" w:cs="Arial" w:eastAsia="Arial" w:hAnsi="Arial"/>
            <w:sz w:val="12"/>
            <w:szCs w:val="12"/>
            <w:u w:val="single" w:color="auto"/>
            <w:color w:val="0000FF"/>
          </w:rPr>
          <w:t>Equity Fund VIII-A, L.P., Summit Partners Growth Equity Fund VIII-B, L.P., Summit Partners</w:t>
        </w:r>
      </w:hyperlink>
    </w:p>
    <w:p>
      <w:pPr>
        <w:spacing w:after="0" w:line="1" w:lineRule="exact"/>
        <w:rPr>
          <w:sz w:val="20"/>
          <w:szCs w:val="20"/>
          <w:color w:val="auto"/>
        </w:rPr>
      </w:pPr>
    </w:p>
    <w:p>
      <w:pPr>
        <w:ind w:left="1220" w:right="120" w:hanging="346"/>
        <w:spacing w:after="0" w:line="22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10.37 </w:t>
      </w:r>
      <w:hyperlink r:id="rId143">
        <w:r>
          <w:rPr>
            <w:rFonts w:ascii="Arial" w:cs="Arial" w:eastAsia="Arial" w:hAnsi="Arial"/>
            <w:sz w:val="13"/>
            <w:szCs w:val="13"/>
            <w:u w:val="single" w:color="auto"/>
            <w:color w:val="0000FF"/>
          </w:rPr>
          <w:t>Entrepreneur Advisors Fund I, L.P., Summit Investors I, LLC, Summit Investors I (UK), L.P. and SP</w:t>
        </w:r>
      </w:hyperlink>
      <w:r>
        <w:rPr>
          <w:rFonts w:ascii="Arial" w:cs="Arial" w:eastAsia="Arial" w:hAnsi="Arial"/>
          <w:sz w:val="13"/>
          <w:szCs w:val="13"/>
          <w:color w:val="auto"/>
        </w:rPr>
        <w:t xml:space="preserve"> </w:t>
      </w:r>
      <w:hyperlink r:id="rId143">
        <w:r>
          <w:rPr>
            <w:rFonts w:ascii="Arial" w:cs="Arial" w:eastAsia="Arial" w:hAnsi="Arial"/>
            <w:sz w:val="13"/>
            <w:szCs w:val="13"/>
            <w:u w:val="single" w:color="auto"/>
            <w:color w:val="0000FF"/>
          </w:rPr>
          <w:t>GE VIII-B GD RV Holdings, L.P., Donald Clark, Ronald Fenech, and William Fenech.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83185</wp:posOffset>
            </wp:positionV>
            <wp:extent cx="661606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111" w:lineRule="exact"/>
        <w:rPr>
          <w:sz w:val="20"/>
          <w:szCs w:val="20"/>
          <w:color w:val="auto"/>
        </w:rPr>
      </w:pPr>
    </w:p>
    <w:p>
      <w:pPr>
        <w:ind w:left="1220" w:hanging="346"/>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10.38 </w:t>
      </w:r>
      <w:hyperlink r:id="rId145">
        <w:r>
          <w:rPr>
            <w:rFonts w:ascii="Arial" w:cs="Arial" w:eastAsia="Arial" w:hAnsi="Arial"/>
            <w:sz w:val="13"/>
            <w:szCs w:val="13"/>
            <w:u w:val="single" w:color="auto"/>
            <w:color w:val="0000FF"/>
          </w:rPr>
          <w:t>Amended and Restated Employment Agreement between Winnebago Industries, Inc., Grand Design</w:t>
        </w:r>
      </w:hyperlink>
      <w:r>
        <w:rPr>
          <w:rFonts w:ascii="Arial" w:cs="Arial" w:eastAsia="Arial" w:hAnsi="Arial"/>
          <w:sz w:val="13"/>
          <w:szCs w:val="13"/>
          <w:color w:val="auto"/>
        </w:rPr>
        <w:t xml:space="preserve"> </w:t>
      </w:r>
      <w:hyperlink r:id="rId145">
        <w:r>
          <w:rPr>
            <w:rFonts w:ascii="Arial" w:cs="Arial" w:eastAsia="Arial" w:hAnsi="Arial"/>
            <w:sz w:val="13"/>
            <w:szCs w:val="13"/>
            <w:u w:val="single" w:color="auto"/>
            <w:color w:val="0000FF"/>
          </w:rPr>
          <w:t>RV, LLC, and Donald Clark effective September 1, 2019.*</w:t>
        </w:r>
      </w:hyperlink>
    </w:p>
    <w:p>
      <w:pPr>
        <w:spacing w:after="0" w:line="3" w:lineRule="exact"/>
        <w:rPr>
          <w:sz w:val="20"/>
          <w:szCs w:val="20"/>
          <w:color w:val="auto"/>
        </w:rPr>
      </w:pPr>
    </w:p>
    <w:p>
      <w:pPr>
        <w:ind w:left="880" w:right="280" w:firstLine="347"/>
        <w:spacing w:after="0" w:line="236" w:lineRule="auto"/>
        <w:rPr>
          <w:rFonts w:ascii="Arial" w:cs="Arial" w:eastAsia="Arial" w:hAnsi="Arial"/>
          <w:sz w:val="13"/>
          <w:szCs w:val="13"/>
          <w:color w:val="000000"/>
        </w:rPr>
      </w:pPr>
      <w:hyperlink r:id="rId146">
        <w:r>
          <w:rPr>
            <w:rFonts w:ascii="Arial" w:cs="Arial" w:eastAsia="Arial" w:hAnsi="Arial"/>
            <w:sz w:val="13"/>
            <w:szCs w:val="13"/>
            <w:u w:val="single" w:color="auto"/>
            <w:color w:val="0000FF"/>
          </w:rPr>
          <w:t>Amended and Restated Change in Control Agreement between Winnebago Industries, Inc. and</w:t>
        </w:r>
      </w:hyperlink>
      <w:r>
        <w:rPr>
          <w:rFonts w:ascii="Arial" w:cs="Arial" w:eastAsia="Arial" w:hAnsi="Arial"/>
          <w:sz w:val="13"/>
          <w:szCs w:val="13"/>
          <w:u w:val="single" w:color="auto"/>
          <w:color w:val="0000FF"/>
        </w:rPr>
        <w:t xml:space="preserve"> </w:t>
      </w:r>
      <w:r>
        <w:rPr>
          <w:rFonts w:ascii="Arial" w:cs="Arial" w:eastAsia="Arial" w:hAnsi="Arial"/>
          <w:sz w:val="13"/>
          <w:szCs w:val="13"/>
          <w:color w:val="000000"/>
        </w:rPr>
        <w:t xml:space="preserve">10.39 </w:t>
      </w:r>
      <w:hyperlink r:id="rId146">
        <w:r>
          <w:rPr>
            <w:rFonts w:ascii="Arial" w:cs="Arial" w:eastAsia="Arial" w:hAnsi="Arial"/>
            <w:sz w:val="13"/>
            <w:szCs w:val="13"/>
            <w:u w:val="single" w:color="auto"/>
            <w:color w:val="0000FF"/>
          </w:rPr>
          <w:t>Donald Clark effective September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82550</wp:posOffset>
            </wp:positionV>
            <wp:extent cx="661606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spacing w:after="0" w:line="110" w:lineRule="exact"/>
        <w:rPr>
          <w:sz w:val="20"/>
          <w:szCs w:val="20"/>
          <w:color w:val="auto"/>
        </w:rPr>
      </w:pPr>
    </w:p>
    <w:p>
      <w:pPr>
        <w:ind w:left="1220" w:hanging="346"/>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10.40 </w:t>
      </w:r>
      <w:hyperlink r:id="rId148">
        <w:r>
          <w:rPr>
            <w:rFonts w:ascii="Arial" w:cs="Arial" w:eastAsia="Arial" w:hAnsi="Arial"/>
            <w:sz w:val="13"/>
            <w:szCs w:val="13"/>
            <w:u w:val="single" w:color="auto"/>
            <w:color w:val="0000FF"/>
          </w:rPr>
          <w:t>Amended and Restated Employment Agreement between Winnebago Industries, Inc., Grand Design</w:t>
        </w:r>
      </w:hyperlink>
      <w:r>
        <w:rPr>
          <w:rFonts w:ascii="Arial" w:cs="Arial" w:eastAsia="Arial" w:hAnsi="Arial"/>
          <w:sz w:val="13"/>
          <w:szCs w:val="13"/>
          <w:color w:val="auto"/>
        </w:rPr>
        <w:t xml:space="preserve"> </w:t>
      </w:r>
      <w:hyperlink r:id="rId148">
        <w:r>
          <w:rPr>
            <w:rFonts w:ascii="Arial" w:cs="Arial" w:eastAsia="Arial" w:hAnsi="Arial"/>
            <w:sz w:val="13"/>
            <w:szCs w:val="13"/>
            <w:u w:val="single" w:color="auto"/>
            <w:color w:val="0000FF"/>
          </w:rPr>
          <w:t>RV, LLC, and Donald Clark effective September 1, 2023.*</w:t>
        </w:r>
      </w:hyperlink>
    </w:p>
    <w:p>
      <w:pPr>
        <w:spacing w:after="0" w:line="3" w:lineRule="exact"/>
        <w:rPr>
          <w:sz w:val="20"/>
          <w:szCs w:val="20"/>
          <w:color w:val="auto"/>
        </w:rPr>
      </w:pPr>
    </w:p>
    <w:p>
      <w:pPr>
        <w:ind w:left="880" w:right="280" w:firstLine="347"/>
        <w:spacing w:after="0" w:line="236" w:lineRule="auto"/>
        <w:rPr>
          <w:rFonts w:ascii="Arial" w:cs="Arial" w:eastAsia="Arial" w:hAnsi="Arial"/>
          <w:sz w:val="13"/>
          <w:szCs w:val="13"/>
          <w:color w:val="000000"/>
        </w:rPr>
      </w:pPr>
      <w:hyperlink r:id="rId149">
        <w:r>
          <w:rPr>
            <w:rFonts w:ascii="Arial" w:cs="Arial" w:eastAsia="Arial" w:hAnsi="Arial"/>
            <w:sz w:val="13"/>
            <w:szCs w:val="13"/>
            <w:u w:val="single" w:color="auto"/>
            <w:color w:val="0000FF"/>
          </w:rPr>
          <w:t>Amended and Restated Change in Control Agreement between Winnebago Industries, Inc. and</w:t>
        </w:r>
      </w:hyperlink>
      <w:r>
        <w:rPr>
          <w:rFonts w:ascii="Arial" w:cs="Arial" w:eastAsia="Arial" w:hAnsi="Arial"/>
          <w:sz w:val="13"/>
          <w:szCs w:val="13"/>
          <w:u w:val="single" w:color="auto"/>
          <w:color w:val="0000FF"/>
        </w:rPr>
        <w:t xml:space="preserve"> </w:t>
      </w:r>
      <w:r>
        <w:rPr>
          <w:rFonts w:ascii="Arial" w:cs="Arial" w:eastAsia="Arial" w:hAnsi="Arial"/>
          <w:sz w:val="13"/>
          <w:szCs w:val="13"/>
          <w:color w:val="000000"/>
        </w:rPr>
        <w:t xml:space="preserve">10.41 </w:t>
      </w:r>
      <w:hyperlink r:id="rId149">
        <w:r>
          <w:rPr>
            <w:rFonts w:ascii="Arial" w:cs="Arial" w:eastAsia="Arial" w:hAnsi="Arial"/>
            <w:sz w:val="13"/>
            <w:szCs w:val="13"/>
            <w:u w:val="single" w:color="auto"/>
            <w:color w:val="0000FF"/>
          </w:rPr>
          <w:t>Donald Clark effective September 1, 2023.*</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2"/>
        </w:trPr>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Filed Herewith</w:t>
            </w:r>
          </w:p>
        </w:tc>
      </w:tr>
      <w:tr>
        <w:trPr>
          <w:trHeight w:val="349"/>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10r</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720" w:type="dxa"/>
            <w:vAlign w:val="bottom"/>
          </w:tcPr>
          <w:p>
            <w:pPr>
              <w:jc w:val="right"/>
              <w:spacing w:after="0"/>
              <w:rPr>
                <w:sz w:val="20"/>
                <w:szCs w:val="20"/>
                <w:color w:val="auto"/>
              </w:rPr>
            </w:pPr>
            <w:r>
              <w:rPr>
                <w:rFonts w:ascii="Arial" w:cs="Arial" w:eastAsia="Arial" w:hAnsi="Arial"/>
                <w:sz w:val="13"/>
                <w:szCs w:val="13"/>
                <w:color w:val="auto"/>
              </w:rPr>
              <w:t>10.18</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10/18/2023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10.f</w:t>
            </w:r>
          </w:p>
        </w:tc>
        <w:tc>
          <w:tcPr>
            <w:tcW w:w="1060" w:type="dxa"/>
            <w:vAlign w:val="bottom"/>
          </w:tcPr>
          <w:p>
            <w:pPr>
              <w:jc w:val="right"/>
              <w:spacing w:after="0"/>
              <w:rPr>
                <w:sz w:val="20"/>
                <w:szCs w:val="20"/>
                <w:color w:val="auto"/>
              </w:rPr>
            </w:pPr>
            <w:r>
              <w:rPr>
                <w:rFonts w:ascii="Arial" w:cs="Arial" w:eastAsia="Arial" w:hAnsi="Arial"/>
                <w:sz w:val="13"/>
                <w:szCs w:val="13"/>
                <w:color w:val="auto"/>
              </w:rPr>
              <w:t>12/20/2018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10.Z</w:t>
            </w:r>
          </w:p>
        </w:tc>
        <w:tc>
          <w:tcPr>
            <w:tcW w:w="1060" w:type="dxa"/>
            <w:vAlign w:val="bottom"/>
          </w:tcPr>
          <w:p>
            <w:pPr>
              <w:jc w:val="right"/>
              <w:spacing w:after="0"/>
              <w:rPr>
                <w:sz w:val="20"/>
                <w:szCs w:val="20"/>
                <w:color w:val="auto"/>
              </w:rPr>
            </w:pPr>
            <w:r>
              <w:rPr>
                <w:rFonts w:ascii="Arial" w:cs="Arial" w:eastAsia="Arial" w:hAnsi="Arial"/>
                <w:sz w:val="13"/>
                <w:szCs w:val="13"/>
                <w:color w:val="auto"/>
              </w:rPr>
              <w:t>10/27/2009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3"/>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70"/>
        </w:trPr>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233"/>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10s</w:t>
            </w:r>
          </w:p>
        </w:tc>
        <w:tc>
          <w:tcPr>
            <w:tcW w:w="1060" w:type="dxa"/>
            <w:vAlign w:val="bottom"/>
          </w:tcPr>
          <w:p>
            <w:pPr>
              <w:jc w:val="right"/>
              <w:spacing w:after="0"/>
              <w:rPr>
                <w:sz w:val="20"/>
                <w:szCs w:val="20"/>
                <w:color w:val="auto"/>
              </w:rPr>
            </w:pPr>
            <w:r>
              <w:rPr>
                <w:rFonts w:ascii="Arial" w:cs="Arial" w:eastAsia="Arial" w:hAnsi="Arial"/>
                <w:sz w:val="13"/>
                <w:szCs w:val="13"/>
                <w:color w:val="auto"/>
              </w:rPr>
              <w:t>10/21/2020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10t</w:t>
            </w:r>
          </w:p>
        </w:tc>
        <w:tc>
          <w:tcPr>
            <w:tcW w:w="1060" w:type="dxa"/>
            <w:vAlign w:val="bottom"/>
          </w:tcPr>
          <w:p>
            <w:pPr>
              <w:jc w:val="right"/>
              <w:spacing w:after="0"/>
              <w:rPr>
                <w:sz w:val="20"/>
                <w:szCs w:val="20"/>
                <w:color w:val="auto"/>
              </w:rPr>
            </w:pPr>
            <w:r>
              <w:rPr>
                <w:rFonts w:ascii="Arial" w:cs="Arial" w:eastAsia="Arial" w:hAnsi="Arial"/>
                <w:sz w:val="13"/>
                <w:szCs w:val="13"/>
                <w:color w:val="auto"/>
              </w:rPr>
              <w:t>10/20/2021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10y</w:t>
            </w:r>
          </w:p>
        </w:tc>
        <w:tc>
          <w:tcPr>
            <w:tcW w:w="1060" w:type="dxa"/>
            <w:vAlign w:val="bottom"/>
          </w:tcPr>
          <w:p>
            <w:pPr>
              <w:jc w:val="right"/>
              <w:spacing w:after="0"/>
              <w:rPr>
                <w:sz w:val="20"/>
                <w:szCs w:val="20"/>
                <w:color w:val="auto"/>
              </w:rPr>
            </w:pPr>
            <w:r>
              <w:rPr>
                <w:rFonts w:ascii="Arial" w:cs="Arial" w:eastAsia="Arial" w:hAnsi="Arial"/>
                <w:sz w:val="13"/>
                <w:szCs w:val="13"/>
                <w:color w:val="auto"/>
              </w:rPr>
              <w:t>10/19/2022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12/20/2023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297"/>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424"/>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15"/>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79"/>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10/05/2016</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06/24/2019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1"/>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06/24/2019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1"/>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720" w:type="dxa"/>
            <w:vAlign w:val="bottom"/>
          </w:tcPr>
          <w:p>
            <w:pPr>
              <w:jc w:val="right"/>
              <w:spacing w:after="0"/>
              <w:rPr>
                <w:sz w:val="20"/>
                <w:szCs w:val="20"/>
                <w:color w:val="auto"/>
              </w:rPr>
            </w:pPr>
            <w:r>
              <w:rPr>
                <w:rFonts w:ascii="Arial" w:cs="Arial" w:eastAsia="Arial" w:hAnsi="Arial"/>
                <w:sz w:val="13"/>
                <w:szCs w:val="13"/>
                <w:color w:val="auto"/>
              </w:rPr>
              <w:t>10.30</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10/18/2023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1"/>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10-K</w:t>
            </w:r>
          </w:p>
        </w:tc>
        <w:tc>
          <w:tcPr>
            <w:tcW w:w="720" w:type="dxa"/>
            <w:vAlign w:val="bottom"/>
          </w:tcPr>
          <w:p>
            <w:pPr>
              <w:jc w:val="right"/>
              <w:spacing w:after="0"/>
              <w:rPr>
                <w:sz w:val="20"/>
                <w:szCs w:val="20"/>
                <w:color w:val="auto"/>
              </w:rPr>
            </w:pPr>
            <w:r>
              <w:rPr>
                <w:rFonts w:ascii="Arial" w:cs="Arial" w:eastAsia="Arial" w:hAnsi="Arial"/>
                <w:sz w:val="13"/>
                <w:szCs w:val="13"/>
                <w:color w:val="auto"/>
              </w:rPr>
              <w:t>10.31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10/18/2023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6880" w:space="120"/>
            <w:col w:w="3680"/>
          </w:cols>
          <w:pgMar w:left="300" w:top="129" w:right="919" w:bottom="1440" w:gutter="0" w:footer="0" w:header="0"/>
        </w:sectPr>
      </w:pPr>
    </w:p>
    <w:bookmarkStart w:id="69" w:name="page70"/>
    <w:bookmarkEnd w:id="6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12700</wp:posOffset>
            </wp:positionV>
            <wp:extent cx="6616065" cy="276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6616065" cy="276225"/>
                    </a:xfrm>
                    <a:prstGeom prst="rect">
                      <a:avLst/>
                    </a:prstGeom>
                    <a:noFill/>
                  </pic:spPr>
                </pic:pic>
              </a:graphicData>
            </a:graphic>
          </wp:anchor>
        </w:drawing>
      </w:r>
    </w:p>
    <w:p>
      <w:pPr>
        <w:spacing w:after="0" w:line="11" w:lineRule="exact"/>
        <w:rPr>
          <w:sz w:val="20"/>
          <w:szCs w:val="20"/>
          <w:color w:val="auto"/>
        </w:rPr>
      </w:pPr>
    </w:p>
    <w:p>
      <w:pPr>
        <w:ind w:left="880" w:right="20" w:firstLine="347"/>
        <w:spacing w:after="0" w:line="236" w:lineRule="auto"/>
        <w:rPr>
          <w:rFonts w:ascii="Arial" w:cs="Arial" w:eastAsia="Arial" w:hAnsi="Arial"/>
          <w:sz w:val="13"/>
          <w:szCs w:val="13"/>
          <w:color w:val="000000"/>
        </w:rPr>
      </w:pPr>
      <w:hyperlink r:id="rId152">
        <w:r>
          <w:rPr>
            <w:rFonts w:ascii="Arial" w:cs="Arial" w:eastAsia="Arial" w:hAnsi="Arial"/>
            <w:sz w:val="13"/>
            <w:szCs w:val="13"/>
            <w:u w:val="single" w:color="auto"/>
            <w:color w:val="0000FF"/>
          </w:rPr>
          <w:t>Commitment Letter dated September 15, 2019, by and among Winnebago Industries, Inc., Goldman</w:t>
        </w:r>
      </w:hyperlink>
      <w:r>
        <w:rPr>
          <w:rFonts w:ascii="Arial" w:cs="Arial" w:eastAsia="Arial" w:hAnsi="Arial"/>
          <w:sz w:val="13"/>
          <w:szCs w:val="13"/>
          <w:u w:val="single" w:color="auto"/>
          <w:color w:val="0000FF"/>
        </w:rPr>
        <w:t xml:space="preserve"> </w:t>
      </w:r>
      <w:r>
        <w:rPr>
          <w:rFonts w:ascii="Arial" w:cs="Arial" w:eastAsia="Arial" w:hAnsi="Arial"/>
          <w:sz w:val="13"/>
          <w:szCs w:val="13"/>
          <w:color w:val="000000"/>
        </w:rPr>
        <w:t xml:space="preserve">10.42 </w:t>
      </w:r>
      <w:hyperlink r:id="rId152">
        <w:r>
          <w:rPr>
            <w:rFonts w:ascii="Arial" w:cs="Arial" w:eastAsia="Arial" w:hAnsi="Arial"/>
            <w:sz w:val="13"/>
            <w:szCs w:val="13"/>
            <w:u w:val="single" w:color="auto"/>
            <w:color w:val="0000FF"/>
          </w:rPr>
          <w:t>Sachs Bank USA, Bank of Montreal, and BMO Capital Markets Corp.</w:t>
        </w:r>
      </w:hyperlink>
    </w:p>
    <w:p>
      <w:pPr>
        <w:spacing w:after="0" w:line="130" w:lineRule="exact"/>
        <w:rPr>
          <w:sz w:val="20"/>
          <w:szCs w:val="20"/>
          <w:color w:val="auto"/>
        </w:rPr>
      </w:pPr>
    </w:p>
    <w:p>
      <w:pPr>
        <w:ind w:left="1220"/>
        <w:spacing w:after="0"/>
        <w:rPr>
          <w:rFonts w:ascii="Arial" w:cs="Arial" w:eastAsia="Arial" w:hAnsi="Arial"/>
          <w:sz w:val="13"/>
          <w:szCs w:val="13"/>
          <w:u w:val="single" w:color="auto"/>
          <w:color w:val="0000FF"/>
        </w:rPr>
      </w:pPr>
      <w:hyperlink r:id="rId153">
        <w:r>
          <w:rPr>
            <w:rFonts w:ascii="Arial" w:cs="Arial" w:eastAsia="Arial" w:hAnsi="Arial"/>
            <w:sz w:val="13"/>
            <w:szCs w:val="13"/>
            <w:u w:val="single" w:color="auto"/>
            <w:color w:val="0000FF"/>
          </w:rPr>
          <w:t>Amended and Restated Credit Agreement dated as of October 22, 2019 among Winnebago</w:t>
        </w:r>
      </w:hyperlink>
    </w:p>
    <w:p>
      <w:pPr>
        <w:ind w:left="880"/>
        <w:spacing w:after="0" w:line="185" w:lineRule="auto"/>
        <w:rPr>
          <w:rFonts w:ascii="Arial" w:cs="Arial" w:eastAsia="Arial" w:hAnsi="Arial"/>
          <w:sz w:val="10"/>
          <w:szCs w:val="10"/>
          <w:color w:val="0000FF"/>
        </w:rPr>
      </w:pPr>
      <w:hyperlink r:id="rId153"/>
      <w:r>
        <w:rPr>
          <w:rFonts w:ascii="Arial" w:cs="Arial" w:eastAsia="Arial" w:hAnsi="Arial"/>
          <w:sz w:val="18"/>
          <w:szCs w:val="18"/>
          <w:color w:val="000000"/>
          <w:vertAlign w:val="subscript"/>
        </w:rPr>
        <w:t>10.43</w:t>
      </w:r>
      <w:r>
        <w:rPr>
          <w:rFonts w:ascii="Arial" w:cs="Arial" w:eastAsia="Arial" w:hAnsi="Arial"/>
          <w:sz w:val="10"/>
          <w:szCs w:val="10"/>
          <w:color w:val="0000FF"/>
        </w:rPr>
        <w:t xml:space="preserve"> </w:t>
      </w:r>
      <w:hyperlink r:id="rId153">
        <w:r>
          <w:rPr>
            <w:rFonts w:ascii="Arial" w:cs="Arial" w:eastAsia="Arial" w:hAnsi="Arial"/>
            <w:sz w:val="10"/>
            <w:szCs w:val="10"/>
            <w:u w:val="single" w:color="auto"/>
            <w:color w:val="0000FF"/>
          </w:rPr>
          <w:t>Industries, Inc., Winnebago of Indiana, LLC and Grand Design RV, LLC, the other loan parties party</w:t>
        </w:r>
      </w:hyperlink>
    </w:p>
    <w:p>
      <w:pPr>
        <w:ind w:left="1220" w:right="200"/>
        <w:spacing w:after="0" w:line="235" w:lineRule="auto"/>
        <w:rPr>
          <w:rFonts w:ascii="Arial" w:cs="Arial" w:eastAsia="Arial" w:hAnsi="Arial"/>
          <w:sz w:val="13"/>
          <w:szCs w:val="13"/>
          <w:u w:val="single" w:color="auto"/>
          <w:color w:val="0000FF"/>
        </w:rPr>
      </w:pPr>
      <w:hyperlink r:id="rId153">
        <w:r>
          <w:rPr>
            <w:rFonts w:ascii="Arial" w:cs="Arial" w:eastAsia="Arial" w:hAnsi="Arial"/>
            <w:sz w:val="13"/>
            <w:szCs w:val="13"/>
            <w:u w:val="single" w:color="auto"/>
            <w:color w:val="0000FF"/>
          </w:rPr>
          <w:t>thereto from time to time, the lenders party thereto from time to time and JPMorgan Chase Bank,</w:t>
        </w:r>
      </w:hyperlink>
      <w:r>
        <w:rPr>
          <w:rFonts w:ascii="Arial" w:cs="Arial" w:eastAsia="Arial" w:hAnsi="Arial"/>
          <w:sz w:val="13"/>
          <w:szCs w:val="13"/>
          <w:u w:val="single" w:color="auto"/>
          <w:color w:val="0000FF"/>
        </w:rPr>
        <w:t xml:space="preserve"> </w:t>
      </w:r>
      <w:hyperlink r:id="rId153">
        <w:r>
          <w:rPr>
            <w:rFonts w:ascii="Arial" w:cs="Arial" w:eastAsia="Arial" w:hAnsi="Arial"/>
            <w:sz w:val="13"/>
            <w:szCs w:val="13"/>
            <w:u w:val="single" w:color="auto"/>
            <w:color w:val="0000FF"/>
          </w:rPr>
          <w:t>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15240</wp:posOffset>
            </wp:positionV>
            <wp:extent cx="6616065" cy="3505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6616065" cy="350520"/>
                    </a:xfrm>
                    <a:prstGeom prst="rect">
                      <a:avLst/>
                    </a:prstGeom>
                    <a:noFill/>
                  </pic:spPr>
                </pic:pic>
              </a:graphicData>
            </a:graphic>
          </wp:anchor>
        </w:drawing>
      </w:r>
    </w:p>
    <w:p>
      <w:pPr>
        <w:spacing w:after="0" w:line="4" w:lineRule="exact"/>
        <w:rPr>
          <w:sz w:val="20"/>
          <w:szCs w:val="20"/>
          <w:color w:val="auto"/>
        </w:rPr>
      </w:pPr>
    </w:p>
    <w:p>
      <w:pPr>
        <w:ind w:left="880" w:right="140" w:firstLine="347"/>
        <w:spacing w:after="0" w:line="231" w:lineRule="auto"/>
        <w:rPr>
          <w:rFonts w:ascii="Arial" w:cs="Arial" w:eastAsia="Arial" w:hAnsi="Arial"/>
          <w:sz w:val="12"/>
          <w:szCs w:val="12"/>
          <w:color w:val="000000"/>
        </w:rPr>
      </w:pPr>
      <w:hyperlink r:id="rId155">
        <w:r>
          <w:rPr>
            <w:rFonts w:ascii="Arial" w:cs="Arial" w:eastAsia="Arial" w:hAnsi="Arial"/>
            <w:sz w:val="12"/>
            <w:szCs w:val="12"/>
            <w:u w:val="single" w:color="auto"/>
            <w:color w:val="0000FF"/>
          </w:rPr>
          <w:t>Second Amended and Restated Credit Agreement dated as of July 15, 2022 among Winnebago</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10.44 </w:t>
      </w:r>
      <w:hyperlink r:id="rId155">
        <w:r>
          <w:rPr>
            <w:rFonts w:ascii="Arial" w:cs="Arial" w:eastAsia="Arial" w:hAnsi="Arial"/>
            <w:sz w:val="12"/>
            <w:szCs w:val="12"/>
            <w:u w:val="single" w:color="auto"/>
            <w:color w:val="0000FF"/>
          </w:rPr>
          <w:t>Industries, Inc., Winnebago of Indiana, LLC, Grand Design RV, LLC and Newmar Corporation, the</w:t>
        </w:r>
      </w:hyperlink>
    </w:p>
    <w:p>
      <w:pPr>
        <w:spacing w:after="0" w:line="1" w:lineRule="exact"/>
        <w:rPr>
          <w:sz w:val="20"/>
          <w:szCs w:val="20"/>
          <w:color w:val="auto"/>
        </w:rPr>
      </w:pPr>
    </w:p>
    <w:p>
      <w:pPr>
        <w:ind w:left="1220" w:right="260"/>
        <w:spacing w:after="0" w:line="226" w:lineRule="auto"/>
        <w:rPr>
          <w:rFonts w:ascii="Arial" w:cs="Arial" w:eastAsia="Arial" w:hAnsi="Arial"/>
          <w:sz w:val="13"/>
          <w:szCs w:val="13"/>
          <w:u w:val="single" w:color="auto"/>
          <w:color w:val="0000FF"/>
        </w:rPr>
      </w:pPr>
      <w:hyperlink r:id="rId155">
        <w:r>
          <w:rPr>
            <w:rFonts w:ascii="Arial" w:cs="Arial" w:eastAsia="Arial" w:hAnsi="Arial"/>
            <w:sz w:val="13"/>
            <w:szCs w:val="13"/>
            <w:u w:val="single" w:color="auto"/>
            <w:color w:val="0000FF"/>
          </w:rPr>
          <w:t>other loan parties party thereto from time to time, the lenders party thereto from time to time and</w:t>
        </w:r>
      </w:hyperlink>
      <w:r>
        <w:rPr>
          <w:rFonts w:ascii="Arial" w:cs="Arial" w:eastAsia="Arial" w:hAnsi="Arial"/>
          <w:sz w:val="13"/>
          <w:szCs w:val="13"/>
          <w:u w:val="single" w:color="auto"/>
          <w:color w:val="0000FF"/>
        </w:rPr>
        <w:t xml:space="preserve"> </w:t>
      </w:r>
      <w:hyperlink r:id="rId155">
        <w:r>
          <w:rPr>
            <w:rFonts w:ascii="Arial" w:cs="Arial" w:eastAsia="Arial" w:hAnsi="Arial"/>
            <w:sz w:val="13"/>
            <w:szCs w:val="13"/>
            <w:u w:val="single" w:color="auto"/>
            <w:color w:val="0000FF"/>
          </w:rPr>
          <w:t>JPMorgan Chase Bank, N.A.</w:t>
        </w:r>
      </w:hyperlink>
    </w:p>
    <w:p>
      <w:pPr>
        <w:spacing w:after="0" w:line="4" w:lineRule="exact"/>
        <w:rPr>
          <w:sz w:val="20"/>
          <w:szCs w:val="20"/>
          <w:color w:val="auto"/>
        </w:rPr>
      </w:pPr>
    </w:p>
    <w:p>
      <w:pPr>
        <w:ind w:left="880" w:right="40" w:firstLine="347"/>
        <w:spacing w:after="0" w:line="193" w:lineRule="auto"/>
        <w:rPr>
          <w:rFonts w:ascii="Arial" w:cs="Arial" w:eastAsia="Arial" w:hAnsi="Arial"/>
          <w:sz w:val="13"/>
          <w:szCs w:val="13"/>
          <w:color w:val="0000FF"/>
        </w:rPr>
      </w:pPr>
      <w:hyperlink r:id="rId156">
        <w:r>
          <w:rPr>
            <w:rFonts w:ascii="Arial" w:cs="Arial" w:eastAsia="Arial" w:hAnsi="Arial"/>
            <w:sz w:val="13"/>
            <w:szCs w:val="13"/>
            <w:u w:val="single" w:color="auto"/>
            <w:color w:val="0000FF"/>
          </w:rPr>
          <w:t>Purchase Agreement, dated October 29, 2019, by and among Winnebago Industries, Inc., Goldman</w:t>
        </w:r>
      </w:hyperlink>
      <w:r>
        <w:rPr>
          <w:rFonts w:ascii="Arial" w:cs="Arial" w:eastAsia="Arial" w:hAnsi="Arial"/>
          <w:sz w:val="13"/>
          <w:szCs w:val="13"/>
          <w:u w:val="single" w:color="auto"/>
          <w:color w:val="0000FF"/>
        </w:rPr>
        <w:t xml:space="preserve"> </w:t>
      </w:r>
      <w:hyperlink r:id="rId156"/>
      <w:r>
        <w:rPr>
          <w:rFonts w:ascii="Arial" w:cs="Arial" w:eastAsia="Arial" w:hAnsi="Arial"/>
          <w:sz w:val="25"/>
          <w:szCs w:val="25"/>
          <w:color w:val="000000"/>
          <w:vertAlign w:val="superscript"/>
        </w:rPr>
        <w:t>10.45</w:t>
      </w:r>
      <w:r>
        <w:rPr>
          <w:rFonts w:ascii="Arial" w:cs="Arial" w:eastAsia="Arial" w:hAnsi="Arial"/>
          <w:sz w:val="13"/>
          <w:szCs w:val="13"/>
          <w:color w:val="0000FF"/>
        </w:rPr>
        <w:t xml:space="preserve"> </w:t>
      </w:r>
      <w:hyperlink r:id="rId156">
        <w:r>
          <w:rPr>
            <w:rFonts w:ascii="Arial" w:cs="Arial" w:eastAsia="Arial" w:hAnsi="Arial"/>
            <w:sz w:val="13"/>
            <w:szCs w:val="13"/>
            <w:u w:val="single" w:color="auto"/>
            <w:color w:val="0000FF"/>
          </w:rPr>
          <w:t>Sachs &amp; Co. LLC and BMO Capital Markets Corp.</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-6985</wp:posOffset>
            </wp:positionV>
            <wp:extent cx="6616065" cy="215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340" w:firstLine="347"/>
        <w:spacing w:after="0" w:line="186" w:lineRule="auto"/>
        <w:rPr>
          <w:rFonts w:ascii="Arial" w:cs="Arial" w:eastAsia="Arial" w:hAnsi="Arial"/>
          <w:sz w:val="13"/>
          <w:szCs w:val="13"/>
          <w:color w:val="0000FF"/>
        </w:rPr>
      </w:pPr>
      <w:hyperlink r:id="rId158">
        <w:r>
          <w:rPr>
            <w:rFonts w:ascii="Arial" w:cs="Arial" w:eastAsia="Arial" w:hAnsi="Arial"/>
            <w:sz w:val="13"/>
            <w:szCs w:val="13"/>
            <w:u w:val="single" w:color="auto"/>
            <w:color w:val="0000FF"/>
          </w:rPr>
          <w:t>Purchase Agreement, dated January 18, 2024, by and among Winnebago Industries, Inc., and</w:t>
        </w:r>
      </w:hyperlink>
      <w:r>
        <w:rPr>
          <w:rFonts w:ascii="Arial" w:cs="Arial" w:eastAsia="Arial" w:hAnsi="Arial"/>
          <w:sz w:val="13"/>
          <w:szCs w:val="13"/>
          <w:u w:val="single" w:color="auto"/>
          <w:color w:val="0000FF"/>
        </w:rPr>
        <w:t xml:space="preserve"> </w:t>
      </w:r>
      <w:hyperlink r:id="rId158"/>
      <w:r>
        <w:rPr>
          <w:rFonts w:ascii="Arial" w:cs="Arial" w:eastAsia="Arial" w:hAnsi="Arial"/>
          <w:sz w:val="25"/>
          <w:szCs w:val="25"/>
          <w:color w:val="000000"/>
          <w:vertAlign w:val="superscript"/>
        </w:rPr>
        <w:t>10.46</w:t>
      </w:r>
      <w:r>
        <w:rPr>
          <w:rFonts w:ascii="Arial" w:cs="Arial" w:eastAsia="Arial" w:hAnsi="Arial"/>
          <w:sz w:val="13"/>
          <w:szCs w:val="13"/>
          <w:color w:val="0000FF"/>
        </w:rPr>
        <w:t xml:space="preserve"> </w:t>
      </w:r>
      <w:hyperlink r:id="rId158">
        <w:r>
          <w:rPr>
            <w:rFonts w:ascii="Arial" w:cs="Arial" w:eastAsia="Arial" w:hAnsi="Arial"/>
            <w:sz w:val="13"/>
            <w:szCs w:val="13"/>
            <w:u w:val="single" w:color="auto"/>
            <w:color w:val="0000FF"/>
          </w:rPr>
          <w:t>Goldman Sachs &amp; Co. LLC and BMO Capital Markets Corp., as the initial purchasers.</w:t>
        </w:r>
      </w:hyperlink>
    </w:p>
    <w:p>
      <w:pPr>
        <w:spacing w:after="0" w:line="1" w:lineRule="exact"/>
        <w:rPr>
          <w:rFonts w:ascii="Arial" w:cs="Arial" w:eastAsia="Arial" w:hAnsi="Arial"/>
          <w:sz w:val="13"/>
          <w:szCs w:val="13"/>
          <w:u w:val="single" w:color="auto"/>
          <w:color w:val="0000FF"/>
        </w:rPr>
      </w:pPr>
    </w:p>
    <w:p>
      <w:pPr>
        <w:ind w:left="880" w:right="540" w:firstLine="347"/>
        <w:spacing w:after="0" w:line="186" w:lineRule="auto"/>
        <w:rPr>
          <w:rFonts w:ascii="Arial" w:cs="Arial" w:eastAsia="Arial" w:hAnsi="Arial"/>
          <w:sz w:val="13"/>
          <w:szCs w:val="13"/>
          <w:color w:val="0000FF"/>
        </w:rPr>
      </w:pPr>
      <w:hyperlink r:id="rId159">
        <w:r>
          <w:rPr>
            <w:rFonts w:ascii="Arial" w:cs="Arial" w:eastAsia="Arial" w:hAnsi="Arial"/>
            <w:sz w:val="13"/>
            <w:szCs w:val="13"/>
            <w:u w:val="single" w:color="auto"/>
            <w:color w:val="0000FF"/>
          </w:rPr>
          <w:t>Base Convertible Bond Hedge Confirmation, dated October 29, 2019, between Winnebago</w:t>
        </w:r>
      </w:hyperlink>
      <w:r>
        <w:rPr>
          <w:rFonts w:ascii="Arial" w:cs="Arial" w:eastAsia="Arial" w:hAnsi="Arial"/>
          <w:sz w:val="13"/>
          <w:szCs w:val="13"/>
          <w:u w:val="single" w:color="auto"/>
          <w:color w:val="0000FF"/>
        </w:rPr>
        <w:t xml:space="preserve"> </w:t>
      </w:r>
      <w:hyperlink r:id="rId159"/>
      <w:r>
        <w:rPr>
          <w:rFonts w:ascii="Arial" w:cs="Arial" w:eastAsia="Arial" w:hAnsi="Arial"/>
          <w:sz w:val="25"/>
          <w:szCs w:val="25"/>
          <w:color w:val="000000"/>
          <w:vertAlign w:val="superscript"/>
        </w:rPr>
        <w:t>10.47</w:t>
      </w:r>
      <w:r>
        <w:rPr>
          <w:rFonts w:ascii="Arial" w:cs="Arial" w:eastAsia="Arial" w:hAnsi="Arial"/>
          <w:sz w:val="13"/>
          <w:szCs w:val="13"/>
          <w:color w:val="0000FF"/>
        </w:rPr>
        <w:t xml:space="preserve"> </w:t>
      </w:r>
      <w:hyperlink r:id="rId159">
        <w:r>
          <w:rPr>
            <w:rFonts w:ascii="Arial" w:cs="Arial" w:eastAsia="Arial" w:hAnsi="Arial"/>
            <w:sz w:val="13"/>
            <w:szCs w:val="13"/>
            <w:u w:val="single" w:color="auto"/>
            <w:color w:val="0000FF"/>
          </w:rPr>
          <w:t>Industries, Inc., and Goldman Sachs &amp; Co.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540" w:firstLine="347"/>
        <w:spacing w:after="0" w:line="186" w:lineRule="auto"/>
        <w:rPr>
          <w:rFonts w:ascii="Arial" w:cs="Arial" w:eastAsia="Arial" w:hAnsi="Arial"/>
          <w:sz w:val="13"/>
          <w:szCs w:val="13"/>
          <w:color w:val="0000FF"/>
        </w:rPr>
      </w:pPr>
      <w:hyperlink r:id="rId161">
        <w:r>
          <w:rPr>
            <w:rFonts w:ascii="Arial" w:cs="Arial" w:eastAsia="Arial" w:hAnsi="Arial"/>
            <w:sz w:val="13"/>
            <w:szCs w:val="13"/>
            <w:u w:val="single" w:color="auto"/>
            <w:color w:val="0000FF"/>
          </w:rPr>
          <w:t>Base Convertible Bond Hedge Confirmation, dated October 29, 2019, between Winnebago</w:t>
        </w:r>
      </w:hyperlink>
      <w:r>
        <w:rPr>
          <w:rFonts w:ascii="Arial" w:cs="Arial" w:eastAsia="Arial" w:hAnsi="Arial"/>
          <w:sz w:val="13"/>
          <w:szCs w:val="13"/>
          <w:u w:val="single" w:color="auto"/>
          <w:color w:val="0000FF"/>
        </w:rPr>
        <w:t xml:space="preserve"> </w:t>
      </w:r>
      <w:hyperlink r:id="rId161"/>
      <w:r>
        <w:rPr>
          <w:rFonts w:ascii="Arial" w:cs="Arial" w:eastAsia="Arial" w:hAnsi="Arial"/>
          <w:sz w:val="25"/>
          <w:szCs w:val="25"/>
          <w:color w:val="000000"/>
          <w:vertAlign w:val="superscript"/>
        </w:rPr>
        <w:t>10.48</w:t>
      </w:r>
      <w:r>
        <w:rPr>
          <w:rFonts w:ascii="Arial" w:cs="Arial" w:eastAsia="Arial" w:hAnsi="Arial"/>
          <w:sz w:val="13"/>
          <w:szCs w:val="13"/>
          <w:color w:val="0000FF"/>
        </w:rPr>
        <w:t xml:space="preserve"> </w:t>
      </w:r>
      <w:hyperlink r:id="rId161">
        <w:r>
          <w:rPr>
            <w:rFonts w:ascii="Arial" w:cs="Arial" w:eastAsia="Arial" w:hAnsi="Arial"/>
            <w:sz w:val="13"/>
            <w:szCs w:val="13"/>
            <w:u w:val="single" w:color="auto"/>
            <w:color w:val="0000FF"/>
          </w:rPr>
          <w:t>Industries, Inc., and Bank of Montreal.</w:t>
        </w:r>
      </w:hyperlink>
    </w:p>
    <w:p>
      <w:pPr>
        <w:spacing w:after="0" w:line="1" w:lineRule="exact"/>
        <w:rPr>
          <w:rFonts w:ascii="Arial" w:cs="Arial" w:eastAsia="Arial" w:hAnsi="Arial"/>
          <w:sz w:val="13"/>
          <w:szCs w:val="13"/>
          <w:u w:val="single" w:color="auto"/>
          <w:color w:val="0000FF"/>
        </w:rPr>
      </w:pPr>
    </w:p>
    <w:p>
      <w:pPr>
        <w:ind w:left="880" w:right="280" w:firstLine="347"/>
        <w:spacing w:after="0" w:line="186" w:lineRule="auto"/>
        <w:rPr>
          <w:rFonts w:ascii="Arial" w:cs="Arial" w:eastAsia="Arial" w:hAnsi="Arial"/>
          <w:sz w:val="13"/>
          <w:szCs w:val="13"/>
          <w:color w:val="0000FF"/>
        </w:rPr>
      </w:pPr>
      <w:hyperlink r:id="rId162">
        <w:r>
          <w:rPr>
            <w:rFonts w:ascii="Arial" w:cs="Arial" w:eastAsia="Arial" w:hAnsi="Arial"/>
            <w:sz w:val="13"/>
            <w:szCs w:val="13"/>
            <w:u w:val="single" w:color="auto"/>
            <w:color w:val="0000FF"/>
          </w:rPr>
          <w:t>Additional Convertible Bond Hedge Confirmation, dated October 30, 2019, between Winnebago</w:t>
        </w:r>
      </w:hyperlink>
      <w:r>
        <w:rPr>
          <w:rFonts w:ascii="Arial" w:cs="Arial" w:eastAsia="Arial" w:hAnsi="Arial"/>
          <w:sz w:val="13"/>
          <w:szCs w:val="13"/>
          <w:u w:val="single" w:color="auto"/>
          <w:color w:val="0000FF"/>
        </w:rPr>
        <w:t xml:space="preserve"> </w:t>
      </w:r>
      <w:hyperlink r:id="rId162"/>
      <w:r>
        <w:rPr>
          <w:rFonts w:ascii="Arial" w:cs="Arial" w:eastAsia="Arial" w:hAnsi="Arial"/>
          <w:sz w:val="25"/>
          <w:szCs w:val="25"/>
          <w:color w:val="000000"/>
          <w:vertAlign w:val="superscript"/>
        </w:rPr>
        <w:t>10.49</w:t>
      </w:r>
      <w:r>
        <w:rPr>
          <w:rFonts w:ascii="Arial" w:cs="Arial" w:eastAsia="Arial" w:hAnsi="Arial"/>
          <w:sz w:val="13"/>
          <w:szCs w:val="13"/>
          <w:color w:val="0000FF"/>
        </w:rPr>
        <w:t xml:space="preserve"> </w:t>
      </w:r>
      <w:hyperlink r:id="rId162">
        <w:r>
          <w:rPr>
            <w:rFonts w:ascii="Arial" w:cs="Arial" w:eastAsia="Arial" w:hAnsi="Arial"/>
            <w:sz w:val="13"/>
            <w:szCs w:val="13"/>
            <w:u w:val="single" w:color="auto"/>
            <w:color w:val="0000FF"/>
          </w:rPr>
          <w:t>Industries, Inc., and Goldman Sachs &amp; Co.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280" w:firstLine="347"/>
        <w:spacing w:after="0" w:line="186" w:lineRule="auto"/>
        <w:rPr>
          <w:rFonts w:ascii="Arial" w:cs="Arial" w:eastAsia="Arial" w:hAnsi="Arial"/>
          <w:sz w:val="13"/>
          <w:szCs w:val="13"/>
          <w:color w:val="0000FF"/>
        </w:rPr>
      </w:pPr>
      <w:hyperlink r:id="rId164">
        <w:r>
          <w:rPr>
            <w:rFonts w:ascii="Arial" w:cs="Arial" w:eastAsia="Arial" w:hAnsi="Arial"/>
            <w:sz w:val="13"/>
            <w:szCs w:val="13"/>
            <w:u w:val="single" w:color="auto"/>
            <w:color w:val="0000FF"/>
          </w:rPr>
          <w:t>Additional Convertible Bond Hedge Confirmation, dated October 30, 2019, between Winnebago</w:t>
        </w:r>
      </w:hyperlink>
      <w:r>
        <w:rPr>
          <w:rFonts w:ascii="Arial" w:cs="Arial" w:eastAsia="Arial" w:hAnsi="Arial"/>
          <w:sz w:val="13"/>
          <w:szCs w:val="13"/>
          <w:u w:val="single" w:color="auto"/>
          <w:color w:val="0000FF"/>
        </w:rPr>
        <w:t xml:space="preserve"> </w:t>
      </w:r>
      <w:hyperlink r:id="rId164"/>
      <w:r>
        <w:rPr>
          <w:rFonts w:ascii="Arial" w:cs="Arial" w:eastAsia="Arial" w:hAnsi="Arial"/>
          <w:sz w:val="25"/>
          <w:szCs w:val="25"/>
          <w:color w:val="000000"/>
          <w:vertAlign w:val="superscript"/>
        </w:rPr>
        <w:t>10.50</w:t>
      </w:r>
      <w:r>
        <w:rPr>
          <w:rFonts w:ascii="Arial" w:cs="Arial" w:eastAsia="Arial" w:hAnsi="Arial"/>
          <w:sz w:val="13"/>
          <w:szCs w:val="13"/>
          <w:color w:val="0000FF"/>
        </w:rPr>
        <w:t xml:space="preserve"> </w:t>
      </w:r>
      <w:hyperlink r:id="rId164">
        <w:r>
          <w:rPr>
            <w:rFonts w:ascii="Arial" w:cs="Arial" w:eastAsia="Arial" w:hAnsi="Arial"/>
            <w:sz w:val="13"/>
            <w:szCs w:val="13"/>
            <w:u w:val="single" w:color="auto"/>
            <w:color w:val="0000FF"/>
          </w:rPr>
          <w:t>Industries, Inc., and Bank of Montreal.</w:t>
        </w:r>
      </w:hyperlink>
    </w:p>
    <w:p>
      <w:pPr>
        <w:spacing w:after="0" w:line="1" w:lineRule="exact"/>
        <w:rPr>
          <w:rFonts w:ascii="Arial" w:cs="Arial" w:eastAsia="Arial" w:hAnsi="Arial"/>
          <w:sz w:val="13"/>
          <w:szCs w:val="13"/>
          <w:u w:val="single" w:color="auto"/>
          <w:color w:val="0000FF"/>
        </w:rPr>
      </w:pPr>
    </w:p>
    <w:p>
      <w:pPr>
        <w:ind w:left="880" w:right="340" w:firstLine="347"/>
        <w:spacing w:after="0" w:line="186" w:lineRule="auto"/>
        <w:rPr>
          <w:rFonts w:ascii="Arial" w:cs="Arial" w:eastAsia="Arial" w:hAnsi="Arial"/>
          <w:sz w:val="13"/>
          <w:szCs w:val="13"/>
          <w:color w:val="0000FF"/>
        </w:rPr>
      </w:pPr>
      <w:hyperlink r:id="rId165">
        <w:r>
          <w:rPr>
            <w:rFonts w:ascii="Arial" w:cs="Arial" w:eastAsia="Arial" w:hAnsi="Arial"/>
            <w:sz w:val="13"/>
            <w:szCs w:val="13"/>
            <w:u w:val="single" w:color="auto"/>
            <w:color w:val="0000FF"/>
          </w:rPr>
          <w:t>Base Warrant Confirmation, dated October 29, 2019, between Winnebago Industries, Inc., and</w:t>
        </w:r>
      </w:hyperlink>
      <w:r>
        <w:rPr>
          <w:rFonts w:ascii="Arial" w:cs="Arial" w:eastAsia="Arial" w:hAnsi="Arial"/>
          <w:sz w:val="13"/>
          <w:szCs w:val="13"/>
          <w:u w:val="single" w:color="auto"/>
          <w:color w:val="0000FF"/>
        </w:rPr>
        <w:t xml:space="preserve"> </w:t>
      </w:r>
      <w:hyperlink r:id="rId165"/>
      <w:r>
        <w:rPr>
          <w:rFonts w:ascii="Arial" w:cs="Arial" w:eastAsia="Arial" w:hAnsi="Arial"/>
          <w:sz w:val="25"/>
          <w:szCs w:val="25"/>
          <w:color w:val="000000"/>
          <w:vertAlign w:val="superscript"/>
        </w:rPr>
        <w:t>10.51</w:t>
      </w:r>
      <w:r>
        <w:rPr>
          <w:rFonts w:ascii="Arial" w:cs="Arial" w:eastAsia="Arial" w:hAnsi="Arial"/>
          <w:sz w:val="13"/>
          <w:szCs w:val="13"/>
          <w:color w:val="0000FF"/>
        </w:rPr>
        <w:t xml:space="preserve"> </w:t>
      </w:r>
      <w:hyperlink r:id="rId165">
        <w:r>
          <w:rPr>
            <w:rFonts w:ascii="Arial" w:cs="Arial" w:eastAsia="Arial" w:hAnsi="Arial"/>
            <w:sz w:val="13"/>
            <w:szCs w:val="13"/>
            <w:u w:val="single" w:color="auto"/>
            <w:color w:val="0000FF"/>
          </w:rPr>
          <w:t>Goldman Sachs &amp; Co.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6">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firstLine="347"/>
        <w:spacing w:after="0" w:line="186" w:lineRule="auto"/>
        <w:rPr>
          <w:rFonts w:ascii="Arial" w:cs="Arial" w:eastAsia="Arial" w:hAnsi="Arial"/>
          <w:sz w:val="13"/>
          <w:szCs w:val="13"/>
          <w:color w:val="0000FF"/>
        </w:rPr>
      </w:pPr>
      <w:hyperlink r:id="rId167">
        <w:r>
          <w:rPr>
            <w:rFonts w:ascii="Arial" w:cs="Arial" w:eastAsia="Arial" w:hAnsi="Arial"/>
            <w:sz w:val="13"/>
            <w:szCs w:val="13"/>
            <w:u w:val="single" w:color="auto"/>
            <w:color w:val="0000FF"/>
          </w:rPr>
          <w:t>Base Warrant Confirmation, dated October 29, 2019, between Winnebago Industries, Inc., and Bank</w:t>
        </w:r>
      </w:hyperlink>
      <w:r>
        <w:rPr>
          <w:rFonts w:ascii="Arial" w:cs="Arial" w:eastAsia="Arial" w:hAnsi="Arial"/>
          <w:sz w:val="13"/>
          <w:szCs w:val="13"/>
          <w:u w:val="single" w:color="auto"/>
          <w:color w:val="0000FF"/>
        </w:rPr>
        <w:t xml:space="preserve"> </w:t>
      </w:r>
      <w:hyperlink r:id="rId167"/>
      <w:r>
        <w:rPr>
          <w:rFonts w:ascii="Arial" w:cs="Arial" w:eastAsia="Arial" w:hAnsi="Arial"/>
          <w:sz w:val="25"/>
          <w:szCs w:val="25"/>
          <w:color w:val="000000"/>
          <w:vertAlign w:val="superscript"/>
        </w:rPr>
        <w:t>10.52</w:t>
      </w:r>
      <w:r>
        <w:rPr>
          <w:rFonts w:ascii="Arial" w:cs="Arial" w:eastAsia="Arial" w:hAnsi="Arial"/>
          <w:sz w:val="13"/>
          <w:szCs w:val="13"/>
          <w:color w:val="0000FF"/>
        </w:rPr>
        <w:t xml:space="preserve"> </w:t>
      </w:r>
      <w:hyperlink r:id="rId167">
        <w:r>
          <w:rPr>
            <w:rFonts w:ascii="Arial" w:cs="Arial" w:eastAsia="Arial" w:hAnsi="Arial"/>
            <w:sz w:val="13"/>
            <w:szCs w:val="13"/>
            <w:u w:val="single" w:color="auto"/>
            <w:color w:val="0000FF"/>
          </w:rPr>
          <w:t>of Montreal</w:t>
        </w:r>
      </w:hyperlink>
    </w:p>
    <w:p>
      <w:pPr>
        <w:spacing w:after="0" w:line="1" w:lineRule="exact"/>
        <w:rPr>
          <w:rFonts w:ascii="Arial" w:cs="Arial" w:eastAsia="Arial" w:hAnsi="Arial"/>
          <w:sz w:val="13"/>
          <w:szCs w:val="13"/>
          <w:u w:val="single" w:color="auto"/>
          <w:color w:val="0000FF"/>
        </w:rPr>
      </w:pPr>
    </w:p>
    <w:p>
      <w:pPr>
        <w:ind w:left="880" w:right="60" w:firstLine="347"/>
        <w:spacing w:after="0" w:line="186" w:lineRule="auto"/>
        <w:rPr>
          <w:rFonts w:ascii="Arial" w:cs="Arial" w:eastAsia="Arial" w:hAnsi="Arial"/>
          <w:sz w:val="13"/>
          <w:szCs w:val="13"/>
          <w:color w:val="0000FF"/>
        </w:rPr>
      </w:pPr>
      <w:hyperlink r:id="rId168">
        <w:r>
          <w:rPr>
            <w:rFonts w:ascii="Arial" w:cs="Arial" w:eastAsia="Arial" w:hAnsi="Arial"/>
            <w:sz w:val="13"/>
            <w:szCs w:val="13"/>
            <w:u w:val="single" w:color="auto"/>
            <w:color w:val="0000FF"/>
          </w:rPr>
          <w:t>Additional Warrant Confirmation, dated October 30, 2019, between Winnebago Industries, Inc., and</w:t>
        </w:r>
      </w:hyperlink>
      <w:r>
        <w:rPr>
          <w:rFonts w:ascii="Arial" w:cs="Arial" w:eastAsia="Arial" w:hAnsi="Arial"/>
          <w:sz w:val="13"/>
          <w:szCs w:val="13"/>
          <w:u w:val="single" w:color="auto"/>
          <w:color w:val="0000FF"/>
        </w:rPr>
        <w:t xml:space="preserve"> </w:t>
      </w:r>
      <w:hyperlink r:id="rId168"/>
      <w:r>
        <w:rPr>
          <w:rFonts w:ascii="Arial" w:cs="Arial" w:eastAsia="Arial" w:hAnsi="Arial"/>
          <w:sz w:val="25"/>
          <w:szCs w:val="25"/>
          <w:color w:val="000000"/>
          <w:vertAlign w:val="superscript"/>
        </w:rPr>
        <w:t>10.53</w:t>
      </w:r>
      <w:r>
        <w:rPr>
          <w:rFonts w:ascii="Arial" w:cs="Arial" w:eastAsia="Arial" w:hAnsi="Arial"/>
          <w:sz w:val="13"/>
          <w:szCs w:val="13"/>
          <w:color w:val="0000FF"/>
        </w:rPr>
        <w:t xml:space="preserve"> </w:t>
      </w:r>
      <w:hyperlink r:id="rId168">
        <w:r>
          <w:rPr>
            <w:rFonts w:ascii="Arial" w:cs="Arial" w:eastAsia="Arial" w:hAnsi="Arial"/>
            <w:sz w:val="13"/>
            <w:szCs w:val="13"/>
            <w:u w:val="single" w:color="auto"/>
            <w:color w:val="0000FF"/>
          </w:rPr>
          <w:t>Goldman Sachs &amp; Co.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60" w:firstLine="347"/>
        <w:spacing w:after="0" w:line="186" w:lineRule="auto"/>
        <w:rPr>
          <w:rFonts w:ascii="Arial" w:cs="Arial" w:eastAsia="Arial" w:hAnsi="Arial"/>
          <w:sz w:val="13"/>
          <w:szCs w:val="13"/>
          <w:color w:val="0000FF"/>
        </w:rPr>
      </w:pPr>
      <w:hyperlink r:id="rId170">
        <w:r>
          <w:rPr>
            <w:rFonts w:ascii="Arial" w:cs="Arial" w:eastAsia="Arial" w:hAnsi="Arial"/>
            <w:sz w:val="13"/>
            <w:szCs w:val="13"/>
            <w:u w:val="single" w:color="auto"/>
            <w:color w:val="0000FF"/>
          </w:rPr>
          <w:t>Additional Warrant Confirmation, dated October 30, 2019, between Winnebago Industries, Inc., and</w:t>
        </w:r>
      </w:hyperlink>
      <w:r>
        <w:rPr>
          <w:rFonts w:ascii="Arial" w:cs="Arial" w:eastAsia="Arial" w:hAnsi="Arial"/>
          <w:sz w:val="13"/>
          <w:szCs w:val="13"/>
          <w:u w:val="single" w:color="auto"/>
          <w:color w:val="0000FF"/>
        </w:rPr>
        <w:t xml:space="preserve"> </w:t>
      </w:r>
      <w:hyperlink r:id="rId170"/>
      <w:r>
        <w:rPr>
          <w:rFonts w:ascii="Arial" w:cs="Arial" w:eastAsia="Arial" w:hAnsi="Arial"/>
          <w:sz w:val="25"/>
          <w:szCs w:val="25"/>
          <w:color w:val="000000"/>
          <w:vertAlign w:val="superscript"/>
        </w:rPr>
        <w:t>10.54</w:t>
      </w:r>
      <w:r>
        <w:rPr>
          <w:rFonts w:ascii="Arial" w:cs="Arial" w:eastAsia="Arial" w:hAnsi="Arial"/>
          <w:sz w:val="13"/>
          <w:szCs w:val="13"/>
          <w:color w:val="0000FF"/>
        </w:rPr>
        <w:t xml:space="preserve"> </w:t>
      </w:r>
      <w:hyperlink r:id="rId170">
        <w:r>
          <w:rPr>
            <w:rFonts w:ascii="Arial" w:cs="Arial" w:eastAsia="Arial" w:hAnsi="Arial"/>
            <w:sz w:val="13"/>
            <w:szCs w:val="13"/>
            <w:u w:val="single" w:color="auto"/>
            <w:color w:val="0000FF"/>
          </w:rPr>
          <w:t>Bank of Montreal.</w:t>
        </w:r>
      </w:hyperlink>
    </w:p>
    <w:p>
      <w:pPr>
        <w:spacing w:after="0" w:line="1" w:lineRule="exact"/>
        <w:rPr>
          <w:rFonts w:ascii="Arial" w:cs="Arial" w:eastAsia="Arial" w:hAnsi="Arial"/>
          <w:sz w:val="13"/>
          <w:szCs w:val="13"/>
          <w:u w:val="single" w:color="auto"/>
          <w:color w:val="0000FF"/>
        </w:rPr>
      </w:pPr>
    </w:p>
    <w:p>
      <w:pPr>
        <w:ind w:left="880" w:right="540" w:firstLine="347"/>
        <w:spacing w:after="0" w:line="186" w:lineRule="auto"/>
        <w:rPr>
          <w:rFonts w:ascii="Arial" w:cs="Arial" w:eastAsia="Arial" w:hAnsi="Arial"/>
          <w:sz w:val="13"/>
          <w:szCs w:val="13"/>
          <w:color w:val="0000FF"/>
        </w:rPr>
      </w:pPr>
      <w:hyperlink r:id="rId171">
        <w:r>
          <w:rPr>
            <w:rFonts w:ascii="Arial" w:cs="Arial" w:eastAsia="Arial" w:hAnsi="Arial"/>
            <w:sz w:val="13"/>
            <w:szCs w:val="13"/>
            <w:u w:val="single" w:color="auto"/>
            <w:color w:val="0000FF"/>
          </w:rPr>
          <w:t>Base Convertible Bond Hedge Confirmation, dated January 18, 2024, between Winnebago</w:t>
        </w:r>
      </w:hyperlink>
      <w:r>
        <w:rPr>
          <w:rFonts w:ascii="Arial" w:cs="Arial" w:eastAsia="Arial" w:hAnsi="Arial"/>
          <w:sz w:val="13"/>
          <w:szCs w:val="13"/>
          <w:u w:val="single" w:color="auto"/>
          <w:color w:val="0000FF"/>
        </w:rPr>
        <w:t xml:space="preserve"> </w:t>
      </w:r>
      <w:hyperlink r:id="rId171"/>
      <w:r>
        <w:rPr>
          <w:rFonts w:ascii="Arial" w:cs="Arial" w:eastAsia="Arial" w:hAnsi="Arial"/>
          <w:sz w:val="25"/>
          <w:szCs w:val="25"/>
          <w:color w:val="000000"/>
          <w:vertAlign w:val="superscript"/>
        </w:rPr>
        <w:t>10.55</w:t>
      </w:r>
      <w:r>
        <w:rPr>
          <w:rFonts w:ascii="Arial" w:cs="Arial" w:eastAsia="Arial" w:hAnsi="Arial"/>
          <w:sz w:val="13"/>
          <w:szCs w:val="13"/>
          <w:color w:val="0000FF"/>
        </w:rPr>
        <w:t xml:space="preserve"> </w:t>
      </w:r>
      <w:hyperlink r:id="rId171">
        <w:r>
          <w:rPr>
            <w:rFonts w:ascii="Arial" w:cs="Arial" w:eastAsia="Arial" w:hAnsi="Arial"/>
            <w:sz w:val="13"/>
            <w:szCs w:val="13"/>
            <w:u w:val="single" w:color="auto"/>
            <w:color w:val="0000FF"/>
          </w:rPr>
          <w:t>Industries, Inc., and Goldman Sachs &amp; Co.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2">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540" w:firstLine="347"/>
        <w:spacing w:after="0" w:line="186" w:lineRule="auto"/>
        <w:rPr>
          <w:rFonts w:ascii="Arial" w:cs="Arial" w:eastAsia="Arial" w:hAnsi="Arial"/>
          <w:sz w:val="13"/>
          <w:szCs w:val="13"/>
          <w:color w:val="0000FF"/>
        </w:rPr>
      </w:pPr>
      <w:hyperlink r:id="rId173">
        <w:r>
          <w:rPr>
            <w:rFonts w:ascii="Arial" w:cs="Arial" w:eastAsia="Arial" w:hAnsi="Arial"/>
            <w:sz w:val="13"/>
            <w:szCs w:val="13"/>
            <w:u w:val="single" w:color="auto"/>
            <w:color w:val="0000FF"/>
          </w:rPr>
          <w:t>Base Convertible Bond Hedge Confirmation, dated January 18, 2024, between Winnebago</w:t>
        </w:r>
      </w:hyperlink>
      <w:r>
        <w:rPr>
          <w:rFonts w:ascii="Arial" w:cs="Arial" w:eastAsia="Arial" w:hAnsi="Arial"/>
          <w:sz w:val="13"/>
          <w:szCs w:val="13"/>
          <w:u w:val="single" w:color="auto"/>
          <w:color w:val="0000FF"/>
        </w:rPr>
        <w:t xml:space="preserve"> </w:t>
      </w:r>
      <w:hyperlink r:id="rId173"/>
      <w:r>
        <w:rPr>
          <w:rFonts w:ascii="Arial" w:cs="Arial" w:eastAsia="Arial" w:hAnsi="Arial"/>
          <w:sz w:val="25"/>
          <w:szCs w:val="25"/>
          <w:color w:val="000000"/>
          <w:vertAlign w:val="superscript"/>
        </w:rPr>
        <w:t>10.56</w:t>
      </w:r>
      <w:r>
        <w:rPr>
          <w:rFonts w:ascii="Arial" w:cs="Arial" w:eastAsia="Arial" w:hAnsi="Arial"/>
          <w:sz w:val="13"/>
          <w:szCs w:val="13"/>
          <w:color w:val="0000FF"/>
        </w:rPr>
        <w:t xml:space="preserve"> </w:t>
      </w:r>
      <w:hyperlink r:id="rId173">
        <w:r>
          <w:rPr>
            <w:rFonts w:ascii="Arial" w:cs="Arial" w:eastAsia="Arial" w:hAnsi="Arial"/>
            <w:sz w:val="13"/>
            <w:szCs w:val="13"/>
            <w:u w:val="single" w:color="auto"/>
            <w:color w:val="0000FF"/>
          </w:rPr>
          <w:t>Industries, Inc., and BMO Capital Markets Corp.</w:t>
        </w:r>
      </w:hyperlink>
    </w:p>
    <w:p>
      <w:pPr>
        <w:spacing w:after="0" w:line="1" w:lineRule="exact"/>
        <w:rPr>
          <w:rFonts w:ascii="Arial" w:cs="Arial" w:eastAsia="Arial" w:hAnsi="Arial"/>
          <w:sz w:val="13"/>
          <w:szCs w:val="13"/>
          <w:u w:val="single" w:color="auto"/>
          <w:color w:val="0000FF"/>
        </w:rPr>
      </w:pPr>
    </w:p>
    <w:p>
      <w:pPr>
        <w:ind w:left="880" w:right="540" w:firstLine="347"/>
        <w:spacing w:after="0" w:line="186" w:lineRule="auto"/>
        <w:rPr>
          <w:rFonts w:ascii="Arial" w:cs="Arial" w:eastAsia="Arial" w:hAnsi="Arial"/>
          <w:sz w:val="13"/>
          <w:szCs w:val="13"/>
          <w:color w:val="0000FF"/>
        </w:rPr>
      </w:pPr>
      <w:hyperlink r:id="rId174">
        <w:r>
          <w:rPr>
            <w:rFonts w:ascii="Arial" w:cs="Arial" w:eastAsia="Arial" w:hAnsi="Arial"/>
            <w:sz w:val="13"/>
            <w:szCs w:val="13"/>
            <w:u w:val="single" w:color="auto"/>
            <w:color w:val="0000FF"/>
          </w:rPr>
          <w:t>Base Convertible Bond Hedge Confirmation, dated January 18, 2024, between Winnebago</w:t>
        </w:r>
      </w:hyperlink>
      <w:r>
        <w:rPr>
          <w:rFonts w:ascii="Arial" w:cs="Arial" w:eastAsia="Arial" w:hAnsi="Arial"/>
          <w:sz w:val="13"/>
          <w:szCs w:val="13"/>
          <w:u w:val="single" w:color="auto"/>
          <w:color w:val="0000FF"/>
        </w:rPr>
        <w:t xml:space="preserve"> </w:t>
      </w:r>
      <w:hyperlink r:id="rId174"/>
      <w:r>
        <w:rPr>
          <w:rFonts w:ascii="Arial" w:cs="Arial" w:eastAsia="Arial" w:hAnsi="Arial"/>
          <w:sz w:val="25"/>
          <w:szCs w:val="25"/>
          <w:color w:val="000000"/>
          <w:vertAlign w:val="superscript"/>
        </w:rPr>
        <w:t>10.57</w:t>
      </w:r>
      <w:r>
        <w:rPr>
          <w:rFonts w:ascii="Arial" w:cs="Arial" w:eastAsia="Arial" w:hAnsi="Arial"/>
          <w:sz w:val="13"/>
          <w:szCs w:val="13"/>
          <w:color w:val="0000FF"/>
        </w:rPr>
        <w:t xml:space="preserve"> </w:t>
      </w:r>
      <w:hyperlink r:id="rId174">
        <w:r>
          <w:rPr>
            <w:rFonts w:ascii="Arial" w:cs="Arial" w:eastAsia="Arial" w:hAnsi="Arial"/>
            <w:sz w:val="13"/>
            <w:szCs w:val="13"/>
            <w:u w:val="single" w:color="auto"/>
            <w:color w:val="0000FF"/>
          </w:rPr>
          <w:t>Industries, Inc., and J.P. Morgan Securities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5">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280" w:firstLine="347"/>
        <w:spacing w:after="0" w:line="186" w:lineRule="auto"/>
        <w:rPr>
          <w:rFonts w:ascii="Arial" w:cs="Arial" w:eastAsia="Arial" w:hAnsi="Arial"/>
          <w:sz w:val="13"/>
          <w:szCs w:val="13"/>
          <w:color w:val="0000FF"/>
        </w:rPr>
      </w:pPr>
      <w:hyperlink r:id="rId176">
        <w:r>
          <w:rPr>
            <w:rFonts w:ascii="Arial" w:cs="Arial" w:eastAsia="Arial" w:hAnsi="Arial"/>
            <w:sz w:val="13"/>
            <w:szCs w:val="13"/>
            <w:u w:val="single" w:color="auto"/>
            <w:color w:val="0000FF"/>
          </w:rPr>
          <w:t>Additional Convertible Bond Hedge Confirmation, dated January 19, 2024, between Winnebago</w:t>
        </w:r>
      </w:hyperlink>
      <w:r>
        <w:rPr>
          <w:rFonts w:ascii="Arial" w:cs="Arial" w:eastAsia="Arial" w:hAnsi="Arial"/>
          <w:sz w:val="13"/>
          <w:szCs w:val="13"/>
          <w:u w:val="single" w:color="auto"/>
          <w:color w:val="0000FF"/>
        </w:rPr>
        <w:t xml:space="preserve"> </w:t>
      </w:r>
      <w:hyperlink r:id="rId176"/>
      <w:r>
        <w:rPr>
          <w:rFonts w:ascii="Arial" w:cs="Arial" w:eastAsia="Arial" w:hAnsi="Arial"/>
          <w:sz w:val="25"/>
          <w:szCs w:val="25"/>
          <w:color w:val="000000"/>
          <w:vertAlign w:val="superscript"/>
        </w:rPr>
        <w:t>10.58</w:t>
      </w:r>
      <w:r>
        <w:rPr>
          <w:rFonts w:ascii="Arial" w:cs="Arial" w:eastAsia="Arial" w:hAnsi="Arial"/>
          <w:sz w:val="13"/>
          <w:szCs w:val="13"/>
          <w:color w:val="0000FF"/>
        </w:rPr>
        <w:t xml:space="preserve"> </w:t>
      </w:r>
      <w:hyperlink r:id="rId176">
        <w:r>
          <w:rPr>
            <w:rFonts w:ascii="Arial" w:cs="Arial" w:eastAsia="Arial" w:hAnsi="Arial"/>
            <w:sz w:val="13"/>
            <w:szCs w:val="13"/>
            <w:u w:val="single" w:color="auto"/>
            <w:color w:val="0000FF"/>
          </w:rPr>
          <w:t>Industries, Inc., and Goldman Sachs &amp; Co. LLC.</w:t>
        </w:r>
      </w:hyperlink>
    </w:p>
    <w:p>
      <w:pPr>
        <w:spacing w:after="0" w:line="1" w:lineRule="exact"/>
        <w:rPr>
          <w:rFonts w:ascii="Arial" w:cs="Arial" w:eastAsia="Arial" w:hAnsi="Arial"/>
          <w:sz w:val="13"/>
          <w:szCs w:val="13"/>
          <w:u w:val="single" w:color="auto"/>
          <w:color w:val="0000FF"/>
        </w:rPr>
      </w:pPr>
    </w:p>
    <w:p>
      <w:pPr>
        <w:ind w:left="880" w:right="280" w:firstLine="347"/>
        <w:spacing w:after="0" w:line="186" w:lineRule="auto"/>
        <w:rPr>
          <w:rFonts w:ascii="Arial" w:cs="Arial" w:eastAsia="Arial" w:hAnsi="Arial"/>
          <w:sz w:val="13"/>
          <w:szCs w:val="13"/>
          <w:color w:val="0000FF"/>
        </w:rPr>
      </w:pPr>
      <w:hyperlink r:id="rId177">
        <w:r>
          <w:rPr>
            <w:rFonts w:ascii="Arial" w:cs="Arial" w:eastAsia="Arial" w:hAnsi="Arial"/>
            <w:sz w:val="13"/>
            <w:szCs w:val="13"/>
            <w:u w:val="single" w:color="auto"/>
            <w:color w:val="0000FF"/>
          </w:rPr>
          <w:t>Additional Convertible Bond Hedge Confirmation, dated January 19, 2024, between Winnebago</w:t>
        </w:r>
      </w:hyperlink>
      <w:r>
        <w:rPr>
          <w:rFonts w:ascii="Arial" w:cs="Arial" w:eastAsia="Arial" w:hAnsi="Arial"/>
          <w:sz w:val="13"/>
          <w:szCs w:val="13"/>
          <w:u w:val="single" w:color="auto"/>
          <w:color w:val="0000FF"/>
        </w:rPr>
        <w:t xml:space="preserve"> </w:t>
      </w:r>
      <w:hyperlink r:id="rId177"/>
      <w:r>
        <w:rPr>
          <w:rFonts w:ascii="Arial" w:cs="Arial" w:eastAsia="Arial" w:hAnsi="Arial"/>
          <w:sz w:val="25"/>
          <w:szCs w:val="25"/>
          <w:color w:val="000000"/>
          <w:vertAlign w:val="superscript"/>
        </w:rPr>
        <w:t>10.59</w:t>
      </w:r>
      <w:r>
        <w:rPr>
          <w:rFonts w:ascii="Arial" w:cs="Arial" w:eastAsia="Arial" w:hAnsi="Arial"/>
          <w:sz w:val="13"/>
          <w:szCs w:val="13"/>
          <w:color w:val="0000FF"/>
        </w:rPr>
        <w:t xml:space="preserve"> </w:t>
      </w:r>
      <w:hyperlink r:id="rId177">
        <w:r>
          <w:rPr>
            <w:rFonts w:ascii="Arial" w:cs="Arial" w:eastAsia="Arial" w:hAnsi="Arial"/>
            <w:sz w:val="13"/>
            <w:szCs w:val="13"/>
            <w:u w:val="single" w:color="auto"/>
            <w:color w:val="0000FF"/>
          </w:rPr>
          <w:t>Industries, Inc., and BMO Capital Markets Corp.</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8">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280" w:firstLine="347"/>
        <w:spacing w:after="0" w:line="186" w:lineRule="auto"/>
        <w:rPr>
          <w:rFonts w:ascii="Arial" w:cs="Arial" w:eastAsia="Arial" w:hAnsi="Arial"/>
          <w:sz w:val="13"/>
          <w:szCs w:val="13"/>
          <w:color w:val="0000FF"/>
        </w:rPr>
      </w:pPr>
      <w:hyperlink r:id="rId179">
        <w:r>
          <w:rPr>
            <w:rFonts w:ascii="Arial" w:cs="Arial" w:eastAsia="Arial" w:hAnsi="Arial"/>
            <w:sz w:val="13"/>
            <w:szCs w:val="13"/>
            <w:u w:val="single" w:color="auto"/>
            <w:color w:val="0000FF"/>
          </w:rPr>
          <w:t>Additional Convertible Bond Hedge Confirmation, dated January 19, 2024, between Winnebago</w:t>
        </w:r>
      </w:hyperlink>
      <w:r>
        <w:rPr>
          <w:rFonts w:ascii="Arial" w:cs="Arial" w:eastAsia="Arial" w:hAnsi="Arial"/>
          <w:sz w:val="13"/>
          <w:szCs w:val="13"/>
          <w:u w:val="single" w:color="auto"/>
          <w:color w:val="0000FF"/>
        </w:rPr>
        <w:t xml:space="preserve"> </w:t>
      </w:r>
      <w:hyperlink r:id="rId179"/>
      <w:r>
        <w:rPr>
          <w:rFonts w:ascii="Arial" w:cs="Arial" w:eastAsia="Arial" w:hAnsi="Arial"/>
          <w:sz w:val="25"/>
          <w:szCs w:val="25"/>
          <w:color w:val="000000"/>
          <w:vertAlign w:val="superscript"/>
        </w:rPr>
        <w:t>10.60</w:t>
      </w:r>
      <w:r>
        <w:rPr>
          <w:rFonts w:ascii="Arial" w:cs="Arial" w:eastAsia="Arial" w:hAnsi="Arial"/>
          <w:sz w:val="13"/>
          <w:szCs w:val="13"/>
          <w:color w:val="0000FF"/>
        </w:rPr>
        <w:t xml:space="preserve"> </w:t>
      </w:r>
      <w:hyperlink r:id="rId179">
        <w:r>
          <w:rPr>
            <w:rFonts w:ascii="Arial" w:cs="Arial" w:eastAsia="Arial" w:hAnsi="Arial"/>
            <w:sz w:val="13"/>
            <w:szCs w:val="13"/>
            <w:u w:val="single" w:color="auto"/>
            <w:color w:val="0000FF"/>
          </w:rPr>
          <w:t>Industries, Inc., and J.P. Morgan Securities LLC.</w:t>
        </w:r>
      </w:hyperlink>
    </w:p>
    <w:p>
      <w:pPr>
        <w:spacing w:after="0" w:line="1" w:lineRule="exact"/>
        <w:rPr>
          <w:rFonts w:ascii="Arial" w:cs="Arial" w:eastAsia="Arial" w:hAnsi="Arial"/>
          <w:sz w:val="13"/>
          <w:szCs w:val="13"/>
          <w:u w:val="single" w:color="auto"/>
          <w:color w:val="0000FF"/>
        </w:rPr>
      </w:pPr>
    </w:p>
    <w:p>
      <w:pPr>
        <w:ind w:left="880" w:right="340" w:firstLine="347"/>
        <w:spacing w:after="0" w:line="201" w:lineRule="auto"/>
        <w:rPr>
          <w:rFonts w:ascii="Arial" w:cs="Arial" w:eastAsia="Arial" w:hAnsi="Arial"/>
          <w:sz w:val="13"/>
          <w:szCs w:val="13"/>
          <w:color w:val="0000FF"/>
        </w:rPr>
      </w:pPr>
      <w:hyperlink r:id="rId180">
        <w:r>
          <w:rPr>
            <w:rFonts w:ascii="Arial" w:cs="Arial" w:eastAsia="Arial" w:hAnsi="Arial"/>
            <w:sz w:val="13"/>
            <w:szCs w:val="13"/>
            <w:u w:val="single" w:color="auto"/>
            <w:color w:val="0000FF"/>
          </w:rPr>
          <w:t>Base Warrant Confirmation, dated January 18, 2024, between Winnebago Industries, Inc., and</w:t>
        </w:r>
      </w:hyperlink>
      <w:r>
        <w:rPr>
          <w:rFonts w:ascii="Arial" w:cs="Arial" w:eastAsia="Arial" w:hAnsi="Arial"/>
          <w:sz w:val="13"/>
          <w:szCs w:val="13"/>
          <w:u w:val="single" w:color="auto"/>
          <w:color w:val="0000FF"/>
        </w:rPr>
        <w:t xml:space="preserve"> </w:t>
      </w:r>
      <w:hyperlink r:id="rId180"/>
      <w:r>
        <w:rPr>
          <w:rFonts w:ascii="Arial" w:cs="Arial" w:eastAsia="Arial" w:hAnsi="Arial"/>
          <w:sz w:val="25"/>
          <w:szCs w:val="25"/>
          <w:color w:val="000000"/>
          <w:vertAlign w:val="superscript"/>
        </w:rPr>
        <w:t>10.61</w:t>
      </w:r>
      <w:r>
        <w:rPr>
          <w:rFonts w:ascii="Arial" w:cs="Arial" w:eastAsia="Arial" w:hAnsi="Arial"/>
          <w:sz w:val="13"/>
          <w:szCs w:val="13"/>
          <w:color w:val="0000FF"/>
        </w:rPr>
        <w:t xml:space="preserve"> </w:t>
      </w:r>
      <w:hyperlink r:id="rId180">
        <w:r>
          <w:rPr>
            <w:rFonts w:ascii="Arial" w:cs="Arial" w:eastAsia="Arial" w:hAnsi="Arial"/>
            <w:sz w:val="13"/>
            <w:szCs w:val="13"/>
            <w:u w:val="single" w:color="auto"/>
            <w:color w:val="0000FF"/>
          </w:rPr>
          <w:t>Goldman Sachs &amp; Co. LLC</w:t>
        </w:r>
        <w:r>
          <w:rPr>
            <w:rFonts w:ascii="Arial" w:cs="Arial" w:eastAsia="Arial" w:hAnsi="Arial"/>
            <w:sz w:val="13"/>
            <w:szCs w:val="13"/>
            <w:u w:val="single" w:color="auto"/>
            <w:color w:val="000000"/>
          </w:rPr>
          <w:t>.</w:t>
        </w:r>
      </w:hyperlink>
    </w:p>
    <w:p>
      <w:pPr>
        <w:spacing w:after="0" w:line="200" w:lineRule="exact"/>
        <w:rPr>
          <w:rFonts w:ascii="Arial" w:cs="Arial" w:eastAsia="Arial" w:hAnsi="Arial"/>
          <w:sz w:val="13"/>
          <w:szCs w:val="13"/>
          <w:u w:val="single" w:color="auto"/>
          <w:color w:val="0000FF"/>
        </w:rPr>
      </w:pPr>
    </w:p>
    <w:p>
      <w:pPr>
        <w:spacing w:after="0" w:line="271" w:lineRule="exact"/>
        <w:rPr>
          <w:rFonts w:ascii="Arial" w:cs="Arial" w:eastAsia="Arial" w:hAnsi="Arial"/>
          <w:sz w:val="13"/>
          <w:szCs w:val="13"/>
          <w:u w:val="single" w:color="auto"/>
          <w:color w:val="0000FF"/>
        </w:rPr>
      </w:pPr>
    </w:p>
    <w:p>
      <w:pPr>
        <w:ind w:left="5580"/>
        <w:spacing w:after="0"/>
        <w:rPr>
          <w:sz w:val="20"/>
          <w:szCs w:val="20"/>
          <w:color w:val="auto"/>
        </w:rPr>
      </w:pPr>
      <w:r>
        <w:rPr>
          <w:rFonts w:ascii="Arial" w:cs="Arial" w:eastAsia="Arial" w:hAnsi="Arial"/>
          <w:sz w:val="13"/>
          <w:szCs w:val="13"/>
          <w:color w:val="auto"/>
        </w:rPr>
        <w:t>70</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48" w:lineRule="exact"/>
        <w:rPr>
          <w:rFonts w:ascii="Arial" w:cs="Arial" w:eastAsia="Arial" w:hAnsi="Arial"/>
          <w:sz w:val="13"/>
          <w:szCs w:val="13"/>
          <w:u w:val="single" w:color="auto"/>
          <w:color w:val="0000FF"/>
        </w:rPr>
      </w:pPr>
    </w:p>
    <w:p>
      <w:pPr>
        <w:ind w:left="52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4445</wp:posOffset>
            </wp:positionH>
            <wp:positionV relativeFrom="paragraph">
              <wp:posOffset>12700</wp:posOffset>
            </wp:positionV>
            <wp:extent cx="168402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2">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pacing w:after="0" w:line="32" w:lineRule="exact"/>
        <w:rPr>
          <w:rFonts w:ascii="Arial" w:cs="Arial" w:eastAsia="Arial" w:hAnsi="Arial"/>
          <w:sz w:val="13"/>
          <w:szCs w:val="13"/>
          <w:u w:val="single" w:color="auto"/>
          <w:color w:val="0000FF"/>
        </w:rPr>
      </w:pPr>
    </w:p>
    <w:tbl>
      <w:tblPr>
        <w:tblLayout w:type="fixed"/>
        <w:tblInd w:w="0" w:type="dxa"/>
        <w:tblCellMar>
          <w:top w:w="0" w:type="dxa"/>
          <w:left w:w="0" w:type="dxa"/>
          <w:bottom w:w="0" w:type="dxa"/>
          <w:right w:w="0" w:type="dxa"/>
        </w:tblCellMar>
      </w:tblPr>
      <w:tr>
        <w:trPr>
          <w:trHeight w:val="170"/>
        </w:trPr>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Filed Herewith</w:t>
            </w:r>
          </w:p>
        </w:tc>
      </w:tr>
      <w:tr>
        <w:trPr>
          <w:trHeight w:val="285"/>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09/16/2019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2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10/23/2019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94"/>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7/19/2022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6"/>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11/04/2019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ind w:left="48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2">
            <w:col w:w="6880" w:space="120"/>
            <w:col w:w="3680"/>
          </w:cols>
          <w:pgMar w:left="300" w:top="129" w:right="919" w:bottom="1440" w:gutter="0" w:footer="0" w:header="0"/>
        </w:sectPr>
      </w:pPr>
    </w:p>
    <w:bookmarkStart w:id="70" w:name="page71"/>
    <w:bookmarkEnd w:id="7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tabs>
          <w:tab w:leader="none" w:pos="12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12700</wp:posOffset>
            </wp:positionV>
            <wp:extent cx="6616065" cy="2222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3">
                      <a:extLst>
                        <a:ext uri="{28A0092B-C50C-407E-A947-70E740481C1C}"/>
                      </a:extLst>
                    </a:blip>
                    <a:srcRect/>
                    <a:stretch>
                      <a:fillRect/>
                    </a:stretch>
                  </pic:blipFill>
                  <pic:spPr bwMode="auto">
                    <a:xfrm>
                      <a:off x="0" y="0"/>
                      <a:ext cx="6616065" cy="222250"/>
                    </a:xfrm>
                    <a:prstGeom prst="rect">
                      <a:avLst/>
                    </a:prstGeom>
                    <a:noFill/>
                  </pic:spPr>
                </pic:pic>
              </a:graphicData>
            </a:graphic>
          </wp:anchor>
        </w:drawing>
      </w:r>
    </w:p>
    <w:p>
      <w:pPr>
        <w:spacing w:after="0" w:line="11" w:lineRule="exact"/>
        <w:rPr>
          <w:sz w:val="20"/>
          <w:szCs w:val="20"/>
          <w:color w:val="auto"/>
        </w:rPr>
      </w:pPr>
    </w:p>
    <w:p>
      <w:pPr>
        <w:ind w:left="880" w:right="20" w:firstLine="347"/>
        <w:spacing w:after="0" w:line="193" w:lineRule="auto"/>
        <w:rPr>
          <w:rFonts w:ascii="Arial" w:cs="Arial" w:eastAsia="Arial" w:hAnsi="Arial"/>
          <w:sz w:val="13"/>
          <w:szCs w:val="13"/>
          <w:color w:val="0000FF"/>
        </w:rPr>
      </w:pPr>
      <w:hyperlink r:id="rId184">
        <w:r>
          <w:rPr>
            <w:rFonts w:ascii="Arial" w:cs="Arial" w:eastAsia="Arial" w:hAnsi="Arial"/>
            <w:sz w:val="13"/>
            <w:szCs w:val="13"/>
            <w:u w:val="single" w:color="auto"/>
            <w:color w:val="0000FF"/>
          </w:rPr>
          <w:t>Base Warrant Confirmation, dated January 18, 2024, between Winnebago Industries, Inc., and BMO</w:t>
        </w:r>
      </w:hyperlink>
      <w:r>
        <w:rPr>
          <w:rFonts w:ascii="Arial" w:cs="Arial" w:eastAsia="Arial" w:hAnsi="Arial"/>
          <w:sz w:val="13"/>
          <w:szCs w:val="13"/>
          <w:u w:val="single" w:color="auto"/>
          <w:color w:val="0000FF"/>
        </w:rPr>
        <w:t xml:space="preserve"> </w:t>
      </w:r>
      <w:hyperlink r:id="rId184"/>
      <w:r>
        <w:rPr>
          <w:rFonts w:ascii="Arial" w:cs="Arial" w:eastAsia="Arial" w:hAnsi="Arial"/>
          <w:sz w:val="25"/>
          <w:szCs w:val="25"/>
          <w:color w:val="000000"/>
          <w:vertAlign w:val="superscript"/>
        </w:rPr>
        <w:t>10.62</w:t>
      </w:r>
      <w:r>
        <w:rPr>
          <w:rFonts w:ascii="Arial" w:cs="Arial" w:eastAsia="Arial" w:hAnsi="Arial"/>
          <w:sz w:val="13"/>
          <w:szCs w:val="13"/>
          <w:color w:val="0000FF"/>
        </w:rPr>
        <w:t xml:space="preserve"> </w:t>
      </w:r>
      <w:hyperlink r:id="rId184">
        <w:r>
          <w:rPr>
            <w:rFonts w:ascii="Arial" w:cs="Arial" w:eastAsia="Arial" w:hAnsi="Arial"/>
            <w:sz w:val="13"/>
            <w:szCs w:val="13"/>
            <w:u w:val="single" w:color="auto"/>
            <w:color w:val="0000FF"/>
          </w:rPr>
          <w:t>Capital Markets Corp.</w:t>
        </w:r>
      </w:hyperlink>
    </w:p>
    <w:p>
      <w:pPr>
        <w:ind w:left="880" w:right="360" w:firstLine="347"/>
        <w:spacing w:after="0" w:line="186" w:lineRule="auto"/>
        <w:rPr>
          <w:rFonts w:ascii="Arial" w:cs="Arial" w:eastAsia="Arial" w:hAnsi="Arial"/>
          <w:sz w:val="13"/>
          <w:szCs w:val="13"/>
          <w:color w:val="0000FF"/>
        </w:rPr>
      </w:pPr>
      <w:hyperlink r:id="rId185">
        <w:r>
          <w:rPr>
            <w:rFonts w:ascii="Arial" w:cs="Arial" w:eastAsia="Arial" w:hAnsi="Arial"/>
            <w:sz w:val="13"/>
            <w:szCs w:val="13"/>
            <w:u w:val="single" w:color="auto"/>
            <w:color w:val="0000FF"/>
          </w:rPr>
          <w:t>Base Warrant Confirmation, dated January 18, 2024, between Winnebago Industries, Inc., and</w:t>
        </w:r>
      </w:hyperlink>
      <w:r>
        <w:rPr>
          <w:rFonts w:ascii="Arial" w:cs="Arial" w:eastAsia="Arial" w:hAnsi="Arial"/>
          <w:sz w:val="13"/>
          <w:szCs w:val="13"/>
          <w:u w:val="single" w:color="auto"/>
          <w:color w:val="0000FF"/>
        </w:rPr>
        <w:t xml:space="preserve"> </w:t>
      </w:r>
      <w:hyperlink r:id="rId185"/>
      <w:r>
        <w:rPr>
          <w:rFonts w:ascii="Arial" w:cs="Arial" w:eastAsia="Arial" w:hAnsi="Arial"/>
          <w:sz w:val="25"/>
          <w:szCs w:val="25"/>
          <w:color w:val="000000"/>
          <w:vertAlign w:val="superscript"/>
        </w:rPr>
        <w:t>10.63</w:t>
      </w:r>
      <w:r>
        <w:rPr>
          <w:rFonts w:ascii="Arial" w:cs="Arial" w:eastAsia="Arial" w:hAnsi="Arial"/>
          <w:sz w:val="13"/>
          <w:szCs w:val="13"/>
          <w:color w:val="0000FF"/>
        </w:rPr>
        <w:t xml:space="preserve"> </w:t>
      </w:r>
      <w:hyperlink r:id="rId185">
        <w:r>
          <w:rPr>
            <w:rFonts w:ascii="Arial" w:cs="Arial" w:eastAsia="Arial" w:hAnsi="Arial"/>
            <w:sz w:val="13"/>
            <w:szCs w:val="13"/>
            <w:u w:val="single" w:color="auto"/>
            <w:color w:val="0000FF"/>
          </w:rPr>
          <w:t>JPMorgan Chase Bank, National Association.</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80" w:firstLine="347"/>
        <w:spacing w:after="0" w:line="186" w:lineRule="auto"/>
        <w:rPr>
          <w:rFonts w:ascii="Arial" w:cs="Arial" w:eastAsia="Arial" w:hAnsi="Arial"/>
          <w:sz w:val="13"/>
          <w:szCs w:val="13"/>
          <w:color w:val="0000FF"/>
        </w:rPr>
      </w:pPr>
      <w:hyperlink r:id="rId187">
        <w:r>
          <w:rPr>
            <w:rFonts w:ascii="Arial" w:cs="Arial" w:eastAsia="Arial" w:hAnsi="Arial"/>
            <w:sz w:val="13"/>
            <w:szCs w:val="13"/>
            <w:u w:val="single" w:color="auto"/>
            <w:color w:val="0000FF"/>
          </w:rPr>
          <w:t>Additional Warrant Confirmation, dated January 19, 2024, between Winnebago Industries, Inc., and</w:t>
        </w:r>
      </w:hyperlink>
      <w:r>
        <w:rPr>
          <w:rFonts w:ascii="Arial" w:cs="Arial" w:eastAsia="Arial" w:hAnsi="Arial"/>
          <w:sz w:val="13"/>
          <w:szCs w:val="13"/>
          <w:u w:val="single" w:color="auto"/>
          <w:color w:val="0000FF"/>
        </w:rPr>
        <w:t xml:space="preserve"> </w:t>
      </w:r>
      <w:hyperlink r:id="rId187"/>
      <w:r>
        <w:rPr>
          <w:rFonts w:ascii="Arial" w:cs="Arial" w:eastAsia="Arial" w:hAnsi="Arial"/>
          <w:sz w:val="25"/>
          <w:szCs w:val="25"/>
          <w:color w:val="000000"/>
          <w:vertAlign w:val="superscript"/>
        </w:rPr>
        <w:t>10.64</w:t>
      </w:r>
      <w:r>
        <w:rPr>
          <w:rFonts w:ascii="Arial" w:cs="Arial" w:eastAsia="Arial" w:hAnsi="Arial"/>
          <w:sz w:val="13"/>
          <w:szCs w:val="13"/>
          <w:color w:val="0000FF"/>
        </w:rPr>
        <w:t xml:space="preserve"> </w:t>
      </w:r>
      <w:hyperlink r:id="rId187">
        <w:r>
          <w:rPr>
            <w:rFonts w:ascii="Arial" w:cs="Arial" w:eastAsia="Arial" w:hAnsi="Arial"/>
            <w:sz w:val="13"/>
            <w:szCs w:val="13"/>
            <w:u w:val="single" w:color="auto"/>
            <w:color w:val="0000FF"/>
          </w:rPr>
          <w:t>Goldman Sachs &amp; Co. LLC.</w:t>
        </w:r>
      </w:hyperlink>
    </w:p>
    <w:p>
      <w:pPr>
        <w:spacing w:after="0" w:line="1" w:lineRule="exact"/>
        <w:rPr>
          <w:rFonts w:ascii="Arial" w:cs="Arial" w:eastAsia="Arial" w:hAnsi="Arial"/>
          <w:sz w:val="13"/>
          <w:szCs w:val="13"/>
          <w:u w:val="single" w:color="auto"/>
          <w:color w:val="0000FF"/>
        </w:rPr>
      </w:pPr>
    </w:p>
    <w:p>
      <w:pPr>
        <w:ind w:left="880" w:right="80" w:firstLine="347"/>
        <w:spacing w:after="0" w:line="186" w:lineRule="auto"/>
        <w:rPr>
          <w:rFonts w:ascii="Arial" w:cs="Arial" w:eastAsia="Arial" w:hAnsi="Arial"/>
          <w:sz w:val="13"/>
          <w:szCs w:val="13"/>
          <w:color w:val="0000FF"/>
        </w:rPr>
      </w:pPr>
      <w:hyperlink r:id="rId188">
        <w:r>
          <w:rPr>
            <w:rFonts w:ascii="Arial" w:cs="Arial" w:eastAsia="Arial" w:hAnsi="Arial"/>
            <w:sz w:val="13"/>
            <w:szCs w:val="13"/>
            <w:u w:val="single" w:color="auto"/>
            <w:color w:val="0000FF"/>
          </w:rPr>
          <w:t>Additional Warrant Confirmation, dated January 19, 2024, between Winnebago Industries, Inc., and</w:t>
        </w:r>
      </w:hyperlink>
      <w:r>
        <w:rPr>
          <w:rFonts w:ascii="Arial" w:cs="Arial" w:eastAsia="Arial" w:hAnsi="Arial"/>
          <w:sz w:val="13"/>
          <w:szCs w:val="13"/>
          <w:u w:val="single" w:color="auto"/>
          <w:color w:val="0000FF"/>
        </w:rPr>
        <w:t xml:space="preserve"> </w:t>
      </w:r>
      <w:hyperlink r:id="rId188"/>
      <w:r>
        <w:rPr>
          <w:rFonts w:ascii="Arial" w:cs="Arial" w:eastAsia="Arial" w:hAnsi="Arial"/>
          <w:sz w:val="25"/>
          <w:szCs w:val="25"/>
          <w:color w:val="000000"/>
          <w:vertAlign w:val="superscript"/>
        </w:rPr>
        <w:t>10.65</w:t>
      </w:r>
      <w:r>
        <w:rPr>
          <w:rFonts w:ascii="Arial" w:cs="Arial" w:eastAsia="Arial" w:hAnsi="Arial"/>
          <w:sz w:val="13"/>
          <w:szCs w:val="13"/>
          <w:color w:val="0000FF"/>
        </w:rPr>
        <w:t xml:space="preserve"> </w:t>
      </w:r>
      <w:hyperlink r:id="rId188">
        <w:r>
          <w:rPr>
            <w:rFonts w:ascii="Arial" w:cs="Arial" w:eastAsia="Arial" w:hAnsi="Arial"/>
            <w:sz w:val="13"/>
            <w:szCs w:val="13"/>
            <w:u w:val="single" w:color="auto"/>
            <w:color w:val="0000FF"/>
          </w:rPr>
          <w:t>BMO Capital Markets Corp.</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9">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80" w:firstLine="347"/>
        <w:spacing w:after="0" w:line="186" w:lineRule="auto"/>
        <w:rPr>
          <w:rFonts w:ascii="Arial" w:cs="Arial" w:eastAsia="Arial" w:hAnsi="Arial"/>
          <w:sz w:val="13"/>
          <w:szCs w:val="13"/>
          <w:color w:val="0000FF"/>
        </w:rPr>
      </w:pPr>
      <w:hyperlink r:id="rId190">
        <w:r>
          <w:rPr>
            <w:rFonts w:ascii="Arial" w:cs="Arial" w:eastAsia="Arial" w:hAnsi="Arial"/>
            <w:sz w:val="13"/>
            <w:szCs w:val="13"/>
            <w:u w:val="single" w:color="auto"/>
            <w:color w:val="0000FF"/>
          </w:rPr>
          <w:t>Additional Warrant Confirmation, dated January 19, 2024, between Winnebago Industries, Inc., and</w:t>
        </w:r>
      </w:hyperlink>
      <w:r>
        <w:rPr>
          <w:rFonts w:ascii="Arial" w:cs="Arial" w:eastAsia="Arial" w:hAnsi="Arial"/>
          <w:sz w:val="13"/>
          <w:szCs w:val="13"/>
          <w:u w:val="single" w:color="auto"/>
          <w:color w:val="0000FF"/>
        </w:rPr>
        <w:t xml:space="preserve"> </w:t>
      </w:r>
      <w:hyperlink r:id="rId190"/>
      <w:r>
        <w:rPr>
          <w:rFonts w:ascii="Arial" w:cs="Arial" w:eastAsia="Arial" w:hAnsi="Arial"/>
          <w:sz w:val="25"/>
          <w:szCs w:val="25"/>
          <w:color w:val="000000"/>
          <w:vertAlign w:val="superscript"/>
        </w:rPr>
        <w:t>10.66</w:t>
      </w:r>
      <w:r>
        <w:rPr>
          <w:rFonts w:ascii="Arial" w:cs="Arial" w:eastAsia="Arial" w:hAnsi="Arial"/>
          <w:sz w:val="13"/>
          <w:szCs w:val="13"/>
          <w:color w:val="0000FF"/>
        </w:rPr>
        <w:t xml:space="preserve"> </w:t>
      </w:r>
      <w:hyperlink r:id="rId190">
        <w:r>
          <w:rPr>
            <w:rFonts w:ascii="Arial" w:cs="Arial" w:eastAsia="Arial" w:hAnsi="Arial"/>
            <w:sz w:val="13"/>
            <w:szCs w:val="13"/>
            <w:u w:val="single" w:color="auto"/>
            <w:color w:val="0000FF"/>
          </w:rPr>
          <w:t>JPMorgan Chase Bank, National Association.</w:t>
        </w:r>
      </w:hyperlink>
    </w:p>
    <w:p>
      <w:pPr>
        <w:ind w:left="1220"/>
        <w:spacing w:after="0"/>
        <w:rPr>
          <w:rFonts w:ascii="Arial" w:cs="Arial" w:eastAsia="Arial" w:hAnsi="Arial"/>
          <w:sz w:val="13"/>
          <w:szCs w:val="13"/>
          <w:u w:val="single" w:color="auto"/>
          <w:color w:val="0000FF"/>
        </w:rPr>
      </w:pPr>
      <w:hyperlink r:id="rId191">
        <w:r>
          <w:rPr>
            <w:rFonts w:ascii="Arial" w:cs="Arial" w:eastAsia="Arial" w:hAnsi="Arial"/>
            <w:sz w:val="13"/>
            <w:szCs w:val="13"/>
            <w:u w:val="single" w:color="auto"/>
            <w:color w:val="0000FF"/>
          </w:rPr>
          <w:t>Amendment No. 1 to Amended and Restated Credit Agreement dated as of November 15, 2019</w:t>
        </w:r>
      </w:hyperlink>
    </w:p>
    <w:p>
      <w:pPr>
        <w:ind w:left="880"/>
        <w:spacing w:after="0" w:line="182" w:lineRule="auto"/>
        <w:rPr>
          <w:rFonts w:ascii="Arial" w:cs="Arial" w:eastAsia="Arial" w:hAnsi="Arial"/>
          <w:sz w:val="10"/>
          <w:szCs w:val="10"/>
          <w:color w:val="0000FF"/>
        </w:rPr>
      </w:pPr>
      <w:hyperlink r:id="rId191"/>
      <w:r>
        <w:rPr>
          <w:rFonts w:ascii="Arial" w:cs="Arial" w:eastAsia="Arial" w:hAnsi="Arial"/>
          <w:sz w:val="17"/>
          <w:szCs w:val="17"/>
          <w:color w:val="000000"/>
          <w:vertAlign w:val="subscript"/>
        </w:rPr>
        <w:t>10.67</w:t>
      </w:r>
      <w:r>
        <w:rPr>
          <w:rFonts w:ascii="Arial" w:cs="Arial" w:eastAsia="Arial" w:hAnsi="Arial"/>
          <w:sz w:val="10"/>
          <w:szCs w:val="10"/>
          <w:color w:val="0000FF"/>
        </w:rPr>
        <w:t xml:space="preserve"> </w:t>
      </w:r>
      <w:hyperlink r:id="rId191">
        <w:r>
          <w:rPr>
            <w:rFonts w:ascii="Arial" w:cs="Arial" w:eastAsia="Arial" w:hAnsi="Arial"/>
            <w:sz w:val="10"/>
            <w:szCs w:val="10"/>
            <w:u w:val="single" w:color="auto"/>
            <w:color w:val="0000FF"/>
          </w:rPr>
          <w:t>among Winnebago Industries, Inc., Winnebago of Indiana, LLC and Grand Design RV, LLC, Newmar</w:t>
        </w:r>
      </w:hyperlink>
    </w:p>
    <w:p>
      <w:pPr>
        <w:ind w:left="1220" w:right="160"/>
        <w:spacing w:after="0" w:line="235" w:lineRule="auto"/>
        <w:rPr>
          <w:rFonts w:ascii="Arial" w:cs="Arial" w:eastAsia="Arial" w:hAnsi="Arial"/>
          <w:sz w:val="13"/>
          <w:szCs w:val="13"/>
          <w:u w:val="single" w:color="auto"/>
          <w:color w:val="0000FF"/>
        </w:rPr>
      </w:pPr>
      <w:hyperlink r:id="rId191">
        <w:r>
          <w:rPr>
            <w:rFonts w:ascii="Arial" w:cs="Arial" w:eastAsia="Arial" w:hAnsi="Arial"/>
            <w:sz w:val="13"/>
            <w:szCs w:val="13"/>
            <w:u w:val="single" w:color="auto"/>
            <w:color w:val="0000FF"/>
          </w:rPr>
          <w:t>Corporation, the other loan parties thereto from time to time, the lenders party thereto from time to</w:t>
        </w:r>
      </w:hyperlink>
      <w:r>
        <w:rPr>
          <w:rFonts w:ascii="Arial" w:cs="Arial" w:eastAsia="Arial" w:hAnsi="Arial"/>
          <w:sz w:val="13"/>
          <w:szCs w:val="13"/>
          <w:u w:val="single" w:color="auto"/>
          <w:color w:val="0000FF"/>
        </w:rPr>
        <w:t xml:space="preserve"> </w:t>
      </w:r>
      <w:hyperlink r:id="rId191">
        <w:r>
          <w:rPr>
            <w:rFonts w:ascii="Arial" w:cs="Arial" w:eastAsia="Arial" w:hAnsi="Arial"/>
            <w:sz w:val="13"/>
            <w:szCs w:val="13"/>
            <w:u w:val="single" w:color="auto"/>
            <w:color w:val="0000FF"/>
          </w:rPr>
          <w:t>time and JPMorgan Chase Bank, N.A.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15240</wp:posOffset>
            </wp:positionV>
            <wp:extent cx="6616065" cy="2159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2">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spacing w:after="0" w:line="4" w:lineRule="exact"/>
        <w:rPr>
          <w:sz w:val="20"/>
          <w:szCs w:val="20"/>
          <w:color w:val="auto"/>
        </w:rPr>
      </w:pPr>
    </w:p>
    <w:p>
      <w:pPr>
        <w:ind w:left="880" w:right="460" w:firstLine="347"/>
        <w:spacing w:after="0" w:line="193" w:lineRule="auto"/>
        <w:rPr>
          <w:rFonts w:ascii="Arial" w:cs="Arial" w:eastAsia="Arial" w:hAnsi="Arial"/>
          <w:sz w:val="13"/>
          <w:szCs w:val="13"/>
          <w:color w:val="0000FF"/>
        </w:rPr>
      </w:pPr>
      <w:hyperlink r:id="rId193">
        <w:r>
          <w:rPr>
            <w:rFonts w:ascii="Arial" w:cs="Arial" w:eastAsia="Arial" w:hAnsi="Arial"/>
            <w:sz w:val="13"/>
            <w:szCs w:val="13"/>
            <w:u w:val="single" w:color="auto"/>
            <w:color w:val="0000FF"/>
          </w:rPr>
          <w:t>First Restated and Amended Lease Agreement (Main Facility) dated October 4, 2019 by and</w:t>
        </w:r>
      </w:hyperlink>
      <w:r>
        <w:rPr>
          <w:rFonts w:ascii="Arial" w:cs="Arial" w:eastAsia="Arial" w:hAnsi="Arial"/>
          <w:sz w:val="13"/>
          <w:szCs w:val="13"/>
          <w:u w:val="single" w:color="auto"/>
          <w:color w:val="0000FF"/>
        </w:rPr>
        <w:t xml:space="preserve"> </w:t>
      </w:r>
      <w:hyperlink r:id="rId193"/>
      <w:r>
        <w:rPr>
          <w:rFonts w:ascii="Arial" w:cs="Arial" w:eastAsia="Arial" w:hAnsi="Arial"/>
          <w:sz w:val="25"/>
          <w:szCs w:val="25"/>
          <w:color w:val="000000"/>
          <w:vertAlign w:val="superscript"/>
        </w:rPr>
        <w:t>10.68</w:t>
      </w:r>
      <w:r>
        <w:rPr>
          <w:rFonts w:ascii="Arial" w:cs="Arial" w:eastAsia="Arial" w:hAnsi="Arial"/>
          <w:sz w:val="13"/>
          <w:szCs w:val="13"/>
          <w:color w:val="0000FF"/>
        </w:rPr>
        <w:t xml:space="preserve"> </w:t>
      </w:r>
      <w:hyperlink r:id="rId193">
        <w:r>
          <w:rPr>
            <w:rFonts w:ascii="Arial" w:cs="Arial" w:eastAsia="Arial" w:hAnsi="Arial"/>
            <w:sz w:val="13"/>
            <w:szCs w:val="13"/>
            <w:u w:val="single" w:color="auto"/>
            <w:color w:val="0000FF"/>
          </w:rPr>
          <w:t>between Three Oaks, LLC and Grand Design RV, LLC.</w:t>
        </w:r>
      </w:hyperlink>
    </w:p>
    <w:p>
      <w:pPr>
        <w:ind w:left="880" w:right="200" w:firstLine="347"/>
        <w:spacing w:after="0" w:line="186" w:lineRule="auto"/>
        <w:rPr>
          <w:rFonts w:ascii="Arial" w:cs="Arial" w:eastAsia="Arial" w:hAnsi="Arial"/>
          <w:sz w:val="13"/>
          <w:szCs w:val="13"/>
          <w:color w:val="0000FF"/>
        </w:rPr>
      </w:pPr>
      <w:hyperlink r:id="rId194">
        <w:r>
          <w:rPr>
            <w:rFonts w:ascii="Arial" w:cs="Arial" w:eastAsia="Arial" w:hAnsi="Arial"/>
            <w:sz w:val="13"/>
            <w:szCs w:val="13"/>
            <w:u w:val="single" w:color="auto"/>
            <w:color w:val="0000FF"/>
          </w:rPr>
          <w:t>Second Restated and Amended Lease Agreement (Expansion Facility) dated October 4, 2019 by</w:t>
        </w:r>
      </w:hyperlink>
      <w:r>
        <w:rPr>
          <w:rFonts w:ascii="Arial" w:cs="Arial" w:eastAsia="Arial" w:hAnsi="Arial"/>
          <w:sz w:val="13"/>
          <w:szCs w:val="13"/>
          <w:u w:val="single" w:color="auto"/>
          <w:color w:val="0000FF"/>
        </w:rPr>
        <w:t xml:space="preserve"> </w:t>
      </w:r>
      <w:hyperlink r:id="rId194"/>
      <w:r>
        <w:rPr>
          <w:rFonts w:ascii="Arial" w:cs="Arial" w:eastAsia="Arial" w:hAnsi="Arial"/>
          <w:sz w:val="25"/>
          <w:szCs w:val="25"/>
          <w:color w:val="000000"/>
          <w:vertAlign w:val="superscript"/>
        </w:rPr>
        <w:t>10.69</w:t>
      </w:r>
      <w:r>
        <w:rPr>
          <w:rFonts w:ascii="Arial" w:cs="Arial" w:eastAsia="Arial" w:hAnsi="Arial"/>
          <w:sz w:val="13"/>
          <w:szCs w:val="13"/>
          <w:color w:val="0000FF"/>
        </w:rPr>
        <w:t xml:space="preserve"> </w:t>
      </w:r>
      <w:hyperlink r:id="rId194">
        <w:r>
          <w:rPr>
            <w:rFonts w:ascii="Arial" w:cs="Arial" w:eastAsia="Arial" w:hAnsi="Arial"/>
            <w:sz w:val="13"/>
            <w:szCs w:val="13"/>
            <w:u w:val="single" w:color="auto"/>
            <w:color w:val="0000FF"/>
          </w:rPr>
          <w:t>and between Three Oaks, LLC and Grand Design RV, LLC.</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165100</wp:posOffset>
            </wp:positionH>
            <wp:positionV relativeFrom="paragraph">
              <wp:posOffset>-6350</wp:posOffset>
            </wp:positionV>
            <wp:extent cx="6616065" cy="2159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5">
                      <a:extLst>
                        <a:ext uri="{28A0092B-C50C-407E-A947-70E740481C1C}"/>
                      </a:extLst>
                    </a:blip>
                    <a:srcRect/>
                    <a:stretch>
                      <a:fillRect/>
                    </a:stretch>
                  </pic:blipFill>
                  <pic:spPr bwMode="auto">
                    <a:xfrm>
                      <a:off x="0" y="0"/>
                      <a:ext cx="6616065" cy="215900"/>
                    </a:xfrm>
                    <a:prstGeom prst="rect">
                      <a:avLst/>
                    </a:prstGeom>
                    <a:noFill/>
                  </pic:spPr>
                </pic:pic>
              </a:graphicData>
            </a:graphic>
          </wp:anchor>
        </w:drawing>
      </w:r>
    </w:p>
    <w:p>
      <w:pPr>
        <w:ind w:left="880" w:right="320" w:firstLine="347"/>
        <w:spacing w:after="0" w:line="186" w:lineRule="auto"/>
        <w:rPr>
          <w:rFonts w:ascii="Arial" w:cs="Arial" w:eastAsia="Arial" w:hAnsi="Arial"/>
          <w:sz w:val="13"/>
          <w:szCs w:val="13"/>
          <w:color w:val="0000FF"/>
        </w:rPr>
      </w:pPr>
      <w:hyperlink r:id="rId196">
        <w:r>
          <w:rPr>
            <w:rFonts w:ascii="Arial" w:cs="Arial" w:eastAsia="Arial" w:hAnsi="Arial"/>
            <w:sz w:val="13"/>
            <w:szCs w:val="13"/>
            <w:u w:val="single" w:color="auto"/>
            <w:color w:val="0000FF"/>
          </w:rPr>
          <w:t>First Amendment to Lease dated March 12, 2024 by and between Three Oaks, LLC and Grand</w:t>
        </w:r>
      </w:hyperlink>
      <w:r>
        <w:rPr>
          <w:rFonts w:ascii="Arial" w:cs="Arial" w:eastAsia="Arial" w:hAnsi="Arial"/>
          <w:sz w:val="13"/>
          <w:szCs w:val="13"/>
          <w:u w:val="single" w:color="auto"/>
          <w:color w:val="0000FF"/>
        </w:rPr>
        <w:t xml:space="preserve"> </w:t>
      </w:r>
      <w:hyperlink r:id="rId196"/>
      <w:r>
        <w:rPr>
          <w:rFonts w:ascii="Arial" w:cs="Arial" w:eastAsia="Arial" w:hAnsi="Arial"/>
          <w:sz w:val="25"/>
          <w:szCs w:val="25"/>
          <w:color w:val="000000"/>
          <w:vertAlign w:val="superscript"/>
        </w:rPr>
        <w:t>10.70</w:t>
      </w:r>
      <w:r>
        <w:rPr>
          <w:rFonts w:ascii="Arial" w:cs="Arial" w:eastAsia="Arial" w:hAnsi="Arial"/>
          <w:sz w:val="13"/>
          <w:szCs w:val="13"/>
          <w:color w:val="0000FF"/>
        </w:rPr>
        <w:t xml:space="preserve"> </w:t>
      </w:r>
      <w:hyperlink r:id="rId196">
        <w:r>
          <w:rPr>
            <w:rFonts w:ascii="Arial" w:cs="Arial" w:eastAsia="Arial" w:hAnsi="Arial"/>
            <w:sz w:val="13"/>
            <w:szCs w:val="13"/>
            <w:u w:val="single" w:color="auto"/>
            <w:color w:val="0000FF"/>
          </w:rPr>
          <w:t>Design RV, LLC.</w:t>
        </w:r>
      </w:hyperlink>
    </w:p>
    <w:p>
      <w:pPr>
        <w:spacing w:after="0" w:line="1" w:lineRule="exact"/>
        <w:rPr>
          <w:rFonts w:ascii="Arial" w:cs="Arial" w:eastAsia="Arial" w:hAnsi="Arial"/>
          <w:sz w:val="13"/>
          <w:szCs w:val="13"/>
          <w:u w:val="single" w:color="auto"/>
          <w:color w:val="0000FF"/>
        </w:rPr>
      </w:pPr>
    </w:p>
    <w:p>
      <w:pPr>
        <w:ind w:left="880" w:right="220" w:firstLine="347"/>
        <w:spacing w:after="0" w:line="182" w:lineRule="auto"/>
        <w:rPr>
          <w:rFonts w:ascii="Arial" w:cs="Arial" w:eastAsia="Arial" w:hAnsi="Arial"/>
          <w:sz w:val="12"/>
          <w:szCs w:val="12"/>
          <w:color w:val="0000FF"/>
        </w:rPr>
      </w:pPr>
      <w:hyperlink r:id="rId197">
        <w:r>
          <w:rPr>
            <w:rFonts w:ascii="Arial" w:cs="Arial" w:eastAsia="Arial" w:hAnsi="Arial"/>
            <w:sz w:val="12"/>
            <w:szCs w:val="12"/>
            <w:u w:val="single" w:color="auto"/>
            <w:color w:val="0000FF"/>
          </w:rPr>
          <w:t>Amendment No. 2 to Amended and Restated Credit Agreement, dated as of July 8, 2020, among</w:t>
        </w:r>
      </w:hyperlink>
      <w:r>
        <w:rPr>
          <w:rFonts w:ascii="Arial" w:cs="Arial" w:eastAsia="Arial" w:hAnsi="Arial"/>
          <w:sz w:val="12"/>
          <w:szCs w:val="12"/>
          <w:u w:val="single" w:color="auto"/>
          <w:color w:val="0000FF"/>
        </w:rPr>
        <w:t xml:space="preserve"> </w:t>
      </w:r>
      <w:hyperlink r:id="rId197"/>
      <w:r>
        <w:rPr>
          <w:rFonts w:ascii="Arial" w:cs="Arial" w:eastAsia="Arial" w:hAnsi="Arial"/>
          <w:sz w:val="22"/>
          <w:szCs w:val="22"/>
          <w:color w:val="000000"/>
          <w:vertAlign w:val="subscript"/>
        </w:rPr>
        <w:t>10.71</w:t>
      </w:r>
      <w:r>
        <w:rPr>
          <w:rFonts w:ascii="Arial" w:cs="Arial" w:eastAsia="Arial" w:hAnsi="Arial"/>
          <w:sz w:val="12"/>
          <w:szCs w:val="12"/>
          <w:color w:val="0000FF"/>
        </w:rPr>
        <w:t xml:space="preserve"> </w:t>
      </w:r>
      <w:hyperlink r:id="rId197">
        <w:r>
          <w:rPr>
            <w:rFonts w:ascii="Arial" w:cs="Arial" w:eastAsia="Arial" w:hAnsi="Arial"/>
            <w:sz w:val="12"/>
            <w:szCs w:val="12"/>
            <w:u w:val="single" w:color="auto"/>
            <w:color w:val="0000FF"/>
          </w:rPr>
          <w:t>Winnebago Industries, Inc., Winnebago of Indiana, LLC, Grand Design RV, LLC, Newmar</w:t>
        </w:r>
      </w:hyperlink>
    </w:p>
    <w:p>
      <w:pPr>
        <w:spacing w:after="0" w:line="1" w:lineRule="exact"/>
        <w:rPr>
          <w:rFonts w:ascii="Arial" w:cs="Arial" w:eastAsia="Arial" w:hAnsi="Arial"/>
          <w:sz w:val="12"/>
          <w:szCs w:val="12"/>
          <w:u w:val="single" w:color="auto"/>
          <w:color w:val="0000FF"/>
        </w:rPr>
      </w:pPr>
    </w:p>
    <w:p>
      <w:pPr>
        <w:ind w:left="1220" w:right="160"/>
        <w:spacing w:after="0" w:line="235" w:lineRule="auto"/>
        <w:rPr>
          <w:rFonts w:ascii="Arial" w:cs="Arial" w:eastAsia="Arial" w:hAnsi="Arial"/>
          <w:sz w:val="13"/>
          <w:szCs w:val="13"/>
          <w:u w:val="single" w:color="auto"/>
          <w:color w:val="0000FF"/>
        </w:rPr>
      </w:pPr>
      <w:hyperlink r:id="rId197">
        <w:r>
          <w:rPr>
            <w:rFonts w:ascii="Arial" w:cs="Arial" w:eastAsia="Arial" w:hAnsi="Arial"/>
            <w:sz w:val="13"/>
            <w:szCs w:val="13"/>
            <w:u w:val="single" w:color="auto"/>
            <w:color w:val="0000FF"/>
          </w:rPr>
          <w:t>Corporation, the other loan parties thereto from time to time, the lenders party thereto from time to</w:t>
        </w:r>
      </w:hyperlink>
      <w:r>
        <w:rPr>
          <w:rFonts w:ascii="Arial" w:cs="Arial" w:eastAsia="Arial" w:hAnsi="Arial"/>
          <w:sz w:val="13"/>
          <w:szCs w:val="13"/>
          <w:u w:val="single" w:color="auto"/>
          <w:color w:val="0000FF"/>
        </w:rPr>
        <w:t xml:space="preserve"> </w:t>
      </w:r>
      <w:hyperlink r:id="rId197">
        <w:r>
          <w:rPr>
            <w:rFonts w:ascii="Arial" w:cs="Arial" w:eastAsia="Arial" w:hAnsi="Arial"/>
            <w:sz w:val="13"/>
            <w:szCs w:val="13"/>
            <w:u w:val="single" w:color="auto"/>
            <w:color w:val="0000FF"/>
          </w:rPr>
          <w:t>time and JPMorgan Chase Bank, N.A., as administrative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15240</wp:posOffset>
            </wp:positionV>
            <wp:extent cx="6616065" cy="3028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8">
                      <a:extLst>
                        <a:ext uri="{28A0092B-C50C-407E-A947-70E740481C1C}"/>
                      </a:extLst>
                    </a:blip>
                    <a:srcRect/>
                    <a:stretch>
                      <a:fillRect/>
                    </a:stretch>
                  </pic:blipFill>
                  <pic:spPr bwMode="auto">
                    <a:xfrm>
                      <a:off x="0" y="0"/>
                      <a:ext cx="6616065" cy="302895"/>
                    </a:xfrm>
                    <a:prstGeom prst="rect">
                      <a:avLst/>
                    </a:prstGeom>
                    <a:noFill/>
                  </pic:spPr>
                </pic:pic>
              </a:graphicData>
            </a:graphic>
          </wp:anchor>
        </w:drawing>
      </w:r>
    </w:p>
    <w:p>
      <w:pPr>
        <w:spacing w:after="0" w:line="4" w:lineRule="exact"/>
        <w:rPr>
          <w:sz w:val="20"/>
          <w:szCs w:val="20"/>
          <w:color w:val="auto"/>
        </w:rPr>
      </w:pPr>
    </w:p>
    <w:p>
      <w:pPr>
        <w:ind w:left="880" w:right="80" w:firstLine="347"/>
        <w:spacing w:after="0" w:line="268" w:lineRule="auto"/>
        <w:rPr>
          <w:rFonts w:ascii="Arial" w:cs="Arial" w:eastAsia="Arial" w:hAnsi="Arial"/>
          <w:sz w:val="12"/>
          <w:szCs w:val="12"/>
          <w:color w:val="000000"/>
        </w:rPr>
      </w:pPr>
      <w:hyperlink r:id="rId199">
        <w:r>
          <w:rPr>
            <w:rFonts w:ascii="Arial" w:cs="Arial" w:eastAsia="Arial" w:hAnsi="Arial"/>
            <w:sz w:val="12"/>
            <w:szCs w:val="12"/>
            <w:u w:val="single" w:color="auto"/>
            <w:color w:val="0000FF"/>
          </w:rPr>
          <w:t>Intercreditor Agreement, dated as of July 8, 2020, among JPMorgan Chase Bank, N.A., U.S. Bank</w:t>
        </w:r>
      </w:hyperlink>
      <w:r>
        <w:rPr>
          <w:rFonts w:ascii="Arial" w:cs="Arial" w:eastAsia="Arial" w:hAnsi="Arial"/>
          <w:sz w:val="12"/>
          <w:szCs w:val="12"/>
          <w:u w:val="single" w:color="auto"/>
          <w:color w:val="0000FF"/>
        </w:rPr>
        <w:t xml:space="preserve"> </w:t>
      </w:r>
      <w:r>
        <w:rPr>
          <w:rFonts w:ascii="Arial" w:cs="Arial" w:eastAsia="Arial" w:hAnsi="Arial"/>
          <w:sz w:val="12"/>
          <w:szCs w:val="12"/>
          <w:color w:val="000000"/>
        </w:rPr>
        <w:t xml:space="preserve">10.72 </w:t>
      </w:r>
      <w:hyperlink r:id="rId199">
        <w:r>
          <w:rPr>
            <w:rFonts w:ascii="Arial" w:cs="Arial" w:eastAsia="Arial" w:hAnsi="Arial"/>
            <w:sz w:val="12"/>
            <w:szCs w:val="12"/>
            <w:u w:val="single" w:color="auto"/>
            <w:color w:val="0000FF"/>
          </w:rPr>
          <w:t>National Association, as collateral trustee, Winnebago Industries, Inc. and certain of its subsidiaries</w:t>
        </w:r>
      </w:hyperlink>
    </w:p>
    <w:p>
      <w:pPr>
        <w:spacing w:after="0" w:line="1" w:lineRule="exact"/>
        <w:rPr>
          <w:sz w:val="20"/>
          <w:szCs w:val="20"/>
          <w:color w:val="auto"/>
        </w:rPr>
      </w:pPr>
    </w:p>
    <w:p>
      <w:pPr>
        <w:ind w:left="1220"/>
        <w:spacing w:after="0"/>
        <w:rPr>
          <w:rFonts w:ascii="Arial" w:cs="Arial" w:eastAsia="Arial" w:hAnsi="Arial"/>
          <w:sz w:val="13"/>
          <w:szCs w:val="13"/>
          <w:u w:val="single" w:color="auto"/>
          <w:color w:val="0000FF"/>
        </w:rPr>
      </w:pPr>
      <w:hyperlink r:id="rId199">
        <w:r>
          <w:rPr>
            <w:rFonts w:ascii="Arial" w:cs="Arial" w:eastAsia="Arial" w:hAnsi="Arial"/>
            <w:sz w:val="13"/>
            <w:szCs w:val="13"/>
            <w:u w:val="single" w:color="auto"/>
            <w:color w:val="0000FF"/>
          </w:rPr>
          <w:t>party thereto.</w:t>
        </w:r>
      </w:hyperlink>
    </w:p>
    <w:p>
      <w:pPr>
        <w:spacing w:after="0" w:line="19" w:lineRule="exact"/>
        <w:rPr>
          <w:sz w:val="20"/>
          <w:szCs w:val="20"/>
          <w:color w:val="auto"/>
        </w:rPr>
      </w:pPr>
    </w:p>
    <w:p>
      <w:pPr>
        <w:ind w:left="1220" w:right="160" w:hanging="346"/>
        <w:spacing w:after="0" w:line="236" w:lineRule="auto"/>
        <w:rPr>
          <w:rFonts w:ascii="Arial" w:cs="Arial" w:eastAsia="Arial" w:hAnsi="Arial"/>
          <w:sz w:val="13"/>
          <w:szCs w:val="13"/>
          <w:u w:val="single" w:color="auto"/>
          <w:color w:val="0000FF"/>
        </w:rPr>
      </w:pPr>
      <w:r>
        <w:rPr>
          <w:rFonts w:ascii="Arial" w:cs="Arial" w:eastAsia="Arial" w:hAnsi="Arial"/>
          <w:sz w:val="13"/>
          <w:szCs w:val="13"/>
          <w:color w:val="auto"/>
        </w:rPr>
        <w:t xml:space="preserve">10.73 </w:t>
      </w:r>
      <w:hyperlink r:id="rId200">
        <w:r>
          <w:rPr>
            <w:rFonts w:ascii="Arial" w:cs="Arial" w:eastAsia="Arial" w:hAnsi="Arial"/>
            <w:sz w:val="13"/>
            <w:szCs w:val="13"/>
            <w:u w:val="single" w:color="auto"/>
            <w:color w:val="0000FF"/>
          </w:rPr>
          <w:t>Amended and Restated Employment Agreement between Winnebago Industries, Inc. and Michael</w:t>
        </w:r>
      </w:hyperlink>
      <w:r>
        <w:rPr>
          <w:rFonts w:ascii="Arial" w:cs="Arial" w:eastAsia="Arial" w:hAnsi="Arial"/>
          <w:sz w:val="13"/>
          <w:szCs w:val="13"/>
          <w:color w:val="auto"/>
        </w:rPr>
        <w:t xml:space="preserve"> </w:t>
      </w:r>
      <w:hyperlink r:id="rId200">
        <w:r>
          <w:rPr>
            <w:rFonts w:ascii="Arial" w:cs="Arial" w:eastAsia="Arial" w:hAnsi="Arial"/>
            <w:sz w:val="13"/>
            <w:szCs w:val="13"/>
            <w:u w:val="single" w:color="auto"/>
            <w:color w:val="0000FF"/>
          </w:rPr>
          <w:t>Happe dated December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1905</wp:posOffset>
            </wp:positionV>
            <wp:extent cx="6616065" cy="107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1">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880"/>
        <w:spacing w:after="0"/>
        <w:rPr>
          <w:rFonts w:ascii="Arial" w:cs="Arial" w:eastAsia="Arial" w:hAnsi="Arial"/>
          <w:sz w:val="13"/>
          <w:szCs w:val="13"/>
          <w:color w:val="auto"/>
        </w:rPr>
      </w:pPr>
      <w:r>
        <w:rPr>
          <w:rFonts w:ascii="Arial" w:cs="Arial" w:eastAsia="Arial" w:hAnsi="Arial"/>
          <w:sz w:val="13"/>
          <w:szCs w:val="13"/>
          <w:color w:val="auto"/>
        </w:rPr>
        <w:t xml:space="preserve">10.74 </w:t>
      </w:r>
      <w:hyperlink r:id="rId202">
        <w:r>
          <w:rPr>
            <w:rFonts w:ascii="Arial" w:cs="Arial" w:eastAsia="Arial" w:hAnsi="Arial"/>
            <w:sz w:val="13"/>
            <w:szCs w:val="13"/>
            <w:u w:val="single" w:color="auto"/>
            <w:color w:val="0000FF"/>
          </w:rPr>
          <w:t>Winnebago Executive Officer Severance Plan and Summary Plan Description*</w:t>
        </w:r>
      </w:hyperlink>
    </w:p>
    <w:p>
      <w:pPr>
        <w:spacing w:after="0" w:line="2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0000FF"/>
        </w:rPr>
        <w:t>Winnebago Industries, Inc. Insider Trading Policy</w:t>
      </w:r>
    </w:p>
    <w:p>
      <w:pPr>
        <w:ind w:left="1060"/>
        <w:spacing w:after="0" w:line="209" w:lineRule="auto"/>
        <w:rPr>
          <w:sz w:val="20"/>
          <w:szCs w:val="20"/>
          <w:color w:val="auto"/>
        </w:rPr>
      </w:pPr>
      <w:r>
        <w:rPr>
          <w:rFonts w:ascii="Arial" w:cs="Arial" w:eastAsia="Arial" w:hAnsi="Arial"/>
          <w:sz w:val="25"/>
          <w:szCs w:val="25"/>
          <w:color w:val="000000"/>
          <w:vertAlign w:val="subscript"/>
        </w:rPr>
        <w:t>21</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-145415</wp:posOffset>
            </wp:positionV>
            <wp:extent cx="661606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3">
                      <a:extLst>
                        <a:ext uri="{28A0092B-C50C-407E-A947-70E740481C1C}"/>
                      </a:extLst>
                    </a:blip>
                    <a:srcRect/>
                    <a:stretch>
                      <a:fillRect/>
                    </a:stretch>
                  </pic:blipFill>
                  <pic:spPr bwMode="auto">
                    <a:xfrm>
                      <a:off x="0" y="0"/>
                      <a:ext cx="6616065" cy="18859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25"/>
          <w:szCs w:val="25"/>
          <w:color w:val="000000"/>
          <w:vertAlign w:val="subscript"/>
        </w:rPr>
        <w:t>23</w:t>
      </w:r>
      <w:r>
        <w:rPr>
          <w:rFonts w:ascii="Arial" w:cs="Arial" w:eastAsia="Arial" w:hAnsi="Arial"/>
          <w:sz w:val="13"/>
          <w:szCs w:val="13"/>
          <w:color w:val="0000FF"/>
        </w:rPr>
        <w:t xml:space="preserve"> </w:t>
      </w:r>
      <w:r>
        <w:rPr>
          <w:rFonts w:ascii="Arial" w:cs="Arial" w:eastAsia="Arial" w:hAnsi="Arial"/>
          <w:sz w:val="13"/>
          <w:szCs w:val="13"/>
          <w:u w:val="single" w:color="auto"/>
          <w:color w:val="0000FF"/>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48260</wp:posOffset>
            </wp:positionV>
            <wp:extent cx="6616065" cy="269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4">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56" w:lineRule="exact"/>
        <w:rPr>
          <w:sz w:val="20"/>
          <w:szCs w:val="20"/>
          <w:color w:val="auto"/>
        </w:rPr>
      </w:pPr>
    </w:p>
    <w:p>
      <w:pPr>
        <w:ind w:left="960" w:right="240" w:firstLine="276"/>
        <w:spacing w:after="0" w:line="236" w:lineRule="auto"/>
        <w:rPr>
          <w:sz w:val="20"/>
          <w:szCs w:val="20"/>
          <w:color w:val="auto"/>
        </w:rPr>
      </w:pPr>
      <w:r>
        <w:rPr>
          <w:rFonts w:ascii="Arial" w:cs="Arial" w:eastAsia="Arial" w:hAnsi="Arial"/>
          <w:sz w:val="13"/>
          <w:szCs w:val="13"/>
          <w:u w:val="single" w:color="auto"/>
          <w:color w:val="0000FF"/>
        </w:rPr>
        <w:t xml:space="preserve">Certification by the Chief Executive Officer pursuant to Section 302 of the Sarbanes-Oxley Act of </w:t>
      </w:r>
      <w:r>
        <w:rPr>
          <w:rFonts w:ascii="Arial" w:cs="Arial" w:eastAsia="Arial" w:hAnsi="Arial"/>
          <w:sz w:val="13"/>
          <w:szCs w:val="13"/>
          <w:color w:val="000000"/>
        </w:rPr>
        <w:t xml:space="preserve">31.1 </w:t>
      </w:r>
      <w:r>
        <w:rPr>
          <w:rFonts w:ascii="Arial" w:cs="Arial" w:eastAsia="Arial" w:hAnsi="Arial"/>
          <w:sz w:val="13"/>
          <w:szCs w:val="13"/>
          <w:u w:val="single" w:color="auto"/>
          <w:color w:val="0000FF"/>
        </w:rPr>
        <w:t>2002.</w:t>
      </w:r>
    </w:p>
    <w:p>
      <w:pPr>
        <w:spacing w:after="0" w:line="130" w:lineRule="exact"/>
        <w:rPr>
          <w:sz w:val="20"/>
          <w:szCs w:val="20"/>
          <w:color w:val="auto"/>
        </w:rPr>
      </w:pPr>
    </w:p>
    <w:p>
      <w:pPr>
        <w:ind w:left="960" w:right="280" w:firstLine="276"/>
        <w:spacing w:after="0" w:line="236" w:lineRule="auto"/>
        <w:rPr>
          <w:sz w:val="20"/>
          <w:szCs w:val="20"/>
          <w:color w:val="auto"/>
        </w:rPr>
      </w:pPr>
      <w:r>
        <w:rPr>
          <w:rFonts w:ascii="Arial" w:cs="Arial" w:eastAsia="Arial" w:hAnsi="Arial"/>
          <w:sz w:val="13"/>
          <w:szCs w:val="13"/>
          <w:u w:val="single" w:color="auto"/>
          <w:color w:val="0000FF"/>
        </w:rPr>
        <w:t xml:space="preserve">Certification by the Chief Financial Officer pursuant to Section 302 of the Sarbanes-Oxley Act of </w:t>
      </w:r>
      <w:r>
        <w:rPr>
          <w:rFonts w:ascii="Arial" w:cs="Arial" w:eastAsia="Arial" w:hAnsi="Arial"/>
          <w:sz w:val="13"/>
          <w:szCs w:val="13"/>
          <w:color w:val="000000"/>
        </w:rPr>
        <w:t xml:space="preserve">31.2 </w:t>
      </w:r>
      <w:r>
        <w:rPr>
          <w:rFonts w:ascii="Arial" w:cs="Arial" w:eastAsia="Arial" w:hAnsi="Arial"/>
          <w:sz w:val="13"/>
          <w:szCs w:val="13"/>
          <w:u w:val="single" w:color="auto"/>
          <w:color w:val="0000FF"/>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82550</wp:posOffset>
            </wp:positionV>
            <wp:extent cx="6616065" cy="269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5">
                      <a:extLst>
                        <a:ext uri="{28A0092B-C50C-407E-A947-70E740481C1C}"/>
                      </a:extLst>
                    </a:blip>
                    <a:srcRect/>
                    <a:stretch>
                      <a:fillRect/>
                    </a:stretch>
                  </pic:blipFill>
                  <pic:spPr bwMode="auto">
                    <a:xfrm>
                      <a:off x="0" y="0"/>
                      <a:ext cx="6616065" cy="269240"/>
                    </a:xfrm>
                    <a:prstGeom prst="rect">
                      <a:avLst/>
                    </a:prstGeom>
                    <a:noFill/>
                  </pic:spPr>
                </pic:pic>
              </a:graphicData>
            </a:graphic>
          </wp:anchor>
        </w:drawing>
      </w:r>
    </w:p>
    <w:p>
      <w:pPr>
        <w:spacing w:after="0" w:line="110" w:lineRule="exact"/>
        <w:rPr>
          <w:sz w:val="20"/>
          <w:szCs w:val="20"/>
          <w:color w:val="auto"/>
        </w:rPr>
      </w:pPr>
    </w:p>
    <w:p>
      <w:pPr>
        <w:ind w:left="960" w:firstLine="276"/>
        <w:spacing w:after="0" w:line="236" w:lineRule="auto"/>
        <w:rPr>
          <w:sz w:val="20"/>
          <w:szCs w:val="20"/>
          <w:color w:val="auto"/>
        </w:rPr>
      </w:pPr>
      <w:r>
        <w:rPr>
          <w:rFonts w:ascii="Arial" w:cs="Arial" w:eastAsia="Arial" w:hAnsi="Arial"/>
          <w:sz w:val="13"/>
          <w:szCs w:val="13"/>
          <w:u w:val="single" w:color="auto"/>
          <w:color w:val="0000FF"/>
        </w:rPr>
        <w:t xml:space="preserve">Certification by the Chief Executive Officer pursuant to Section 1350, as adopted pursuant to Section </w:t>
      </w:r>
      <w:r>
        <w:rPr>
          <w:rFonts w:ascii="Arial" w:cs="Arial" w:eastAsia="Arial" w:hAnsi="Arial"/>
          <w:sz w:val="13"/>
          <w:szCs w:val="13"/>
          <w:color w:val="000000"/>
        </w:rPr>
        <w:t xml:space="preserve">32.1 </w:t>
      </w:r>
      <w:r>
        <w:rPr>
          <w:rFonts w:ascii="Arial" w:cs="Arial" w:eastAsia="Arial" w:hAnsi="Arial"/>
          <w:sz w:val="13"/>
          <w:szCs w:val="13"/>
          <w:u w:val="single" w:color="auto"/>
          <w:color w:val="0000FF"/>
        </w:rPr>
        <w:t>906 of the Sarbanes-Oxley Act of 2002.</w:t>
      </w:r>
    </w:p>
    <w:p>
      <w:pPr>
        <w:spacing w:after="0" w:line="130" w:lineRule="exact"/>
        <w:rPr>
          <w:sz w:val="20"/>
          <w:szCs w:val="20"/>
          <w:color w:val="auto"/>
        </w:rPr>
      </w:pPr>
    </w:p>
    <w:p>
      <w:pPr>
        <w:ind w:left="960" w:right="40" w:firstLine="276"/>
        <w:spacing w:after="0" w:line="236" w:lineRule="auto"/>
        <w:rPr>
          <w:sz w:val="20"/>
          <w:szCs w:val="20"/>
          <w:color w:val="auto"/>
        </w:rPr>
      </w:pPr>
      <w:r>
        <w:rPr>
          <w:rFonts w:ascii="Arial" w:cs="Arial" w:eastAsia="Arial" w:hAnsi="Arial"/>
          <w:sz w:val="13"/>
          <w:szCs w:val="13"/>
          <w:u w:val="single" w:color="auto"/>
          <w:color w:val="0000FF"/>
        </w:rPr>
        <w:t xml:space="preserve">Certification by the Chief Financial Officer pursuant to Section 1350, as adopted pursuant to Section </w:t>
      </w:r>
      <w:r>
        <w:rPr>
          <w:rFonts w:ascii="Arial" w:cs="Arial" w:eastAsia="Arial" w:hAnsi="Arial"/>
          <w:sz w:val="13"/>
          <w:szCs w:val="13"/>
          <w:color w:val="000000"/>
        </w:rPr>
        <w:t xml:space="preserve">32.2 </w:t>
      </w:r>
      <w:r>
        <w:rPr>
          <w:rFonts w:ascii="Arial" w:cs="Arial" w:eastAsia="Arial" w:hAnsi="Arial"/>
          <w:sz w:val="13"/>
          <w:szCs w:val="13"/>
          <w:u w:val="single" w:color="auto"/>
          <w:color w:val="0000FF"/>
        </w:rPr>
        <w:t>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82550</wp:posOffset>
            </wp:positionV>
            <wp:extent cx="6616065" cy="1079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6">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spacing w:after="0" w:line="110"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u w:val="single" w:color="auto"/>
          <w:color w:val="0000FF"/>
        </w:rPr>
        <w:t>Winnebago Industries, Inc. Mandatory Compensation Recovery Policy</w:t>
      </w:r>
    </w:p>
    <w:p>
      <w:pPr>
        <w:spacing w:after="0" w:line="200" w:lineRule="exact"/>
        <w:rPr>
          <w:sz w:val="20"/>
          <w:szCs w:val="20"/>
          <w:color w:val="auto"/>
        </w:rPr>
      </w:pPr>
    </w:p>
    <w:p>
      <w:pPr>
        <w:spacing w:after="0" w:line="33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3"/>
                <w:szCs w:val="13"/>
                <w:b w:val="1"/>
                <w:bCs w:val="1"/>
                <w:color w:val="auto"/>
              </w:rPr>
              <w:t>Incorporated by Reference</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2"/>
        </w:trPr>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8"/>
              </w:rPr>
              <w:t>Filed Herewith</w:t>
            </w:r>
          </w:p>
        </w:tc>
      </w:tr>
      <w:tr>
        <w:trPr>
          <w:trHeight w:val="243"/>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10.13</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01/23/2024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8"/>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10.15</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12/20/2019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0"/>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10-Q</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06/20/2024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77"/>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07/09/2020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52"/>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07/09/2020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3"/>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12/17/2021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3"/>
        </w:trPr>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8-K</w:t>
            </w:r>
          </w:p>
        </w:tc>
        <w:tc>
          <w:tcPr>
            <w:tcW w:w="72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12/17/2021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3"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84"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148"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211"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275"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275"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275"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pacing w:after="0" w:line="148"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X</w:t>
      </w:r>
    </w:p>
    <w:p>
      <w:pPr>
        <w:sectPr>
          <w:pgSz w:w="11900" w:h="16838" w:orient="portrait"/>
          <w:cols w:equalWidth="0" w:num="2">
            <w:col w:w="6900" w:space="100"/>
            <w:col w:w="3680"/>
          </w:cols>
          <w:pgMar w:left="300" w:top="129" w:right="919" w:bottom="1440" w:gutter="0" w:footer="0" w:header="0"/>
        </w:sectPr>
      </w:pPr>
    </w:p>
    <w:bookmarkStart w:id="71" w:name="page72"/>
    <w:bookmarkEnd w:id="7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319" w:lineRule="exact"/>
        <w:rPr>
          <w:sz w:val="20"/>
          <w:szCs w:val="20"/>
          <w:color w:val="auto"/>
        </w:rPr>
      </w:pPr>
    </w:p>
    <w:p>
      <w:pPr>
        <w:ind w:left="752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12700</wp:posOffset>
            </wp:positionV>
            <wp:extent cx="168402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8">
                      <a:extLst>
                        <a:ext uri="{28A0092B-C50C-407E-A947-70E740481C1C}"/>
                      </a:extLst>
                    </a:blip>
                    <a:srcRect/>
                    <a:stretch>
                      <a:fillRect/>
                    </a:stretch>
                  </pic:blipFill>
                  <pic:spPr bwMode="auto">
                    <a:xfrm>
                      <a:off x="0" y="0"/>
                      <a:ext cx="1684020" cy="6985"/>
                    </a:xfrm>
                    <a:prstGeom prst="rect">
                      <a:avLst/>
                    </a:prstGeom>
                    <a:noFill/>
                  </pic:spPr>
                </pic:pic>
              </a:graphicData>
            </a:graphic>
          </wp:anchor>
        </w:drawing>
      </w:r>
    </w:p>
    <w:p>
      <w:pPr>
        <w:spacing w:after="0" w:line="32" w:lineRule="exact"/>
        <w:rPr>
          <w:sz w:val="20"/>
          <w:szCs w:val="20"/>
          <w:color w:val="auto"/>
        </w:rPr>
      </w:pPr>
    </w:p>
    <w:p>
      <w:pPr>
        <w:ind w:left="280"/>
        <w:spacing w:after="0"/>
        <w:tabs>
          <w:tab w:leader="none" w:pos="1200" w:val="left"/>
          <w:tab w:leader="none" w:pos="7160" w:val="left"/>
          <w:tab w:leader="none" w:pos="7920" w:val="left"/>
          <w:tab w:leader="none" w:pos="8780" w:val="left"/>
          <w:tab w:leader="none" w:pos="976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3"/>
          <w:szCs w:val="13"/>
          <w:b w:val="1"/>
          <w:bCs w:val="1"/>
          <w:color w:val="auto"/>
        </w:rPr>
        <w:t>Exhibit Description</w:t>
      </w:r>
      <w:r>
        <w:rPr>
          <w:sz w:val="20"/>
          <w:szCs w:val="20"/>
          <w:color w:val="auto"/>
        </w:rPr>
        <w:tab/>
      </w:r>
      <w:r>
        <w:rPr>
          <w:rFonts w:ascii="Arial" w:cs="Arial" w:eastAsia="Arial" w:hAnsi="Arial"/>
          <w:sz w:val="13"/>
          <w:szCs w:val="13"/>
          <w:b w:val="1"/>
          <w:bCs w:val="1"/>
          <w:color w:val="auto"/>
        </w:rPr>
        <w:t>Form</w:t>
      </w:r>
      <w:r>
        <w:rPr>
          <w:sz w:val="20"/>
          <w:szCs w:val="20"/>
          <w:color w:val="auto"/>
        </w:rPr>
        <w:tab/>
      </w:r>
      <w:r>
        <w:rPr>
          <w:rFonts w:ascii="Arial" w:cs="Arial" w:eastAsia="Arial" w:hAnsi="Arial"/>
          <w:sz w:val="13"/>
          <w:szCs w:val="13"/>
          <w:b w:val="1"/>
          <w:bCs w:val="1"/>
          <w:color w:val="auto"/>
        </w:rPr>
        <w:t>Exhibit</w:t>
      </w:r>
      <w:r>
        <w:rPr>
          <w:sz w:val="20"/>
          <w:szCs w:val="20"/>
          <w:color w:val="auto"/>
        </w:rPr>
        <w:tab/>
      </w:r>
      <w:r>
        <w:rPr>
          <w:rFonts w:ascii="Arial" w:cs="Arial" w:eastAsia="Arial" w:hAnsi="Arial"/>
          <w:sz w:val="13"/>
          <w:szCs w:val="13"/>
          <w:b w:val="1"/>
          <w:bCs w:val="1"/>
          <w:color w:val="auto"/>
        </w:rPr>
        <w:t>Filing Date</w:t>
      </w:r>
      <w:r>
        <w:rPr>
          <w:sz w:val="20"/>
          <w:szCs w:val="20"/>
          <w:color w:val="auto"/>
        </w:rPr>
        <w:tab/>
      </w:r>
      <w:r>
        <w:rPr>
          <w:rFonts w:ascii="Arial" w:cs="Arial" w:eastAsia="Arial" w:hAnsi="Arial"/>
          <w:sz w:val="12"/>
          <w:szCs w:val="12"/>
          <w:b w:val="1"/>
          <w:bCs w:val="1"/>
          <w:u w:val="single" w:color="auto"/>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12700</wp:posOffset>
            </wp:positionV>
            <wp:extent cx="596900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9">
                      <a:extLst>
                        <a:ext uri="{28A0092B-C50C-407E-A947-70E740481C1C}"/>
                      </a:extLst>
                    </a:blip>
                    <a:srcRect/>
                    <a:stretch>
                      <a:fillRect/>
                    </a:stretch>
                  </pic:blipFill>
                  <pic:spPr bwMode="auto">
                    <a:xfrm>
                      <a:off x="0" y="0"/>
                      <a:ext cx="5969000" cy="6985"/>
                    </a:xfrm>
                    <a:prstGeom prst="rect">
                      <a:avLst/>
                    </a:prstGeom>
                    <a:noFill/>
                  </pic:spPr>
                </pic:pic>
              </a:graphicData>
            </a:graphic>
          </wp:anchor>
        </w:drawing>
      </w:r>
    </w:p>
    <w:p>
      <w:pPr>
        <w:spacing w:after="0" w:line="11" w:lineRule="exact"/>
        <w:rPr>
          <w:sz w:val="20"/>
          <w:szCs w:val="20"/>
          <w:color w:val="auto"/>
        </w:rPr>
      </w:pPr>
    </w:p>
    <w:p>
      <w:pPr>
        <w:ind w:left="1220" w:right="4100" w:hanging="487"/>
        <w:spacing w:after="0" w:line="258" w:lineRule="auto"/>
        <w:rPr>
          <w:sz w:val="20"/>
          <w:szCs w:val="20"/>
          <w:color w:val="auto"/>
        </w:rPr>
      </w:pPr>
      <w:r>
        <w:rPr>
          <w:rFonts w:ascii="Arial" w:cs="Arial" w:eastAsia="Arial" w:hAnsi="Arial"/>
          <w:sz w:val="12"/>
          <w:szCs w:val="12"/>
          <w:color w:val="auto"/>
        </w:rPr>
        <w:t>101.INS XBRL Instance Document - the instance document does not appear in the Interactive Data File because its XBRL tags are embedded within the Inline XBRL document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0</wp:posOffset>
            </wp:positionV>
            <wp:extent cx="6616065" cy="1079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0">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101.SCH Inline XBRL Taxonomy Extension Schema Document</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101.CAL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12700</wp:posOffset>
            </wp:positionV>
            <wp:extent cx="6616065" cy="1079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1">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3"/>
          <w:szCs w:val="13"/>
          <w:color w:val="auto"/>
        </w:rPr>
        <w:t>101.DEF Inline XBRL Taxonomy Extension Definitions Linkbase Document</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3"/>
          <w:szCs w:val="13"/>
          <w:color w:val="auto"/>
        </w:rPr>
        <w:t>101.LAB 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12700</wp:posOffset>
            </wp:positionV>
            <wp:extent cx="6616065" cy="1079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2">
                      <a:extLst>
                        <a:ext uri="{28A0092B-C50C-407E-A947-70E740481C1C}"/>
                      </a:extLst>
                    </a:blip>
                    <a:srcRect/>
                    <a:stretch>
                      <a:fillRect/>
                    </a:stretch>
                  </pic:blipFill>
                  <pic:spPr bwMode="auto">
                    <a:xfrm>
                      <a:off x="0" y="0"/>
                      <a:ext cx="6616065" cy="10795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3"/>
          <w:szCs w:val="13"/>
          <w:color w:val="auto"/>
        </w:rPr>
        <w:t>101.PRE Inline XBRL Taxonomy Extension Presentation Linkbase Document</w:t>
      </w:r>
    </w:p>
    <w:p>
      <w:pPr>
        <w:spacing w:after="0" w:line="20" w:lineRule="exact"/>
        <w:rPr>
          <w:sz w:val="20"/>
          <w:szCs w:val="20"/>
          <w:color w:val="auto"/>
        </w:rPr>
      </w:pPr>
    </w:p>
    <w:p>
      <w:pPr>
        <w:ind w:left="1220" w:right="3840" w:hanging="239"/>
        <w:spacing w:after="0" w:line="236" w:lineRule="auto"/>
        <w:rPr>
          <w:sz w:val="20"/>
          <w:szCs w:val="20"/>
          <w:color w:val="auto"/>
        </w:rPr>
      </w:pPr>
      <w:r>
        <w:rPr>
          <w:rFonts w:ascii="Arial" w:cs="Arial" w:eastAsia="Arial" w:hAnsi="Arial"/>
          <w:sz w:val="13"/>
          <w:szCs w:val="13"/>
          <w:color w:val="auto"/>
        </w:rPr>
        <w:t>104 The cover page from the Winnebago Industries, Inc. Annual Report on Form 10-K for the fiscal year ended August 31, 2024, formatted in Inline XBRL (included as Exhibit 101).</w:t>
      </w:r>
    </w:p>
    <w:p>
      <w:pPr>
        <w:spacing w:after="0" w:line="67" w:lineRule="exact"/>
        <w:rPr>
          <w:sz w:val="20"/>
          <w:szCs w:val="20"/>
          <w:color w:val="auto"/>
        </w:rPr>
      </w:pPr>
    </w:p>
    <w:p>
      <w:pPr>
        <w:ind w:left="200" w:hanging="195"/>
        <w:spacing w:after="0"/>
        <w:tabs>
          <w:tab w:leader="none" w:pos="2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60"/>
          </w:cols>
          <w:pgMar w:left="300" w:top="129" w:right="939" w:bottom="1440" w:gutter="0" w:footer="0" w:header="0"/>
        </w:sectPr>
      </w:pPr>
    </w:p>
    <w:bookmarkStart w:id="72" w:name="page73"/>
    <w:bookmarkEnd w:id="7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16. Form 10-K Summary.</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55" w:lineRule="exact"/>
        <w:rPr>
          <w:sz w:val="20"/>
          <w:szCs w:val="20"/>
          <w:color w:val="auto"/>
        </w:rPr>
      </w:pPr>
    </w:p>
    <w:p>
      <w:pPr>
        <w:jc w:val="right"/>
        <w:ind w:right="443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73" w:name="page74"/>
    <w:bookmarkEnd w:id="7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SIGNATURES</w:t>
      </w:r>
    </w:p>
    <w:p>
      <w:pPr>
        <w:spacing w:after="0" w:line="190" w:lineRule="exact"/>
        <w:rPr>
          <w:sz w:val="20"/>
          <w:szCs w:val="20"/>
          <w:color w:val="auto"/>
        </w:rPr>
      </w:pPr>
    </w:p>
    <w:p>
      <w:pPr>
        <w:ind w:right="200"/>
        <w:spacing w:after="0" w:line="272"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WINNEBAGO INDUSTRIES, INC.</w:t>
      </w:r>
    </w:p>
    <w:p>
      <w:pPr>
        <w:spacing w:after="0" w:line="190" w:lineRule="exact"/>
        <w:rPr>
          <w:sz w:val="20"/>
          <w:szCs w:val="20"/>
          <w:color w:val="auto"/>
        </w:rPr>
      </w:pPr>
    </w:p>
    <w:p>
      <w:pPr>
        <w:ind w:left="5000"/>
        <w:spacing w:after="0"/>
        <w:tabs>
          <w:tab w:leader="none" w:pos="55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12700</wp:posOffset>
            </wp:positionV>
            <wp:extent cx="363791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5">
                      <a:extLst>
                        <a:ext uri="{28A0092B-C50C-407E-A947-70E740481C1C}"/>
                      </a:extLst>
                    </a:blip>
                    <a:srcRect/>
                    <a:stretch>
                      <a:fillRect/>
                    </a:stretch>
                  </pic:blipFill>
                  <pic:spPr bwMode="auto">
                    <a:xfrm>
                      <a:off x="0" y="0"/>
                      <a:ext cx="3637915" cy="6985"/>
                    </a:xfrm>
                    <a:prstGeom prst="rect">
                      <a:avLst/>
                    </a:prstGeom>
                    <a:noFill/>
                  </pic:spPr>
                </pic:pic>
              </a:graphicData>
            </a:graphic>
          </wp:anchor>
        </w:drawing>
      </w:r>
    </w:p>
    <w:p>
      <w:pPr>
        <w:spacing w:after="0" w:line="1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Michael J. Happe</w:t>
      </w:r>
    </w:p>
    <w:p>
      <w:pPr>
        <w:spacing w:after="0" w:line="19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President, Chief Executive Officer</w:t>
      </w:r>
    </w:p>
    <w:p>
      <w:pPr>
        <w:spacing w:after="0" w:line="2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(Principal Executive Officer)</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Date: October 23, 2024</w:t>
      </w:r>
    </w:p>
    <w:p>
      <w:pPr>
        <w:spacing w:after="0" w:line="381"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on October 23, 2024, by the following persons on behalf of the Registrant and in the capacities indicated.</w:t>
      </w:r>
    </w:p>
    <w:p>
      <w:pPr>
        <w:spacing w:after="0" w:line="1" w:lineRule="exact"/>
        <w:rPr>
          <w:sz w:val="20"/>
          <w:szCs w:val="20"/>
          <w:color w:val="auto"/>
        </w:rPr>
      </w:pPr>
    </w:p>
    <w:p>
      <w:pPr>
        <w:ind w:left="2040"/>
        <w:spacing w:after="0"/>
        <w:tabs>
          <w:tab w:leader="none" w:pos="55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Capacity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c>
          <w:tcPr>
            <w:tcW w:w="3600" w:type="dxa"/>
            <w:vAlign w:val="bottom"/>
          </w:tcPr>
          <w:p>
            <w:pPr>
              <w:spacing w:after="0"/>
              <w:rPr>
                <w:sz w:val="14"/>
                <w:szCs w:val="14"/>
                <w:color w:val="auto"/>
              </w:rPr>
            </w:pPr>
          </w:p>
        </w:tc>
      </w:tr>
      <w:tr>
        <w:trPr>
          <w:trHeight w:val="120"/>
        </w:trPr>
        <w:tc>
          <w:tcPr>
            <w:tcW w:w="4680" w:type="dxa"/>
            <w:vAlign w:val="bottom"/>
          </w:tcPr>
          <w:p>
            <w:pPr>
              <w:ind w:left="20"/>
              <w:spacing w:after="0" w:line="121" w:lineRule="exact"/>
              <w:rPr>
                <w:sz w:val="20"/>
                <w:szCs w:val="20"/>
                <w:color w:val="auto"/>
              </w:rPr>
            </w:pPr>
            <w:r>
              <w:rPr>
                <w:rFonts w:ascii="Arial" w:cs="Arial" w:eastAsia="Arial" w:hAnsi="Arial"/>
                <w:sz w:val="13"/>
                <w:szCs w:val="13"/>
                <w:color w:val="auto"/>
              </w:rPr>
              <w:t>Michael J. Happe</w:t>
            </w:r>
          </w:p>
        </w:tc>
        <w:tc>
          <w:tcPr>
            <w:tcW w:w="3600" w:type="dxa"/>
            <w:vAlign w:val="bottom"/>
          </w:tcPr>
          <w:p>
            <w:pPr>
              <w:ind w:left="840"/>
              <w:spacing w:after="0" w:line="121" w:lineRule="exact"/>
              <w:rPr>
                <w:sz w:val="20"/>
                <w:szCs w:val="20"/>
                <w:color w:val="auto"/>
              </w:rPr>
            </w:pPr>
            <w:r>
              <w:rPr>
                <w:rFonts w:ascii="Arial" w:cs="Arial" w:eastAsia="Arial" w:hAnsi="Arial"/>
                <w:sz w:val="13"/>
                <w:szCs w:val="13"/>
                <w:color w:val="auto"/>
              </w:rPr>
              <w:t>Chief Executive Officer, President</w:t>
            </w:r>
          </w:p>
        </w:tc>
      </w:tr>
      <w:tr>
        <w:trPr>
          <w:trHeight w:val="167"/>
        </w:trPr>
        <w:tc>
          <w:tcPr>
            <w:tcW w:w="4680" w:type="dxa"/>
            <w:vAlign w:val="bottom"/>
          </w:tcPr>
          <w:p>
            <w:pPr>
              <w:spacing w:after="0"/>
              <w:rPr>
                <w:sz w:val="14"/>
                <w:szCs w:val="14"/>
                <w:color w:val="auto"/>
              </w:rPr>
            </w:pPr>
          </w:p>
        </w:tc>
        <w:tc>
          <w:tcPr>
            <w:tcW w:w="3600" w:type="dxa"/>
            <w:vAlign w:val="bottom"/>
          </w:tcPr>
          <w:p>
            <w:pPr>
              <w:ind w:left="840"/>
              <w:spacing w:after="0"/>
              <w:rPr>
                <w:sz w:val="20"/>
                <w:szCs w:val="20"/>
                <w:color w:val="auto"/>
              </w:rPr>
            </w:pPr>
            <w:r>
              <w:rPr>
                <w:rFonts w:ascii="Arial" w:cs="Arial" w:eastAsia="Arial" w:hAnsi="Arial"/>
                <w:sz w:val="13"/>
                <w:szCs w:val="13"/>
                <w:color w:val="auto"/>
              </w:rPr>
              <w:t>(Principal Executive Officer)</w:t>
            </w:r>
          </w:p>
        </w:tc>
      </w:tr>
      <w:tr>
        <w:trPr>
          <w:trHeight w:val="32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c>
          <w:tcPr>
            <w:tcW w:w="3600" w:type="dxa"/>
            <w:vAlign w:val="bottom"/>
          </w:tcPr>
          <w:p>
            <w:pPr>
              <w:spacing w:after="0"/>
              <w:rPr>
                <w:sz w:val="24"/>
                <w:szCs w:val="24"/>
                <w:color w:val="auto"/>
              </w:rPr>
            </w:pPr>
          </w:p>
        </w:tc>
      </w:tr>
      <w:tr>
        <w:trPr>
          <w:trHeight w:val="120"/>
        </w:trPr>
        <w:tc>
          <w:tcPr>
            <w:tcW w:w="4680" w:type="dxa"/>
            <w:vAlign w:val="bottom"/>
          </w:tcPr>
          <w:p>
            <w:pPr>
              <w:ind w:left="20"/>
              <w:spacing w:after="0" w:line="121" w:lineRule="exact"/>
              <w:rPr>
                <w:sz w:val="20"/>
                <w:szCs w:val="20"/>
                <w:color w:val="auto"/>
              </w:rPr>
            </w:pPr>
            <w:r>
              <w:rPr>
                <w:rFonts w:ascii="Arial" w:cs="Arial" w:eastAsia="Arial" w:hAnsi="Arial"/>
                <w:sz w:val="13"/>
                <w:szCs w:val="13"/>
                <w:color w:val="auto"/>
              </w:rPr>
              <w:t>Bryan L. Hughes</w:t>
            </w:r>
          </w:p>
        </w:tc>
        <w:tc>
          <w:tcPr>
            <w:tcW w:w="3600" w:type="dxa"/>
            <w:vAlign w:val="bottom"/>
          </w:tcPr>
          <w:p>
            <w:pPr>
              <w:ind w:left="840"/>
              <w:spacing w:after="0" w:line="121" w:lineRule="exact"/>
              <w:rPr>
                <w:sz w:val="20"/>
                <w:szCs w:val="20"/>
                <w:color w:val="auto"/>
              </w:rPr>
            </w:pPr>
            <w:r>
              <w:rPr>
                <w:rFonts w:ascii="Arial" w:cs="Arial" w:eastAsia="Arial" w:hAnsi="Arial"/>
                <w:sz w:val="13"/>
                <w:szCs w:val="13"/>
                <w:color w:val="auto"/>
                <w:w w:val="97"/>
              </w:rPr>
              <w:t>Chief Financial Officer and Senior Vice President</w:t>
            </w:r>
          </w:p>
        </w:tc>
      </w:tr>
      <w:tr>
        <w:trPr>
          <w:trHeight w:val="167"/>
        </w:trPr>
        <w:tc>
          <w:tcPr>
            <w:tcW w:w="4680" w:type="dxa"/>
            <w:vAlign w:val="bottom"/>
          </w:tcPr>
          <w:p>
            <w:pPr>
              <w:spacing w:after="0"/>
              <w:rPr>
                <w:sz w:val="14"/>
                <w:szCs w:val="14"/>
                <w:color w:val="auto"/>
              </w:rPr>
            </w:pPr>
          </w:p>
        </w:tc>
        <w:tc>
          <w:tcPr>
            <w:tcW w:w="3600" w:type="dxa"/>
            <w:vAlign w:val="bottom"/>
          </w:tcPr>
          <w:p>
            <w:pPr>
              <w:ind w:left="840"/>
              <w:spacing w:after="0"/>
              <w:rPr>
                <w:sz w:val="20"/>
                <w:szCs w:val="20"/>
                <w:color w:val="auto"/>
              </w:rPr>
            </w:pPr>
            <w:r>
              <w:rPr>
                <w:rFonts w:ascii="Arial" w:cs="Arial" w:eastAsia="Arial" w:hAnsi="Arial"/>
                <w:sz w:val="13"/>
                <w:szCs w:val="13"/>
                <w:color w:val="auto"/>
              </w:rPr>
              <w:t>(Principal Financial and Accounting Officer)</w:t>
            </w:r>
          </w:p>
        </w:tc>
      </w:tr>
      <w:tr>
        <w:trPr>
          <w:trHeight w:val="329"/>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Sara E. Armbruster</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Sara E. Armbruster</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Christopher J. Braun</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Christopher J. Braun</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Kevin E. Bryant</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Kevin E. Bryant</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William C. Fisher</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William C. Fisher</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Staci L. Kroon</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Staci L. Kroon</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David W. Miles</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David W. Miles</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Richard D. Moss</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Richard D. Moss</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John M. Murabito</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John M. Murabito</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r>
        <w:trPr>
          <w:trHeight w:val="34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Jacqueline D. Woods</w:t>
            </w:r>
          </w:p>
        </w:tc>
        <w:tc>
          <w:tcPr>
            <w:tcW w:w="3600" w:type="dxa"/>
            <w:vAlign w:val="bottom"/>
          </w:tcPr>
          <w:p>
            <w:pPr>
              <w:spacing w:after="0"/>
              <w:rPr>
                <w:sz w:val="24"/>
                <w:szCs w:val="24"/>
                <w:color w:val="auto"/>
              </w:rPr>
            </w:pPr>
          </w:p>
        </w:tc>
      </w:tr>
      <w:tr>
        <w:trPr>
          <w:trHeight w:val="160"/>
        </w:trPr>
        <w:tc>
          <w:tcPr>
            <w:tcW w:w="4680" w:type="dxa"/>
            <w:vAlign w:val="bottom"/>
          </w:tcPr>
          <w:p>
            <w:pPr>
              <w:ind w:left="20"/>
              <w:spacing w:after="0"/>
              <w:rPr>
                <w:sz w:val="20"/>
                <w:szCs w:val="20"/>
                <w:color w:val="auto"/>
              </w:rPr>
            </w:pPr>
            <w:r>
              <w:rPr>
                <w:rFonts w:ascii="Arial" w:cs="Arial" w:eastAsia="Arial" w:hAnsi="Arial"/>
                <w:sz w:val="13"/>
                <w:szCs w:val="13"/>
                <w:color w:val="auto"/>
              </w:rPr>
              <w:t>Jacqueline D. Woods</w:t>
            </w:r>
          </w:p>
        </w:tc>
        <w:tc>
          <w:tcPr>
            <w:tcW w:w="3600" w:type="dxa"/>
            <w:vAlign w:val="bottom"/>
          </w:tcPr>
          <w:p>
            <w:pPr>
              <w:ind w:left="840"/>
              <w:spacing w:after="0"/>
              <w:rPr>
                <w:sz w:val="20"/>
                <w:szCs w:val="20"/>
                <w:color w:val="auto"/>
              </w:rPr>
            </w:pPr>
            <w:r>
              <w:rPr>
                <w:rFonts w:ascii="Arial" w:cs="Arial" w:eastAsia="Arial" w:hAnsi="Arial"/>
                <w:sz w:val="13"/>
                <w:szCs w:val="13"/>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200"/>
          </w:cols>
          <w:pgMar w:left="300" w:top="129" w:right="399" w:bottom="1440"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9618980</wp:posOffset>
            </wp:positionV>
            <wp:extent cx="7105650"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Arial" w:cs="Arial" w:eastAsia="Arial" w:hAnsi="Arial"/>
          <w:sz w:val="13"/>
          <w:szCs w:val="13"/>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2019 OMNIBUS INCENTIVE PLAN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Non-Qualified Stock Option Agreement</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6"/>
          <w:szCs w:val="16"/>
          <w:color w:val="auto"/>
        </w:rPr>
        <w:t>Winnebago Industries, Inc. (the “Company”), pursuant to its 2019 Omnibus Incentive Plan (the “Plan”), hereby grants a stock option award (the “Option”) to you, the Participant named below. The terms and conditions of this Option Award are set forth in this Agreement (the “Agreement”), consisting of this cover page, the Option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76200</wp:posOffset>
            </wp:positionV>
            <wp:extent cx="7127875" cy="2108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2">
                      <a:extLst>
                        <a:ext uri="{28A0092B-C50C-407E-A947-70E740481C1C}"/>
                      </a:extLst>
                    </a:blip>
                    <a:srcRect/>
                    <a:stretch>
                      <a:fillRect/>
                    </a:stretch>
                  </pic:blipFill>
                  <pic:spPr bwMode="auto">
                    <a:xfrm>
                      <a:off x="0" y="0"/>
                      <a:ext cx="7127875" cy="2108835"/>
                    </a:xfrm>
                    <a:prstGeom prst="rect">
                      <a:avLst/>
                    </a:prstGeom>
                    <a:noFill/>
                  </pic:spPr>
                </pic:pic>
              </a:graphicData>
            </a:graphic>
          </wp:anchor>
        </w:drawing>
      </w:r>
    </w:p>
    <w:p>
      <w:pPr>
        <w:spacing w:after="0" w:line="272" w:lineRule="exact"/>
        <w:rPr>
          <w:sz w:val="20"/>
          <w:szCs w:val="20"/>
          <w:color w:val="auto"/>
        </w:rPr>
      </w:pPr>
    </w:p>
    <w:p>
      <w:pPr>
        <w:ind w:left="160"/>
        <w:spacing w:after="0"/>
        <w:tabs>
          <w:tab w:leader="none" w:pos="1580" w:val="left"/>
        </w:tabs>
        <w:rPr>
          <w:sz w:val="20"/>
          <w:szCs w:val="20"/>
          <w:color w:val="auto"/>
        </w:rPr>
      </w:pPr>
      <w:r>
        <w:rPr>
          <w:rFonts w:ascii="Times New Roman" w:cs="Times New Roman" w:eastAsia="Times New Roman" w:hAnsi="Times New Roman"/>
          <w:sz w:val="16"/>
          <w:szCs w:val="16"/>
          <w:color w:val="auto"/>
        </w:rPr>
        <w:t>Name of Participant:</w:t>
      </w:r>
      <w:r>
        <w:rPr>
          <w:sz w:val="20"/>
          <w:szCs w:val="20"/>
          <w:color w:val="auto"/>
        </w:rPr>
        <w:tab/>
      </w:r>
      <w:r>
        <w:rPr>
          <w:rFonts w:ascii="Times New Roman" w:cs="Times New Roman" w:eastAsia="Times New Roman" w:hAnsi="Times New Roman"/>
          <w:sz w:val="14"/>
          <w:szCs w:val="14"/>
          <w:color w:val="auto"/>
        </w:rPr>
        <w:t>_______________________</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354"/>
        </w:trPr>
        <w:tc>
          <w:tcPr>
            <w:tcW w:w="20" w:type="dxa"/>
            <w:vAlign w:val="bottom"/>
          </w:tcPr>
          <w:p>
            <w:pPr>
              <w:spacing w:after="0"/>
              <w:rPr>
                <w:sz w:val="24"/>
                <w:szCs w:val="24"/>
                <w:color w:val="auto"/>
              </w:rPr>
            </w:pPr>
          </w:p>
        </w:tc>
        <w:tc>
          <w:tcPr>
            <w:tcW w:w="17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No. of Shares Covered:</w:t>
            </w:r>
          </w:p>
        </w:tc>
        <w:tc>
          <w:tcPr>
            <w:tcW w:w="760" w:type="dxa"/>
            <w:vAlign w:val="bottom"/>
            <w:tcBorders>
              <w:top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_______</w:t>
            </w:r>
          </w:p>
        </w:tc>
        <w:tc>
          <w:tcPr>
            <w:tcW w:w="360" w:type="dxa"/>
            <w:vAlign w:val="bottom"/>
            <w:tcBorders>
              <w:top w:val="single" w:sz="8" w:color="auto"/>
            </w:tcBorders>
          </w:tcPr>
          <w:p>
            <w:pPr>
              <w:spacing w:after="0"/>
              <w:rPr>
                <w:sz w:val="24"/>
                <w:szCs w:val="24"/>
                <w:color w:val="auto"/>
              </w:rPr>
            </w:pPr>
          </w:p>
        </w:tc>
        <w:tc>
          <w:tcPr>
            <w:tcW w:w="2700" w:type="dxa"/>
            <w:vAlign w:val="bottom"/>
            <w:tcBorders>
              <w:top w:val="single" w:sz="8" w:color="auto"/>
              <w:right w:val="single" w:sz="8" w:color="auto"/>
            </w:tcBorders>
          </w:tcPr>
          <w:p>
            <w:pPr>
              <w:spacing w:after="0"/>
              <w:rPr>
                <w:sz w:val="24"/>
                <w:szCs w:val="24"/>
                <w:color w:val="auto"/>
              </w:rPr>
            </w:pPr>
          </w:p>
        </w:tc>
        <w:tc>
          <w:tcPr>
            <w:tcW w:w="5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Grant Date:   October 15, 2024</w:t>
            </w:r>
          </w:p>
        </w:tc>
        <w:tc>
          <w:tcPr>
            <w:tcW w:w="20" w:type="dxa"/>
            <w:vAlign w:val="bottom"/>
          </w:tcPr>
          <w:p>
            <w:pPr>
              <w:spacing w:after="0"/>
              <w:rPr>
                <w:sz w:val="24"/>
                <w:szCs w:val="24"/>
                <w:color w:val="auto"/>
              </w:rPr>
            </w:pPr>
          </w:p>
        </w:tc>
      </w:tr>
      <w:tr>
        <w:trPr>
          <w:trHeight w:val="145"/>
        </w:trPr>
        <w:tc>
          <w:tcPr>
            <w:tcW w:w="20" w:type="dxa"/>
            <w:vAlign w:val="bottom"/>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334"/>
        </w:trPr>
        <w:tc>
          <w:tcPr>
            <w:tcW w:w="20" w:type="dxa"/>
            <w:vAlign w:val="bottom"/>
          </w:tcPr>
          <w:p>
            <w:pPr>
              <w:spacing w:after="0"/>
              <w:rPr>
                <w:sz w:val="24"/>
                <w:szCs w:val="24"/>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8"/>
              </w:rPr>
              <w:t>Exercise Price Per Share:</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 ______</w:t>
            </w:r>
          </w:p>
        </w:tc>
        <w:tc>
          <w:tcPr>
            <w:tcW w:w="360" w:type="dxa"/>
            <w:vAlign w:val="bottom"/>
          </w:tcPr>
          <w:p>
            <w:pPr>
              <w:spacing w:after="0"/>
              <w:rPr>
                <w:sz w:val="24"/>
                <w:szCs w:val="24"/>
                <w:color w:val="auto"/>
              </w:rPr>
            </w:pPr>
          </w:p>
        </w:tc>
        <w:tc>
          <w:tcPr>
            <w:tcW w:w="2700" w:type="dxa"/>
            <w:vAlign w:val="bottom"/>
            <w:tcBorders>
              <w:right w:val="single" w:sz="8" w:color="auto"/>
            </w:tcBorders>
          </w:tcPr>
          <w:p>
            <w:pPr>
              <w:spacing w:after="0"/>
              <w:rPr>
                <w:sz w:val="24"/>
                <w:szCs w:val="24"/>
                <w:color w:val="auto"/>
              </w:rPr>
            </w:pPr>
          </w:p>
        </w:tc>
        <w:tc>
          <w:tcPr>
            <w:tcW w:w="56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Expiration Date:   October 15, 2034</w:t>
            </w:r>
          </w:p>
        </w:tc>
      </w:tr>
      <w:tr>
        <w:trPr>
          <w:trHeight w:val="145"/>
        </w:trPr>
        <w:tc>
          <w:tcPr>
            <w:tcW w:w="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2"/>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552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Vesting and Exercise Schedule:</w:t>
            </w:r>
          </w:p>
        </w:tc>
        <w:tc>
          <w:tcPr>
            <w:tcW w:w="1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9"/>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160" w:type="dxa"/>
            <w:vAlign w:val="bottom"/>
            <w:gridSpan w:val="3"/>
          </w:tcPr>
          <w:p>
            <w:pPr>
              <w:jc w:val="center"/>
              <w:ind w:right="1660"/>
              <w:spacing w:after="0"/>
              <w:rPr>
                <w:sz w:val="20"/>
                <w:szCs w:val="20"/>
                <w:color w:val="auto"/>
              </w:rPr>
            </w:pPr>
            <w:r>
              <w:rPr>
                <w:rFonts w:ascii="Times New Roman" w:cs="Times New Roman" w:eastAsia="Times New Roman" w:hAnsi="Times New Roman"/>
                <w:sz w:val="16"/>
                <w:szCs w:val="16"/>
                <w:color w:val="auto"/>
                <w:w w:val="97"/>
              </w:rPr>
              <w:t>Portion of Shares as to Which</w:t>
            </w:r>
          </w:p>
        </w:tc>
      </w:tr>
      <w:tr>
        <w:trPr>
          <w:trHeight w:val="167"/>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Borders>
              <w:bottom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Dates</w:t>
            </w:r>
          </w:p>
        </w:tc>
        <w:tc>
          <w:tcPr>
            <w:tcW w:w="2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520" w:type="dxa"/>
            <w:vAlign w:val="bottom"/>
            <w:tcBorders>
              <w:bottom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Option Becomes Vested and Exercisable</w:t>
            </w:r>
          </w:p>
        </w:tc>
        <w:tc>
          <w:tcPr>
            <w:tcW w:w="1640" w:type="dxa"/>
            <w:vAlign w:val="bottom"/>
            <w:gridSpan w:val="2"/>
          </w:tcPr>
          <w:p>
            <w:pPr>
              <w:spacing w:after="0"/>
              <w:rPr>
                <w:sz w:val="14"/>
                <w:szCs w:val="14"/>
                <w:color w:val="auto"/>
              </w:rPr>
            </w:pPr>
          </w:p>
        </w:tc>
      </w:tr>
      <w:tr>
        <w:trPr>
          <w:trHeight w:val="249"/>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color w:val="auto"/>
                <w:w w:val="96"/>
              </w:rPr>
              <w:t>October 15, 2025</w:t>
            </w:r>
          </w:p>
        </w:tc>
        <w:tc>
          <w:tcPr>
            <w:tcW w:w="3960" w:type="dxa"/>
            <w:vAlign w:val="bottom"/>
            <w:gridSpan w:val="2"/>
          </w:tcPr>
          <w:p>
            <w:pPr>
              <w:jc w:val="center"/>
              <w:ind w:left="1362"/>
              <w:spacing w:after="0"/>
              <w:rPr>
                <w:sz w:val="20"/>
                <w:szCs w:val="20"/>
                <w:color w:val="auto"/>
              </w:rPr>
            </w:pPr>
            <w:r>
              <w:rPr>
                <w:rFonts w:ascii="Times New Roman" w:cs="Times New Roman" w:eastAsia="Times New Roman" w:hAnsi="Times New Roman"/>
                <w:sz w:val="16"/>
                <w:szCs w:val="16"/>
                <w:color w:val="auto"/>
                <w:w w:val="96"/>
              </w:rPr>
              <w:t>33 1/3%</w:t>
            </w: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color w:val="auto"/>
                <w:w w:val="96"/>
              </w:rPr>
              <w:t>October 15, 2026</w:t>
            </w:r>
          </w:p>
        </w:tc>
        <w:tc>
          <w:tcPr>
            <w:tcW w:w="3960" w:type="dxa"/>
            <w:vAlign w:val="bottom"/>
            <w:gridSpan w:val="2"/>
          </w:tcPr>
          <w:p>
            <w:pPr>
              <w:jc w:val="center"/>
              <w:ind w:left="1362"/>
              <w:spacing w:after="0"/>
              <w:rPr>
                <w:sz w:val="20"/>
                <w:szCs w:val="20"/>
                <w:color w:val="auto"/>
              </w:rPr>
            </w:pPr>
            <w:r>
              <w:rPr>
                <w:rFonts w:ascii="Times New Roman" w:cs="Times New Roman" w:eastAsia="Times New Roman" w:hAnsi="Times New Roman"/>
                <w:sz w:val="16"/>
                <w:szCs w:val="16"/>
                <w:color w:val="auto"/>
                <w:w w:val="96"/>
              </w:rPr>
              <w:t>33 1/3%</w:t>
            </w: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color w:val="auto"/>
                <w:w w:val="96"/>
              </w:rPr>
              <w:t>October 15, 2027</w:t>
            </w:r>
          </w:p>
        </w:tc>
        <w:tc>
          <w:tcPr>
            <w:tcW w:w="3960" w:type="dxa"/>
            <w:vAlign w:val="bottom"/>
            <w:gridSpan w:val="2"/>
          </w:tcPr>
          <w:p>
            <w:pPr>
              <w:jc w:val="center"/>
              <w:ind w:left="1362"/>
              <w:spacing w:after="0"/>
              <w:rPr>
                <w:sz w:val="20"/>
                <w:szCs w:val="20"/>
                <w:color w:val="auto"/>
              </w:rPr>
            </w:pPr>
            <w:r>
              <w:rPr>
                <w:rFonts w:ascii="Times New Roman" w:cs="Times New Roman" w:eastAsia="Times New Roman" w:hAnsi="Times New Roman"/>
                <w:sz w:val="16"/>
                <w:szCs w:val="16"/>
                <w:color w:val="auto"/>
                <w:w w:val="96"/>
              </w:rPr>
              <w:t>33 1/3%</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340" w:lineRule="exact"/>
        <w:rPr>
          <w:sz w:val="20"/>
          <w:szCs w:val="20"/>
          <w:color w:val="auto"/>
        </w:rPr>
      </w:pPr>
    </w:p>
    <w:p>
      <w:pPr>
        <w:jc w:val="both"/>
        <w:ind w:firstLine="509"/>
        <w:spacing w:after="0" w:line="288" w:lineRule="auto"/>
        <w:rPr>
          <w:sz w:val="20"/>
          <w:szCs w:val="20"/>
          <w:color w:val="auto"/>
        </w:rPr>
      </w:pPr>
      <w:r>
        <w:rPr>
          <w:rFonts w:ascii="Times New Roman" w:cs="Times New Roman" w:eastAsia="Times New Roman" w:hAnsi="Times New Roman"/>
          <w:sz w:val="16"/>
          <w:szCs w:val="16"/>
          <w:color w:val="auto"/>
        </w:rPr>
        <w:t>By logging into and accepting this Agreement through your account with E*TRADE, you acknowledge and agree (A) to be bound by all of the terms and conditions of this Agreement and in the Plan document and (B) that you have received and reviewed these documents and that they set forth the entire agreement between you and the Company regarding your right to purchase shares of the Company’s common stock pursuant to this Option.</w:t>
      </w:r>
    </w:p>
    <w:p>
      <w:pPr>
        <w:sectPr>
          <w:pgSz w:w="11900" w:h="16838" w:orient="portrait"/>
          <w:cols w:equalWidth="0" w:num="1">
            <w:col w:w="11280"/>
          </w:cols>
          <w:pgMar w:left="300" w:top="161" w:right="319" w:bottom="1440" w:gutter="0" w:footer="0" w:header="0"/>
        </w:sectPr>
      </w:pPr>
    </w:p>
    <w:bookmarkStart w:id="82" w:name="page83"/>
    <w:bookmarkEnd w:id="82"/>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Non-Qualified Stock Option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w:t>
      </w:r>
    </w:p>
    <w:p>
      <w:pPr>
        <w:spacing w:after="0" w:line="315" w:lineRule="exact"/>
        <w:rPr>
          <w:sz w:val="20"/>
          <w:szCs w:val="20"/>
          <w:color w:val="auto"/>
        </w:rPr>
      </w:pPr>
    </w:p>
    <w:p>
      <w:pPr>
        <w:ind w:firstLine="5"/>
        <w:spacing w:after="0" w:line="275" w:lineRule="auto"/>
        <w:tabs>
          <w:tab w:leader="none" w:pos="28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DEFINITIONS</w:t>
      </w:r>
      <w:r>
        <w:rPr>
          <w:rFonts w:ascii="Times New Roman" w:cs="Times New Roman" w:eastAsia="Times New Roman" w:hAnsi="Times New Roman"/>
          <w:sz w:val="16"/>
          <w:szCs w:val="16"/>
          <w:color w:val="auto"/>
        </w:rPr>
        <w:t>. For purposes of this Agreement, the definitions of terms contained in the Plan hereby are incorporated by reference, except to the extent that any such term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specifically defined in this Agreement.</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Reason</w:t>
      </w:r>
      <w:r>
        <w:rPr>
          <w:rFonts w:ascii="Times New Roman" w:cs="Times New Roman" w:eastAsia="Times New Roman" w:hAnsi="Times New Roman"/>
          <w:sz w:val="16"/>
          <w:szCs w:val="16"/>
          <w:color w:val="auto"/>
        </w:rPr>
        <w:t>” shall have the meaning set forth in your change in control agreement, if applicable.</w:t>
      </w:r>
    </w:p>
    <w:p>
      <w:pPr>
        <w:spacing w:after="0" w:line="187" w:lineRule="exact"/>
        <w:rPr>
          <w:sz w:val="20"/>
          <w:szCs w:val="20"/>
          <w:color w:val="auto"/>
        </w:rPr>
      </w:pPr>
    </w:p>
    <w:p>
      <w:pPr>
        <w:ind w:left="280" w:hanging="275"/>
        <w:spacing w:after="0"/>
        <w:tabs>
          <w:tab w:leader="none" w:pos="2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AND EXERCISABILITY OF OPTION</w:t>
      </w:r>
      <w:r>
        <w:rPr>
          <w:rFonts w:ascii="Times New Roman" w:cs="Times New Roman" w:eastAsia="Times New Roman" w:hAnsi="Times New Roman"/>
          <w:sz w:val="16"/>
          <w:szCs w:val="16"/>
          <w:color w:val="auto"/>
        </w:rPr>
        <w:t>.</w:t>
      </w:r>
    </w:p>
    <w:p>
      <w:pPr>
        <w:spacing w:after="0" w:line="199" w:lineRule="exact"/>
        <w:rPr>
          <w:rFonts w:ascii="Times New Roman" w:cs="Times New Roman" w:eastAsia="Times New Roman" w:hAnsi="Times New Roman"/>
          <w:sz w:val="16"/>
          <w:szCs w:val="16"/>
          <w:color w:val="auto"/>
        </w:rPr>
      </w:pPr>
    </w:p>
    <w:p>
      <w:pPr>
        <w:jc w:val="both"/>
        <w:ind w:firstLine="514"/>
        <w:spacing w:after="0" w:line="258" w:lineRule="auto"/>
        <w:tabs>
          <w:tab w:leader="none" w:pos="869"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Scheduled Vesting</w:t>
      </w:r>
      <w:r>
        <w:rPr>
          <w:rFonts w:ascii="Times New Roman" w:cs="Times New Roman" w:eastAsia="Times New Roman" w:hAnsi="Times New Roman"/>
          <w:sz w:val="16"/>
          <w:szCs w:val="16"/>
          <w:color w:val="auto"/>
        </w:rPr>
        <w:t>. This Option will vest and become exercisable as to the number of Shares and on the dates specified in the Vesting and Exercise Schedule on the cover page to this Agreement, so long as your Service to the Company does not end. The Vesting and Exercise Schedule is cumulative, meaning that to the extent the Option has not already been exercised and has not expired or been terminated or cancelled, you or the person otherwise entitled to exercise the Option as provided in this Agreement may at any time purchase all or any portion of the Shares subject to the vested portion of the Option. This Option shall not be exercisable under any circumstances after the expiration of ten (10) years from the date this Option is granted.</w:t>
      </w:r>
    </w:p>
    <w:p>
      <w:pPr>
        <w:spacing w:after="0" w:line="156" w:lineRule="exact"/>
        <w:rPr>
          <w:rFonts w:ascii="Times New Roman" w:cs="Times New Roman" w:eastAsia="Times New Roman" w:hAnsi="Times New Roman"/>
          <w:sz w:val="16"/>
          <w:szCs w:val="16"/>
          <w:color w:val="auto"/>
        </w:rPr>
      </w:pPr>
    </w:p>
    <w:p>
      <w:pPr>
        <w:ind w:left="860" w:hanging="346"/>
        <w:spacing w:after="0"/>
        <w:tabs>
          <w:tab w:leader="none" w:pos="86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Accelerated Vesting</w:t>
      </w:r>
      <w:r>
        <w:rPr>
          <w:rFonts w:ascii="Times New Roman" w:cs="Times New Roman" w:eastAsia="Times New Roman" w:hAnsi="Times New Roman"/>
          <w:sz w:val="16"/>
          <w:szCs w:val="16"/>
          <w:color w:val="auto"/>
        </w:rPr>
        <w:t>.</w:t>
      </w:r>
    </w:p>
    <w:p>
      <w:pPr>
        <w:spacing w:after="0" w:line="176" w:lineRule="exact"/>
        <w:rPr>
          <w:rFonts w:ascii="Times New Roman" w:cs="Times New Roman" w:eastAsia="Times New Roman" w:hAnsi="Times New Roman"/>
          <w:sz w:val="16"/>
          <w:szCs w:val="16"/>
          <w:color w:val="auto"/>
        </w:rPr>
      </w:pPr>
    </w:p>
    <w:p>
      <w:pPr>
        <w:ind w:left="1540" w:hanging="517"/>
        <w:spacing w:after="0" w:line="268" w:lineRule="auto"/>
        <w:tabs>
          <w:tab w:leader="none" w:pos="1292"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Change in Control occurs prior to the final scheduled vesting date specified in the Vesting and Exercise Schedule on the cover page to this Agreement and your Service continues to the date of the Change in Control, the provisions of Section 12 of the Plan shall apply, including those providing for benefits upon termination of Service for Good Reason.</w:t>
      </w:r>
    </w:p>
    <w:p>
      <w:pPr>
        <w:spacing w:after="0" w:line="136" w:lineRule="exact"/>
        <w:rPr>
          <w:rFonts w:ascii="Times New Roman" w:cs="Times New Roman" w:eastAsia="Times New Roman" w:hAnsi="Times New Roman"/>
          <w:sz w:val="16"/>
          <w:szCs w:val="16"/>
          <w:color w:val="auto"/>
        </w:rPr>
      </w:pPr>
    </w:p>
    <w:p>
      <w:pPr>
        <w:ind w:left="1540" w:hanging="517"/>
        <w:spacing w:after="0" w:line="273" w:lineRule="auto"/>
        <w:tabs>
          <w:tab w:leader="none" w:pos="1338"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your Service terminates prior to the final scheduled vesting date specified in the Vesting and Exercise Schedule on the cover page to this Agreement due to your death or Disability, then any unvested portion of the Option subject to this Agreement shall vest as of such termination date.</w:t>
      </w:r>
    </w:p>
    <w:p>
      <w:pPr>
        <w:spacing w:after="0" w:line="143" w:lineRule="exact"/>
        <w:rPr>
          <w:rFonts w:ascii="Times New Roman" w:cs="Times New Roman" w:eastAsia="Times New Roman" w:hAnsi="Times New Roman"/>
          <w:sz w:val="16"/>
          <w:szCs w:val="16"/>
          <w:color w:val="auto"/>
        </w:rPr>
      </w:pPr>
    </w:p>
    <w:p>
      <w:pPr>
        <w:ind w:left="1540" w:hanging="517"/>
        <w:spacing w:after="0" w:line="258" w:lineRule="auto"/>
        <w:tabs>
          <w:tab w:leader="none" w:pos="1399"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due to Retirement, your Service terminates at least twelve (12) months after the Grant Date and prior to the final scheduled vesting date specified in the Vesting and Exercise Schedule on the cover page to this Agreement, then any unvested portion of the Option subject to this Agreement shall vest as of such termination date. For this purpose, (i)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 and (ii) any period of service to an</w:t>
      </w:r>
    </w:p>
    <w:p>
      <w:pPr>
        <w:sectPr>
          <w:pgSz w:w="11900" w:h="16838" w:orient="portrait"/>
          <w:cols w:equalWidth="0" w:num="1">
            <w:col w:w="11280"/>
          </w:cols>
          <w:pgMar w:left="300" w:top="1440" w:right="319" w:bottom="1440" w:gutter="0" w:footer="0" w:header="0"/>
        </w:sectPr>
      </w:pPr>
    </w:p>
    <w:bookmarkStart w:id="83" w:name="page84"/>
    <w:bookmarkEnd w:id="83"/>
    <w:p>
      <w:pPr>
        <w:ind w:left="1540"/>
        <w:spacing w:after="0"/>
        <w:rPr>
          <w:sz w:val="20"/>
          <w:szCs w:val="20"/>
          <w:color w:val="auto"/>
        </w:rPr>
      </w:pPr>
      <w:r>
        <w:rPr>
          <w:rFonts w:ascii="Times New Roman" w:cs="Times New Roman" w:eastAsia="Times New Roman" w:hAnsi="Times New Roman"/>
          <w:sz w:val="16"/>
          <w:szCs w:val="16"/>
          <w:color w:val="auto"/>
        </w:rPr>
        <w:t>entity prior to such entity becoming an Affiliate will not count towards your Service measurement.</w:t>
      </w:r>
    </w:p>
    <w:p>
      <w:pPr>
        <w:spacing w:after="0" w:line="1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Notwithstanding the vesting and exercise of any part of this Option, this Option and any Share issued pursuant to an exercise of this Option shall remain subject to the provisions of Section 16(i) of the Plan.</w:t>
      </w:r>
    </w:p>
    <w:p>
      <w:pPr>
        <w:spacing w:after="0" w:line="142" w:lineRule="exact"/>
        <w:rPr>
          <w:sz w:val="20"/>
          <w:szCs w:val="20"/>
          <w:color w:val="auto"/>
        </w:rPr>
      </w:pPr>
    </w:p>
    <w:p>
      <w:pPr>
        <w:ind w:left="280" w:hanging="275"/>
        <w:spacing w:after="0"/>
        <w:tabs>
          <w:tab w:leader="none" w:pos="2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EXPIRATION</w:t>
      </w:r>
      <w:r>
        <w:rPr>
          <w:rFonts w:ascii="Times New Roman" w:cs="Times New Roman" w:eastAsia="Times New Roman" w:hAnsi="Times New Roman"/>
          <w:sz w:val="14"/>
          <w:szCs w:val="14"/>
          <w:color w:val="auto"/>
        </w:rPr>
        <w:t>. This Option, including the vested and exercisable portions hereof, will expire and will no longer be exercisable at 5:00 p.m. Central Time on the earliest of:</w:t>
      </w:r>
    </w:p>
    <w:p>
      <w:pPr>
        <w:spacing w:after="0" w:line="106"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4"/>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ten (10) year anniversary of the date this option is granted;</w:t>
      </w:r>
    </w:p>
    <w:p>
      <w:pPr>
        <w:spacing w:after="0" w:line="9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4"/>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your termination of Service for Cause;</w:t>
      </w:r>
    </w:p>
    <w:p>
      <w:pPr>
        <w:spacing w:after="0" w:line="8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4"/>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one year anniversary of the date of your termination of Service due to death or Disability or a Retirement;</w:t>
      </w:r>
    </w:p>
    <w:p>
      <w:pPr>
        <w:spacing w:after="0" w:line="9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4"/>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three month anniversary of the date of your termination of Service due to any reason other than Cause, Retirement, death or Disability; or</w:t>
      </w:r>
    </w:p>
    <w:p>
      <w:pPr>
        <w:spacing w:after="0" w:line="91" w:lineRule="exact"/>
        <w:rPr>
          <w:rFonts w:ascii="Times New Roman" w:cs="Times New Roman" w:eastAsia="Times New Roman" w:hAnsi="Times New Roman"/>
          <w:sz w:val="16"/>
          <w:szCs w:val="16"/>
          <w:color w:val="auto"/>
        </w:rPr>
      </w:pPr>
    </w:p>
    <w:p>
      <w:pPr>
        <w:ind w:left="840" w:hanging="326"/>
        <w:spacing w:after="0"/>
        <w:tabs>
          <w:tab w:leader="none" w:pos="840" w:val="left"/>
        </w:tabs>
        <w:numPr>
          <w:ilvl w:val="4"/>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(if any) fixed for termination or cancellation of this Option pursuant to Section 12 of the Plan.</w:t>
      </w:r>
    </w:p>
    <w:p>
      <w:pPr>
        <w:spacing w:after="0" w:line="185" w:lineRule="exact"/>
        <w:rPr>
          <w:rFonts w:ascii="Times New Roman" w:cs="Times New Roman" w:eastAsia="Times New Roman" w:hAnsi="Times New Roman"/>
          <w:sz w:val="16"/>
          <w:szCs w:val="16"/>
          <w:color w:val="auto"/>
        </w:rPr>
      </w:pPr>
    </w:p>
    <w:p>
      <w:pPr>
        <w:ind w:left="280" w:hanging="275"/>
        <w:spacing w:after="0"/>
        <w:tabs>
          <w:tab w:leader="none" w:pos="2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METHOD OF EXERCISING THE OPTION</w:t>
      </w:r>
      <w:r>
        <w:rPr>
          <w:rFonts w:ascii="Times New Roman" w:cs="Times New Roman" w:eastAsia="Times New Roman" w:hAnsi="Times New Roman"/>
          <w:sz w:val="16"/>
          <w:szCs w:val="16"/>
          <w:color w:val="auto"/>
        </w:rPr>
        <w:t>.</w:t>
      </w:r>
    </w:p>
    <w:p>
      <w:pPr>
        <w:spacing w:after="0" w:line="197" w:lineRule="exact"/>
        <w:rPr>
          <w:rFonts w:ascii="Times New Roman" w:cs="Times New Roman" w:eastAsia="Times New Roman" w:hAnsi="Times New Roman"/>
          <w:sz w:val="16"/>
          <w:szCs w:val="16"/>
          <w:color w:val="auto"/>
        </w:rPr>
      </w:pPr>
    </w:p>
    <w:p>
      <w:pPr>
        <w:ind w:firstLine="187"/>
        <w:spacing w:after="0" w:line="275" w:lineRule="auto"/>
        <w:tabs>
          <w:tab w:leader="none" w:pos="537" w:val="left"/>
        </w:tabs>
        <w:numPr>
          <w:ilvl w:val="2"/>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Minimum Shares</w:t>
      </w:r>
      <w:r>
        <w:rPr>
          <w:rFonts w:ascii="Times New Roman" w:cs="Times New Roman" w:eastAsia="Times New Roman" w:hAnsi="Times New Roman"/>
          <w:sz w:val="16"/>
          <w:szCs w:val="16"/>
          <w:color w:val="auto"/>
        </w:rPr>
        <w:t>. This Option may be exercised in whole or in part, but not for less than 100 shares at any one time, unless fewer than 100 Shares are then purchasable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under the Option and the Option is then being exercised as to all such Shares.</w:t>
      </w:r>
    </w:p>
    <w:p>
      <w:pPr>
        <w:spacing w:after="0" w:line="168" w:lineRule="exact"/>
        <w:rPr>
          <w:rFonts w:ascii="Times New Roman" w:cs="Times New Roman" w:eastAsia="Times New Roman" w:hAnsi="Times New Roman"/>
          <w:sz w:val="16"/>
          <w:szCs w:val="16"/>
          <w:color w:val="auto"/>
        </w:rPr>
      </w:pPr>
    </w:p>
    <w:p>
      <w:pPr>
        <w:jc w:val="both"/>
        <w:ind w:firstLine="160"/>
        <w:spacing w:after="0" w:line="257" w:lineRule="auto"/>
        <w:tabs>
          <w:tab w:leader="none" w:pos="492"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Written Notice</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vested and exercisable portion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Option may be exercised by giving written notice to the Company, addressed to the attention of the Secretary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Such notice shall be in such form as may be approved by the Company and shall state, among other things, the number of shares of Common Stock to be purchased, and must be signed or otherwise authenticated by the person entitled to exercise the Option and, if being exercised by any person other you, be accompanied by proof, satisfactory to counsel for the Company, of the right of such person to exercise the Option. After the person exercising this Option has obtained approval from the Secretary of the Company to exercise some or all of the Option, he or she is required to deliver an electronic notice of exercise to the third-party stock plan administrator retained by the Company (which electronic notice will be in such form as may be approved by the Company, including (but not limited to) the following information: the number of shares of Common Stock to be purchased, the person(s) in whose name the stock certificate for the Shares is to be registered together with other identifying information relating to such holder, and the manner in which the exercise price will be paid). The electronic notice must be authenticated by the person exercising this Option.</w:t>
      </w:r>
    </w:p>
    <w:p>
      <w:pPr>
        <w:spacing w:after="0" w:line="168" w:lineRule="exact"/>
        <w:rPr>
          <w:rFonts w:ascii="Times New Roman" w:cs="Times New Roman" w:eastAsia="Times New Roman" w:hAnsi="Times New Roman"/>
          <w:sz w:val="16"/>
          <w:szCs w:val="16"/>
          <w:color w:val="auto"/>
        </w:rPr>
      </w:pPr>
    </w:p>
    <w:p>
      <w:pPr>
        <w:jc w:val="both"/>
        <w:ind w:firstLine="198"/>
        <w:spacing w:after="0" w:line="257" w:lineRule="auto"/>
        <w:tabs>
          <w:tab w:leader="none" w:pos="558" w:val="left"/>
        </w:tabs>
        <w:numPr>
          <w:ilvl w:val="3"/>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Payment of Exercise Price</w:t>
      </w:r>
      <w:r>
        <w:rPr>
          <w:rFonts w:ascii="Times New Roman" w:cs="Times New Roman" w:eastAsia="Times New Roman" w:hAnsi="Times New Roman"/>
          <w:sz w:val="16"/>
          <w:szCs w:val="16"/>
          <w:color w:val="auto"/>
        </w:rPr>
        <w:t>. The Exercise Price plus any applicable withholding or other compensation taxes, commissions and fees payable upon exercise of all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portion of the Shares subject to this Option shall be payable to the Company in full through one or a combination of the following methods or other methods that may be approved by the Committee in writing from time to time:</w:t>
      </w:r>
    </w:p>
    <w:p>
      <w:pPr>
        <w:spacing w:after="0" w:line="1" w:lineRule="exact"/>
        <w:rPr>
          <w:rFonts w:ascii="Times New Roman" w:cs="Times New Roman" w:eastAsia="Times New Roman" w:hAnsi="Times New Roman"/>
          <w:sz w:val="16"/>
          <w:szCs w:val="16"/>
          <w:color w:val="auto"/>
        </w:rPr>
      </w:pPr>
    </w:p>
    <w:p>
      <w:pPr>
        <w:ind w:left="1520" w:hanging="242"/>
        <w:spacing w:after="0"/>
        <w:tabs>
          <w:tab w:leader="none" w:pos="1520" w:val="left"/>
        </w:tabs>
        <w:numPr>
          <w:ilvl w:val="5"/>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Transfer” from your stock brokerage account at least 2 days prior to settlement, you shall submit payment of the aggregate amount of the Exercise</w:t>
      </w:r>
    </w:p>
    <w:p>
      <w:pPr>
        <w:sectPr>
          <w:pgSz w:w="11900" w:h="16838" w:orient="portrait"/>
          <w:cols w:equalWidth="0" w:num="1">
            <w:col w:w="11280"/>
          </w:cols>
          <w:pgMar w:left="300" w:top="1266" w:right="319" w:bottom="1440" w:gutter="0" w:footer="0" w:header="0"/>
        </w:sectPr>
      </w:pPr>
    </w:p>
    <w:bookmarkStart w:id="84" w:name="page85"/>
    <w:bookmarkEnd w:id="84"/>
    <w:p>
      <w:pPr>
        <w:ind w:left="1540"/>
        <w:spacing w:after="0"/>
        <w:rPr>
          <w:sz w:val="20"/>
          <w:szCs w:val="20"/>
          <w:color w:val="auto"/>
        </w:rPr>
      </w:pPr>
      <w:r>
        <w:rPr>
          <w:rFonts w:ascii="Times New Roman" w:cs="Times New Roman" w:eastAsia="Times New Roman" w:hAnsi="Times New Roman"/>
          <w:sz w:val="16"/>
          <w:szCs w:val="16"/>
          <w:color w:val="auto"/>
        </w:rPr>
        <w:t>Price as well as all applicable withholding or other compensation taxes, commissions and fees to your brokerage account to cover costs; and/or</w:t>
      </w:r>
    </w:p>
    <w:p>
      <w:pPr>
        <w:spacing w:after="0" w:line="81" w:lineRule="exact"/>
        <w:rPr>
          <w:sz w:val="20"/>
          <w:szCs w:val="20"/>
          <w:color w:val="auto"/>
        </w:rPr>
      </w:pPr>
    </w:p>
    <w:p>
      <w:pPr>
        <w:jc w:val="both"/>
        <w:ind w:left="1540" w:hanging="262"/>
        <w:spacing w:after="0" w:line="254" w:lineRule="auto"/>
        <w:tabs>
          <w:tab w:leader="none" w:pos="153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Withholding” whereby you authorize the Company to retain, from the total number of Shares as to which the Option is being exercised, that number of Shares having a Fair Market Value on the date of exercise equal to the aggregate exercise price and the amount of any compensation taxes, commissions and fees due relating to such exercise.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event you do not elect a payment method, the “Share Withholding” method shall apply automatically.</w:t>
      </w:r>
    </w:p>
    <w:p>
      <w:pPr>
        <w:spacing w:after="0" w:line="185" w:lineRule="exact"/>
        <w:rPr>
          <w:sz w:val="20"/>
          <w:szCs w:val="20"/>
          <w:color w:val="auto"/>
        </w:rPr>
      </w:pPr>
    </w:p>
    <w:p>
      <w:pPr>
        <w:jc w:val="both"/>
        <w:ind w:firstLine="166"/>
        <w:spacing w:after="0" w:line="262" w:lineRule="auto"/>
        <w:tabs>
          <w:tab w:leader="none" w:pos="503"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Withholding Taxes</w:t>
      </w:r>
      <w:r>
        <w:rPr>
          <w:rFonts w:ascii="Times New Roman" w:cs="Times New Roman" w:eastAsia="Times New Roman" w:hAnsi="Times New Roman"/>
          <w:sz w:val="16"/>
          <w:szCs w:val="16"/>
          <w:color w:val="auto"/>
        </w:rPr>
        <w:t>. You may not exercise this Option in whole or in part unless you make arrangements acceptable to the Company for payment of any federal, state, local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foreign withholding taxes that may be due as a result of the exercise of this Option. Withholding taxes shall be payable by you in accordance with the election(s) you make pursuant to Section 4(c) above. Delivery of Shares upon exercise of this Option is subject to the satisfaction of applicable withholding tax obligations.</w:t>
      </w:r>
    </w:p>
    <w:p>
      <w:pPr>
        <w:spacing w:after="0" w:line="171" w:lineRule="exact"/>
        <w:rPr>
          <w:rFonts w:ascii="Times New Roman" w:cs="Times New Roman" w:eastAsia="Times New Roman" w:hAnsi="Times New Roman"/>
          <w:sz w:val="16"/>
          <w:szCs w:val="16"/>
          <w:color w:val="auto"/>
        </w:rPr>
      </w:pPr>
    </w:p>
    <w:p>
      <w:pPr>
        <w:jc w:val="both"/>
        <w:ind w:firstLine="514"/>
        <w:spacing w:after="0" w:line="257" w:lineRule="auto"/>
        <w:tabs>
          <w:tab w:leader="none" w:pos="1011" w:val="left"/>
        </w:tabs>
        <w:numPr>
          <w:ilvl w:val="2"/>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Delivery of Shares</w:t>
      </w:r>
      <w:r>
        <w:rPr>
          <w:rFonts w:ascii="Times New Roman" w:cs="Times New Roman" w:eastAsia="Times New Roman" w:hAnsi="Times New Roman"/>
          <w:sz w:val="16"/>
          <w:szCs w:val="16"/>
          <w:color w:val="auto"/>
        </w:rPr>
        <w:t>. As promptly as practicable after receipt of such written notice, required representations, and payment, the Company shall cause to be issued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delivered to you or the person permitted to exercise this Option under the Plan cause to be issued and delivered to you (or to your personal representative or your designated beneficiary or estate in the event of your death, as applicable) delivery of the Shares so purchased, which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4(d) above and compliance with all applicable legal requirements as provided in Section 16 of the Plan.</w:t>
      </w:r>
    </w:p>
    <w:p>
      <w:pPr>
        <w:spacing w:after="0" w:line="175" w:lineRule="exact"/>
        <w:rPr>
          <w:rFonts w:ascii="Times New Roman" w:cs="Times New Roman" w:eastAsia="Times New Roman" w:hAnsi="Times New Roman"/>
          <w:sz w:val="16"/>
          <w:szCs w:val="16"/>
          <w:color w:val="auto"/>
        </w:rPr>
      </w:pPr>
    </w:p>
    <w:p>
      <w:pPr>
        <w:jc w:val="both"/>
        <w:ind w:firstLine="5"/>
        <w:spacing w:after="0" w:line="259" w:lineRule="auto"/>
        <w:tabs>
          <w:tab w:leader="none" w:pos="283"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TRANSFERABILITY OF OPTION</w:t>
      </w:r>
      <w:r>
        <w:rPr>
          <w:rFonts w:ascii="Times New Roman" w:cs="Times New Roman" w:eastAsia="Times New Roman" w:hAnsi="Times New Roman"/>
          <w:sz w:val="16"/>
          <w:szCs w:val="16"/>
          <w:color w:val="auto"/>
        </w:rPr>
        <w:t>. This Option may not be sold, transferred, pledged, assigned or otherwise alienated or hypothecated, other than by will or by the laws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descent and distribution. In the event of your death, the Company shall deliver this Option and/or amounts payable to your designated beneficiary, or if no beneficiary is named, to the executor or administrator of your estate. This Option shall not be subject to any levy, attachment execution or similar process. In the event of any transfer or levy of process upon the rights or interests hereby conferred, the Company may terminate this Option by written notice to you and it shall thereupon become null and void. This Agreement shall be binding upon your beneficiaries and legal representatives, as applicable.</w:t>
      </w:r>
    </w:p>
    <w:p>
      <w:pPr>
        <w:spacing w:after="0" w:line="167" w:lineRule="exact"/>
        <w:rPr>
          <w:rFonts w:ascii="Times New Roman" w:cs="Times New Roman" w:eastAsia="Times New Roman" w:hAnsi="Times New Roman"/>
          <w:sz w:val="16"/>
          <w:szCs w:val="16"/>
          <w:color w:val="auto"/>
        </w:rPr>
      </w:pPr>
    </w:p>
    <w:p>
      <w:pPr>
        <w:jc w:val="both"/>
        <w:ind w:firstLine="5"/>
        <w:spacing w:after="0" w:line="274" w:lineRule="auto"/>
        <w:tabs>
          <w:tab w:leader="none" w:pos="30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STOCKHOLDER RIGHTS BEFORE EXERCISE</w:t>
      </w:r>
      <w:r>
        <w:rPr>
          <w:rFonts w:ascii="Times New Roman" w:cs="Times New Roman" w:eastAsia="Times New Roman" w:hAnsi="Times New Roman"/>
          <w:sz w:val="16"/>
          <w:szCs w:val="16"/>
          <w:color w:val="auto"/>
        </w:rPr>
        <w:t>. Neither you nor any permitted transferee of this Option will have any of the rights of a stockholder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with respect to any Shares subject to this Option until a certificate evidencing such Shares has been issued, electronic delivery of such Shares has been made to you or your permitted transferee’s designated brokerage account, or an appropriate book entry in the Company's stock register has been made. No adjustments shall be made for dividends or other rights if the applicable record date occurs before the related stock certificate has been issued, electronic delivery of the Shares has been made to you or your permitted transferee’s designated brokerage account, or an appropriate book entry in the Company's stock register has been made, except as otherwise described in the Plan.</w:t>
      </w:r>
    </w:p>
    <w:p>
      <w:pPr>
        <w:sectPr>
          <w:pgSz w:w="11900" w:h="16838" w:orient="portrait"/>
          <w:cols w:equalWidth="0" w:num="1">
            <w:col w:w="11280"/>
          </w:cols>
          <w:pgMar w:left="300" w:top="1256" w:right="319" w:bottom="1440" w:gutter="0" w:footer="0" w:header="0"/>
        </w:sectPr>
      </w:pPr>
    </w:p>
    <w:bookmarkStart w:id="85" w:name="page86"/>
    <w:bookmarkEnd w:id="85"/>
    <w:p>
      <w:pPr>
        <w:jc w:val="both"/>
        <w:ind w:firstLine="5"/>
        <w:spacing w:after="0" w:line="257" w:lineRule="auto"/>
        <w:tabs>
          <w:tab w:leader="none" w:pos="315"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w:t>
      </w:r>
      <w:r>
        <w:rPr>
          <w:rFonts w:ascii="Times New Roman" w:cs="Times New Roman" w:eastAsia="Times New Roman" w:hAnsi="Times New Roman"/>
          <w:sz w:val="16"/>
          <w:szCs w:val="16"/>
          <w:color w:val="auto"/>
        </w:rPr>
        <w:t>. Every notice or other communication relating to this Agreement shall be in writing and shall be mailed to or delivered (including electronically) to the party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whom 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75" w:lineRule="exact"/>
        <w:rPr>
          <w:rFonts w:ascii="Times New Roman" w:cs="Times New Roman" w:eastAsia="Times New Roman" w:hAnsi="Times New Roman"/>
          <w:sz w:val="16"/>
          <w:szCs w:val="16"/>
          <w:color w:val="auto"/>
        </w:rPr>
      </w:pPr>
    </w:p>
    <w:p>
      <w:pPr>
        <w:ind w:left="280" w:hanging="275"/>
        <w:spacing w:after="0"/>
        <w:tabs>
          <w:tab w:leader="none" w:pos="2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ADDITIONAL PROVISIONS</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ind w:firstLine="514"/>
        <w:spacing w:after="0" w:line="273" w:lineRule="auto"/>
        <w:tabs>
          <w:tab w:leader="none" w:pos="89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 to Continued Service</w:t>
      </w:r>
      <w:r>
        <w:rPr>
          <w:rFonts w:ascii="Times New Roman" w:cs="Times New Roman" w:eastAsia="Times New Roman" w:hAnsi="Times New Roman"/>
          <w:sz w:val="16"/>
          <w:szCs w:val="16"/>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80" w:lineRule="exact"/>
        <w:rPr>
          <w:rFonts w:ascii="Times New Roman" w:cs="Times New Roman" w:eastAsia="Times New Roman" w:hAnsi="Times New Roman"/>
          <w:sz w:val="16"/>
          <w:szCs w:val="16"/>
          <w:color w:val="auto"/>
        </w:rPr>
      </w:pPr>
    </w:p>
    <w:p>
      <w:pPr>
        <w:jc w:val="both"/>
        <w:ind w:firstLine="514"/>
        <w:spacing w:after="0" w:line="268" w:lineRule="auto"/>
        <w:tabs>
          <w:tab w:leader="none" w:pos="888"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Plan Document</w:t>
      </w:r>
      <w:r>
        <w:rPr>
          <w:rFonts w:ascii="Times New Roman" w:cs="Times New Roman" w:eastAsia="Times New Roman" w:hAnsi="Times New Roman"/>
          <w:sz w:val="16"/>
          <w:szCs w:val="16"/>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83" w:lineRule="exact"/>
        <w:rPr>
          <w:rFonts w:ascii="Times New Roman" w:cs="Times New Roman" w:eastAsia="Times New Roman" w:hAnsi="Times New Roman"/>
          <w:sz w:val="16"/>
          <w:szCs w:val="16"/>
          <w:color w:val="auto"/>
        </w:rPr>
      </w:pPr>
    </w:p>
    <w:p>
      <w:pPr>
        <w:ind w:firstLine="514"/>
        <w:spacing w:after="0" w:line="273" w:lineRule="auto"/>
        <w:tabs>
          <w:tab w:leader="none" w:pos="848"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80" w:lineRule="exact"/>
        <w:rPr>
          <w:rFonts w:ascii="Times New Roman" w:cs="Times New Roman" w:eastAsia="Times New Roman" w:hAnsi="Times New Roman"/>
          <w:sz w:val="16"/>
          <w:szCs w:val="16"/>
          <w:color w:val="auto"/>
        </w:rPr>
      </w:pPr>
    </w:p>
    <w:p>
      <w:pPr>
        <w:jc w:val="both"/>
        <w:ind w:firstLine="514"/>
        <w:spacing w:after="0" w:line="268" w:lineRule="auto"/>
        <w:tabs>
          <w:tab w:leader="none" w:pos="846"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83" w:lineRule="exact"/>
        <w:rPr>
          <w:rFonts w:ascii="Times New Roman" w:cs="Times New Roman" w:eastAsia="Times New Roman" w:hAnsi="Times New Roman"/>
          <w:sz w:val="16"/>
          <w:szCs w:val="16"/>
          <w:color w:val="auto"/>
        </w:rPr>
      </w:pPr>
    </w:p>
    <w:p>
      <w:pPr>
        <w:ind w:left="920" w:hanging="406"/>
        <w:spacing w:after="0"/>
        <w:tabs>
          <w:tab w:leader="none" w:pos="92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will be binding in all respects on your heirs, representatives, successors and assigns, and on the successors and assigns of the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12" w:lineRule="exact"/>
        <w:rPr>
          <w:rFonts w:ascii="Times New Roman" w:cs="Times New Roman" w:eastAsia="Times New Roman" w:hAnsi="Times New Roman"/>
          <w:sz w:val="16"/>
          <w:szCs w:val="16"/>
          <w:color w:val="auto"/>
        </w:rPr>
      </w:pPr>
    </w:p>
    <w:p>
      <w:pPr>
        <w:jc w:val="both"/>
        <w:ind w:firstLine="514"/>
        <w:spacing w:after="0" w:line="268" w:lineRule="auto"/>
        <w:tabs>
          <w:tab w:leader="none" w:pos="916"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 and Acceptance</w:t>
      </w:r>
      <w:r>
        <w:rPr>
          <w:rFonts w:ascii="Times New Roman" w:cs="Times New Roman" w:eastAsia="Times New Roman" w:hAnsi="Times New Roman"/>
          <w:sz w:val="16"/>
          <w:szCs w:val="16"/>
          <w:color w:val="auto"/>
        </w:rPr>
        <w:t>. The Company may deliver any documents related to this Option by electronic means and request you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ectPr>
          <w:pgSz w:w="11900" w:h="16838" w:orient="portrait"/>
          <w:cols w:equalWidth="0" w:num="1">
            <w:col w:w="11280"/>
          </w:cols>
          <w:pgMar w:left="300" w:top="1265" w:right="319" w:bottom="1440" w:gutter="0" w:footer="0" w:header="0"/>
        </w:sectPr>
      </w:pPr>
    </w:p>
    <w:bookmarkStart w:id="86" w:name="page87"/>
    <w:bookmarkEnd w:id="86"/>
    <w:p>
      <w:pPr>
        <w:jc w:val="right"/>
        <w:spacing w:after="0"/>
        <w:rPr>
          <w:sz w:val="20"/>
          <w:szCs w:val="20"/>
          <w:color w:val="auto"/>
        </w:rPr>
      </w:pPr>
      <w:r>
        <w:rPr>
          <w:rFonts w:ascii="Arial" w:cs="Arial" w:eastAsia="Arial" w:hAnsi="Arial"/>
          <w:sz w:val="13"/>
          <w:szCs w:val="13"/>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Restricted Stock Unit Award Agreement (Executives)</w:t>
      </w:r>
    </w:p>
    <w:p>
      <w:pPr>
        <w:spacing w:after="0" w:line="200" w:lineRule="exact"/>
        <w:rPr>
          <w:sz w:val="20"/>
          <w:szCs w:val="20"/>
          <w:color w:val="auto"/>
        </w:rPr>
      </w:pPr>
    </w:p>
    <w:p>
      <w:pPr>
        <w:jc w:val="both"/>
        <w:ind w:firstLine="173"/>
        <w:spacing w:after="0" w:line="252" w:lineRule="auto"/>
        <w:rPr>
          <w:sz w:val="20"/>
          <w:szCs w:val="20"/>
          <w:color w:val="auto"/>
        </w:rPr>
      </w:pPr>
      <w:r>
        <w:rPr>
          <w:rFonts w:ascii="Times New Roman" w:cs="Times New Roman" w:eastAsia="Times New Roman" w:hAnsi="Times New Roman"/>
          <w:sz w:val="16"/>
          <w:szCs w:val="16"/>
          <w:color w:val="auto"/>
        </w:rPr>
        <w:t>Winnebago Industries, Inc. (the “Company”), pursuant to its 2019 Omnibus Incentive Plan (the “Plan”), hereby grants an award of Restricted Stock Units to you, the Participant named below. The terms and conditions of this Award are set forth in this Restricted Stock Unit Award Agreement (the “Agreement”), consisting of this cover page and the Terms and Conditions on the following pages,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81850" cy="1576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3">
                      <a:extLst>
                        <a:ext uri="{28A0092B-C50C-407E-A947-70E740481C1C}"/>
                      </a:extLst>
                    </a:blip>
                    <a:srcRect/>
                    <a:stretch>
                      <a:fillRect/>
                    </a:stretch>
                  </pic:blipFill>
                  <pic:spPr bwMode="auto">
                    <a:xfrm>
                      <a:off x="0" y="0"/>
                      <a:ext cx="7181850" cy="1576705"/>
                    </a:xfrm>
                    <a:prstGeom prst="rect">
                      <a:avLst/>
                    </a:prstGeom>
                    <a:noFill/>
                  </pic:spPr>
                </pic:pic>
              </a:graphicData>
            </a:graphic>
          </wp:anchor>
        </w:drawing>
      </w:r>
    </w:p>
    <w:p>
      <w:pPr>
        <w:spacing w:after="0" w:line="343" w:lineRule="exact"/>
        <w:rPr>
          <w:sz w:val="20"/>
          <w:szCs w:val="20"/>
          <w:color w:val="auto"/>
        </w:rPr>
      </w:pPr>
    </w:p>
    <w:p>
      <w:pPr>
        <w:ind w:left="80"/>
        <w:spacing w:after="0"/>
        <w:tabs>
          <w:tab w:leader="none" w:pos="1500" w:val="left"/>
        </w:tabs>
        <w:rPr>
          <w:sz w:val="20"/>
          <w:szCs w:val="20"/>
          <w:color w:val="auto"/>
        </w:rPr>
      </w:pPr>
      <w:r>
        <w:rPr>
          <w:rFonts w:ascii="Times New Roman" w:cs="Times New Roman" w:eastAsia="Times New Roman" w:hAnsi="Times New Roman"/>
          <w:sz w:val="16"/>
          <w:szCs w:val="16"/>
          <w:color w:val="auto"/>
        </w:rPr>
        <w:t>Name of Participant:</w:t>
      </w:r>
      <w:r>
        <w:rPr>
          <w:sz w:val="20"/>
          <w:szCs w:val="20"/>
          <w:color w:val="auto"/>
        </w:rPr>
        <w:tab/>
      </w:r>
      <w:r>
        <w:rPr>
          <w:rFonts w:ascii="Times New Roman" w:cs="Times New Roman" w:eastAsia="Times New Roman" w:hAnsi="Times New Roman"/>
          <w:sz w:val="14"/>
          <w:szCs w:val="14"/>
          <w:color w:val="auto"/>
        </w:rPr>
        <w:t>_______________________</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20" w:type="dxa"/>
            <w:vAlign w:val="bottom"/>
          </w:tcPr>
          <w:p>
            <w:pPr>
              <w:spacing w:after="0"/>
              <w:rPr>
                <w:sz w:val="24"/>
                <w:szCs w:val="24"/>
                <w:color w:val="auto"/>
              </w:rPr>
            </w:pPr>
          </w:p>
        </w:tc>
        <w:tc>
          <w:tcPr>
            <w:tcW w:w="560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Number of Restricted Stock Units: _______</w:t>
            </w:r>
          </w:p>
        </w:tc>
        <w:tc>
          <w:tcPr>
            <w:tcW w:w="55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Grant Date:  October 15, 2024</w:t>
            </w:r>
          </w:p>
        </w:tc>
        <w:tc>
          <w:tcPr>
            <w:tcW w:w="20" w:type="dxa"/>
            <w:vAlign w:val="bottom"/>
          </w:tcPr>
          <w:p>
            <w:pPr>
              <w:spacing w:after="0"/>
              <w:rPr>
                <w:sz w:val="24"/>
                <w:szCs w:val="24"/>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16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6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Vesting Schedule:</w:t>
            </w:r>
          </w:p>
        </w:tc>
        <w:tc>
          <w:tcPr>
            <w:tcW w:w="1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700" w:type="dxa"/>
            <w:vAlign w:val="bottom"/>
            <w:gridSpan w:val="2"/>
          </w:tcPr>
          <w:p>
            <w:pPr>
              <w:jc w:val="center"/>
              <w:ind w:right="2160"/>
              <w:spacing w:after="0"/>
              <w:rPr>
                <w:sz w:val="20"/>
                <w:szCs w:val="20"/>
                <w:color w:val="auto"/>
              </w:rPr>
            </w:pPr>
            <w:r>
              <w:rPr>
                <w:rFonts w:ascii="Times New Roman" w:cs="Times New Roman" w:eastAsia="Times New Roman" w:hAnsi="Times New Roman"/>
                <w:sz w:val="16"/>
                <w:szCs w:val="16"/>
                <w:color w:val="auto"/>
                <w:w w:val="95"/>
              </w:rPr>
              <w:t>Scheduled Vesting Dates</w:t>
            </w:r>
          </w:p>
        </w:tc>
        <w:tc>
          <w:tcPr>
            <w:tcW w:w="560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color w:val="auto"/>
                <w:w w:val="96"/>
              </w:rPr>
              <w:t>Number of Restricted Stock Units that Vest</w:t>
            </w:r>
          </w:p>
        </w:tc>
      </w:tr>
      <w:tr>
        <w:trPr>
          <w:trHeight w:val="184"/>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October 15, 2025</w:t>
            </w:r>
          </w:p>
        </w:tc>
        <w:tc>
          <w:tcPr>
            <w:tcW w:w="2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33 1/3%</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700" w:type="dxa"/>
            <w:vAlign w:val="bottom"/>
            <w:gridSpan w:val="2"/>
          </w:tcPr>
          <w:p>
            <w:pPr>
              <w:jc w:val="center"/>
              <w:ind w:right="2140"/>
              <w:spacing w:after="0"/>
              <w:rPr>
                <w:sz w:val="20"/>
                <w:szCs w:val="20"/>
                <w:color w:val="auto"/>
              </w:rPr>
            </w:pPr>
            <w:r>
              <w:rPr>
                <w:rFonts w:ascii="Times New Roman" w:cs="Times New Roman" w:eastAsia="Times New Roman" w:hAnsi="Times New Roman"/>
                <w:sz w:val="16"/>
                <w:szCs w:val="16"/>
                <w:color w:val="auto"/>
                <w:w w:val="96"/>
              </w:rPr>
              <w:t>October 15, 2026</w:t>
            </w:r>
          </w:p>
        </w:tc>
        <w:tc>
          <w:tcPr>
            <w:tcW w:w="4040" w:type="dxa"/>
            <w:vAlign w:val="bottom"/>
            <w:gridSpan w:val="2"/>
          </w:tcPr>
          <w:p>
            <w:pPr>
              <w:jc w:val="center"/>
              <w:ind w:left="1282"/>
              <w:spacing w:after="0"/>
              <w:rPr>
                <w:sz w:val="20"/>
                <w:szCs w:val="20"/>
                <w:color w:val="auto"/>
              </w:rPr>
            </w:pPr>
            <w:r>
              <w:rPr>
                <w:rFonts w:ascii="Times New Roman" w:cs="Times New Roman" w:eastAsia="Times New Roman" w:hAnsi="Times New Roman"/>
                <w:sz w:val="16"/>
                <w:szCs w:val="16"/>
                <w:color w:val="auto"/>
                <w:w w:val="96"/>
              </w:rPr>
              <w:t>33 1/3%</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700" w:type="dxa"/>
            <w:vAlign w:val="bottom"/>
            <w:gridSpan w:val="2"/>
          </w:tcPr>
          <w:p>
            <w:pPr>
              <w:jc w:val="center"/>
              <w:ind w:right="2140"/>
              <w:spacing w:after="0"/>
              <w:rPr>
                <w:sz w:val="20"/>
                <w:szCs w:val="20"/>
                <w:color w:val="auto"/>
              </w:rPr>
            </w:pPr>
            <w:r>
              <w:rPr>
                <w:rFonts w:ascii="Times New Roman" w:cs="Times New Roman" w:eastAsia="Times New Roman" w:hAnsi="Times New Roman"/>
                <w:sz w:val="16"/>
                <w:szCs w:val="16"/>
                <w:color w:val="auto"/>
                <w:w w:val="96"/>
              </w:rPr>
              <w:t>October 15, 2027</w:t>
            </w:r>
          </w:p>
        </w:tc>
        <w:tc>
          <w:tcPr>
            <w:tcW w:w="4040" w:type="dxa"/>
            <w:vAlign w:val="bottom"/>
            <w:gridSpan w:val="2"/>
          </w:tcPr>
          <w:p>
            <w:pPr>
              <w:jc w:val="center"/>
              <w:ind w:left="1282"/>
              <w:spacing w:after="0"/>
              <w:rPr>
                <w:sz w:val="20"/>
                <w:szCs w:val="20"/>
                <w:color w:val="auto"/>
              </w:rPr>
            </w:pPr>
            <w:r>
              <w:rPr>
                <w:rFonts w:ascii="Times New Roman" w:cs="Times New Roman" w:eastAsia="Times New Roman" w:hAnsi="Times New Roman"/>
                <w:sz w:val="16"/>
                <w:szCs w:val="16"/>
                <w:color w:val="auto"/>
                <w:w w:val="96"/>
              </w:rPr>
              <w:t>33 1/3%</w:t>
            </w: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9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By logging into and accepting this Agreement through your account with E*TRADE, you acknowledge and agree (A) to be bound by all of the terms and conditions of this Agreement and in the Plan document and (B) that you have received and reviewed these documents.</w:t>
      </w:r>
    </w:p>
    <w:p>
      <w:pPr>
        <w:sectPr>
          <w:pgSz w:w="11900" w:h="16838" w:orient="portrait"/>
          <w:cols w:equalWidth="0" w:num="1">
            <w:col w:w="11280"/>
          </w:cols>
          <w:pgMar w:left="300" w:top="161"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Award Agreement (Executives)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w:t>
      </w:r>
    </w:p>
    <w:p>
      <w:pPr>
        <w:spacing w:after="0" w:line="209" w:lineRule="exact"/>
        <w:rPr>
          <w:sz w:val="20"/>
          <w:szCs w:val="20"/>
          <w:color w:val="auto"/>
        </w:rPr>
      </w:pPr>
    </w:p>
    <w:p>
      <w:pPr>
        <w:ind w:right="160" w:firstLine="5"/>
        <w:spacing w:after="0" w:line="275" w:lineRule="auto"/>
        <w:tabs>
          <w:tab w:leader="none" w:pos="27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Defined Terms</w:t>
      </w:r>
      <w:r>
        <w:rPr>
          <w:rFonts w:ascii="Times New Roman" w:cs="Times New Roman" w:eastAsia="Times New Roman" w:hAnsi="Times New Roman"/>
          <w:sz w:val="16"/>
          <w:szCs w:val="16"/>
          <w:color w:val="auto"/>
        </w:rPr>
        <w:t>. For purposes of this Agreement, the definitions of terms contained in the Plan hereby are incorporated by reference, except to the extent that any such term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specifically defined in this Agreement.</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Reason</w:t>
      </w:r>
      <w:r>
        <w:rPr>
          <w:rFonts w:ascii="Times New Roman" w:cs="Times New Roman" w:eastAsia="Times New Roman" w:hAnsi="Times New Roman"/>
          <w:sz w:val="16"/>
          <w:szCs w:val="16"/>
          <w:color w:val="auto"/>
        </w:rPr>
        <w:t>” shall have the meaning set forth in your change in control agreement, if applicable.</w:t>
      </w:r>
    </w:p>
    <w:p>
      <w:pPr>
        <w:spacing w:after="0" w:line="368" w:lineRule="exact"/>
        <w:rPr>
          <w:sz w:val="20"/>
          <w:szCs w:val="20"/>
          <w:color w:val="auto"/>
        </w:rPr>
      </w:pPr>
    </w:p>
    <w:p>
      <w:pPr>
        <w:jc w:val="both"/>
        <w:ind w:firstLine="5"/>
        <w:spacing w:after="0" w:line="248" w:lineRule="auto"/>
        <w:tabs>
          <w:tab w:leader="none" w:pos="50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Grant of Restricted Stock Units</w:t>
      </w:r>
      <w:r>
        <w:rPr>
          <w:rFonts w:ascii="Times New Roman" w:cs="Times New Roman" w:eastAsia="Times New Roman" w:hAnsi="Times New Roman"/>
          <w:sz w:val="16"/>
          <w:szCs w:val="16"/>
          <w:color w:val="auto"/>
        </w:rPr>
        <w:t>. The Company hereby confirms the grant to you, as of the Grant Date and subject to the terms and conditions in this Agreement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Plan, 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74" w:lineRule="exact"/>
        <w:rPr>
          <w:rFonts w:ascii="Times New Roman" w:cs="Times New Roman" w:eastAsia="Times New Roman" w:hAnsi="Times New Roman"/>
          <w:sz w:val="16"/>
          <w:szCs w:val="16"/>
          <w:color w:val="auto"/>
        </w:rPr>
      </w:pPr>
    </w:p>
    <w:p>
      <w:pPr>
        <w:jc w:val="both"/>
        <w:ind w:firstLine="5"/>
        <w:spacing w:after="0" w:line="248" w:lineRule="auto"/>
        <w:tabs>
          <w:tab w:leader="none" w:pos="36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Restrictions Applicable to Units</w:t>
      </w:r>
      <w:r>
        <w:rPr>
          <w:rFonts w:ascii="Times New Roman" w:cs="Times New Roman" w:eastAsia="Times New Roman" w:hAnsi="Times New Roman"/>
          <w:sz w:val="16"/>
          <w:szCs w:val="16"/>
          <w:color w:val="auto"/>
        </w:rPr>
        <w:t>. Neither this Award nor the Units subject to this Award may be sold, assigned, transferred, exchanged or encumbered, voluntarily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3 shall be void and without effect. The Units and your right to receive Shares in settlement of the Units under this Agreement shall be subject to forfeiture as provided in Section 6 until satisfaction of the vesting conditions set forth in Section 5.</w:t>
      </w:r>
    </w:p>
    <w:p>
      <w:pPr>
        <w:spacing w:after="0" w:line="174" w:lineRule="exact"/>
        <w:rPr>
          <w:rFonts w:ascii="Times New Roman" w:cs="Times New Roman" w:eastAsia="Times New Roman" w:hAnsi="Times New Roman"/>
          <w:sz w:val="16"/>
          <w:szCs w:val="16"/>
          <w:color w:val="auto"/>
        </w:rPr>
      </w:pPr>
    </w:p>
    <w:p>
      <w:pPr>
        <w:jc w:val="both"/>
        <w:ind w:firstLine="5"/>
        <w:spacing w:after="0" w:line="255" w:lineRule="auto"/>
        <w:tabs>
          <w:tab w:leader="none" w:pos="28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Shareholder Rights</w:t>
      </w:r>
      <w:r>
        <w:rPr>
          <w:rFonts w:ascii="Times New Roman" w:cs="Times New Roman" w:eastAsia="Times New Roman" w:hAnsi="Times New Roman"/>
          <w:sz w:val="16"/>
          <w:szCs w:val="16"/>
          <w:color w:val="auto"/>
        </w:rPr>
        <w:t>. The Units subject to this Award do not entitle you to any rights of a holder of the Company’s common stock. You will not have any of the rights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 of the Company in connection with the grant of Units subject to this Agreement unless and until Shares are issued to you upon settlement of the Units as provided in Section 7.</w:t>
      </w:r>
    </w:p>
    <w:p>
      <w:pPr>
        <w:spacing w:after="0" w:line="145" w:lineRule="exact"/>
        <w:rPr>
          <w:rFonts w:ascii="Times New Roman" w:cs="Times New Roman" w:eastAsia="Times New Roman" w:hAnsi="Times New Roman"/>
          <w:sz w:val="16"/>
          <w:szCs w:val="16"/>
          <w:color w:val="auto"/>
        </w:rPr>
      </w:pPr>
    </w:p>
    <w:p>
      <w:pPr>
        <w:jc w:val="both"/>
        <w:ind w:firstLine="5"/>
        <w:spacing w:after="0" w:line="255" w:lineRule="auto"/>
        <w:tabs>
          <w:tab w:leader="none" w:pos="27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of Units</w:t>
      </w:r>
      <w:r>
        <w:rPr>
          <w:rFonts w:ascii="Times New Roman" w:cs="Times New Roman" w:eastAsia="Times New Roman" w:hAnsi="Times New Roman"/>
          <w:sz w:val="16"/>
          <w:szCs w:val="16"/>
          <w:color w:val="auto"/>
        </w:rPr>
        <w:t>. For purposes of this Agreement, “Vesting Date” means any date, including the Scheduled Vesting Dates specified in the Vesting Schedule on the cover page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on which Units subject to this Agreement vest as provided in this Section 5. Notwithstanding the vesting and subsequent settlement of this Award, the Award and any Share issuances or payments made hereunder shall remain subject to the provisions of Section 16(i) of the Plan.</w:t>
      </w:r>
    </w:p>
    <w:p>
      <w:pPr>
        <w:spacing w:after="0" w:line="158" w:lineRule="exact"/>
        <w:rPr>
          <w:rFonts w:ascii="Times New Roman" w:cs="Times New Roman" w:eastAsia="Times New Roman" w:hAnsi="Times New Roman"/>
          <w:sz w:val="16"/>
          <w:szCs w:val="16"/>
          <w:color w:val="auto"/>
        </w:rPr>
      </w:pPr>
    </w:p>
    <w:p>
      <w:pPr>
        <w:ind w:firstLine="514"/>
        <w:spacing w:after="0" w:line="273" w:lineRule="auto"/>
        <w:tabs>
          <w:tab w:leader="none" w:pos="1011"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Scheduled Vesting</w:t>
      </w:r>
      <w:r>
        <w:rPr>
          <w:rFonts w:ascii="Times New Roman" w:cs="Times New Roman" w:eastAsia="Times New Roman" w:hAnsi="Times New Roman"/>
          <w:sz w:val="16"/>
          <w:szCs w:val="16"/>
          <w:color w:val="auto"/>
        </w:rPr>
        <w:t>. If you remain a Service Provider continuously from the Grant Date specified on the cover page of this Agreement, then the Units will vest in the amounts and on the Scheduled Vesting Dates specified in the Vesting Schedule.</w:t>
      </w:r>
    </w:p>
    <w:p>
      <w:pPr>
        <w:sectPr>
          <w:pgSz w:w="11900" w:h="16838" w:orient="portrait"/>
          <w:cols w:equalWidth="0" w:num="1">
            <w:col w:w="11280"/>
          </w:cols>
          <w:pgMar w:left="300" w:top="957" w:right="319" w:bottom="1440" w:gutter="0" w:footer="0" w:header="0"/>
        </w:sectPr>
      </w:pPr>
    </w:p>
    <w:bookmarkStart w:id="88" w:name="page89"/>
    <w:bookmarkEnd w:id="88"/>
    <w:p>
      <w:pPr>
        <w:ind w:left="1015" w:hanging="506"/>
        <w:spacing w:after="0"/>
        <w:tabs>
          <w:tab w:leader="none" w:pos="1015"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Accelerated Vesting</w:t>
      </w:r>
      <w:r>
        <w:rPr>
          <w:rFonts w:ascii="Times New Roman" w:cs="Times New Roman" w:eastAsia="Times New Roman" w:hAnsi="Times New Roman"/>
          <w:sz w:val="16"/>
          <w:szCs w:val="16"/>
          <w:color w:val="auto"/>
        </w:rPr>
        <w:t>. The vesting of outstanding Units will be accelerated under the circumstances provided below:</w:t>
      </w:r>
    </w:p>
    <w:p>
      <w:pPr>
        <w:spacing w:after="0" w:line="185" w:lineRule="exact"/>
        <w:rPr>
          <w:rFonts w:ascii="Times New Roman" w:cs="Times New Roman" w:eastAsia="Times New Roman" w:hAnsi="Times New Roman"/>
          <w:sz w:val="16"/>
          <w:szCs w:val="16"/>
          <w:color w:val="auto"/>
        </w:rPr>
      </w:pPr>
    </w:p>
    <w:p>
      <w:pPr>
        <w:ind w:left="515" w:firstLine="503"/>
        <w:spacing w:after="0" w:line="275" w:lineRule="auto"/>
        <w:tabs>
          <w:tab w:leader="none" w:pos="1524"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Death or Disability</w:t>
      </w:r>
      <w:r>
        <w:rPr>
          <w:rFonts w:ascii="Times New Roman" w:cs="Times New Roman" w:eastAsia="Times New Roman" w:hAnsi="Times New Roman"/>
          <w:sz w:val="16"/>
          <w:szCs w:val="16"/>
          <w:color w:val="auto"/>
        </w:rPr>
        <w:t>. If your Service terminates prior to the final Scheduled Vesting Date due to your death or Disability, then all of the unvested Units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 as of such termination date.</w:t>
      </w:r>
    </w:p>
    <w:p>
      <w:pPr>
        <w:spacing w:after="0" w:line="151" w:lineRule="exact"/>
        <w:rPr>
          <w:rFonts w:ascii="Times New Roman" w:cs="Times New Roman" w:eastAsia="Times New Roman" w:hAnsi="Times New Roman"/>
          <w:sz w:val="16"/>
          <w:szCs w:val="16"/>
          <w:color w:val="auto"/>
        </w:rPr>
      </w:pPr>
    </w:p>
    <w:p>
      <w:pPr>
        <w:ind w:left="515" w:firstLine="503"/>
        <w:spacing w:after="0" w:line="262" w:lineRule="auto"/>
        <w:tabs>
          <w:tab w:leader="none" w:pos="1524"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 in Control</w:t>
      </w:r>
      <w:r>
        <w:rPr>
          <w:rFonts w:ascii="Times New Roman" w:cs="Times New Roman" w:eastAsia="Times New Roman" w:hAnsi="Times New Roman"/>
          <w:sz w:val="16"/>
          <w:szCs w:val="16"/>
          <w:color w:val="auto"/>
        </w:rPr>
        <w:t>. If a Change in Control occurs while you continue to be a Service Provider and prior to the final Scheduled Vesting Date, the provisions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Section 12 of the Plan shall apply, including those providing for benefits upon termination of Service for Good Reason.</w:t>
      </w:r>
    </w:p>
    <w:p>
      <w:pPr>
        <w:spacing w:after="0" w:line="160" w:lineRule="exact"/>
        <w:rPr>
          <w:rFonts w:ascii="Times New Roman" w:cs="Times New Roman" w:eastAsia="Times New Roman" w:hAnsi="Times New Roman"/>
          <w:sz w:val="16"/>
          <w:szCs w:val="16"/>
          <w:color w:val="auto"/>
        </w:rPr>
      </w:pPr>
    </w:p>
    <w:p>
      <w:pPr>
        <w:jc w:val="both"/>
        <w:ind w:left="515" w:firstLine="503"/>
        <w:spacing w:after="0" w:line="248" w:lineRule="auto"/>
        <w:tabs>
          <w:tab w:leader="none" w:pos="1524" w:val="left"/>
        </w:tabs>
        <w:numPr>
          <w:ilvl w:val="2"/>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Retirement</w:t>
      </w:r>
      <w:r>
        <w:rPr>
          <w:rFonts w:ascii="Times New Roman" w:cs="Times New Roman" w:eastAsia="Times New Roman" w:hAnsi="Times New Roman"/>
          <w:sz w:val="16"/>
          <w:szCs w:val="16"/>
          <w:color w:val="auto"/>
        </w:rPr>
        <w:t>. If, due to Retirement, your Service terminates at least twelve (12) months after the Grant Date and prior to the final Scheduled Vesting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then all of the unvested Units shall vest as of such termination date. For this purpose, (i)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 and (ii) any period of service to an entity prior to such entity becoming an Affiliate will not count towards your Service measurement.</w:t>
      </w:r>
    </w:p>
    <w:p>
      <w:pPr>
        <w:spacing w:after="0" w:line="174" w:lineRule="exact"/>
        <w:rPr>
          <w:rFonts w:ascii="Times New Roman" w:cs="Times New Roman" w:eastAsia="Times New Roman" w:hAnsi="Times New Roman"/>
          <w:sz w:val="16"/>
          <w:szCs w:val="16"/>
          <w:color w:val="auto"/>
        </w:rPr>
      </w:pPr>
    </w:p>
    <w:p>
      <w:pPr>
        <w:ind w:left="-5" w:firstLine="5"/>
        <w:spacing w:after="0" w:line="262" w:lineRule="auto"/>
        <w:tabs>
          <w:tab w:leader="none" w:pos="31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Effect of Termination of Service</w:t>
      </w:r>
      <w:r>
        <w:rPr>
          <w:rFonts w:ascii="Times New Roman" w:cs="Times New Roman" w:eastAsia="Times New Roman" w:hAnsi="Times New Roman"/>
          <w:sz w:val="16"/>
          <w:szCs w:val="16"/>
          <w:color w:val="auto"/>
        </w:rPr>
        <w:t>. Except as otherwise provided in accordance with Section 5(b) above, if you cease to be a Service Provider, you will forfeit all unvested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Units. Notwithstanding this forfeiture, you will continue to be subject to the terms and conditions of this Agreement.</w:t>
      </w:r>
    </w:p>
    <w:p>
      <w:pPr>
        <w:spacing w:after="0" w:line="160" w:lineRule="exact"/>
        <w:rPr>
          <w:rFonts w:ascii="Times New Roman" w:cs="Times New Roman" w:eastAsia="Times New Roman" w:hAnsi="Times New Roman"/>
          <w:sz w:val="16"/>
          <w:szCs w:val="16"/>
          <w:color w:val="auto"/>
        </w:rPr>
      </w:pPr>
    </w:p>
    <w:p>
      <w:pPr>
        <w:jc w:val="both"/>
        <w:ind w:left="-5" w:firstLine="5"/>
        <w:spacing w:after="0" w:line="237" w:lineRule="auto"/>
        <w:tabs>
          <w:tab w:leader="none" w:pos="27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Settlement of Units</w:t>
      </w:r>
      <w:r>
        <w:rPr>
          <w:rFonts w:ascii="Times New Roman" w:cs="Times New Roman" w:eastAsia="Times New Roman" w:hAnsi="Times New Roman"/>
          <w:sz w:val="16"/>
          <w:szCs w:val="16"/>
          <w:color w:val="auto"/>
        </w:rPr>
        <w:t>. After any Units vest pursuant to Section 5, the Company shall, as soon as practicable (but no later than the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 the third calendar month following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9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78" w:lineRule="exact"/>
        <w:rPr>
          <w:rFonts w:ascii="Times New Roman" w:cs="Times New Roman" w:eastAsia="Times New Roman" w:hAnsi="Times New Roman"/>
          <w:sz w:val="16"/>
          <w:szCs w:val="16"/>
          <w:color w:val="auto"/>
        </w:rPr>
      </w:pPr>
    </w:p>
    <w:p>
      <w:pPr>
        <w:jc w:val="both"/>
        <w:ind w:left="-5" w:firstLine="5"/>
        <w:spacing w:after="0" w:line="248" w:lineRule="auto"/>
        <w:tabs>
          <w:tab w:leader="none" w:pos="27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Dividend Equivalents</w:t>
      </w:r>
      <w:r>
        <w:rPr>
          <w:rFonts w:ascii="Times New Roman" w:cs="Times New Roman" w:eastAsia="Times New Roman" w:hAnsi="Times New Roman"/>
          <w:sz w:val="16"/>
          <w:szCs w:val="16"/>
          <w:color w:val="auto"/>
        </w:rPr>
        <w:t>. If the Company pays cash dividends on its Shares while any Units subject to this Agreement are outstanding, then the Company shall credit, as of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5 and 7 of this Agreement. No interest shall accrue on any unpaid dividend equivalents. Any dividend equivalents accrued on Units that are forfeited in accordance with this Agreement shall also be forfeited.</w:t>
      </w:r>
    </w:p>
    <w:p>
      <w:pPr>
        <w:spacing w:after="0" w:line="174" w:lineRule="exact"/>
        <w:rPr>
          <w:rFonts w:ascii="Times New Roman" w:cs="Times New Roman" w:eastAsia="Times New Roman" w:hAnsi="Times New Roman"/>
          <w:sz w:val="16"/>
          <w:szCs w:val="16"/>
          <w:color w:val="auto"/>
        </w:rPr>
      </w:pPr>
    </w:p>
    <w:p>
      <w:pPr>
        <w:ind w:left="-5" w:firstLine="5"/>
        <w:spacing w:after="0" w:line="262" w:lineRule="auto"/>
        <w:tabs>
          <w:tab w:leader="none" w:pos="31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Consequences and Withholding</w:t>
      </w:r>
      <w:r>
        <w:rPr>
          <w:rFonts w:ascii="Times New Roman" w:cs="Times New Roman" w:eastAsia="Times New Roman" w:hAnsi="Times New Roman"/>
          <w:sz w:val="16"/>
          <w:szCs w:val="16"/>
          <w:color w:val="auto"/>
        </w:rPr>
        <w:t>. No Shares will be delivered to you in settlement of vested Units, and no payment of any accrued dividend equivalents will be made,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unless you have made</w:t>
      </w:r>
    </w:p>
    <w:p>
      <w:pPr>
        <w:sectPr>
          <w:pgSz w:w="11900" w:h="16838" w:orient="portrait"/>
          <w:cols w:equalWidth="0" w:num="1">
            <w:col w:w="11275"/>
          </w:cols>
          <w:pgMar w:left="305" w:top="938" w:right="319" w:bottom="1440" w:gutter="0" w:footer="0" w:header="0"/>
        </w:sectPr>
      </w:pPr>
    </w:p>
    <w:bookmarkStart w:id="89" w:name="page90"/>
    <w:bookmarkEnd w:id="89"/>
    <w:p>
      <w:pPr>
        <w:jc w:val="both"/>
        <w:spacing w:after="0" w:line="246" w:lineRule="auto"/>
        <w:rPr>
          <w:sz w:val="20"/>
          <w:szCs w:val="20"/>
          <w:color w:val="auto"/>
        </w:rPr>
      </w:pPr>
      <w:r>
        <w:rPr>
          <w:rFonts w:ascii="Times New Roman" w:cs="Times New Roman" w:eastAsia="Times New Roman" w:hAnsi="Times New Roman"/>
          <w:sz w:val="16"/>
          <w:szCs w:val="16"/>
          <w:color w:val="auto"/>
        </w:rPr>
        <w:t>arrangements acceptable to the Company for payment of any federal, state, local or foreign withholding taxes that may be due as a result of the delivery of the Shares and any such payment. You hereby authorize the Company (or any Affiliate) to withhold from the aggregated accrued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153" w:lineRule="exact"/>
        <w:rPr>
          <w:sz w:val="20"/>
          <w:szCs w:val="20"/>
          <w:color w:val="auto"/>
        </w:rPr>
      </w:pPr>
    </w:p>
    <w:p>
      <w:pPr>
        <w:jc w:val="both"/>
        <w:ind w:firstLine="5"/>
        <w:spacing w:after="0" w:line="248" w:lineRule="auto"/>
        <w:tabs>
          <w:tab w:leader="none" w:pos="35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Every notice or other communication relating to this Agreement shall be in writing and shall be mailed to or delivered (including electronically) to the party for whom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53" w:lineRule="exact"/>
        <w:rPr>
          <w:rFonts w:ascii="Times New Roman" w:cs="Times New Roman" w:eastAsia="Times New Roman" w:hAnsi="Times New Roman"/>
          <w:sz w:val="16"/>
          <w:szCs w:val="16"/>
          <w:color w:val="auto"/>
        </w:rPr>
      </w:pPr>
    </w:p>
    <w:p>
      <w:pPr>
        <w:ind w:left="340" w:hanging="335"/>
        <w:spacing w:after="0"/>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Additional Provisions</w:t>
      </w:r>
      <w:r>
        <w:rPr>
          <w:rFonts w:ascii="Times New Roman" w:cs="Times New Roman" w:eastAsia="Times New Roman" w:hAnsi="Times New Roman"/>
          <w:sz w:val="16"/>
          <w:szCs w:val="16"/>
          <w:color w:val="auto"/>
        </w:rPr>
        <w:t>.</w:t>
      </w:r>
    </w:p>
    <w:p>
      <w:pPr>
        <w:spacing w:after="0" w:line="168" w:lineRule="exact"/>
        <w:rPr>
          <w:rFonts w:ascii="Times New Roman" w:cs="Times New Roman" w:eastAsia="Times New Roman" w:hAnsi="Times New Roman"/>
          <w:sz w:val="16"/>
          <w:szCs w:val="16"/>
          <w:color w:val="auto"/>
        </w:rPr>
      </w:pPr>
    </w:p>
    <w:p>
      <w:pPr>
        <w:ind w:firstLine="514"/>
        <w:spacing w:after="0" w:line="273" w:lineRule="auto"/>
        <w:tabs>
          <w:tab w:leader="none" w:pos="89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 to Continued Service</w:t>
      </w:r>
      <w:r>
        <w:rPr>
          <w:rFonts w:ascii="Times New Roman" w:cs="Times New Roman" w:eastAsia="Times New Roman" w:hAnsi="Times New Roman"/>
          <w:sz w:val="16"/>
          <w:szCs w:val="16"/>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43" w:lineRule="exact"/>
        <w:rPr>
          <w:rFonts w:ascii="Times New Roman" w:cs="Times New Roman" w:eastAsia="Times New Roman" w:hAnsi="Times New Roman"/>
          <w:sz w:val="16"/>
          <w:szCs w:val="16"/>
          <w:color w:val="auto"/>
        </w:rPr>
      </w:pPr>
    </w:p>
    <w:p>
      <w:pPr>
        <w:jc w:val="both"/>
        <w:ind w:firstLine="514"/>
        <w:spacing w:after="0" w:line="254" w:lineRule="auto"/>
        <w:tabs>
          <w:tab w:leader="none" w:pos="888"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Plan Document</w:t>
      </w:r>
      <w:r>
        <w:rPr>
          <w:rFonts w:ascii="Times New Roman" w:cs="Times New Roman" w:eastAsia="Times New Roman" w:hAnsi="Times New Roman"/>
          <w:sz w:val="16"/>
          <w:szCs w:val="16"/>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69" w:lineRule="exact"/>
        <w:rPr>
          <w:rFonts w:ascii="Times New Roman" w:cs="Times New Roman" w:eastAsia="Times New Roman" w:hAnsi="Times New Roman"/>
          <w:sz w:val="16"/>
          <w:szCs w:val="16"/>
          <w:color w:val="auto"/>
        </w:rPr>
      </w:pPr>
    </w:p>
    <w:p>
      <w:pPr>
        <w:ind w:firstLine="514"/>
        <w:spacing w:after="0" w:line="273" w:lineRule="auto"/>
        <w:tabs>
          <w:tab w:leader="none" w:pos="848"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43" w:lineRule="exact"/>
        <w:rPr>
          <w:rFonts w:ascii="Times New Roman" w:cs="Times New Roman" w:eastAsia="Times New Roman" w:hAnsi="Times New Roman"/>
          <w:sz w:val="16"/>
          <w:szCs w:val="16"/>
          <w:color w:val="auto"/>
        </w:rPr>
      </w:pPr>
    </w:p>
    <w:p>
      <w:pPr>
        <w:jc w:val="both"/>
        <w:ind w:firstLine="514"/>
        <w:spacing w:after="0" w:line="254" w:lineRule="auto"/>
        <w:tabs>
          <w:tab w:leader="none" w:pos="846"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69" w:lineRule="exact"/>
        <w:rPr>
          <w:rFonts w:ascii="Times New Roman" w:cs="Times New Roman" w:eastAsia="Times New Roman" w:hAnsi="Times New Roman"/>
          <w:sz w:val="16"/>
          <w:szCs w:val="16"/>
          <w:color w:val="auto"/>
        </w:rPr>
      </w:pPr>
    </w:p>
    <w:p>
      <w:pPr>
        <w:ind w:left="920" w:hanging="406"/>
        <w:spacing w:after="0"/>
        <w:tabs>
          <w:tab w:leader="none" w:pos="92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will be binding in all respects on your heirs, representatives, successors and assigns, and on the successors and assigns of the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75" w:lineRule="exact"/>
        <w:rPr>
          <w:rFonts w:ascii="Times New Roman" w:cs="Times New Roman" w:eastAsia="Times New Roman" w:hAnsi="Times New Roman"/>
          <w:sz w:val="16"/>
          <w:szCs w:val="16"/>
          <w:color w:val="auto"/>
        </w:rPr>
      </w:pPr>
    </w:p>
    <w:p>
      <w:pPr>
        <w:ind w:firstLine="514"/>
        <w:spacing w:after="0" w:line="273" w:lineRule="auto"/>
        <w:tabs>
          <w:tab w:leader="none" w:pos="852"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 The award of Units as provided in this Agreement and any issuance of Shares or payment pursuant to this Agreement are intended to be exempt from Section 409A of the Code under the short-term deferral exception specified in Treas. Reg. § 1.409A-l(b)(4). However,</w:t>
      </w:r>
    </w:p>
    <w:p>
      <w:pPr>
        <w:sectPr>
          <w:pgSz w:w="11900" w:h="16838" w:orient="portrait"/>
          <w:cols w:equalWidth="0" w:num="1">
            <w:col w:w="11280"/>
          </w:cols>
          <w:pgMar w:left="300" w:top="938" w:right="319" w:bottom="1440" w:gutter="0" w:footer="0" w:header="0"/>
        </w:sectPr>
      </w:pPr>
    </w:p>
    <w:bookmarkStart w:id="90" w:name="page91"/>
    <w:bookmarkEnd w:id="90"/>
    <w:p>
      <w:pPr>
        <w:spacing w:after="0" w:line="259" w:lineRule="auto"/>
        <w:rPr>
          <w:sz w:val="20"/>
          <w:szCs w:val="20"/>
          <w:color w:val="auto"/>
        </w:rPr>
      </w:pPr>
      <w:r>
        <w:rPr>
          <w:rFonts w:ascii="Times New Roman" w:cs="Times New Roman" w:eastAsia="Times New Roman" w:hAnsi="Times New Roman"/>
          <w:sz w:val="16"/>
          <w:szCs w:val="16"/>
          <w:color w:val="auto"/>
        </w:rPr>
        <w:t>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165" w:lineRule="exact"/>
        <w:rPr>
          <w:sz w:val="20"/>
          <w:szCs w:val="20"/>
          <w:color w:val="auto"/>
        </w:rPr>
      </w:pPr>
    </w:p>
    <w:p>
      <w:pPr>
        <w:jc w:val="both"/>
        <w:ind w:firstLine="514"/>
        <w:spacing w:after="0" w:line="254" w:lineRule="auto"/>
        <w:tabs>
          <w:tab w:leader="none" w:pos="899"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 and Acceptance</w:t>
      </w:r>
      <w:r>
        <w:rPr>
          <w:rFonts w:ascii="Times New Roman" w:cs="Times New Roman" w:eastAsia="Times New Roman" w:hAnsi="Times New Roman"/>
          <w:sz w:val="16"/>
          <w:szCs w:val="16"/>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ectPr>
          <w:pgSz w:w="11900" w:h="16838" w:orient="portrait"/>
          <w:cols w:equalWidth="0" w:num="1">
            <w:col w:w="11280"/>
          </w:cols>
          <w:pgMar w:left="300" w:top="938" w:right="31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Restricted Stock Unit Award Agreement (Non-Employee Director)</w:t>
      </w:r>
    </w:p>
    <w:p>
      <w:pPr>
        <w:spacing w:after="0" w:line="200" w:lineRule="exact"/>
        <w:rPr>
          <w:sz w:val="20"/>
          <w:szCs w:val="20"/>
          <w:color w:val="auto"/>
        </w:rPr>
      </w:pPr>
    </w:p>
    <w:p>
      <w:pPr>
        <w:jc w:val="both"/>
        <w:ind w:firstLine="173"/>
        <w:spacing w:after="0" w:line="252" w:lineRule="auto"/>
        <w:rPr>
          <w:sz w:val="20"/>
          <w:szCs w:val="20"/>
          <w:color w:val="auto"/>
        </w:rPr>
      </w:pPr>
      <w:r>
        <w:rPr>
          <w:rFonts w:ascii="Times New Roman" w:cs="Times New Roman" w:eastAsia="Times New Roman" w:hAnsi="Times New Roman"/>
          <w:sz w:val="16"/>
          <w:szCs w:val="16"/>
          <w:color w:val="auto"/>
        </w:rPr>
        <w:t>Winnebago Industries, Inc. (the “Company”), pursuant to its 2019 Omnibus Incentive Plan (the “Plan”), hereby grants an award of Restricted Stock Units to you, the Participant named below. The terms and conditions of this Award are set forth in this Restricted Stock Unit Award Agreement (the “Agreement”), consisting of this cover page and the Terms and Conditions on the following pages, and in the Plan document, a copy of which has been made available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81850" cy="1293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4">
                      <a:extLst>
                        <a:ext uri="{28A0092B-C50C-407E-A947-70E740481C1C}"/>
                      </a:extLst>
                    </a:blip>
                    <a:srcRect/>
                    <a:stretch>
                      <a:fillRect/>
                    </a:stretch>
                  </pic:blipFill>
                  <pic:spPr bwMode="auto">
                    <a:xfrm>
                      <a:off x="0" y="0"/>
                      <a:ext cx="7181850" cy="1293495"/>
                    </a:xfrm>
                    <a:prstGeom prst="rect">
                      <a:avLst/>
                    </a:prstGeom>
                    <a:noFill/>
                  </pic:spPr>
                </pic:pic>
              </a:graphicData>
            </a:graphic>
          </wp:anchor>
        </w:drawing>
      </w: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Name of Participant: _______________________</w:t>
      </w: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Number of Restricted Stock Units: _______</w:t>
      </w:r>
    </w:p>
    <w:p>
      <w:pPr>
        <w:spacing w:after="0" w:line="315" w:lineRule="exact"/>
        <w:rPr>
          <w:sz w:val="20"/>
          <w:szCs w:val="20"/>
          <w:color w:val="auto"/>
        </w:rPr>
      </w:pPr>
    </w:p>
    <w:p>
      <w:pPr>
        <w:ind w:left="80"/>
        <w:spacing w:after="0"/>
        <w:tabs>
          <w:tab w:leader="none" w:pos="980" w:val="left"/>
        </w:tabs>
        <w:rPr>
          <w:sz w:val="20"/>
          <w:szCs w:val="20"/>
          <w:color w:val="auto"/>
        </w:rPr>
      </w:pPr>
      <w:r>
        <w:rPr>
          <w:rFonts w:ascii="Times New Roman" w:cs="Times New Roman" w:eastAsia="Times New Roman" w:hAnsi="Times New Roman"/>
          <w:sz w:val="16"/>
          <w:szCs w:val="16"/>
          <w:color w:val="auto"/>
        </w:rPr>
        <w:t>Grant Date:</w:t>
      </w:r>
      <w:r>
        <w:rPr>
          <w:sz w:val="20"/>
          <w:szCs w:val="20"/>
          <w:color w:val="auto"/>
        </w:rPr>
        <w:tab/>
      </w:r>
      <w:r>
        <w:rPr>
          <w:rFonts w:ascii="Times New Roman" w:cs="Times New Roman" w:eastAsia="Times New Roman" w:hAnsi="Times New Roman"/>
          <w:sz w:val="14"/>
          <w:szCs w:val="14"/>
          <w:color w:val="auto"/>
        </w:rPr>
        <w:t>October 15, 2024</w:t>
      </w:r>
    </w:p>
    <w:p>
      <w:pPr>
        <w:spacing w:after="0" w:line="3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Scheduled Vesting Date: October 15, 2025</w:t>
      </w:r>
    </w:p>
    <w:p>
      <w:pPr>
        <w:spacing w:after="0" w:line="200" w:lineRule="exact"/>
        <w:rPr>
          <w:sz w:val="20"/>
          <w:szCs w:val="20"/>
          <w:color w:val="auto"/>
        </w:rPr>
      </w:pPr>
    </w:p>
    <w:p>
      <w:pPr>
        <w:spacing w:after="0" w:line="242"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6"/>
          <w:szCs w:val="16"/>
          <w:color w:val="auto"/>
        </w:rPr>
        <w:t>By logging into and accepting this Agreement through your account with E*TRADE, you acknowledge and agree (A) to be bound by all of the terms and conditions contained in this Agreement and in the Plan document and (B) that you have received and reviewed these documents.</w:t>
      </w:r>
    </w:p>
    <w:p>
      <w:pPr>
        <w:sectPr>
          <w:pgSz w:w="11900" w:h="16838" w:orient="portrait"/>
          <w:cols w:equalWidth="0" w:num="1">
            <w:col w:w="11280"/>
          </w:cols>
          <w:pgMar w:left="300" w:top="161"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Award Agreement (Non-Employee Director)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w:t>
      </w:r>
    </w:p>
    <w:p>
      <w:pPr>
        <w:spacing w:after="0" w:line="209" w:lineRule="exact"/>
        <w:rPr>
          <w:sz w:val="20"/>
          <w:szCs w:val="20"/>
          <w:color w:val="auto"/>
        </w:rPr>
      </w:pPr>
    </w:p>
    <w:p>
      <w:pPr>
        <w:ind w:right="80" w:firstLine="5"/>
        <w:spacing w:after="0" w:line="259" w:lineRule="auto"/>
        <w:tabs>
          <w:tab w:leader="none" w:pos="27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Grant of Restricted Stock Units</w:t>
      </w:r>
      <w:r>
        <w:rPr>
          <w:rFonts w:ascii="Times New Roman" w:cs="Times New Roman" w:eastAsia="Times New Roman" w:hAnsi="Times New Roman"/>
          <w:sz w:val="16"/>
          <w:szCs w:val="16"/>
          <w:color w:val="auto"/>
        </w:rPr>
        <w:t>. The Company hereby confirms the grant to you, as of the Grant Date and subject to the terms and conditions in this Agreement and the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number of Restricted Stock Units specified on the cover page of this Agreement (the “Units”). Each Unit represents the right to receive one share of the Company’s Common Stock (each, a “Share”). Prior to their settlement or forfeiture in accordance with the terms of this Agreement, the Units granted to you will be credited to an account in your name maintained by the Company. This account shall be unfunded and maintained for book-keeping purposes only, with the Units simply representing an unfunded and unsecured contingent obligation of the Company.</w:t>
      </w:r>
    </w:p>
    <w:p>
      <w:pPr>
        <w:spacing w:after="0" w:line="142" w:lineRule="exact"/>
        <w:rPr>
          <w:rFonts w:ascii="Times New Roman" w:cs="Times New Roman" w:eastAsia="Times New Roman" w:hAnsi="Times New Roman"/>
          <w:sz w:val="16"/>
          <w:szCs w:val="16"/>
          <w:color w:val="auto"/>
        </w:rPr>
      </w:pPr>
    </w:p>
    <w:p>
      <w:pPr>
        <w:jc w:val="both"/>
        <w:ind w:firstLine="5"/>
        <w:spacing w:after="0" w:line="248" w:lineRule="auto"/>
        <w:tabs>
          <w:tab w:leader="none" w:pos="36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Restrictions Applicable to Units</w:t>
      </w:r>
      <w:r>
        <w:rPr>
          <w:rFonts w:ascii="Times New Roman" w:cs="Times New Roman" w:eastAsia="Times New Roman" w:hAnsi="Times New Roman"/>
          <w:sz w:val="16"/>
          <w:szCs w:val="16"/>
          <w:color w:val="auto"/>
        </w:rPr>
        <w:t>. Neither this Award nor the Units subject to this Award may be sold, assigned, transferred, exchanged or encumbered, voluntarily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this Award immediately prior to its transfer. Any attempted transfer in violation of this Section 2 shall be void and without effect. The Units and your right to receive Shares in settlement of the Units under this Agreement shall be subject to forfeiture as provided in Section 5 until satisfaction of the vesting conditions set forth in Section 4.</w:t>
      </w:r>
    </w:p>
    <w:p>
      <w:pPr>
        <w:spacing w:after="0" w:line="174" w:lineRule="exact"/>
        <w:rPr>
          <w:rFonts w:ascii="Times New Roman" w:cs="Times New Roman" w:eastAsia="Times New Roman" w:hAnsi="Times New Roman"/>
          <w:sz w:val="16"/>
          <w:szCs w:val="16"/>
          <w:color w:val="auto"/>
        </w:rPr>
      </w:pPr>
    </w:p>
    <w:p>
      <w:pPr>
        <w:jc w:val="both"/>
        <w:ind w:firstLine="5"/>
        <w:spacing w:after="0" w:line="255" w:lineRule="auto"/>
        <w:tabs>
          <w:tab w:leader="none" w:pos="283"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Shareholder Rights</w:t>
      </w:r>
      <w:r>
        <w:rPr>
          <w:rFonts w:ascii="Times New Roman" w:cs="Times New Roman" w:eastAsia="Times New Roman" w:hAnsi="Times New Roman"/>
          <w:sz w:val="16"/>
          <w:szCs w:val="16"/>
          <w:color w:val="auto"/>
        </w:rPr>
        <w:t>. The Units subject to this Award do not entitle you to any rights of a holder of the Company’s common stock. You will not have any of the rights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 of the Company in connection with the grant of Units subject to this Agreement unless and until Shares are issued to you upon settlement of the Units as provided in Section 6.</w:t>
      </w:r>
    </w:p>
    <w:p>
      <w:pPr>
        <w:spacing w:after="0" w:line="135" w:lineRule="exact"/>
        <w:rPr>
          <w:rFonts w:ascii="Times New Roman" w:cs="Times New Roman" w:eastAsia="Times New Roman" w:hAnsi="Times New Roman"/>
          <w:sz w:val="16"/>
          <w:szCs w:val="16"/>
          <w:color w:val="auto"/>
        </w:rPr>
      </w:pPr>
    </w:p>
    <w:p>
      <w:pPr>
        <w:jc w:val="both"/>
        <w:ind w:firstLine="5"/>
        <w:spacing w:after="0" w:line="262" w:lineRule="auto"/>
        <w:tabs>
          <w:tab w:leader="none" w:pos="31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of Units</w:t>
      </w:r>
      <w:r>
        <w:rPr>
          <w:rFonts w:ascii="Times New Roman" w:cs="Times New Roman" w:eastAsia="Times New Roman" w:hAnsi="Times New Roman"/>
          <w:sz w:val="16"/>
          <w:szCs w:val="16"/>
          <w:color w:val="auto"/>
        </w:rPr>
        <w:t>. For purposes of this Agreement, “Vesting Date” means any date, including the Scheduled Vesting Date specified on the cover page of this Agreement,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which Units subject to this Agreement vest as provided in this Section 4. Notwithstanding the vesting and subsequent settlement of this Award, the Award and any Share issuances or payments made hereunder shall remain subject to the provisions of Section 16(i) of the Plan.</w:t>
      </w:r>
    </w:p>
    <w:p>
      <w:pPr>
        <w:spacing w:after="0" w:line="152" w:lineRule="exact"/>
        <w:rPr>
          <w:rFonts w:ascii="Times New Roman" w:cs="Times New Roman" w:eastAsia="Times New Roman" w:hAnsi="Times New Roman"/>
          <w:sz w:val="16"/>
          <w:szCs w:val="16"/>
          <w:color w:val="auto"/>
        </w:rPr>
      </w:pPr>
    </w:p>
    <w:p>
      <w:pPr>
        <w:ind w:firstLine="514"/>
        <w:spacing w:after="0" w:line="273" w:lineRule="auto"/>
        <w:tabs>
          <w:tab w:leader="none" w:pos="1011"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Scheduled Vesting</w:t>
      </w:r>
      <w:r>
        <w:rPr>
          <w:rFonts w:ascii="Times New Roman" w:cs="Times New Roman" w:eastAsia="Times New Roman" w:hAnsi="Times New Roman"/>
          <w:sz w:val="16"/>
          <w:szCs w:val="16"/>
          <w:color w:val="auto"/>
        </w:rPr>
        <w:t>. If you remain a Service Provider continuously from the Grant Date specified on the cover page of this Agreement, then the Units will vest on the Scheduled Vesting Date.</w:t>
      </w:r>
    </w:p>
    <w:p>
      <w:pPr>
        <w:spacing w:after="0" w:line="143"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Accelerated Vesting</w:t>
      </w:r>
      <w:r>
        <w:rPr>
          <w:rFonts w:ascii="Times New Roman" w:cs="Times New Roman" w:eastAsia="Times New Roman" w:hAnsi="Times New Roman"/>
          <w:sz w:val="16"/>
          <w:szCs w:val="16"/>
          <w:color w:val="auto"/>
        </w:rPr>
        <w:t>. The vesting of outstanding Units will be accelerated under the circumstances provided below:</w:t>
      </w:r>
    </w:p>
    <w:p>
      <w:pPr>
        <w:spacing w:after="0" w:line="195" w:lineRule="exact"/>
        <w:rPr>
          <w:rFonts w:ascii="Times New Roman" w:cs="Times New Roman" w:eastAsia="Times New Roman" w:hAnsi="Times New Roman"/>
          <w:sz w:val="16"/>
          <w:szCs w:val="16"/>
          <w:color w:val="auto"/>
        </w:rPr>
      </w:pPr>
    </w:p>
    <w:p>
      <w:pPr>
        <w:ind w:left="520" w:firstLine="503"/>
        <w:spacing w:after="0" w:line="275" w:lineRule="auto"/>
        <w:tabs>
          <w:tab w:leader="none" w:pos="1529" w:val="left"/>
        </w:tabs>
        <w:numPr>
          <w:ilvl w:val="2"/>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Death or Disability</w:t>
      </w:r>
      <w:r>
        <w:rPr>
          <w:rFonts w:ascii="Times New Roman" w:cs="Times New Roman" w:eastAsia="Times New Roman" w:hAnsi="Times New Roman"/>
          <w:sz w:val="16"/>
          <w:szCs w:val="16"/>
          <w:color w:val="auto"/>
        </w:rPr>
        <w:t>. If your Service terminates prior to the Scheduled Vesting Date due to your death or Disability, then all of the unvested Units shall vest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of such termination date.</w:t>
      </w:r>
    </w:p>
    <w:p>
      <w:pPr>
        <w:sectPr>
          <w:pgSz w:w="11900" w:h="16838" w:orient="portrait"/>
          <w:cols w:equalWidth="0" w:num="1">
            <w:col w:w="11280"/>
          </w:cols>
          <w:pgMar w:left="300" w:top="1158" w:right="319" w:bottom="1440" w:gutter="0" w:footer="0" w:header="0"/>
        </w:sectPr>
      </w:pPr>
    </w:p>
    <w:bookmarkStart w:id="93" w:name="page94"/>
    <w:bookmarkEnd w:id="93"/>
    <w:p>
      <w:pPr>
        <w:ind w:left="515" w:firstLine="503"/>
        <w:spacing w:after="0" w:line="275" w:lineRule="auto"/>
        <w:tabs>
          <w:tab w:leader="none" w:pos="1524"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 in Control</w:t>
      </w:r>
      <w:r>
        <w:rPr>
          <w:rFonts w:ascii="Times New Roman" w:cs="Times New Roman" w:eastAsia="Times New Roman" w:hAnsi="Times New Roman"/>
          <w:sz w:val="16"/>
          <w:szCs w:val="16"/>
          <w:color w:val="auto"/>
        </w:rPr>
        <w:t>. If a Change in Control occurs while your Service continues and prior to the Scheduled Vesting Date, then all of the unvested Units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 as of the date of the consummation of such Change in Control.</w:t>
      </w:r>
    </w:p>
    <w:p>
      <w:pPr>
        <w:spacing w:after="0" w:line="140" w:lineRule="exact"/>
        <w:rPr>
          <w:rFonts w:ascii="Times New Roman" w:cs="Times New Roman" w:eastAsia="Times New Roman" w:hAnsi="Times New Roman"/>
          <w:sz w:val="16"/>
          <w:szCs w:val="16"/>
          <w:color w:val="auto"/>
        </w:rPr>
      </w:pPr>
    </w:p>
    <w:p>
      <w:pPr>
        <w:ind w:left="275" w:hanging="275"/>
        <w:spacing w:after="0"/>
        <w:tabs>
          <w:tab w:leader="none" w:pos="27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Forfeiture</w:t>
      </w:r>
      <w:r>
        <w:rPr>
          <w:rFonts w:ascii="Times New Roman" w:cs="Times New Roman" w:eastAsia="Times New Roman" w:hAnsi="Times New Roman"/>
          <w:sz w:val="16"/>
          <w:szCs w:val="16"/>
          <w:color w:val="auto"/>
        </w:rPr>
        <w:t>. Except as otherwise provided in accordance with Section 4 above, if you cease to be a Service Provider, you will forfeit all unvested Units.</w:t>
      </w:r>
    </w:p>
    <w:p>
      <w:pPr>
        <w:spacing w:after="0" w:line="197" w:lineRule="exact"/>
        <w:rPr>
          <w:rFonts w:ascii="Times New Roman" w:cs="Times New Roman" w:eastAsia="Times New Roman" w:hAnsi="Times New Roman"/>
          <w:sz w:val="16"/>
          <w:szCs w:val="16"/>
          <w:color w:val="auto"/>
        </w:rPr>
      </w:pPr>
    </w:p>
    <w:p>
      <w:pPr>
        <w:ind w:left="275" w:hanging="275"/>
        <w:spacing w:after="0"/>
        <w:tabs>
          <w:tab w:leader="none" w:pos="27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Settlement of Units</w:t>
      </w:r>
      <w:r>
        <w:rPr>
          <w:rFonts w:ascii="Times New Roman" w:cs="Times New Roman" w:eastAsia="Times New Roman" w:hAnsi="Times New Roman"/>
          <w:sz w:val="16"/>
          <w:szCs w:val="16"/>
          <w:color w:val="auto"/>
        </w:rPr>
        <w:t>.</w:t>
      </w:r>
    </w:p>
    <w:p>
      <w:pPr>
        <w:spacing w:after="0" w:line="189" w:lineRule="exact"/>
        <w:rPr>
          <w:rFonts w:ascii="Times New Roman" w:cs="Times New Roman" w:eastAsia="Times New Roman" w:hAnsi="Times New Roman"/>
          <w:sz w:val="16"/>
          <w:szCs w:val="16"/>
          <w:color w:val="auto"/>
        </w:rPr>
      </w:pPr>
    </w:p>
    <w:p>
      <w:pPr>
        <w:jc w:val="both"/>
        <w:ind w:left="-5" w:firstLine="514"/>
        <w:spacing w:after="0" w:line="238" w:lineRule="auto"/>
        <w:tabs>
          <w:tab w:leader="none" w:pos="1006"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you have elected to defer settlement of the Units, after any Units vest pursuant to Section 4, the Company shall, as soon as practicable (but no later than the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day of the third calendar month following the Vesting Date),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62" w:lineRule="exact"/>
        <w:rPr>
          <w:rFonts w:ascii="Times New Roman" w:cs="Times New Roman" w:eastAsia="Times New Roman" w:hAnsi="Times New Roman"/>
          <w:sz w:val="16"/>
          <w:szCs w:val="16"/>
          <w:color w:val="auto"/>
        </w:rPr>
      </w:pPr>
    </w:p>
    <w:p>
      <w:pPr>
        <w:ind w:left="-5" w:firstLine="514"/>
        <w:spacing w:after="0" w:line="259" w:lineRule="auto"/>
        <w:tabs>
          <w:tab w:leader="none" w:pos="1004"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elected to defer the settlement of the Units (“Deferred Units”) pursuant to the terms of the Plan, after any Deferred Units vest pursuant to Section 4 the settlement of such Deferred Units shall be governed by the terms of the Plan and your related deferral election.</w:t>
      </w:r>
    </w:p>
    <w:p>
      <w:pPr>
        <w:spacing w:after="0" w:line="163" w:lineRule="exact"/>
        <w:rPr>
          <w:rFonts w:ascii="Times New Roman" w:cs="Times New Roman" w:eastAsia="Times New Roman" w:hAnsi="Times New Roman"/>
          <w:sz w:val="16"/>
          <w:szCs w:val="16"/>
          <w:color w:val="auto"/>
        </w:rPr>
      </w:pPr>
    </w:p>
    <w:p>
      <w:pPr>
        <w:jc w:val="both"/>
        <w:ind w:left="-5" w:firstLine="5"/>
        <w:spacing w:after="0" w:line="248" w:lineRule="auto"/>
        <w:tabs>
          <w:tab w:leader="none" w:pos="27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Dividend Equivalents</w:t>
      </w:r>
      <w:r>
        <w:rPr>
          <w:rFonts w:ascii="Times New Roman" w:cs="Times New Roman" w:eastAsia="Times New Roman" w:hAnsi="Times New Roman"/>
          <w:sz w:val="16"/>
          <w:szCs w:val="16"/>
          <w:color w:val="auto"/>
        </w:rPr>
        <w:t>. If the Company pays cash dividends on its Shares while any Units subject to this Agreement are outstanding, then the Company shall credit, as of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dividend payment date, a dollar amount of dividend equivalents to your account. The dollar amount of the dividend equivalents credited shall be determined by multiplying the number of Units credited to your account pursuant to this Agreement as of the dividend record date times the dollar amount of the cash dividend per Share. Your right to receive such accrued dividend equivalents shall vest, and the amount of the accrued dividend equivalents shall be paid in cash, to the same extent and at the same time as the underlying Units to which the dividend equivalents relate vest and are settled, as provided in Sections 4 and 6 of this Agreement. No interest shall accrue on any unpaid dividend equivalents. Any dividend equivalents accrued on Units that are forfeited in accordance with this Agreement shall also be forfeited.</w:t>
      </w:r>
    </w:p>
    <w:p>
      <w:pPr>
        <w:spacing w:after="0" w:line="164" w:lineRule="exact"/>
        <w:rPr>
          <w:rFonts w:ascii="Times New Roman" w:cs="Times New Roman" w:eastAsia="Times New Roman" w:hAnsi="Times New Roman"/>
          <w:sz w:val="16"/>
          <w:szCs w:val="16"/>
          <w:color w:val="auto"/>
        </w:rPr>
      </w:pPr>
    </w:p>
    <w:p>
      <w:pPr>
        <w:ind w:left="-5" w:firstLine="5"/>
        <w:spacing w:after="0" w:line="275" w:lineRule="auto"/>
        <w:tabs>
          <w:tab w:leader="none" w:pos="33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Consequences</w:t>
      </w:r>
      <w:r>
        <w:rPr>
          <w:rFonts w:ascii="Times New Roman" w:cs="Times New Roman" w:eastAsia="Times New Roman" w:hAnsi="Times New Roman"/>
          <w:sz w:val="16"/>
          <w:szCs w:val="16"/>
          <w:color w:val="auto"/>
        </w:rPr>
        <w:t>. No Shares will be delivered to you in settlement of vested Units unless you have made arrangements acceptable to the Company for payment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federal, state, local or foreign taxes that may be due as a result of the delivery of the Shares.</w:t>
      </w:r>
    </w:p>
    <w:p>
      <w:pPr>
        <w:spacing w:after="0" w:line="119" w:lineRule="exact"/>
        <w:rPr>
          <w:rFonts w:ascii="Times New Roman" w:cs="Times New Roman" w:eastAsia="Times New Roman" w:hAnsi="Times New Roman"/>
          <w:sz w:val="16"/>
          <w:szCs w:val="16"/>
          <w:color w:val="auto"/>
        </w:rPr>
      </w:pPr>
    </w:p>
    <w:p>
      <w:pPr>
        <w:jc w:val="both"/>
        <w:ind w:left="-5" w:firstLine="5"/>
        <w:spacing w:after="0" w:line="301" w:lineRule="auto"/>
        <w:tabs>
          <w:tab w:leader="none" w:pos="27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Every notice or other communication relating to this Agreement shall be in writing and shall be mailed to or delivered (including electronically) to the party for whom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w:t>
      </w:r>
    </w:p>
    <w:p>
      <w:pPr>
        <w:sectPr>
          <w:pgSz w:w="11900" w:h="16838" w:orient="portrait"/>
          <w:cols w:equalWidth="0" w:num="1">
            <w:col w:w="11275"/>
          </w:cols>
          <w:pgMar w:left="305" w:top="1137" w:right="319" w:bottom="1440" w:gutter="0" w:footer="0" w:header="0"/>
        </w:sectPr>
      </w:pPr>
    </w:p>
    <w:bookmarkStart w:id="94" w:name="page95"/>
    <w:bookmarkEnd w:id="94"/>
    <w:p>
      <w:pPr>
        <w:spacing w:after="0" w:line="273" w:lineRule="auto"/>
        <w:rPr>
          <w:sz w:val="20"/>
          <w:szCs w:val="20"/>
          <w:color w:val="auto"/>
        </w:rPr>
      </w:pPr>
      <w:r>
        <w:rPr>
          <w:rFonts w:ascii="Times New Roman" w:cs="Times New Roman" w:eastAsia="Times New Roman" w:hAnsi="Times New Roman"/>
          <w:sz w:val="16"/>
          <w:szCs w:val="16"/>
          <w:color w:val="auto"/>
        </w:rPr>
        <w:t>be given to you personally or may be mailed or, if you are still a Director, emailed to you at the address indicated in the Company's records as your most recent mailing or email address.</w:t>
      </w:r>
    </w:p>
    <w:p>
      <w:pPr>
        <w:spacing w:after="0" w:line="121" w:lineRule="exact"/>
        <w:rPr>
          <w:sz w:val="20"/>
          <w:szCs w:val="20"/>
          <w:color w:val="auto"/>
        </w:rPr>
      </w:pPr>
    </w:p>
    <w:p>
      <w:pPr>
        <w:ind w:left="360" w:hanging="355"/>
        <w:spacing w:after="0"/>
        <w:tabs>
          <w:tab w:leader="none" w:pos="3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Additional Provisions</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ind w:firstLine="514"/>
        <w:spacing w:after="0" w:line="259" w:lineRule="auto"/>
        <w:tabs>
          <w:tab w:leader="none" w:pos="89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 to Continued Service</w:t>
      </w:r>
      <w:r>
        <w:rPr>
          <w:rFonts w:ascii="Times New Roman" w:cs="Times New Roman" w:eastAsia="Times New Roman" w:hAnsi="Times New Roman"/>
          <w:sz w:val="16"/>
          <w:szCs w:val="16"/>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65" w:lineRule="exact"/>
        <w:rPr>
          <w:rFonts w:ascii="Times New Roman" w:cs="Times New Roman" w:eastAsia="Times New Roman" w:hAnsi="Times New Roman"/>
          <w:sz w:val="16"/>
          <w:szCs w:val="16"/>
          <w:color w:val="auto"/>
        </w:rPr>
      </w:pPr>
    </w:p>
    <w:p>
      <w:pPr>
        <w:jc w:val="both"/>
        <w:ind w:firstLine="514"/>
        <w:spacing w:after="0" w:line="254" w:lineRule="auto"/>
        <w:tabs>
          <w:tab w:leader="none" w:pos="888"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Plan Document</w:t>
      </w:r>
      <w:r>
        <w:rPr>
          <w:rFonts w:ascii="Times New Roman" w:cs="Times New Roman" w:eastAsia="Times New Roman" w:hAnsi="Times New Roman"/>
          <w:sz w:val="16"/>
          <w:szCs w:val="16"/>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69" w:lineRule="exact"/>
        <w:rPr>
          <w:rFonts w:ascii="Times New Roman" w:cs="Times New Roman" w:eastAsia="Times New Roman" w:hAnsi="Times New Roman"/>
          <w:sz w:val="16"/>
          <w:szCs w:val="16"/>
          <w:color w:val="auto"/>
        </w:rPr>
      </w:pPr>
    </w:p>
    <w:p>
      <w:pPr>
        <w:ind w:firstLine="514"/>
        <w:spacing w:after="0" w:line="259" w:lineRule="auto"/>
        <w:tabs>
          <w:tab w:leader="none" w:pos="848"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65" w:lineRule="exact"/>
        <w:rPr>
          <w:rFonts w:ascii="Times New Roman" w:cs="Times New Roman" w:eastAsia="Times New Roman" w:hAnsi="Times New Roman"/>
          <w:sz w:val="16"/>
          <w:szCs w:val="16"/>
          <w:color w:val="auto"/>
        </w:rPr>
      </w:pPr>
    </w:p>
    <w:p>
      <w:pPr>
        <w:jc w:val="both"/>
        <w:ind w:firstLine="514"/>
        <w:spacing w:after="0" w:line="254" w:lineRule="auto"/>
        <w:tabs>
          <w:tab w:leader="none" w:pos="846"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69" w:lineRule="exact"/>
        <w:rPr>
          <w:rFonts w:ascii="Times New Roman" w:cs="Times New Roman" w:eastAsia="Times New Roman" w:hAnsi="Times New Roman"/>
          <w:sz w:val="16"/>
          <w:szCs w:val="16"/>
          <w:color w:val="auto"/>
        </w:rPr>
      </w:pPr>
    </w:p>
    <w:p>
      <w:pPr>
        <w:ind w:left="920" w:hanging="406"/>
        <w:spacing w:after="0"/>
        <w:tabs>
          <w:tab w:leader="none" w:pos="9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will be binding in all respects on your heirs, representatives, successors and assigns, and on the successors and assigns of the</w:t>
      </w:r>
    </w:p>
    <w:p>
      <w:pPr>
        <w:spacing w:after="0" w:line="1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79" w:lineRule="exact"/>
        <w:rPr>
          <w:rFonts w:ascii="Times New Roman" w:cs="Times New Roman" w:eastAsia="Times New Roman" w:hAnsi="Times New Roman"/>
          <w:sz w:val="16"/>
          <w:szCs w:val="16"/>
          <w:color w:val="auto"/>
        </w:rPr>
      </w:pPr>
    </w:p>
    <w:p>
      <w:pPr>
        <w:jc w:val="both"/>
        <w:ind w:firstLine="514"/>
        <w:spacing w:after="0" w:line="254" w:lineRule="auto"/>
        <w:tabs>
          <w:tab w:leader="none" w:pos="831"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 Except to the extent Participant has elected to defer the Units pursuant to the terms of the Plan and his or her related deferral election form, the award of Units as provided in this Agreement and any issuance of Shares or payment pursuant to this Agreement are intended to be exempt from Section 409A of the Code under the short-term deferral exception specified in Treas. Reg. § 1.409A-l(b)(4).</w:t>
      </w:r>
    </w:p>
    <w:p>
      <w:pPr>
        <w:spacing w:after="0" w:line="169" w:lineRule="exact"/>
        <w:rPr>
          <w:rFonts w:ascii="Times New Roman" w:cs="Times New Roman" w:eastAsia="Times New Roman" w:hAnsi="Times New Roman"/>
          <w:sz w:val="16"/>
          <w:szCs w:val="16"/>
          <w:color w:val="auto"/>
        </w:rPr>
      </w:pPr>
    </w:p>
    <w:p>
      <w:pPr>
        <w:jc w:val="both"/>
        <w:ind w:firstLine="514"/>
        <w:spacing w:after="0" w:line="254" w:lineRule="auto"/>
        <w:tabs>
          <w:tab w:leader="none" w:pos="899"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 and Acceptance</w:t>
      </w:r>
      <w:r>
        <w:rPr>
          <w:rFonts w:ascii="Times New Roman" w:cs="Times New Roman" w:eastAsia="Times New Roman" w:hAnsi="Times New Roman"/>
          <w:sz w:val="16"/>
          <w:szCs w:val="16"/>
          <w:color w:val="auto"/>
        </w:rPr>
        <w:t>. The Company may deliver any documents related to this Restricted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24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ectPr>
          <w:pgSz w:w="11900" w:h="16838" w:orient="portrait"/>
          <w:cols w:equalWidth="0" w:num="1">
            <w:col w:w="11280"/>
          </w:cols>
          <w:pgMar w:left="300" w:top="1139" w:right="319" w:bottom="1440" w:gutter="0" w:footer="0" w:header="0"/>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538480</wp:posOffset>
            </wp:positionV>
            <wp:extent cx="1421765" cy="5187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5">
                      <a:extLst>
                        <a:ext uri="{28A0092B-C50C-407E-A947-70E740481C1C}"/>
                      </a:extLst>
                    </a:blip>
                    <a:srcRect/>
                    <a:stretch>
                      <a:fillRect/>
                    </a:stretch>
                  </pic:blipFill>
                  <pic:spPr bwMode="auto">
                    <a:xfrm>
                      <a:off x="0" y="0"/>
                      <a:ext cx="1421765" cy="51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8"/>
          <w:szCs w:val="28"/>
          <w:b w:val="1"/>
          <w:bCs w:val="1"/>
          <w:color w:val="auto"/>
        </w:rPr>
        <w:t>OFFICER INCENTIVE COMPENSATION PLAN</w:t>
      </w:r>
    </w:p>
    <w:p>
      <w:pPr>
        <w:spacing w:after="0" w:line="200" w:lineRule="exact"/>
        <w:rPr>
          <w:sz w:val="20"/>
          <w:szCs w:val="20"/>
          <w:color w:val="auto"/>
        </w:rPr>
      </w:pPr>
    </w:p>
    <w:p>
      <w:pPr>
        <w:spacing w:after="0" w:line="3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5"/>
          <w:szCs w:val="25"/>
          <w:b w:val="1"/>
          <w:bCs w:val="1"/>
          <w:color w:val="auto"/>
        </w:rPr>
        <w:t>Also referred to as the Annual Incentive Plan (AIP)</w:t>
      </w:r>
    </w:p>
    <w:p>
      <w:pPr>
        <w:sectPr>
          <w:pgSz w:w="11900" w:h="16838" w:orient="portrait"/>
          <w:cols w:equalWidth="0" w:num="1">
            <w:col w:w="10140"/>
          </w:cols>
          <w:pgMar w:left="1440" w:top="161" w:right="319" w:bottom="1440" w:gutter="0" w:footer="0" w:header="0"/>
        </w:sectPr>
      </w:pPr>
    </w:p>
    <w:bookmarkStart w:id="96" w:name="page97"/>
    <w:bookmarkEnd w:id="96"/>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2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OFFICER INCENTIVE COMPENSATION PLAN</w:t>
      </w:r>
    </w:p>
    <w:p>
      <w:pPr>
        <w:spacing w:after="0" w:line="200" w:lineRule="exact"/>
        <w:rPr>
          <w:sz w:val="20"/>
          <w:szCs w:val="20"/>
          <w:color w:val="auto"/>
        </w:rPr>
      </w:pPr>
    </w:p>
    <w:p>
      <w:pPr>
        <w:spacing w:after="0" w:line="326" w:lineRule="exact"/>
        <w:rPr>
          <w:sz w:val="20"/>
          <w:szCs w:val="20"/>
          <w:color w:val="auto"/>
        </w:rPr>
      </w:pPr>
    </w:p>
    <w:p>
      <w:pPr>
        <w:jc w:val="both"/>
        <w:ind w:left="515" w:hanging="515"/>
        <w:spacing w:after="0" w:line="258" w:lineRule="auto"/>
        <w:tabs>
          <w:tab w:leader="none" w:pos="30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Purpose</w:t>
      </w:r>
      <w:r>
        <w:rPr>
          <w:rFonts w:ascii="Times New Roman" w:cs="Times New Roman" w:eastAsia="Times New Roman" w:hAnsi="Times New Roman"/>
          <w:sz w:val="17"/>
          <w:szCs w:val="17"/>
          <w:color w:val="auto"/>
        </w:rPr>
        <w:t>. The purpose of the Winnebago Industries, Inc. Officer Incentive Compensation Plan (the “Plan”) is to promote the growth and profitability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Winnebago Industries, Inc. (the “Company”) by providing members of its executive leadership team, together with certain of its officers and other employees designated in the discretion of the Human Resources Committee (the “Committee”) with an incentive to achieve designated corporate objectives and to attract and retain personnel who will contribute to the achievement of growth and profitability of the Company.</w:t>
      </w:r>
    </w:p>
    <w:p>
      <w:pPr>
        <w:spacing w:after="0" w:line="146" w:lineRule="exact"/>
        <w:rPr>
          <w:rFonts w:ascii="Times New Roman" w:cs="Times New Roman" w:eastAsia="Times New Roman" w:hAnsi="Times New Roman"/>
          <w:sz w:val="17"/>
          <w:szCs w:val="17"/>
          <w:color w:val="auto"/>
        </w:rPr>
      </w:pPr>
    </w:p>
    <w:p>
      <w:pPr>
        <w:ind w:left="295" w:hanging="295"/>
        <w:spacing w:after="0"/>
        <w:tabs>
          <w:tab w:leader="none" w:pos="29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Authority; Administration</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left="795" w:hanging="286"/>
        <w:spacing w:after="0"/>
        <w:tabs>
          <w:tab w:leader="none" w:pos="79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Administrator</w:t>
      </w:r>
      <w:r>
        <w:rPr>
          <w:rFonts w:ascii="Times New Roman" w:cs="Times New Roman" w:eastAsia="Times New Roman" w:hAnsi="Times New Roman"/>
          <w:sz w:val="17"/>
          <w:szCs w:val="17"/>
          <w:color w:val="auto"/>
        </w:rPr>
        <w:t>. The Plan shall be administered by the Committee appointed by the Board of Directors.</w:t>
      </w:r>
    </w:p>
    <w:p>
      <w:pPr>
        <w:spacing w:after="0" w:line="175" w:lineRule="exact"/>
        <w:rPr>
          <w:rFonts w:ascii="Times New Roman" w:cs="Times New Roman" w:eastAsia="Times New Roman" w:hAnsi="Times New Roman"/>
          <w:sz w:val="17"/>
          <w:szCs w:val="17"/>
          <w:color w:val="auto"/>
        </w:rPr>
      </w:pPr>
    </w:p>
    <w:p>
      <w:pPr>
        <w:ind w:left="1015" w:hanging="506"/>
        <w:spacing w:after="0" w:line="259" w:lineRule="auto"/>
        <w:tabs>
          <w:tab w:leader="none" w:pos="803"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Powers and Duties</w:t>
      </w:r>
      <w:r>
        <w:rPr>
          <w:rFonts w:ascii="Times New Roman" w:cs="Times New Roman" w:eastAsia="Times New Roman" w:hAnsi="Times New Roman"/>
          <w:sz w:val="17"/>
          <w:szCs w:val="17"/>
          <w:color w:val="auto"/>
        </w:rPr>
        <w:t>. The Committee shall have sole discretion and authority to make any and all determinations necessary or advisable for administration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Plan, including but not limited to (i) making awards, (ii) determining when and to whom awards will be granted, (iii) determining the form, amount and other terms and conditions of each award, (iv) establishing the performance measure(s), performance objective(s) and relationship between the performance objective(s) and any award payments, and (v) determining final payouts under any award. All interpretations, decisions, or determinations made by the Committee pursuant to the Plan shall be final and conclusive.</w:t>
      </w:r>
    </w:p>
    <w:p>
      <w:pPr>
        <w:spacing w:after="0" w:line="133" w:lineRule="exact"/>
        <w:rPr>
          <w:rFonts w:ascii="Times New Roman" w:cs="Times New Roman" w:eastAsia="Times New Roman" w:hAnsi="Times New Roman"/>
          <w:sz w:val="17"/>
          <w:szCs w:val="17"/>
          <w:color w:val="auto"/>
        </w:rPr>
      </w:pPr>
    </w:p>
    <w:p>
      <w:pPr>
        <w:ind w:left="1015" w:right="40" w:hanging="506"/>
        <w:spacing w:after="0" w:line="255" w:lineRule="auto"/>
        <w:tabs>
          <w:tab w:leader="none" w:pos="793"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Annual Approval</w:t>
      </w:r>
      <w:r>
        <w:rPr>
          <w:rFonts w:ascii="Times New Roman" w:cs="Times New Roman" w:eastAsia="Times New Roman" w:hAnsi="Times New Roman"/>
          <w:sz w:val="17"/>
          <w:szCs w:val="17"/>
          <w:color w:val="auto"/>
        </w:rPr>
        <w:t>. The Committee must approve the Plan and specific performance measures and performance objectives and targets within the first 90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days of each new fiscal year; provided that the Committee may postpone approving the specific performance measures and performance objectives and targets for any performance period that is less than a full fiscal year in length and does not commence at the beginning of the fiscal year of the Company until a date that is within the first 25% of such performance period. Notwithstanding the foregoing, in all cases the performance measures and performance objectives and targets must be set at a time when the achievement of the performance objectives and targets is substantially uncertain. The Committee shall approve one or more notices of the performance measures and performance objectives and targets, as well as the form of payments, setting forth such details and any other terms and conditions applicable to the incentive awards for a Plan year.</w:t>
      </w:r>
    </w:p>
    <w:p>
      <w:pPr>
        <w:spacing w:after="0" w:line="137" w:lineRule="exact"/>
        <w:rPr>
          <w:rFonts w:ascii="Times New Roman" w:cs="Times New Roman" w:eastAsia="Times New Roman" w:hAnsi="Times New Roman"/>
          <w:sz w:val="17"/>
          <w:szCs w:val="17"/>
          <w:color w:val="auto"/>
        </w:rPr>
      </w:pPr>
    </w:p>
    <w:p>
      <w:pPr>
        <w:ind w:left="295" w:hanging="295"/>
        <w:spacing w:after="0"/>
        <w:tabs>
          <w:tab w:leader="none" w:pos="29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Participation Eligibility</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795" w:hanging="286"/>
        <w:spacing w:after="0"/>
        <w:tabs>
          <w:tab w:leader="none" w:pos="79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Participant must be (i) a member of the Company’s executive leadership team, (ii) an officer of the Company or (iii) an employee of the Company</w:t>
      </w:r>
    </w:p>
    <w:p>
      <w:pPr>
        <w:sectPr>
          <w:pgSz w:w="11900" w:h="16838" w:orient="portrait"/>
          <w:cols w:equalWidth="0" w:num="1">
            <w:col w:w="11255"/>
          </w:cols>
          <w:pgMar w:left="305" w:top="1136" w:right="339" w:bottom="1440" w:gutter="0" w:footer="0" w:header="0"/>
        </w:sectPr>
      </w:pPr>
    </w:p>
    <w:bookmarkStart w:id="97" w:name="page98"/>
    <w:bookmarkEnd w:id="97"/>
    <w:p>
      <w:pPr>
        <w:ind w:left="1015" w:right="440"/>
        <w:spacing w:after="0" w:line="276" w:lineRule="auto"/>
        <w:rPr>
          <w:sz w:val="20"/>
          <w:szCs w:val="20"/>
          <w:color w:val="auto"/>
        </w:rPr>
      </w:pPr>
      <w:r>
        <w:rPr>
          <w:rFonts w:ascii="Times New Roman" w:cs="Times New Roman" w:eastAsia="Times New Roman" w:hAnsi="Times New Roman"/>
          <w:sz w:val="17"/>
          <w:szCs w:val="17"/>
          <w:color w:val="auto"/>
        </w:rPr>
        <w:t>designated in the discretion of the Committee with responsibilities that may have a significant impact on the Company’s financial or operational results.</w:t>
      </w:r>
    </w:p>
    <w:p>
      <w:pPr>
        <w:spacing w:after="0" w:line="123" w:lineRule="exact"/>
        <w:rPr>
          <w:sz w:val="20"/>
          <w:szCs w:val="20"/>
          <w:color w:val="auto"/>
        </w:rPr>
      </w:pPr>
    </w:p>
    <w:p>
      <w:pPr>
        <w:ind w:left="1015" w:right="260" w:hanging="506"/>
        <w:spacing w:after="0" w:line="289" w:lineRule="auto"/>
        <w:tabs>
          <w:tab w:leader="none" w:pos="80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will approve all initial participation for each new Plan year. The Plan year shall be the fiscal year of the Company. Each Plan year can have one or more performance periods equal in length to a period of no more than one fiscal year of the Company.</w:t>
      </w:r>
    </w:p>
    <w:p>
      <w:pPr>
        <w:spacing w:after="0" w:line="112" w:lineRule="exact"/>
        <w:rPr>
          <w:rFonts w:ascii="Times New Roman" w:cs="Times New Roman" w:eastAsia="Times New Roman" w:hAnsi="Times New Roman"/>
          <w:sz w:val="17"/>
          <w:szCs w:val="17"/>
          <w:color w:val="auto"/>
        </w:rPr>
      </w:pPr>
    </w:p>
    <w:p>
      <w:pPr>
        <w:ind w:left="1015" w:right="160" w:hanging="506"/>
        <w:spacing w:after="0" w:line="276" w:lineRule="auto"/>
        <w:tabs>
          <w:tab w:leader="none" w:pos="79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will make the determination on participation for new participants. Unless otherwise determined by the Committee, participants must be employed by the Company as of the time the award is paid.</w:t>
      </w:r>
    </w:p>
    <w:p>
      <w:pPr>
        <w:spacing w:after="0" w:line="119" w:lineRule="exact"/>
        <w:rPr>
          <w:rFonts w:ascii="Times New Roman" w:cs="Times New Roman" w:eastAsia="Times New Roman" w:hAnsi="Times New Roman"/>
          <w:sz w:val="17"/>
          <w:szCs w:val="17"/>
          <w:color w:val="auto"/>
        </w:rPr>
      </w:pPr>
    </w:p>
    <w:p>
      <w:pPr>
        <w:ind w:left="515" w:right="40" w:hanging="515"/>
        <w:spacing w:after="0" w:line="256" w:lineRule="auto"/>
        <w:tabs>
          <w:tab w:leader="none" w:pos="303"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Nature of the Plan</w:t>
      </w:r>
      <w:r>
        <w:rPr>
          <w:rFonts w:ascii="Times New Roman" w:cs="Times New Roman" w:eastAsia="Times New Roman" w:hAnsi="Times New Roman"/>
          <w:sz w:val="17"/>
          <w:szCs w:val="17"/>
          <w:color w:val="auto"/>
        </w:rPr>
        <w:t>. The incentive award is based upon the level of achievement of one or more performance measures applying business criteria to one or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Plan participants, one or more business segments, units or divisions of the Company, or the Company as a whole, whether on an absolute basis, rate basis, or relative to a peer group of companies or other benchmark and may also include a performance measure that evaluates a Plan participant’s individual contributions to the Company, as determined in the discretion of the Committee. The Plan is an annual program that provides for measurements of financial, operational and/or individual performance over one or more performance periods and an opportunity for incentive payments based on such performance results.</w:t>
      </w:r>
    </w:p>
    <w:p>
      <w:pPr>
        <w:spacing w:after="0" w:line="143" w:lineRule="exact"/>
        <w:rPr>
          <w:sz w:val="20"/>
          <w:szCs w:val="20"/>
          <w:color w:val="auto"/>
        </w:rPr>
      </w:pPr>
    </w:p>
    <w:p>
      <w:pPr>
        <w:ind w:left="515"/>
        <w:spacing w:after="0" w:line="258" w:lineRule="auto"/>
        <w:rPr>
          <w:sz w:val="20"/>
          <w:szCs w:val="20"/>
          <w:color w:val="auto"/>
        </w:rPr>
      </w:pPr>
      <w:r>
        <w:rPr>
          <w:rFonts w:ascii="Times New Roman" w:cs="Times New Roman" w:eastAsia="Times New Roman" w:hAnsi="Times New Roman"/>
          <w:sz w:val="17"/>
          <w:szCs w:val="17"/>
          <w:color w:val="auto"/>
        </w:rPr>
        <w:t>The Committee shall establish the performance measures for this Plan and they will be based upon one or more pre-established (i) financial or operational performance measures and/or (ii) individual contribution performance measures for each Plan participant as a part of his or her underlying award. The Committee will (i) establish the performance objectives for each of the performance measures for each Plan participant, which may include a target incentive level, a minimum incentive level threshold below which an incentive will not be paid, and a maximum incentive level and (ii) communicate them to each Plan participant through an individual award schedule.</w:t>
      </w:r>
    </w:p>
    <w:p>
      <w:pPr>
        <w:spacing w:after="0" w:line="138" w:lineRule="exact"/>
        <w:rPr>
          <w:sz w:val="20"/>
          <w:szCs w:val="20"/>
          <w:color w:val="auto"/>
        </w:rPr>
      </w:pPr>
    </w:p>
    <w:p>
      <w:pPr>
        <w:ind w:left="515"/>
        <w:spacing w:after="0"/>
        <w:rPr>
          <w:sz w:val="20"/>
          <w:szCs w:val="20"/>
          <w:color w:val="auto"/>
        </w:rPr>
      </w:pPr>
      <w:r>
        <w:rPr>
          <w:rFonts w:ascii="Times New Roman" w:cs="Times New Roman" w:eastAsia="Times New Roman" w:hAnsi="Times New Roman"/>
          <w:sz w:val="17"/>
          <w:szCs w:val="17"/>
          <w:color w:val="auto"/>
        </w:rPr>
        <w:t>The Committee reserves the right to increase or reduce the total amount of any individual’s awards in its discretion.</w:t>
      </w:r>
    </w:p>
    <w:p>
      <w:pPr>
        <w:spacing w:after="0" w:line="176" w:lineRule="exact"/>
        <w:rPr>
          <w:sz w:val="20"/>
          <w:szCs w:val="20"/>
          <w:color w:val="auto"/>
        </w:rPr>
      </w:pPr>
    </w:p>
    <w:p>
      <w:pPr>
        <w:ind w:left="515" w:right="40"/>
        <w:spacing w:after="0" w:line="256" w:lineRule="auto"/>
        <w:rPr>
          <w:sz w:val="20"/>
          <w:szCs w:val="20"/>
          <w:color w:val="auto"/>
        </w:rPr>
      </w:pPr>
      <w:r>
        <w:rPr>
          <w:rFonts w:ascii="Times New Roman" w:cs="Times New Roman" w:eastAsia="Times New Roman" w:hAnsi="Times New Roman"/>
          <w:sz w:val="17"/>
          <w:szCs w:val="17"/>
          <w:color w:val="auto"/>
        </w:rPr>
        <w:t>The Committee may modify a performance period and/or provide adjustments to or waivers of the achievement of performance measures under specified circumstances such as (i) the occurrence of events that are unusual in nature, infrequently occurring or significant that were not anticipated by the Committee when the performance objectives were established, such as a Change in Control (as defined in Section 6), an equity restructuring, acquisitions, divestitures, restructuring activities, recapitalizations, or asset write-downs or (ii) a change in applicable tax laws or accounting principles. Any such modification, waiver and adjustment will be determined by the Committee in its sole discretion. The Committee may, in its discretion and based on such considerations as it deems appropriate, adjust any amount otherwise determined by the application of the performance objectives to be otherwise payable in connection with an Award. To the</w:t>
      </w:r>
    </w:p>
    <w:p>
      <w:pPr>
        <w:sectPr>
          <w:pgSz w:w="11900" w:h="16838" w:orient="portrait"/>
          <w:cols w:equalWidth="0" w:num="1">
            <w:col w:w="11255"/>
          </w:cols>
          <w:pgMar w:left="305" w:top="1148" w:right="339" w:bottom="1440" w:gutter="0" w:footer="0" w:header="0"/>
        </w:sectPr>
      </w:pPr>
    </w:p>
    <w:bookmarkStart w:id="98" w:name="page99"/>
    <w:bookmarkEnd w:id="98"/>
    <w:p>
      <w:pPr>
        <w:jc w:val="both"/>
        <w:ind w:left="515" w:right="220"/>
        <w:spacing w:after="0" w:line="262" w:lineRule="auto"/>
        <w:rPr>
          <w:sz w:val="20"/>
          <w:szCs w:val="20"/>
          <w:color w:val="auto"/>
        </w:rPr>
      </w:pPr>
      <w:r>
        <w:rPr>
          <w:rFonts w:ascii="Times New Roman" w:cs="Times New Roman" w:eastAsia="Times New Roman" w:hAnsi="Times New Roman"/>
          <w:sz w:val="17"/>
          <w:szCs w:val="17"/>
          <w:color w:val="auto"/>
        </w:rPr>
        <w:t>extent not inconsistent with applicable law or stock exchange rules, the Committee delegates to the CEO all or any portion of its authority under the Plan, including the authority to establish the performance measures and performance objectives and incentive Target for employees other than officers subject to Section 16 of the Exchange Act.</w:t>
      </w:r>
    </w:p>
    <w:p>
      <w:pPr>
        <w:spacing w:after="0" w:line="141" w:lineRule="exact"/>
        <w:rPr>
          <w:sz w:val="20"/>
          <w:szCs w:val="20"/>
          <w:color w:val="auto"/>
        </w:rPr>
      </w:pPr>
    </w:p>
    <w:p>
      <w:pPr>
        <w:ind w:left="515" w:right="320" w:hanging="515"/>
        <w:spacing w:after="0" w:line="264" w:lineRule="auto"/>
        <w:tabs>
          <w:tab w:leader="none" w:pos="30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Method of Payment</w:t>
      </w:r>
      <w:r>
        <w:rPr>
          <w:rFonts w:ascii="Times New Roman" w:cs="Times New Roman" w:eastAsia="Times New Roman" w:hAnsi="Times New Roman"/>
          <w:sz w:val="17"/>
          <w:szCs w:val="17"/>
          <w:color w:val="auto"/>
        </w:rPr>
        <w:t>. Individual participant incentive performance objectives, expressed as a percentage of base salary or a flat dollar amount, are approved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annually by the Committee. Actual incentive awards can range from 0% to 200% of a Plan participant’s incentive performance target and shall be communicated to Plan participants through an individual award schedule.</w:t>
      </w:r>
    </w:p>
    <w:p>
      <w:pPr>
        <w:spacing w:after="0" w:line="133" w:lineRule="exact"/>
        <w:rPr>
          <w:sz w:val="20"/>
          <w:szCs w:val="20"/>
          <w:color w:val="auto"/>
        </w:rPr>
      </w:pPr>
    </w:p>
    <w:p>
      <w:pPr>
        <w:ind w:left="515"/>
        <w:spacing w:after="0" w:line="274" w:lineRule="auto"/>
        <w:rPr>
          <w:sz w:val="20"/>
          <w:szCs w:val="20"/>
          <w:color w:val="auto"/>
        </w:rPr>
      </w:pPr>
      <w:r>
        <w:rPr>
          <w:rFonts w:ascii="Times New Roman" w:cs="Times New Roman" w:eastAsia="Times New Roman" w:hAnsi="Times New Roman"/>
          <w:sz w:val="16"/>
          <w:szCs w:val="16"/>
          <w:color w:val="auto"/>
        </w:rPr>
        <w:t>The amount of each participant’s incentive compensation for the fiscal year (or applicable performance period, if shorter) shall be in direct proportion to the resulting financial or operational performance of the relevant performance measure expressed as a percentage (Performance Factor) against predetermined compensation performance objectives for that participant. The Company’s or applicable business unit’s results for the fiscal year (or applicable performance period, if shorter) will be used in identifying the Performance Factor to be used when calculating the participant’s incentive compensation relating to financial or operational performance measures. If individual contribution performance measures were established by the Committee, the Committee shall evaluate an individual’s relative level of achievement of such contribution performance measures in determining the effect on the amount of the incentive compensation.</w:t>
      </w:r>
    </w:p>
    <w:p>
      <w:pPr>
        <w:spacing w:after="0" w:line="130" w:lineRule="exact"/>
        <w:rPr>
          <w:sz w:val="20"/>
          <w:szCs w:val="20"/>
          <w:color w:val="auto"/>
        </w:rPr>
      </w:pPr>
    </w:p>
    <w:p>
      <w:pPr>
        <w:ind w:left="515" w:right="20"/>
        <w:spacing w:after="0" w:line="255" w:lineRule="auto"/>
        <w:rPr>
          <w:sz w:val="20"/>
          <w:szCs w:val="20"/>
          <w:color w:val="auto"/>
        </w:rPr>
      </w:pPr>
      <w:r>
        <w:rPr>
          <w:rFonts w:ascii="Times New Roman" w:cs="Times New Roman" w:eastAsia="Times New Roman" w:hAnsi="Times New Roman"/>
          <w:sz w:val="17"/>
          <w:szCs w:val="17"/>
          <w:color w:val="auto"/>
        </w:rPr>
        <w:t>Incentive awards are paid in cash unless the Committee has determined, in its sole discretion, at the time that the performance measures for the fiscal year are established that all or any part of an award shall be settled in the form of shares of the Company’s common stock or other equity award granted pursuant to any then-current equity compensation plan that has been approved by the Company’s shareholders. No Participant shall have any ability to influence the form of any payment (cash, stock, or equity award) under the Plan. The cash, stock or equity award payment, if any, for each performance period during the Plan year shall be paid or awarded as soon as practical after the end of the Plan year following final measurement of financial and/or operational performance for all of the performance period(s) within the fiscal year as well as the Committee’s evaluation of any individual contribution performance measures, if any, and overall incentive amounts have been approved by the Committee in October following fiscal year end, but in no event later than 2 ½ months after the end of the fiscal year (subject to any deferred compensation election pursuant to any such plans of the Company).</w:t>
      </w:r>
    </w:p>
    <w:p>
      <w:pPr>
        <w:spacing w:after="0" w:line="142" w:lineRule="exact"/>
        <w:rPr>
          <w:sz w:val="20"/>
          <w:szCs w:val="20"/>
          <w:color w:val="auto"/>
        </w:rPr>
      </w:pPr>
    </w:p>
    <w:p>
      <w:pPr>
        <w:ind w:left="515"/>
        <w:spacing w:after="0"/>
        <w:rPr>
          <w:sz w:val="20"/>
          <w:szCs w:val="20"/>
          <w:color w:val="auto"/>
        </w:rPr>
      </w:pPr>
      <w:r>
        <w:rPr>
          <w:rFonts w:ascii="Times New Roman" w:cs="Times New Roman" w:eastAsia="Times New Roman" w:hAnsi="Times New Roman"/>
          <w:sz w:val="17"/>
          <w:szCs w:val="17"/>
          <w:color w:val="auto"/>
        </w:rPr>
        <w:t>Any payment made under this Plan shall be subject to any employment and income tax withholding and other deductions as required by law.</w:t>
      </w:r>
    </w:p>
    <w:p>
      <w:pPr>
        <w:spacing w:after="0" w:line="172" w:lineRule="exact"/>
        <w:rPr>
          <w:sz w:val="20"/>
          <w:szCs w:val="20"/>
          <w:color w:val="auto"/>
        </w:rPr>
      </w:pPr>
    </w:p>
    <w:p>
      <w:pPr>
        <w:ind w:left="515" w:right="140" w:hanging="515"/>
        <w:spacing w:after="0" w:line="281" w:lineRule="auto"/>
        <w:tabs>
          <w:tab w:leader="none" w:pos="30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 in Control</w:t>
      </w:r>
      <w:r>
        <w:rPr>
          <w:rFonts w:ascii="Times New Roman" w:cs="Times New Roman" w:eastAsia="Times New Roman" w:hAnsi="Times New Roman"/>
          <w:sz w:val="17"/>
          <w:szCs w:val="17"/>
          <w:color w:val="auto"/>
        </w:rPr>
        <w:t>. In the event of a Corporate Transaction (as defined below), then the surviving or successor entity may continue, assume or replace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outstanding under</w:t>
      </w:r>
    </w:p>
    <w:p>
      <w:pPr>
        <w:sectPr>
          <w:pgSz w:w="11900" w:h="16838" w:orient="portrait"/>
          <w:cols w:equalWidth="0" w:num="1">
            <w:col w:w="11235"/>
          </w:cols>
          <w:pgMar w:left="305" w:top="1148" w:right="359" w:bottom="1440" w:gutter="0" w:footer="0" w:header="0"/>
        </w:sectPr>
      </w:pPr>
    </w:p>
    <w:bookmarkStart w:id="99" w:name="page100"/>
    <w:bookmarkEnd w:id="99"/>
    <w:p>
      <w:pPr>
        <w:ind w:right="200"/>
        <w:spacing w:after="0" w:line="276" w:lineRule="auto"/>
        <w:rPr>
          <w:sz w:val="20"/>
          <w:szCs w:val="20"/>
          <w:color w:val="auto"/>
        </w:rPr>
      </w:pPr>
      <w:r>
        <w:rPr>
          <w:rFonts w:ascii="Times New Roman" w:cs="Times New Roman" w:eastAsia="Times New Roman" w:hAnsi="Times New Roman"/>
          <w:sz w:val="17"/>
          <w:szCs w:val="17"/>
          <w:color w:val="auto"/>
        </w:rPr>
        <w:t>the Plan as of the date of the Corporate Transaction, and such awards or replacements therefor shall remain outstanding and be governed by their respective terms.</w:t>
      </w:r>
    </w:p>
    <w:p>
      <w:pPr>
        <w:spacing w:after="0" w:line="1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If and to the extent that outstanding awards under the Plan are not continued, assumed or replaced in connection with a Corporate Transaction, then the awards under the Plan shall fully vest immediately prior to the effective time of the Corporate Transaction, meaning that each performance measure is deemed to have been satisfied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w:t>
      </w:r>
    </w:p>
    <w:p>
      <w:pPr>
        <w:spacing w:after="0" w:line="12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7"/>
          <w:szCs w:val="17"/>
          <w:color w:val="auto"/>
        </w:rPr>
        <w:t>If and to the extent that awards under this Plan are continued, assumed or replaced, and participant experiences an involuntary termination of employment to the Company after the Change in Control but prior to the award’s payment, for reasons other than Cause, or, if applicable, terminates his or her employment for Good Reason (as defined in any then-effective written agreement between the participant and the Company, if any), then the awards under this Plan shall immediately vest in full, meaning that each performance measure is deemed to have been satisfied at the greater of target level of performance or actual level of performance (if determinable).</w:t>
      </w:r>
    </w:p>
    <w:p>
      <w:pPr>
        <w:spacing w:after="0" w:line="13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 , unless otherwise defined in a then-effective written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one of the following:</w:t>
      </w:r>
    </w:p>
    <w:p>
      <w:pPr>
        <w:spacing w:after="0" w:line="180" w:lineRule="exact"/>
        <w:rPr>
          <w:sz w:val="20"/>
          <w:szCs w:val="20"/>
          <w:color w:val="auto"/>
        </w:rPr>
      </w:pPr>
    </w:p>
    <w:p>
      <w:pPr>
        <w:ind w:left="500" w:right="20" w:firstLine="1022"/>
        <w:spacing w:after="0" w:line="258" w:lineRule="auto"/>
        <w:tabs>
          <w:tab w:leader="none" w:pos="187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 (A) any acquisition of securities of the Company by an Exchange Act Person from the Company for the purpose of providing financing to the Company; (B) any formation of a Group consisting solely of beneficial owners of the Company's voting securities as of the effective date of this Plan; or (C) any repurchase or other acquisition by the Company of its Voting</w:t>
      </w:r>
    </w:p>
    <w:p>
      <w:pPr>
        <w:sectPr>
          <w:pgSz w:w="11900" w:h="16838" w:orient="portrait"/>
          <w:cols w:equalWidth="0" w:num="1">
            <w:col w:w="10760"/>
          </w:cols>
          <w:pgMar w:left="820" w:top="1148" w:right="319" w:bottom="1440" w:gutter="0" w:footer="0" w:header="0"/>
        </w:sectPr>
      </w:pPr>
    </w:p>
    <w:bookmarkStart w:id="100" w:name="page101"/>
    <w:bookmarkEnd w:id="100"/>
    <w:p>
      <w:pPr>
        <w:ind w:left="500"/>
        <w:spacing w:after="0"/>
        <w:rPr>
          <w:sz w:val="20"/>
          <w:szCs w:val="20"/>
          <w:color w:val="auto"/>
        </w:rPr>
      </w:pPr>
      <w:r>
        <w:rPr>
          <w:rFonts w:ascii="Times New Roman" w:cs="Times New Roman" w:eastAsia="Times New Roman" w:hAnsi="Times New Roman"/>
          <w:sz w:val="17"/>
          <w:szCs w:val="17"/>
          <w:color w:val="auto"/>
        </w:rPr>
        <w:t>Securities that causes any Exchange Act Person to become the beneficial owner of 30% or more of the Company’s voting securities.</w:t>
      </w:r>
    </w:p>
    <w:p>
      <w:pPr>
        <w:spacing w:after="0" w:line="176" w:lineRule="exact"/>
        <w:rPr>
          <w:sz w:val="20"/>
          <w:szCs w:val="20"/>
          <w:color w:val="auto"/>
        </w:rPr>
      </w:pPr>
    </w:p>
    <w:p>
      <w:pPr>
        <w:ind w:left="500" w:right="20"/>
        <w:spacing w:after="0" w:line="268" w:lineRule="auto"/>
        <w:rPr>
          <w:sz w:val="20"/>
          <w:szCs w:val="20"/>
          <w:color w:val="auto"/>
        </w:rPr>
      </w:pPr>
      <w:r>
        <w:rPr>
          <w:rFonts w:ascii="Times New Roman" w:cs="Times New Roman" w:eastAsia="Times New Roman" w:hAnsi="Times New Roman"/>
          <w:sz w:val="17"/>
          <w:szCs w:val="17"/>
          <w:color w:val="auto"/>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130" w:lineRule="exact"/>
        <w:rPr>
          <w:sz w:val="20"/>
          <w:szCs w:val="20"/>
          <w:color w:val="auto"/>
        </w:rPr>
      </w:pPr>
    </w:p>
    <w:p>
      <w:pPr>
        <w:ind w:left="880" w:hanging="367"/>
        <w:spacing w:after="0"/>
        <w:tabs>
          <w:tab w:leader="none" w:pos="8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Individuals who are Continuing Directors cease for any reason to constitute a majority of the members of the Board of Directors.</w:t>
      </w:r>
    </w:p>
    <w:p>
      <w:pPr>
        <w:spacing w:after="0" w:line="90" w:lineRule="exact"/>
        <w:rPr>
          <w:rFonts w:ascii="Times New Roman" w:cs="Times New Roman" w:eastAsia="Times New Roman" w:hAnsi="Times New Roman"/>
          <w:sz w:val="17"/>
          <w:szCs w:val="17"/>
          <w:color w:val="auto"/>
        </w:rPr>
      </w:pPr>
    </w:p>
    <w:p>
      <w:pPr>
        <w:jc w:val="both"/>
        <w:ind w:left="500" w:firstLine="3"/>
        <w:spacing w:after="0" w:line="258" w:lineRule="auto"/>
        <w:tabs>
          <w:tab w:leader="none" w:pos="903"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Continuing Director</w:t>
      </w:r>
      <w:r>
        <w:rPr>
          <w:rFonts w:ascii="Times New Roman" w:cs="Times New Roman" w:eastAsia="Times New Roman" w:hAnsi="Times New Roman"/>
          <w:sz w:val="17"/>
          <w:szCs w:val="17"/>
          <w:color w:val="auto"/>
        </w:rPr>
        <w:t>” 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34" w:lineRule="exact"/>
        <w:rPr>
          <w:sz w:val="20"/>
          <w:szCs w:val="20"/>
          <w:color w:val="auto"/>
        </w:rPr>
      </w:pPr>
    </w:p>
    <w:p>
      <w:pPr>
        <w:ind w:right="240" w:firstLine="1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Transaction</w:t>
      </w:r>
      <w:r>
        <w:rPr>
          <w:rFonts w:ascii="Times New Roman" w:cs="Times New Roman" w:eastAsia="Times New Roman" w:hAnsi="Times New Roman"/>
          <w:sz w:val="17"/>
          <w:szCs w:val="17"/>
          <w:color w:val="auto"/>
        </w:rPr>
        <w:t>”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15" w:lineRule="exact"/>
        <w:rPr>
          <w:sz w:val="20"/>
          <w:szCs w:val="20"/>
          <w:color w:val="auto"/>
        </w:rPr>
      </w:pPr>
    </w:p>
    <w:p>
      <w:pPr>
        <w:ind w:right="240" w:firstLine="11"/>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 Person</w:t>
      </w:r>
      <w:r>
        <w:rPr>
          <w:rFonts w:ascii="Times New Roman" w:cs="Times New Roman" w:eastAsia="Times New Roman" w:hAnsi="Times New Roman"/>
          <w:sz w:val="17"/>
          <w:szCs w:val="17"/>
          <w:color w:val="auto"/>
        </w:rPr>
        <w:t>”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ectPr>
          <w:pgSz w:w="11900" w:h="16838" w:orient="portrait"/>
          <w:cols w:equalWidth="0" w:num="1">
            <w:col w:w="10760"/>
          </w:cols>
          <w:pgMar w:left="820" w:top="1148" w:right="319" w:bottom="1440" w:gutter="0" w:footer="0" w:header="0"/>
        </w:sectPr>
      </w:pPr>
    </w:p>
    <w:bookmarkStart w:id="101" w:name="page102"/>
    <w:bookmarkEnd w:id="101"/>
    <w:p>
      <w:pPr>
        <w:ind w:left="515" w:right="480" w:firstLine="1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two or more persons who act, or agree to act together, as a partnership, limited partnership, syndicate or other group for the purpose of acquiring, holding, voting or disposing of securities of the Company.</w:t>
      </w:r>
    </w:p>
    <w:p>
      <w:pPr>
        <w:spacing w:after="0" w:line="115" w:lineRule="exact"/>
        <w:rPr>
          <w:sz w:val="20"/>
          <w:szCs w:val="20"/>
          <w:color w:val="auto"/>
        </w:rPr>
      </w:pPr>
    </w:p>
    <w:p>
      <w:pPr>
        <w:ind w:left="515"/>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Securities</w:t>
      </w:r>
      <w:r>
        <w:rPr>
          <w:rFonts w:ascii="Times New Roman" w:cs="Times New Roman" w:eastAsia="Times New Roman" w:hAnsi="Times New Roman"/>
          <w:sz w:val="17"/>
          <w:szCs w:val="17"/>
          <w:color w:val="auto"/>
        </w:rPr>
        <w:t>” of an entity means the outstanding equity securities (or comparable equity interests) entitled to vote generally in the election of directors of such entity.</w:t>
      </w:r>
    </w:p>
    <w:p>
      <w:pPr>
        <w:spacing w:after="0" w:line="105" w:lineRule="exact"/>
        <w:rPr>
          <w:sz w:val="20"/>
          <w:szCs w:val="20"/>
          <w:color w:val="auto"/>
        </w:rPr>
      </w:pPr>
    </w:p>
    <w:p>
      <w:pPr>
        <w:ind w:left="515" w:hanging="515"/>
        <w:spacing w:after="0" w:line="257" w:lineRule="auto"/>
        <w:tabs>
          <w:tab w:leader="none" w:pos="30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Recoupment of Incentive Compensation</w:t>
      </w:r>
      <w:r>
        <w:rPr>
          <w:rFonts w:ascii="Times New Roman" w:cs="Times New Roman" w:eastAsia="Times New Roman" w:hAnsi="Times New Roman"/>
          <w:sz w:val="17"/>
          <w:szCs w:val="17"/>
          <w:color w:val="auto"/>
        </w:rPr>
        <w:t>. Notwithstanding anything herein to the contrary, payments under the Plan shall be subject to forfeiture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recoupment to the extent required under federal law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of common stock are then listed, or as otherwise required by law. This Plan may be unilaterally amended by the Committee to comply with any such compensation recovery policy</w:t>
      </w:r>
      <w:r>
        <w:rPr>
          <w:rFonts w:ascii="Arial" w:cs="Arial" w:eastAsia="Arial" w:hAnsi="Arial"/>
          <w:sz w:val="17"/>
          <w:szCs w:val="17"/>
          <w:color w:val="auto"/>
        </w:rPr>
        <w:t>.</w:t>
      </w:r>
    </w:p>
    <w:p>
      <w:pPr>
        <w:spacing w:after="0" w:line="133" w:lineRule="exact"/>
        <w:rPr>
          <w:rFonts w:ascii="Times New Roman" w:cs="Times New Roman" w:eastAsia="Times New Roman" w:hAnsi="Times New Roman"/>
          <w:sz w:val="17"/>
          <w:szCs w:val="17"/>
          <w:color w:val="auto"/>
        </w:rPr>
      </w:pPr>
    </w:p>
    <w:p>
      <w:pPr>
        <w:ind w:left="515" w:right="580" w:hanging="515"/>
        <w:spacing w:after="0" w:line="281" w:lineRule="auto"/>
        <w:tabs>
          <w:tab w:leader="none" w:pos="30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Except to the extent preempted by federal law, the consideration and operation of the Plan shall be governed by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Minnesota.</w:t>
      </w:r>
    </w:p>
    <w:p>
      <w:pPr>
        <w:spacing w:after="0" w:line="115" w:lineRule="exact"/>
        <w:rPr>
          <w:rFonts w:ascii="Times New Roman" w:cs="Times New Roman" w:eastAsia="Times New Roman" w:hAnsi="Times New Roman"/>
          <w:sz w:val="17"/>
          <w:szCs w:val="17"/>
          <w:color w:val="auto"/>
        </w:rPr>
      </w:pPr>
    </w:p>
    <w:p>
      <w:pPr>
        <w:ind w:left="515" w:right="660" w:hanging="515"/>
        <w:spacing w:after="0" w:line="281" w:lineRule="auto"/>
        <w:tabs>
          <w:tab w:leader="none" w:pos="30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Employment Rights</w:t>
      </w:r>
      <w:r>
        <w:rPr>
          <w:rFonts w:ascii="Times New Roman" w:cs="Times New Roman" w:eastAsia="Times New Roman" w:hAnsi="Times New Roman"/>
          <w:sz w:val="17"/>
          <w:szCs w:val="17"/>
          <w:color w:val="auto"/>
        </w:rPr>
        <w:t>. Nothing in this Plan shall confer upon any employee the right to continue in the employ of the Company, or affect the right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to terminate an employee’s employment at any time, with or without Cause.</w:t>
      </w:r>
    </w:p>
    <w:p>
      <w:pPr>
        <w:spacing w:after="0" w:line="125" w:lineRule="exact"/>
        <w:rPr>
          <w:rFonts w:ascii="Times New Roman" w:cs="Times New Roman" w:eastAsia="Times New Roman" w:hAnsi="Times New Roman"/>
          <w:sz w:val="17"/>
          <w:szCs w:val="17"/>
          <w:color w:val="auto"/>
        </w:rPr>
      </w:pPr>
    </w:p>
    <w:p>
      <w:pPr>
        <w:ind w:left="515" w:right="40" w:hanging="515"/>
        <w:spacing w:after="0" w:line="281" w:lineRule="auto"/>
        <w:tabs>
          <w:tab w:leader="none" w:pos="38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Nontransferability</w:t>
      </w:r>
      <w:r>
        <w:rPr>
          <w:rFonts w:ascii="Times New Roman" w:cs="Times New Roman" w:eastAsia="Times New Roman" w:hAnsi="Times New Roman"/>
          <w:sz w:val="17"/>
          <w:szCs w:val="17"/>
          <w:color w:val="auto"/>
        </w:rPr>
        <w:t>. Participants and beneficiaries shall not have the right to assign, encumber or otherwise anticipate the payments to be made under this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benefits provided hereunder shall not be subject to seizure for payment of any debts or judgments against any participant or any beneficiary.</w:t>
      </w:r>
    </w:p>
    <w:p>
      <w:pPr>
        <w:spacing w:after="0" w:line="115" w:lineRule="exact"/>
        <w:rPr>
          <w:rFonts w:ascii="Times New Roman" w:cs="Times New Roman" w:eastAsia="Times New Roman" w:hAnsi="Times New Roman"/>
          <w:sz w:val="17"/>
          <w:szCs w:val="17"/>
          <w:color w:val="auto"/>
        </w:rPr>
      </w:pPr>
    </w:p>
    <w:p>
      <w:pPr>
        <w:ind w:left="515" w:right="540" w:hanging="515"/>
        <w:spacing w:after="0" w:line="281" w:lineRule="auto"/>
        <w:tabs>
          <w:tab w:leader="none" w:pos="38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Deferrals of Payments</w:t>
      </w:r>
      <w:r>
        <w:rPr>
          <w:rFonts w:ascii="Times New Roman" w:cs="Times New Roman" w:eastAsia="Times New Roman" w:hAnsi="Times New Roman"/>
          <w:sz w:val="17"/>
          <w:szCs w:val="17"/>
          <w:color w:val="auto"/>
        </w:rPr>
        <w:t>. To the extent permissible by any deferred compensation plan of the Company permitting for deferrals of the payment of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granted under this Plan, payments under this Plan may be deferred on the terms and conditions set forth in such plan(s).</w:t>
      </w:r>
    </w:p>
    <w:p>
      <w:pPr>
        <w:spacing w:after="0" w:line="115" w:lineRule="exact"/>
        <w:rPr>
          <w:rFonts w:ascii="Times New Roman" w:cs="Times New Roman" w:eastAsia="Times New Roman" w:hAnsi="Times New Roman"/>
          <w:sz w:val="17"/>
          <w:szCs w:val="17"/>
          <w:color w:val="auto"/>
        </w:rPr>
      </w:pPr>
    </w:p>
    <w:p>
      <w:pPr>
        <w:ind w:left="515" w:right="180" w:hanging="515"/>
        <w:spacing w:after="0" w:line="263" w:lineRule="auto"/>
        <w:tabs>
          <w:tab w:leader="none" w:pos="38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If any provision of this Plan is or becomes or is deemed to be invalid, illegal or unenforceable in any jurisdiction such provision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construed or deemed amended to conform to applicable laws, or if it cannot be so construed or deemed amended without, in the determination of the Committee, materially altering the purpose or intent of this Plan, such provision shall be stricken as to such jurisdiction, and the remainder of this Plan shall remain in full force and effect.</w:t>
      </w:r>
    </w:p>
    <w:p>
      <w:pPr>
        <w:spacing w:after="0" w:line="129" w:lineRule="exact"/>
        <w:rPr>
          <w:rFonts w:ascii="Times New Roman" w:cs="Times New Roman" w:eastAsia="Times New Roman" w:hAnsi="Times New Roman"/>
          <w:sz w:val="17"/>
          <w:szCs w:val="17"/>
          <w:color w:val="auto"/>
        </w:rPr>
      </w:pPr>
    </w:p>
    <w:p>
      <w:pPr>
        <w:ind w:left="515" w:right="380" w:hanging="515"/>
        <w:spacing w:after="0" w:line="281" w:lineRule="auto"/>
        <w:tabs>
          <w:tab w:leader="none" w:pos="38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w:t>
      </w:r>
      <w:r>
        <w:rPr>
          <w:rFonts w:ascii="Times New Roman" w:cs="Times New Roman" w:eastAsia="Times New Roman" w:hAnsi="Times New Roman"/>
          <w:sz w:val="17"/>
          <w:szCs w:val="17"/>
          <w:color w:val="auto"/>
        </w:rPr>
        <w:t>. The Committee may amend this Plan prospectively at any time and for any reason deemed sufficient by it without prior notice to any person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affected by this Plan, except that no such amendment may materially impair the rights of any participant with</w:t>
      </w:r>
    </w:p>
    <w:p>
      <w:pPr>
        <w:sectPr>
          <w:pgSz w:w="11900" w:h="16838" w:orient="portrait"/>
          <w:cols w:equalWidth="0" w:num="1">
            <w:col w:w="11275"/>
          </w:cols>
          <w:pgMar w:left="305" w:top="1144"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color w:val="auto"/>
        </w:rPr>
        <w:t>respect to an outstanding award without the participant’s consent, unless such amendment is necessary to comply with applicable law or stock exchange rules.</w:t>
      </w:r>
    </w:p>
    <w:p>
      <w:pPr>
        <w:sectPr>
          <w:pgSz w:w="11900" w:h="16838" w:orient="portrait"/>
          <w:cols w:equalWidth="0" w:num="1">
            <w:col w:w="10740"/>
          </w:cols>
          <w:pgMar w:left="820" w:top="1148" w:right="339"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OFFICER INCENTIVE COMPENSATION PLAN</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Annual Incentive Award: Fiscal 2024 Plan Year Notice</w:t>
      </w:r>
    </w:p>
    <w:p>
      <w:pPr>
        <w:spacing w:after="0" w:line="200" w:lineRule="exact"/>
        <w:rPr>
          <w:sz w:val="20"/>
          <w:szCs w:val="20"/>
          <w:color w:val="auto"/>
        </w:rPr>
      </w:pPr>
    </w:p>
    <w:p>
      <w:pPr>
        <w:spacing w:after="0" w:line="341"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7"/>
          <w:szCs w:val="17"/>
          <w:color w:val="auto"/>
        </w:rPr>
        <w:t>This annual incentive award is granted under the Winnebago Industries, Inc. Officer Incentive Compensation Plan (the “Plan”) and is subject to the terms and conditions of such Plan.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Fiscal 2024 plan year will consist of the following performance periods, performance measures and weightings: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5780" w:type="dxa"/>
            <w:vAlign w:val="bottom"/>
            <w:tcBorders>
              <w:top w:val="single" w:sz="8" w:color="auto"/>
              <w:left w:val="single" w:sz="8" w:color="auto"/>
              <w:bottom w:val="single" w:sz="8" w:color="auto"/>
              <w:right w:val="single" w:sz="8" w:color="auto"/>
            </w:tcBorders>
            <w:shd w:val="clear" w:color="auto" w:fill="EEECE1"/>
          </w:tcPr>
          <w:p>
            <w:pPr>
              <w:ind w:left="2080"/>
              <w:spacing w:after="0"/>
              <w:rPr>
                <w:sz w:val="20"/>
                <w:szCs w:val="20"/>
                <w:color w:val="auto"/>
              </w:rPr>
            </w:pPr>
            <w:r>
              <w:rPr>
                <w:rFonts w:ascii="Times New Roman" w:cs="Times New Roman" w:eastAsia="Times New Roman" w:hAnsi="Times New Roman"/>
                <w:sz w:val="17"/>
                <w:szCs w:val="17"/>
                <w:b w:val="1"/>
                <w:bCs w:val="1"/>
                <w:color w:val="auto"/>
              </w:rPr>
              <w:t>Performance Measure</w:t>
            </w:r>
          </w:p>
        </w:tc>
        <w:tc>
          <w:tcPr>
            <w:tcW w:w="2820" w:type="dxa"/>
            <w:vAlign w:val="bottom"/>
            <w:tcBorders>
              <w:top w:val="single" w:sz="8" w:color="auto"/>
              <w:bottom w:val="single" w:sz="8" w:color="auto"/>
              <w:right w:val="single" w:sz="8" w:color="auto"/>
            </w:tcBorders>
            <w:shd w:val="clear" w:color="auto" w:fill="EEECE1"/>
          </w:tcPr>
          <w:p>
            <w:pPr>
              <w:ind w:left="660"/>
              <w:spacing w:after="0"/>
              <w:rPr>
                <w:sz w:val="20"/>
                <w:szCs w:val="20"/>
                <w:color w:val="auto"/>
              </w:rPr>
            </w:pPr>
            <w:r>
              <w:rPr>
                <w:rFonts w:ascii="Times New Roman" w:cs="Times New Roman" w:eastAsia="Times New Roman" w:hAnsi="Times New Roman"/>
                <w:sz w:val="17"/>
                <w:szCs w:val="17"/>
                <w:b w:val="1"/>
                <w:bCs w:val="1"/>
                <w:color w:val="auto"/>
              </w:rPr>
              <w:t>Performance Period</w:t>
            </w:r>
          </w:p>
        </w:tc>
        <w:tc>
          <w:tcPr>
            <w:tcW w:w="2700" w:type="dxa"/>
            <w:vAlign w:val="bottom"/>
            <w:tcBorders>
              <w:top w:val="single" w:sz="8" w:color="auto"/>
              <w:bottom w:val="single" w:sz="8" w:color="auto"/>
              <w:right w:val="single" w:sz="8" w:color="auto"/>
            </w:tcBorders>
            <w:shd w:val="clear" w:color="auto" w:fill="EEECE1"/>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Weighting (% of total target award)</w:t>
            </w:r>
          </w:p>
        </w:tc>
        <w:tc>
          <w:tcPr>
            <w:tcW w:w="0" w:type="dxa"/>
            <w:vAlign w:val="bottom"/>
          </w:tcPr>
          <w:p>
            <w:pPr>
              <w:spacing w:after="0"/>
              <w:rPr>
                <w:sz w:val="1"/>
                <w:szCs w:val="1"/>
                <w:color w:val="auto"/>
              </w:rPr>
            </w:pPr>
          </w:p>
        </w:tc>
      </w:tr>
      <w:tr>
        <w:trPr>
          <w:trHeight w:val="150"/>
        </w:trPr>
        <w:tc>
          <w:tcPr>
            <w:tcW w:w="5780" w:type="dxa"/>
            <w:vAlign w:val="bottom"/>
            <w:tcBorders>
              <w:left w:val="single" w:sz="8" w:color="auto"/>
              <w:right w:val="single" w:sz="8" w:color="auto"/>
            </w:tcBorders>
          </w:tcPr>
          <w:p>
            <w:pPr>
              <w:ind w:left="60"/>
              <w:spacing w:after="0" w:line="150" w:lineRule="exact"/>
              <w:rPr>
                <w:sz w:val="20"/>
                <w:szCs w:val="20"/>
                <w:color w:val="auto"/>
              </w:rPr>
            </w:pPr>
            <w:r>
              <w:rPr>
                <w:rFonts w:ascii="Times New Roman" w:cs="Times New Roman" w:eastAsia="Times New Roman" w:hAnsi="Times New Roman"/>
                <w:sz w:val="17"/>
                <w:szCs w:val="17"/>
                <w:color w:val="auto"/>
              </w:rPr>
              <w:t>Individual performance measures (see individual award schedule for participant’s</w:t>
            </w:r>
          </w:p>
        </w:tc>
        <w:tc>
          <w:tcPr>
            <w:tcW w:w="282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w w:val="97"/>
              </w:rPr>
              <w:t>FY24*</w:t>
            </w:r>
          </w:p>
        </w:tc>
        <w:tc>
          <w:tcPr>
            <w:tcW w:w="270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1"/>
        </w:trPr>
        <w:tc>
          <w:tcPr>
            <w:tcW w:w="57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individual performance metrics)</w:t>
            </w:r>
          </w:p>
        </w:tc>
        <w:tc>
          <w:tcPr>
            <w:tcW w:w="282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5780" w:type="dxa"/>
            <w:vAlign w:val="bottom"/>
            <w:tcBorders>
              <w:left w:val="single" w:sz="8" w:color="auto"/>
              <w:right w:val="single" w:sz="8" w:color="auto"/>
            </w:tcBorders>
          </w:tcPr>
          <w:p>
            <w:pPr>
              <w:ind w:left="60"/>
              <w:spacing w:after="0" w:line="152" w:lineRule="exact"/>
              <w:rPr>
                <w:sz w:val="20"/>
                <w:szCs w:val="20"/>
                <w:color w:val="auto"/>
              </w:rPr>
            </w:pPr>
            <w:r>
              <w:rPr>
                <w:rFonts w:ascii="Times New Roman" w:cs="Times New Roman" w:eastAsia="Times New Roman" w:hAnsi="Times New Roman"/>
                <w:sz w:val="17"/>
                <w:szCs w:val="17"/>
                <w:color w:val="auto"/>
              </w:rPr>
              <w:t>Financial measures (see individual award schedule for financial measures</w:t>
            </w:r>
          </w:p>
        </w:tc>
        <w:tc>
          <w:tcPr>
            <w:tcW w:w="282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w w:val="97"/>
              </w:rPr>
              <w:t>FY24*</w:t>
            </w:r>
          </w:p>
        </w:tc>
        <w:tc>
          <w:tcPr>
            <w:tcW w:w="27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53"/>
        </w:trPr>
        <w:tc>
          <w:tcPr>
            <w:tcW w:w="5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applicable to the FY24, 1H and 2H performance periods)</w:t>
            </w:r>
          </w:p>
        </w:tc>
        <w:tc>
          <w:tcPr>
            <w:tcW w:w="282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780" w:type="dxa"/>
            <w:vAlign w:val="bottom"/>
            <w:tcBorders>
              <w:left w:val="single" w:sz="8" w:color="auto"/>
              <w:right w:val="single" w:sz="8" w:color="auto"/>
            </w:tcBorders>
            <w:vMerge w:val="continue"/>
          </w:tcPr>
          <w:p>
            <w:pPr>
              <w:spacing w:after="0"/>
              <w:rPr>
                <w:sz w:val="17"/>
                <w:szCs w:val="17"/>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1H</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03"/>
        </w:trPr>
        <w:tc>
          <w:tcPr>
            <w:tcW w:w="5780" w:type="dxa"/>
            <w:vAlign w:val="bottom"/>
            <w:tcBorders>
              <w:left w:val="single" w:sz="8" w:color="auto"/>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2H</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240" w:firstLine="5"/>
        <w:spacing w:after="0" w:line="281" w:lineRule="auto"/>
        <w:tabs>
          <w:tab w:leader="none" w:pos="96"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elect to defer all or a portion of your bonus under the Company’s Executive Deferred Compensation Plan, such election will only apply to the portion of your incentive award for the FY24 performance periods (and will not apply to the portion of your incentive award for the 1H or 2H performance periods).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FY24 = the full fiscal year ending August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1H = the first two fiscal quarters of FY24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2H = the last two fiscal quarters of FY24</w:t>
      </w:r>
    </w:p>
    <w:p>
      <w:pPr>
        <w:spacing w:after="0" w:line="186"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The financial measures component for each performance period may be sub-divided into multiple performance measures with associated weightings as set forth on the participant’s individual award schedule.</w:t>
      </w:r>
    </w:p>
    <w:p>
      <w:pPr>
        <w:spacing w:after="0" w:line="1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Each financial metric sets forth a threshold, target and maximum level of achievement, with the target being expressed as a range (the “target zone”), such that achievement of results at any level within the target zone will result in a payout at target. Payouts for achievement of results between the threshold and the low-end of the target zone or the high-end of the target zone and maximum levels shall be determined by straight-line interpolation.</w:t>
      </w:r>
    </w:p>
    <w:p>
      <w:pPr>
        <w:spacing w:after="0" w:line="134"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All financial measures set forth in the individual award schedule shall have the definitions set forth below and shall be calculated in accordance with GAAP, subject to adjustment as set forth in the Plan:</w:t>
      </w:r>
    </w:p>
    <w:p>
      <w:pPr>
        <w:spacing w:after="0" w:line="113" w:lineRule="exact"/>
        <w:rPr>
          <w:sz w:val="20"/>
          <w:szCs w:val="20"/>
          <w:color w:val="auto"/>
        </w:rPr>
      </w:pPr>
    </w:p>
    <w:p>
      <w:pPr>
        <w:ind w:left="520" w:right="100" w:hanging="260"/>
        <w:spacing w:after="0" w:line="276" w:lineRule="auto"/>
        <w:tabs>
          <w:tab w:leader="none" w:pos="51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Net Sales less Cost of Goods Sold less Selling, General and Administrative costs (excludes non-op income/expense and interest expense). Adjust for</w:t>
      </w:r>
    </w:p>
    <w:p>
      <w:pPr>
        <w:sectPr>
          <w:pgSz w:w="11900" w:h="16838" w:orient="portrait"/>
          <w:cols w:equalWidth="0" w:num="1">
            <w:col w:w="11300"/>
          </w:cols>
          <w:pgMar w:left="300" w:top="1136" w:right="299" w:bottom="1440" w:gutter="0" w:footer="0" w:header="0"/>
        </w:sectPr>
      </w:pPr>
    </w:p>
    <w:bookmarkStart w:id="104" w:name="page105"/>
    <w:bookmarkEnd w:id="104"/>
    <w:p>
      <w:pPr>
        <w:ind w:left="520"/>
        <w:spacing w:after="0"/>
        <w:rPr>
          <w:sz w:val="20"/>
          <w:szCs w:val="20"/>
          <w:color w:val="auto"/>
        </w:rPr>
      </w:pPr>
      <w:r>
        <w:rPr>
          <w:rFonts w:ascii="Times New Roman" w:cs="Times New Roman" w:eastAsia="Times New Roman" w:hAnsi="Times New Roman"/>
          <w:sz w:val="17"/>
          <w:szCs w:val="17"/>
          <w:color w:val="auto"/>
        </w:rPr>
        <w:t>Board approved non-GAAP/non-recurring disclosure items that affect operating income not contemplated in the plan.</w:t>
      </w:r>
    </w:p>
    <w:p>
      <w:pPr>
        <w:spacing w:after="0" w:line="91" w:lineRule="exact"/>
        <w:rPr>
          <w:sz w:val="20"/>
          <w:szCs w:val="20"/>
          <w:color w:val="auto"/>
        </w:rPr>
      </w:pPr>
    </w:p>
    <w:p>
      <w:pPr>
        <w:ind w:left="500" w:hanging="240"/>
        <w:spacing w:after="0"/>
        <w:tabs>
          <w:tab w:leader="none" w:pos="5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Sales: Gross sales (list price to dealer) less allowances and discounts</w:t>
      </w:r>
    </w:p>
    <w:p>
      <w:pPr>
        <w:spacing w:after="0" w:line="90"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Working Capital (Inventory + Accounts Receivable – Accounts Payable) divided by trailing 12 months net sales</w:t>
      </w:r>
    </w:p>
    <w:p>
      <w:pPr>
        <w:spacing w:after="0" w:line="99" w:lineRule="exact"/>
        <w:rPr>
          <w:rFonts w:ascii="Times New Roman" w:cs="Times New Roman" w:eastAsia="Times New Roman" w:hAnsi="Times New Roman"/>
          <w:sz w:val="17"/>
          <w:szCs w:val="17"/>
          <w:color w:val="auto"/>
        </w:rPr>
      </w:pPr>
    </w:p>
    <w:p>
      <w:pPr>
        <w:ind w:left="760" w:right="3700"/>
        <w:spacing w:after="0" w:line="350"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For the 1H and 2H periods, trailing 6 month average working capital as of the end of that period</w:t>
      </w:r>
      <w:r>
        <w:rPr>
          <w:rFonts w:ascii="Courier New" w:cs="Courier New" w:eastAsia="Courier New" w:hAnsi="Courier New"/>
          <w:sz w:val="17"/>
          <w:szCs w:val="17"/>
          <w:color w:val="auto"/>
        </w:rPr>
        <w:t xml:space="preserve"> o </w:t>
      </w:r>
      <w:r>
        <w:rPr>
          <w:rFonts w:ascii="Times New Roman" w:cs="Times New Roman" w:eastAsia="Times New Roman" w:hAnsi="Times New Roman"/>
          <w:sz w:val="17"/>
          <w:szCs w:val="17"/>
          <w:color w:val="auto"/>
        </w:rPr>
        <w:t>For the FY24 period, trailing 12 month average working capital as of the end of that period</w:t>
      </w:r>
    </w:p>
    <w:p>
      <w:pPr>
        <w:spacing w:after="0" w:line="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Form of Payouts: </w:t>
      </w:r>
      <w:r>
        <w:rPr>
          <w:rFonts w:ascii="Times New Roman" w:cs="Times New Roman" w:eastAsia="Times New Roman" w:hAnsi="Times New Roman"/>
          <w:sz w:val="17"/>
          <w:szCs w:val="17"/>
          <w:color w:val="auto"/>
        </w:rPr>
        <w:t>Payouts under these incentive award for the performance periods shall be made in the form of cash following the end of FY24,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of the Plan.</w:t>
      </w:r>
    </w:p>
    <w:p>
      <w:pPr>
        <w:spacing w:after="0" w:line="11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Individual Award Schedule: </w:t>
      </w:r>
      <w:r>
        <w:rPr>
          <w:rFonts w:ascii="Times New Roman" w:cs="Times New Roman" w:eastAsia="Times New Roman" w:hAnsi="Times New Roman"/>
          <w:sz w:val="17"/>
          <w:szCs w:val="17"/>
          <w:color w:val="auto"/>
        </w:rPr>
        <w:t>Each participant will receive an individual award schedule setting forth the individual and financial performance measures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such participant for the performance periods set forth above, including the applicable weightings of financial measures for each performance period. The individual award schedule also sets forth the participant’s target bonus.</w:t>
      </w:r>
    </w:p>
    <w:p>
      <w:pPr>
        <w:sectPr>
          <w:pgSz w:w="11900" w:h="16838" w:orient="portrait"/>
          <w:cols w:equalWidth="0" w:num="1">
            <w:col w:w="11240"/>
          </w:cols>
          <w:pgMar w:left="300" w:top="1148" w:right="3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auto"/>
        </w:rPr>
        <w:t>Exhibit 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538480</wp:posOffset>
            </wp:positionV>
            <wp:extent cx="1421765" cy="5187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6">
                      <a:extLst>
                        <a:ext uri="{28A0092B-C50C-407E-A947-70E740481C1C}"/>
                      </a:extLst>
                    </a:blip>
                    <a:srcRect/>
                    <a:stretch>
                      <a:fillRect/>
                    </a:stretch>
                  </pic:blipFill>
                  <pic:spPr bwMode="auto">
                    <a:xfrm>
                      <a:off x="0" y="0"/>
                      <a:ext cx="1421765" cy="51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8"/>
          <w:szCs w:val="28"/>
          <w:b w:val="1"/>
          <w:bCs w:val="1"/>
          <w:color w:val="auto"/>
        </w:rPr>
        <w:t>OFFICER INCENTIVE COMPENSATION PLAN</w:t>
      </w:r>
    </w:p>
    <w:p>
      <w:pPr>
        <w:spacing w:after="0" w:line="200" w:lineRule="exact"/>
        <w:rPr>
          <w:sz w:val="20"/>
          <w:szCs w:val="20"/>
          <w:color w:val="auto"/>
        </w:rPr>
      </w:pPr>
    </w:p>
    <w:p>
      <w:pPr>
        <w:spacing w:after="0" w:line="34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5"/>
          <w:szCs w:val="25"/>
          <w:b w:val="1"/>
          <w:bCs w:val="1"/>
          <w:color w:val="auto"/>
        </w:rPr>
        <w:t>Also referred to as the Annual Incentive Plan (AIP)</w:t>
      </w:r>
    </w:p>
    <w:p>
      <w:pPr>
        <w:sectPr>
          <w:pgSz w:w="11900" w:h="16838" w:orient="portrait"/>
          <w:cols w:equalWidth="0" w:num="1">
            <w:col w:w="10140"/>
          </w:cols>
          <w:pgMar w:left="1440" w:top="161" w:right="319" w:bottom="1440" w:gutter="0" w:footer="0" w:header="0"/>
        </w:sectPr>
      </w:pPr>
    </w:p>
    <w:bookmarkStart w:id="106" w:name="page107"/>
    <w:bookmarkEnd w:id="106"/>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2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b w:val="1"/>
          <w:bCs w:val="1"/>
          <w:color w:val="auto"/>
        </w:rPr>
        <w:t>OFFICER INCENTIVE COMPENSATION PLAN</w:t>
      </w:r>
    </w:p>
    <w:p>
      <w:pPr>
        <w:spacing w:after="0" w:line="200" w:lineRule="exact"/>
        <w:rPr>
          <w:sz w:val="20"/>
          <w:szCs w:val="20"/>
          <w:color w:val="auto"/>
        </w:rPr>
      </w:pPr>
    </w:p>
    <w:p>
      <w:pPr>
        <w:spacing w:after="0" w:line="326" w:lineRule="exact"/>
        <w:rPr>
          <w:sz w:val="20"/>
          <w:szCs w:val="20"/>
          <w:color w:val="auto"/>
        </w:rPr>
      </w:pPr>
    </w:p>
    <w:p>
      <w:pPr>
        <w:jc w:val="both"/>
        <w:ind w:left="515" w:hanging="515"/>
        <w:spacing w:after="0" w:line="258" w:lineRule="auto"/>
        <w:tabs>
          <w:tab w:leader="none" w:pos="30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Purpose</w:t>
      </w:r>
      <w:r>
        <w:rPr>
          <w:rFonts w:ascii="Times New Roman" w:cs="Times New Roman" w:eastAsia="Times New Roman" w:hAnsi="Times New Roman"/>
          <w:sz w:val="17"/>
          <w:szCs w:val="17"/>
          <w:color w:val="auto"/>
        </w:rPr>
        <w:t>. The purpose of the Winnebago Industries, Inc. Officer Incentive Compensation Plan (the “Plan”) is to promote the growth and profitability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Winnebago Industries, Inc. (the “Company”) by providing members of its executive leadership team, together with certain of its officers and other employees designated in the discretion of the Human Resources Committee (the “Committee”) with an incentive to achieve designated corporate objectives and to attract and retain personnel who will contribute to the achievement of growth and profitability of the Company.</w:t>
      </w:r>
    </w:p>
    <w:p>
      <w:pPr>
        <w:spacing w:after="0" w:line="146" w:lineRule="exact"/>
        <w:rPr>
          <w:rFonts w:ascii="Times New Roman" w:cs="Times New Roman" w:eastAsia="Times New Roman" w:hAnsi="Times New Roman"/>
          <w:sz w:val="17"/>
          <w:szCs w:val="17"/>
          <w:color w:val="auto"/>
        </w:rPr>
      </w:pPr>
    </w:p>
    <w:p>
      <w:pPr>
        <w:ind w:left="295" w:hanging="295"/>
        <w:spacing w:after="0"/>
        <w:tabs>
          <w:tab w:leader="none" w:pos="2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Authority; Administration</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left="795" w:hanging="286"/>
        <w:spacing w:after="0"/>
        <w:tabs>
          <w:tab w:leader="none" w:pos="79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Administrator</w:t>
      </w:r>
      <w:r>
        <w:rPr>
          <w:rFonts w:ascii="Times New Roman" w:cs="Times New Roman" w:eastAsia="Times New Roman" w:hAnsi="Times New Roman"/>
          <w:sz w:val="17"/>
          <w:szCs w:val="17"/>
          <w:color w:val="auto"/>
        </w:rPr>
        <w:t>. The Plan shall be administered by the Committee appointed by the Board of Directors.</w:t>
      </w:r>
    </w:p>
    <w:p>
      <w:pPr>
        <w:spacing w:after="0" w:line="175" w:lineRule="exact"/>
        <w:rPr>
          <w:rFonts w:ascii="Times New Roman" w:cs="Times New Roman" w:eastAsia="Times New Roman" w:hAnsi="Times New Roman"/>
          <w:sz w:val="17"/>
          <w:szCs w:val="17"/>
          <w:color w:val="auto"/>
        </w:rPr>
      </w:pPr>
    </w:p>
    <w:p>
      <w:pPr>
        <w:ind w:left="1015" w:hanging="506"/>
        <w:spacing w:after="0" w:line="259" w:lineRule="auto"/>
        <w:tabs>
          <w:tab w:leader="none" w:pos="80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Powers and Duties</w:t>
      </w:r>
      <w:r>
        <w:rPr>
          <w:rFonts w:ascii="Times New Roman" w:cs="Times New Roman" w:eastAsia="Times New Roman" w:hAnsi="Times New Roman"/>
          <w:sz w:val="17"/>
          <w:szCs w:val="17"/>
          <w:color w:val="auto"/>
        </w:rPr>
        <w:t>. The Committee shall have sole discretion and authority to make any and all determinations necessary or advisable for administration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Plan, including but not limited to (i) making awards, (ii) determining when and to whom awards will be granted, (iii) determining the form, amount and other terms and conditions of each award, (iv) establishing the performance measure(s), performance objective(s) and relationship between the performance objective(s) and any award payments, and (v) determining final payouts under any award. All interpretations, decisions, or determinations made by the Committee pursuant to the Plan shall be final and conclusive.</w:t>
      </w:r>
    </w:p>
    <w:p>
      <w:pPr>
        <w:spacing w:after="0" w:line="133" w:lineRule="exact"/>
        <w:rPr>
          <w:rFonts w:ascii="Times New Roman" w:cs="Times New Roman" w:eastAsia="Times New Roman" w:hAnsi="Times New Roman"/>
          <w:sz w:val="17"/>
          <w:szCs w:val="17"/>
          <w:color w:val="auto"/>
        </w:rPr>
      </w:pPr>
    </w:p>
    <w:p>
      <w:pPr>
        <w:ind w:left="1015" w:right="40" w:hanging="506"/>
        <w:spacing w:after="0" w:line="255" w:lineRule="auto"/>
        <w:tabs>
          <w:tab w:leader="none" w:pos="79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Annual Approval</w:t>
      </w:r>
      <w:r>
        <w:rPr>
          <w:rFonts w:ascii="Times New Roman" w:cs="Times New Roman" w:eastAsia="Times New Roman" w:hAnsi="Times New Roman"/>
          <w:sz w:val="17"/>
          <w:szCs w:val="17"/>
          <w:color w:val="auto"/>
        </w:rPr>
        <w:t>. The Committee must approve the Plan and specific performance measures and performance objectives and targets within the first 90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days of each new fiscal year; provided that the Committee may postpone approving the specific performance measures and performance objectives and targets for any performance period that is less than a full fiscal year in length and does not commence at the beginning of the fiscal year of the Company until a date that is within the first 25% of such performance period. Notwithstanding the foregoing, in all cases the performance measures and performance objectives and targets must be set at a time when the achievement of the performance objectives and targets is substantially uncertain. The Committee shall approve one or more notices of the performance measures and performance objectives and targets, as well as the form of payments, setting forth such details and any other terms and conditions applicable to the incentive awards for a Plan year.</w:t>
      </w:r>
    </w:p>
    <w:p>
      <w:pPr>
        <w:spacing w:after="0" w:line="137" w:lineRule="exact"/>
        <w:rPr>
          <w:rFonts w:ascii="Times New Roman" w:cs="Times New Roman" w:eastAsia="Times New Roman" w:hAnsi="Times New Roman"/>
          <w:sz w:val="17"/>
          <w:szCs w:val="17"/>
          <w:color w:val="auto"/>
        </w:rPr>
      </w:pPr>
    </w:p>
    <w:p>
      <w:pPr>
        <w:ind w:left="295" w:hanging="295"/>
        <w:spacing w:after="0"/>
        <w:tabs>
          <w:tab w:leader="none" w:pos="29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Participation Eligibility</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795" w:hanging="286"/>
        <w:spacing w:after="0"/>
        <w:tabs>
          <w:tab w:leader="none" w:pos="79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Participant must be (i) a member of the Company’s executive leadership team, (ii) an officer of the Company or (iii) an employee of the Company</w:t>
      </w:r>
    </w:p>
    <w:p>
      <w:pPr>
        <w:sectPr>
          <w:pgSz w:w="11900" w:h="16838" w:orient="portrait"/>
          <w:cols w:equalWidth="0" w:num="1">
            <w:col w:w="11255"/>
          </w:cols>
          <w:pgMar w:left="305" w:top="1136" w:right="339" w:bottom="1440" w:gutter="0" w:footer="0" w:header="0"/>
        </w:sectPr>
      </w:pPr>
    </w:p>
    <w:bookmarkStart w:id="107" w:name="page108"/>
    <w:bookmarkEnd w:id="107"/>
    <w:p>
      <w:pPr>
        <w:ind w:left="1015" w:right="440"/>
        <w:spacing w:after="0" w:line="276" w:lineRule="auto"/>
        <w:rPr>
          <w:sz w:val="20"/>
          <w:szCs w:val="20"/>
          <w:color w:val="auto"/>
        </w:rPr>
      </w:pPr>
      <w:r>
        <w:rPr>
          <w:rFonts w:ascii="Times New Roman" w:cs="Times New Roman" w:eastAsia="Times New Roman" w:hAnsi="Times New Roman"/>
          <w:sz w:val="17"/>
          <w:szCs w:val="17"/>
          <w:color w:val="auto"/>
        </w:rPr>
        <w:t>designated in the discretion of the Committee with responsibilities that may have a significant impact on the Company’s financial or operational results.</w:t>
      </w:r>
    </w:p>
    <w:p>
      <w:pPr>
        <w:spacing w:after="0" w:line="123" w:lineRule="exact"/>
        <w:rPr>
          <w:sz w:val="20"/>
          <w:szCs w:val="20"/>
          <w:color w:val="auto"/>
        </w:rPr>
      </w:pPr>
    </w:p>
    <w:p>
      <w:pPr>
        <w:ind w:left="1015" w:right="260" w:hanging="506"/>
        <w:spacing w:after="0" w:line="289" w:lineRule="auto"/>
        <w:tabs>
          <w:tab w:leader="none" w:pos="80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will approve all initial participation for each new Plan year. The Plan year shall be the fiscal year of the Company. Each Plan year can have one or more performance periods equal in length to a period of no more than one fiscal year of the Company.</w:t>
      </w:r>
    </w:p>
    <w:p>
      <w:pPr>
        <w:spacing w:after="0" w:line="112" w:lineRule="exact"/>
        <w:rPr>
          <w:rFonts w:ascii="Times New Roman" w:cs="Times New Roman" w:eastAsia="Times New Roman" w:hAnsi="Times New Roman"/>
          <w:sz w:val="17"/>
          <w:szCs w:val="17"/>
          <w:color w:val="auto"/>
        </w:rPr>
      </w:pPr>
    </w:p>
    <w:p>
      <w:pPr>
        <w:ind w:left="1015" w:right="160" w:hanging="506"/>
        <w:spacing w:after="0" w:line="276" w:lineRule="auto"/>
        <w:tabs>
          <w:tab w:leader="none" w:pos="79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will make the determination on participation for new participants. Unless otherwise determined by the Committee, participants must be employed by the Company as of the time the award is paid.</w:t>
      </w:r>
    </w:p>
    <w:p>
      <w:pPr>
        <w:spacing w:after="0" w:line="119" w:lineRule="exact"/>
        <w:rPr>
          <w:rFonts w:ascii="Times New Roman" w:cs="Times New Roman" w:eastAsia="Times New Roman" w:hAnsi="Times New Roman"/>
          <w:sz w:val="17"/>
          <w:szCs w:val="17"/>
          <w:color w:val="auto"/>
        </w:rPr>
      </w:pPr>
    </w:p>
    <w:p>
      <w:pPr>
        <w:ind w:left="515" w:right="40" w:hanging="515"/>
        <w:spacing w:after="0" w:line="256" w:lineRule="auto"/>
        <w:tabs>
          <w:tab w:leader="none" w:pos="30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Nature of the Plan</w:t>
      </w:r>
      <w:r>
        <w:rPr>
          <w:rFonts w:ascii="Times New Roman" w:cs="Times New Roman" w:eastAsia="Times New Roman" w:hAnsi="Times New Roman"/>
          <w:sz w:val="17"/>
          <w:szCs w:val="17"/>
          <w:color w:val="auto"/>
        </w:rPr>
        <w:t>. The incentive award is based upon the level of achievement of one or more performance measures applying business criteria to one or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Plan participants, one or more business segments, units or divisions of the Company, or the Company as a whole, whether on an absolute basis, rate basis, or relative to a peer group of companies or other benchmark and may also include a performance measure that evaluates a Plan participant’s individual contributions to the Company, as determined in the discretion of the Committee. The Plan is an annual program that provides for measurements of financial, operational and/or individual performance over one or more performance periods and an opportunity for incentive payments based on such performance results.</w:t>
      </w:r>
    </w:p>
    <w:p>
      <w:pPr>
        <w:spacing w:after="0" w:line="143" w:lineRule="exact"/>
        <w:rPr>
          <w:sz w:val="20"/>
          <w:szCs w:val="20"/>
          <w:color w:val="auto"/>
        </w:rPr>
      </w:pPr>
    </w:p>
    <w:p>
      <w:pPr>
        <w:ind w:left="515"/>
        <w:spacing w:after="0" w:line="258" w:lineRule="auto"/>
        <w:rPr>
          <w:sz w:val="20"/>
          <w:szCs w:val="20"/>
          <w:color w:val="auto"/>
        </w:rPr>
      </w:pPr>
      <w:r>
        <w:rPr>
          <w:rFonts w:ascii="Times New Roman" w:cs="Times New Roman" w:eastAsia="Times New Roman" w:hAnsi="Times New Roman"/>
          <w:sz w:val="17"/>
          <w:szCs w:val="17"/>
          <w:color w:val="auto"/>
        </w:rPr>
        <w:t>The Committee shall establish the performance measures for this Plan and they will be based upon one or more pre-established (i) financial or operational performance measures and/or (ii) individual contribution performance measures for each Plan participant as a part of his or her underlying award. The Committee will (i) establish the performance objectives for each of the performance measures for each Plan participant, which may include a target incentive level, a minimum incentive level threshold below which an incentive will not be paid, and a maximum incentive level and (ii) communicate them to each Plan participant through an individual award schedule.</w:t>
      </w:r>
    </w:p>
    <w:p>
      <w:pPr>
        <w:spacing w:after="0" w:line="138" w:lineRule="exact"/>
        <w:rPr>
          <w:sz w:val="20"/>
          <w:szCs w:val="20"/>
          <w:color w:val="auto"/>
        </w:rPr>
      </w:pPr>
    </w:p>
    <w:p>
      <w:pPr>
        <w:ind w:left="515"/>
        <w:spacing w:after="0"/>
        <w:rPr>
          <w:sz w:val="20"/>
          <w:szCs w:val="20"/>
          <w:color w:val="auto"/>
        </w:rPr>
      </w:pPr>
      <w:r>
        <w:rPr>
          <w:rFonts w:ascii="Times New Roman" w:cs="Times New Roman" w:eastAsia="Times New Roman" w:hAnsi="Times New Roman"/>
          <w:sz w:val="17"/>
          <w:szCs w:val="17"/>
          <w:color w:val="auto"/>
        </w:rPr>
        <w:t>The Committee reserves the right to increase or reduce the total amount of any individual’s awards in its discretion.</w:t>
      </w:r>
    </w:p>
    <w:p>
      <w:pPr>
        <w:spacing w:after="0" w:line="176" w:lineRule="exact"/>
        <w:rPr>
          <w:sz w:val="20"/>
          <w:szCs w:val="20"/>
          <w:color w:val="auto"/>
        </w:rPr>
      </w:pPr>
    </w:p>
    <w:p>
      <w:pPr>
        <w:ind w:left="515" w:right="40"/>
        <w:spacing w:after="0" w:line="256" w:lineRule="auto"/>
        <w:rPr>
          <w:sz w:val="20"/>
          <w:szCs w:val="20"/>
          <w:color w:val="auto"/>
        </w:rPr>
      </w:pPr>
      <w:r>
        <w:rPr>
          <w:rFonts w:ascii="Times New Roman" w:cs="Times New Roman" w:eastAsia="Times New Roman" w:hAnsi="Times New Roman"/>
          <w:sz w:val="17"/>
          <w:szCs w:val="17"/>
          <w:color w:val="auto"/>
        </w:rPr>
        <w:t>The Committee may modify a performance period and/or provide adjustments to or waivers of the achievement of performance measures under specified circumstances such as (i) the occurrence of events that are unusual in nature, infrequently occurring or significant that were not anticipated by the Committee when the performance objectives were established, such as a Change in Control (as defined in Section 6), an equity restructuring, acquisitions, divestitures, restructuring activities, recapitalizations, or asset write-downs or (ii) a change in applicable tax laws or accounting principles. Any such modification, waiver and adjustment will be determined by the Committee in its sole discretion. The Committee may, in its discretion and based on such considerations as it deems appropriate, adjust any amount otherwise determined by the application of the performance objectives to be otherwise payable in connection with an Award. To the</w:t>
      </w:r>
    </w:p>
    <w:p>
      <w:pPr>
        <w:sectPr>
          <w:pgSz w:w="11900" w:h="16838" w:orient="portrait"/>
          <w:cols w:equalWidth="0" w:num="1">
            <w:col w:w="11255"/>
          </w:cols>
          <w:pgMar w:left="305" w:top="1148" w:right="339" w:bottom="1440" w:gutter="0" w:footer="0" w:header="0"/>
        </w:sectPr>
      </w:pPr>
    </w:p>
    <w:bookmarkStart w:id="108" w:name="page109"/>
    <w:bookmarkEnd w:id="108"/>
    <w:p>
      <w:pPr>
        <w:jc w:val="both"/>
        <w:ind w:left="515" w:right="220"/>
        <w:spacing w:after="0" w:line="262" w:lineRule="auto"/>
        <w:rPr>
          <w:sz w:val="20"/>
          <w:szCs w:val="20"/>
          <w:color w:val="auto"/>
        </w:rPr>
      </w:pPr>
      <w:r>
        <w:rPr>
          <w:rFonts w:ascii="Times New Roman" w:cs="Times New Roman" w:eastAsia="Times New Roman" w:hAnsi="Times New Roman"/>
          <w:sz w:val="17"/>
          <w:szCs w:val="17"/>
          <w:color w:val="auto"/>
        </w:rPr>
        <w:t>extent not inconsistent with applicable law or stock exchange rules, the Committee delegates to the CEO all or any portion of its authority under the Plan, including the authority to establish the performance measures and performance objectives and incentive Target for employees other than officers subject to Section 16 of the Exchange Act.</w:t>
      </w:r>
    </w:p>
    <w:p>
      <w:pPr>
        <w:spacing w:after="0" w:line="141" w:lineRule="exact"/>
        <w:rPr>
          <w:sz w:val="20"/>
          <w:szCs w:val="20"/>
          <w:color w:val="auto"/>
        </w:rPr>
      </w:pPr>
    </w:p>
    <w:p>
      <w:pPr>
        <w:ind w:left="515" w:right="320" w:hanging="515"/>
        <w:spacing w:after="0" w:line="264" w:lineRule="auto"/>
        <w:tabs>
          <w:tab w:leader="none" w:pos="303"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Method of Payment</w:t>
      </w:r>
      <w:r>
        <w:rPr>
          <w:rFonts w:ascii="Times New Roman" w:cs="Times New Roman" w:eastAsia="Times New Roman" w:hAnsi="Times New Roman"/>
          <w:sz w:val="17"/>
          <w:szCs w:val="17"/>
          <w:color w:val="auto"/>
        </w:rPr>
        <w:t>. Individual participant incentive performance objectives, expressed as a percentage of base salary or a flat dollar amount, are approved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annually by the Committee. Actual incentive awards can range from 0% to 200% of a Plan participant’s incentive performance target and shall be communicated to Plan participants through an individual award schedule.</w:t>
      </w:r>
    </w:p>
    <w:p>
      <w:pPr>
        <w:spacing w:after="0" w:line="133" w:lineRule="exact"/>
        <w:rPr>
          <w:sz w:val="20"/>
          <w:szCs w:val="20"/>
          <w:color w:val="auto"/>
        </w:rPr>
      </w:pPr>
    </w:p>
    <w:p>
      <w:pPr>
        <w:ind w:left="515"/>
        <w:spacing w:after="0" w:line="274" w:lineRule="auto"/>
        <w:rPr>
          <w:sz w:val="20"/>
          <w:szCs w:val="20"/>
          <w:color w:val="auto"/>
        </w:rPr>
      </w:pPr>
      <w:r>
        <w:rPr>
          <w:rFonts w:ascii="Times New Roman" w:cs="Times New Roman" w:eastAsia="Times New Roman" w:hAnsi="Times New Roman"/>
          <w:sz w:val="16"/>
          <w:szCs w:val="16"/>
          <w:color w:val="auto"/>
        </w:rPr>
        <w:t>The amount of each participant’s incentive compensation for the fiscal year (or applicable performance period, if shorter) shall be in direct proportion to the resulting financial or operational performance of the relevant performance measure expressed as a percentage (Performance Factor) against predetermined compensation performance objectives for that participant. The Company’s or applicable business unit’s results for the fiscal year (or applicable performance period, if shorter) will be used in identifying the Performance Factor to be used when calculating the participant’s incentive compensation relating to financial or operational performance measures. If individual contribution performance measures were established by the Committee, the Committee shall evaluate an individual’s relative level of achievement of such contribution performance measures in determining the effect on the amount of the incentive compensation.</w:t>
      </w:r>
    </w:p>
    <w:p>
      <w:pPr>
        <w:spacing w:after="0" w:line="130" w:lineRule="exact"/>
        <w:rPr>
          <w:sz w:val="20"/>
          <w:szCs w:val="20"/>
          <w:color w:val="auto"/>
        </w:rPr>
      </w:pPr>
    </w:p>
    <w:p>
      <w:pPr>
        <w:ind w:left="515" w:right="20"/>
        <w:spacing w:after="0" w:line="255" w:lineRule="auto"/>
        <w:rPr>
          <w:sz w:val="20"/>
          <w:szCs w:val="20"/>
          <w:color w:val="auto"/>
        </w:rPr>
      </w:pPr>
      <w:r>
        <w:rPr>
          <w:rFonts w:ascii="Times New Roman" w:cs="Times New Roman" w:eastAsia="Times New Roman" w:hAnsi="Times New Roman"/>
          <w:sz w:val="17"/>
          <w:szCs w:val="17"/>
          <w:color w:val="auto"/>
        </w:rPr>
        <w:t>Incentive awards are paid in cash unless the Committee has determined, in its sole discretion, at the time that the performance measures for the fiscal year are established that all or any part of an award shall be settled in the form of shares of the Company’s common stock or other equity award granted pursuant to any then-current equity compensation plan that has been approved by the Company’s shareholders. No Participant shall have any ability to influence the form of any payment (cash, stock, or equity award) under the Plan. The cash, stock or equity award payment, if any, for each performance period during the Plan year shall be paid or awarded as soon as practical after the end of the Plan year following final measurement of financial and/or operational performance for all of the performance period(s) within the fiscal year as well as the Committee’s evaluation of any individual contribution performance measures, if any, and overall incentive amounts have been approved by the Committee in October following fiscal year end, but in no event later than 2 ½ months after the end of the fiscal year (subject to any deferred compensation election pursuant to any such plans of the Company).</w:t>
      </w:r>
    </w:p>
    <w:p>
      <w:pPr>
        <w:spacing w:after="0" w:line="142" w:lineRule="exact"/>
        <w:rPr>
          <w:sz w:val="20"/>
          <w:szCs w:val="20"/>
          <w:color w:val="auto"/>
        </w:rPr>
      </w:pPr>
    </w:p>
    <w:p>
      <w:pPr>
        <w:ind w:left="515"/>
        <w:spacing w:after="0"/>
        <w:rPr>
          <w:sz w:val="20"/>
          <w:szCs w:val="20"/>
          <w:color w:val="auto"/>
        </w:rPr>
      </w:pPr>
      <w:r>
        <w:rPr>
          <w:rFonts w:ascii="Times New Roman" w:cs="Times New Roman" w:eastAsia="Times New Roman" w:hAnsi="Times New Roman"/>
          <w:sz w:val="17"/>
          <w:szCs w:val="17"/>
          <w:color w:val="auto"/>
        </w:rPr>
        <w:t>Any payment made under this Plan shall be subject to any employment and income tax withholding and other deductions as required by law.</w:t>
      </w:r>
    </w:p>
    <w:p>
      <w:pPr>
        <w:spacing w:after="0" w:line="172" w:lineRule="exact"/>
        <w:rPr>
          <w:sz w:val="20"/>
          <w:szCs w:val="20"/>
          <w:color w:val="auto"/>
        </w:rPr>
      </w:pPr>
    </w:p>
    <w:p>
      <w:pPr>
        <w:ind w:left="515" w:right="140" w:hanging="515"/>
        <w:spacing w:after="0" w:line="281" w:lineRule="auto"/>
        <w:tabs>
          <w:tab w:leader="none" w:pos="303"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 in Control</w:t>
      </w:r>
      <w:r>
        <w:rPr>
          <w:rFonts w:ascii="Times New Roman" w:cs="Times New Roman" w:eastAsia="Times New Roman" w:hAnsi="Times New Roman"/>
          <w:sz w:val="17"/>
          <w:szCs w:val="17"/>
          <w:color w:val="auto"/>
        </w:rPr>
        <w:t>. In the event of a Corporate Transaction (as defined below), then the surviving or successor entity may continue, assume or replace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outstanding under</w:t>
      </w:r>
    </w:p>
    <w:p>
      <w:pPr>
        <w:sectPr>
          <w:pgSz w:w="11900" w:h="16838" w:orient="portrait"/>
          <w:cols w:equalWidth="0" w:num="1">
            <w:col w:w="11235"/>
          </w:cols>
          <w:pgMar w:left="305" w:top="1148" w:right="359" w:bottom="1440" w:gutter="0" w:footer="0" w:header="0"/>
        </w:sectPr>
      </w:pPr>
    </w:p>
    <w:bookmarkStart w:id="109" w:name="page110"/>
    <w:bookmarkEnd w:id="109"/>
    <w:p>
      <w:pPr>
        <w:ind w:right="200"/>
        <w:spacing w:after="0" w:line="276" w:lineRule="auto"/>
        <w:rPr>
          <w:sz w:val="20"/>
          <w:szCs w:val="20"/>
          <w:color w:val="auto"/>
        </w:rPr>
      </w:pPr>
      <w:r>
        <w:rPr>
          <w:rFonts w:ascii="Times New Roman" w:cs="Times New Roman" w:eastAsia="Times New Roman" w:hAnsi="Times New Roman"/>
          <w:sz w:val="17"/>
          <w:szCs w:val="17"/>
          <w:color w:val="auto"/>
        </w:rPr>
        <w:t>the Plan as of the date of the Corporate Transaction, and such awards or replacements therefor shall remain outstanding and be governed by their respective terms.</w:t>
      </w:r>
    </w:p>
    <w:p>
      <w:pPr>
        <w:spacing w:after="0" w:line="1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If and to the extent that outstanding awards under the Plan are not continued, assumed or replaced in connection with a Corporate Transaction, then the awards under the Plan shall fully vest immediately prior to the effective time of the Corporate Transaction, meaning that each performance measure is deemed to have been satisfied at the greater of target level of performance or actual level of performance (if determinable) and the vested portion of the award at that level of performance is proportionate to the portion of the performance period that has elapsed as of the effective time of the Corporate Transaction.</w:t>
      </w:r>
    </w:p>
    <w:p>
      <w:pPr>
        <w:spacing w:after="0" w:line="12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7"/>
          <w:szCs w:val="17"/>
          <w:color w:val="auto"/>
        </w:rPr>
        <w:t>If and to the extent that awards under this Plan are continued, assumed or replaced, and participant experiences an involuntary termination of employment to the Company after the Change in Control but prior to the award’s payment, for reasons other than Cause, or, if applicable, terminates his or her employment for Good Reason (as defined in any then-effective written agreement between the participant and the Company, if any), then the awards under this Plan shall immediately vest in full, meaning that each performance measure is deemed to have been satisfied at the greater of target level of performance or actual level of performance (if determinable).</w:t>
      </w:r>
    </w:p>
    <w:p>
      <w:pPr>
        <w:spacing w:after="0" w:line="13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 , unless otherwise defined in a then-effective written agreement between a participant and the Company or any affiliate, a participant’s (i) material failure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the Company's business conduct or ethics code or of any fiduciary duty or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dishonorable or disruptive behavior, practices or acts which would be reasonably expected to harm or bring disrepute to the Company or any of its affiliates, their business or any of their customers, employees or vendors.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one of the following:</w:t>
      </w:r>
    </w:p>
    <w:p>
      <w:pPr>
        <w:spacing w:after="0" w:line="180" w:lineRule="exact"/>
        <w:rPr>
          <w:sz w:val="20"/>
          <w:szCs w:val="20"/>
          <w:color w:val="auto"/>
        </w:rPr>
      </w:pPr>
    </w:p>
    <w:p>
      <w:pPr>
        <w:ind w:left="500" w:right="20" w:firstLine="1022"/>
        <w:spacing w:after="0" w:line="258" w:lineRule="auto"/>
        <w:tabs>
          <w:tab w:leader="none" w:pos="187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Act Person becomes the beneficial owner (within the meaning of Rule 13d-3 under the Exchange Act) of securities of the Company representing 30% or more of the combined voting power of the Company’s then outstanding Voting Securities, except that the following will not constitute a Change in Control: (A) any acquisition of securities of the Company by an Exchange Act Person from the Company for the purpose of providing financing to the Company; (B) any formation of a Group consisting solely of beneficial owners of the Company's voting securities as of the effective date of this Plan; or (C) any repurchase or other acquisition by the Company of its Voting</w:t>
      </w:r>
    </w:p>
    <w:p>
      <w:pPr>
        <w:sectPr>
          <w:pgSz w:w="11900" w:h="16838" w:orient="portrait"/>
          <w:cols w:equalWidth="0" w:num="1">
            <w:col w:w="10760"/>
          </w:cols>
          <w:pgMar w:left="820" w:top="1148" w:right="319" w:bottom="1440" w:gutter="0" w:footer="0" w:header="0"/>
        </w:sectPr>
      </w:pPr>
    </w:p>
    <w:bookmarkStart w:id="110" w:name="page111"/>
    <w:bookmarkEnd w:id="110"/>
    <w:p>
      <w:pPr>
        <w:ind w:left="500"/>
        <w:spacing w:after="0"/>
        <w:rPr>
          <w:sz w:val="20"/>
          <w:szCs w:val="20"/>
          <w:color w:val="auto"/>
        </w:rPr>
      </w:pPr>
      <w:r>
        <w:rPr>
          <w:rFonts w:ascii="Times New Roman" w:cs="Times New Roman" w:eastAsia="Times New Roman" w:hAnsi="Times New Roman"/>
          <w:sz w:val="17"/>
          <w:szCs w:val="17"/>
          <w:color w:val="auto"/>
        </w:rPr>
        <w:t>Securities that causes any Exchange Act Person to become the beneficial owner of 30% or more of the Company’s voting securities.</w:t>
      </w:r>
    </w:p>
    <w:p>
      <w:pPr>
        <w:spacing w:after="0" w:line="176" w:lineRule="exact"/>
        <w:rPr>
          <w:sz w:val="20"/>
          <w:szCs w:val="20"/>
          <w:color w:val="auto"/>
        </w:rPr>
      </w:pPr>
    </w:p>
    <w:p>
      <w:pPr>
        <w:ind w:left="500" w:right="20"/>
        <w:spacing w:after="0" w:line="268" w:lineRule="auto"/>
        <w:rPr>
          <w:sz w:val="20"/>
          <w:szCs w:val="20"/>
          <w:color w:val="auto"/>
        </w:rPr>
      </w:pPr>
      <w:r>
        <w:rPr>
          <w:rFonts w:ascii="Times New Roman" w:cs="Times New Roman" w:eastAsia="Times New Roman" w:hAnsi="Times New Roman"/>
          <w:sz w:val="17"/>
          <w:szCs w:val="17"/>
          <w:color w:val="auto"/>
        </w:rPr>
        <w:t>If, however, an Exchange Act Person or Group referenced in clause (A), (B) or (C) above acquires beneficial ownership of additional Company Voting Securities after initially becoming the beneficial owner of 30% or more of the combined voting power of the Company’s Voting Securities by one of the means described in those clauses, then a Change in Control will be deemed to have occurred.</w:t>
      </w:r>
    </w:p>
    <w:p>
      <w:pPr>
        <w:spacing w:after="0" w:line="130" w:lineRule="exact"/>
        <w:rPr>
          <w:sz w:val="20"/>
          <w:szCs w:val="20"/>
          <w:color w:val="auto"/>
        </w:rPr>
      </w:pPr>
    </w:p>
    <w:p>
      <w:pPr>
        <w:ind w:left="880" w:hanging="367"/>
        <w:spacing w:after="0"/>
        <w:tabs>
          <w:tab w:leader="none" w:pos="8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Individuals who are Continuing Directors cease for any reason to constitute a majority of the members of the Board of Directors.</w:t>
      </w:r>
    </w:p>
    <w:p>
      <w:pPr>
        <w:spacing w:after="0" w:line="90" w:lineRule="exact"/>
        <w:rPr>
          <w:rFonts w:ascii="Times New Roman" w:cs="Times New Roman" w:eastAsia="Times New Roman" w:hAnsi="Times New Roman"/>
          <w:sz w:val="17"/>
          <w:szCs w:val="17"/>
          <w:color w:val="auto"/>
        </w:rPr>
      </w:pPr>
    </w:p>
    <w:p>
      <w:pPr>
        <w:jc w:val="both"/>
        <w:ind w:left="500" w:firstLine="3"/>
        <w:spacing w:after="0" w:line="258" w:lineRule="auto"/>
        <w:tabs>
          <w:tab w:leader="none" w:pos="90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Continuing Director</w:t>
      </w:r>
      <w:r>
        <w:rPr>
          <w:rFonts w:ascii="Times New Roman" w:cs="Times New Roman" w:eastAsia="Times New Roman" w:hAnsi="Times New Roman"/>
          <w:sz w:val="17"/>
          <w:szCs w:val="17"/>
          <w:color w:val="auto"/>
        </w:rPr>
        <w:t>” means an individual (i) who is, as of the effective date of the Plan, a director of the Company, or (ii) who becomes a director of the Company after the effective date hereof and whose initial election, or nomination for election by the Company’s stockholders, was approved by at least a majority of the then Continuing Directors but excluding, for purposes of this clause (ii), an individual whose initial assumption of office occurs as the result of an actual or threatened proxy contest involving the solicitation of proxies or consents by a person or Group other than the Board, or by reason of an agreement intended to avoid or settle an actual or threatened proxy contest.</w:t>
      </w:r>
    </w:p>
    <w:p>
      <w:pPr>
        <w:spacing w:after="0" w:line="134" w:lineRule="exact"/>
        <w:rPr>
          <w:sz w:val="20"/>
          <w:szCs w:val="20"/>
          <w:color w:val="auto"/>
        </w:rPr>
      </w:pPr>
    </w:p>
    <w:p>
      <w:pPr>
        <w:ind w:right="240" w:firstLine="1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Transaction</w:t>
      </w:r>
      <w:r>
        <w:rPr>
          <w:rFonts w:ascii="Times New Roman" w:cs="Times New Roman" w:eastAsia="Times New Roman" w:hAnsi="Times New Roman"/>
          <w:sz w:val="17"/>
          <w:szCs w:val="17"/>
          <w:color w:val="auto"/>
        </w:rPr>
        <w:t>” means (i) a sale or other disposition of all or substantially all of the assets of the Company, or (ii) a merger, consolidation, share exchange or similar transaction involving the Company, regardless of whether the Company is the surviving entity.</w:t>
      </w:r>
    </w:p>
    <w:p>
      <w:pPr>
        <w:spacing w:after="0" w:line="115" w:lineRule="exact"/>
        <w:rPr>
          <w:sz w:val="20"/>
          <w:szCs w:val="20"/>
          <w:color w:val="auto"/>
        </w:rPr>
      </w:pPr>
    </w:p>
    <w:p>
      <w:pPr>
        <w:ind w:right="240" w:firstLine="11"/>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 Person</w:t>
      </w:r>
      <w:r>
        <w:rPr>
          <w:rFonts w:ascii="Times New Roman" w:cs="Times New Roman" w:eastAsia="Times New Roman" w:hAnsi="Times New Roman"/>
          <w:sz w:val="17"/>
          <w:szCs w:val="17"/>
          <w:color w:val="auto"/>
        </w:rPr>
        <w:t>” means any natural person, entity or Group other than (i) the Company or any affiliate; (ii) any employee benefit plan (or related trust) sponsored or maintained by the Company or any affiliate; (iii) an underwriter temporarily holding securities in connection with a registered public offering of such securities; or (iv) an entity whose Voting Securities are beneficially owned by the beneficial owners of the Company’s Voting Securities in substantially the same proportions as their beneficial ownership of the Company’s Voting Securities.</w:t>
      </w:r>
    </w:p>
    <w:p>
      <w:pPr>
        <w:sectPr>
          <w:pgSz w:w="11900" w:h="16838" w:orient="portrait"/>
          <w:cols w:equalWidth="0" w:num="1">
            <w:col w:w="10760"/>
          </w:cols>
          <w:pgMar w:left="820" w:top="1148" w:right="319" w:bottom="1440" w:gutter="0" w:footer="0" w:header="0"/>
        </w:sectPr>
      </w:pPr>
    </w:p>
    <w:bookmarkStart w:id="111" w:name="page112"/>
    <w:bookmarkEnd w:id="111"/>
    <w:p>
      <w:pPr>
        <w:ind w:left="515" w:right="480" w:firstLine="1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two or more persons who act, or agree to act together, as a partnership, limited partnership, syndicate or other group for the purpose of acquiring, holding, voting or disposing of securities of the Company.</w:t>
      </w:r>
    </w:p>
    <w:p>
      <w:pPr>
        <w:spacing w:after="0" w:line="115" w:lineRule="exact"/>
        <w:rPr>
          <w:sz w:val="20"/>
          <w:szCs w:val="20"/>
          <w:color w:val="auto"/>
        </w:rPr>
      </w:pPr>
    </w:p>
    <w:p>
      <w:pPr>
        <w:ind w:left="515"/>
        <w:spacing w:after="0" w:line="29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Securities</w:t>
      </w:r>
      <w:r>
        <w:rPr>
          <w:rFonts w:ascii="Times New Roman" w:cs="Times New Roman" w:eastAsia="Times New Roman" w:hAnsi="Times New Roman"/>
          <w:sz w:val="17"/>
          <w:szCs w:val="17"/>
          <w:color w:val="auto"/>
        </w:rPr>
        <w:t>” of an entity means the outstanding equity securities (or comparable equity interests) entitled to vote generally in the election of directors of such entity.</w:t>
      </w:r>
    </w:p>
    <w:p>
      <w:pPr>
        <w:spacing w:after="0" w:line="105" w:lineRule="exact"/>
        <w:rPr>
          <w:sz w:val="20"/>
          <w:szCs w:val="20"/>
          <w:color w:val="auto"/>
        </w:rPr>
      </w:pPr>
    </w:p>
    <w:p>
      <w:pPr>
        <w:ind w:left="515" w:hanging="515"/>
        <w:spacing w:after="0" w:line="257" w:lineRule="auto"/>
        <w:tabs>
          <w:tab w:leader="none" w:pos="30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Recoupment of Incentive Compensation</w:t>
      </w:r>
      <w:r>
        <w:rPr>
          <w:rFonts w:ascii="Times New Roman" w:cs="Times New Roman" w:eastAsia="Times New Roman" w:hAnsi="Times New Roman"/>
          <w:sz w:val="17"/>
          <w:szCs w:val="17"/>
          <w:color w:val="auto"/>
        </w:rPr>
        <w:t>. Notwithstanding anything herein to the contrary, payments under the Plan shall be subject to forfeiture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recoupment to the extent required under federal law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of common stock are then listed, or as otherwise required by law. This Plan may be unilaterally amended by the Committee to comply with any such compensation recovery policy</w:t>
      </w:r>
      <w:r>
        <w:rPr>
          <w:rFonts w:ascii="Arial" w:cs="Arial" w:eastAsia="Arial" w:hAnsi="Arial"/>
          <w:sz w:val="17"/>
          <w:szCs w:val="17"/>
          <w:color w:val="auto"/>
        </w:rPr>
        <w:t>.</w:t>
      </w:r>
    </w:p>
    <w:p>
      <w:pPr>
        <w:spacing w:after="0" w:line="133" w:lineRule="exact"/>
        <w:rPr>
          <w:rFonts w:ascii="Times New Roman" w:cs="Times New Roman" w:eastAsia="Times New Roman" w:hAnsi="Times New Roman"/>
          <w:sz w:val="17"/>
          <w:szCs w:val="17"/>
          <w:color w:val="auto"/>
        </w:rPr>
      </w:pPr>
    </w:p>
    <w:p>
      <w:pPr>
        <w:ind w:left="515" w:right="580" w:hanging="515"/>
        <w:spacing w:after="0" w:line="281" w:lineRule="auto"/>
        <w:tabs>
          <w:tab w:leader="none" w:pos="30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Except to the extent preempted by federal law, the consideration and operation of the Plan shall be governed by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Minnesota.</w:t>
      </w:r>
    </w:p>
    <w:p>
      <w:pPr>
        <w:spacing w:after="0" w:line="115" w:lineRule="exact"/>
        <w:rPr>
          <w:rFonts w:ascii="Times New Roman" w:cs="Times New Roman" w:eastAsia="Times New Roman" w:hAnsi="Times New Roman"/>
          <w:sz w:val="17"/>
          <w:szCs w:val="17"/>
          <w:color w:val="auto"/>
        </w:rPr>
      </w:pPr>
    </w:p>
    <w:p>
      <w:pPr>
        <w:ind w:left="515" w:right="660" w:hanging="515"/>
        <w:spacing w:after="0" w:line="281" w:lineRule="auto"/>
        <w:tabs>
          <w:tab w:leader="none" w:pos="303"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Employment Rights</w:t>
      </w:r>
      <w:r>
        <w:rPr>
          <w:rFonts w:ascii="Times New Roman" w:cs="Times New Roman" w:eastAsia="Times New Roman" w:hAnsi="Times New Roman"/>
          <w:sz w:val="17"/>
          <w:szCs w:val="17"/>
          <w:color w:val="auto"/>
        </w:rPr>
        <w:t>. Nothing in this Plan shall confer upon any employee the right to continue in the employ of the Company, or affect the right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to terminate an employee’s employment at any time, with or without Cause.</w:t>
      </w:r>
    </w:p>
    <w:p>
      <w:pPr>
        <w:spacing w:after="0" w:line="125" w:lineRule="exact"/>
        <w:rPr>
          <w:rFonts w:ascii="Times New Roman" w:cs="Times New Roman" w:eastAsia="Times New Roman" w:hAnsi="Times New Roman"/>
          <w:sz w:val="17"/>
          <w:szCs w:val="17"/>
          <w:color w:val="auto"/>
        </w:rPr>
      </w:pPr>
    </w:p>
    <w:p>
      <w:pPr>
        <w:ind w:left="515" w:right="40" w:hanging="515"/>
        <w:spacing w:after="0" w:line="281" w:lineRule="auto"/>
        <w:tabs>
          <w:tab w:leader="none" w:pos="38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Nontransferability</w:t>
      </w:r>
      <w:r>
        <w:rPr>
          <w:rFonts w:ascii="Times New Roman" w:cs="Times New Roman" w:eastAsia="Times New Roman" w:hAnsi="Times New Roman"/>
          <w:sz w:val="17"/>
          <w:szCs w:val="17"/>
          <w:color w:val="auto"/>
        </w:rPr>
        <w:t>. Participants and beneficiaries shall not have the right to assign, encumber or otherwise anticipate the payments to be made under this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benefits provided hereunder shall not be subject to seizure for payment of any debts or judgments against any participant or any beneficiary.</w:t>
      </w:r>
    </w:p>
    <w:p>
      <w:pPr>
        <w:spacing w:after="0" w:line="115" w:lineRule="exact"/>
        <w:rPr>
          <w:rFonts w:ascii="Times New Roman" w:cs="Times New Roman" w:eastAsia="Times New Roman" w:hAnsi="Times New Roman"/>
          <w:sz w:val="17"/>
          <w:szCs w:val="17"/>
          <w:color w:val="auto"/>
        </w:rPr>
      </w:pPr>
    </w:p>
    <w:p>
      <w:pPr>
        <w:ind w:left="515" w:right="540" w:hanging="515"/>
        <w:spacing w:after="0" w:line="281" w:lineRule="auto"/>
        <w:tabs>
          <w:tab w:leader="none" w:pos="38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Deferrals of Payments</w:t>
      </w:r>
      <w:r>
        <w:rPr>
          <w:rFonts w:ascii="Times New Roman" w:cs="Times New Roman" w:eastAsia="Times New Roman" w:hAnsi="Times New Roman"/>
          <w:sz w:val="17"/>
          <w:szCs w:val="17"/>
          <w:color w:val="auto"/>
        </w:rPr>
        <w:t>. To the extent permissible by any deferred compensation plan of the Company permitting for deferrals of the payment of awards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granted under this Plan, payments under this Plan may be deferred on the terms and conditions set forth in such plan(s).</w:t>
      </w:r>
    </w:p>
    <w:p>
      <w:pPr>
        <w:spacing w:after="0" w:line="115" w:lineRule="exact"/>
        <w:rPr>
          <w:rFonts w:ascii="Times New Roman" w:cs="Times New Roman" w:eastAsia="Times New Roman" w:hAnsi="Times New Roman"/>
          <w:sz w:val="17"/>
          <w:szCs w:val="17"/>
          <w:color w:val="auto"/>
        </w:rPr>
      </w:pPr>
    </w:p>
    <w:p>
      <w:pPr>
        <w:ind w:left="515" w:right="180" w:hanging="515"/>
        <w:spacing w:after="0" w:line="263" w:lineRule="auto"/>
        <w:tabs>
          <w:tab w:leader="none" w:pos="38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If any provision of this Plan is or becomes or is deemed to be invalid, illegal or unenforceable in any jurisdiction such provision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construed or deemed amended to conform to applicable laws, or if it cannot be so construed or deemed amended without, in the determination of the Committee, materially altering the purpose or intent of this Plan, such provision shall be stricken as to such jurisdiction, and the remainder of this Plan shall remain in full force and effect.</w:t>
      </w:r>
    </w:p>
    <w:p>
      <w:pPr>
        <w:spacing w:after="0" w:line="129" w:lineRule="exact"/>
        <w:rPr>
          <w:rFonts w:ascii="Times New Roman" w:cs="Times New Roman" w:eastAsia="Times New Roman" w:hAnsi="Times New Roman"/>
          <w:sz w:val="17"/>
          <w:szCs w:val="17"/>
          <w:color w:val="auto"/>
        </w:rPr>
      </w:pPr>
    </w:p>
    <w:p>
      <w:pPr>
        <w:ind w:left="515" w:right="380" w:hanging="515"/>
        <w:spacing w:after="0" w:line="281" w:lineRule="auto"/>
        <w:tabs>
          <w:tab w:leader="none" w:pos="38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w:t>
      </w:r>
      <w:r>
        <w:rPr>
          <w:rFonts w:ascii="Times New Roman" w:cs="Times New Roman" w:eastAsia="Times New Roman" w:hAnsi="Times New Roman"/>
          <w:sz w:val="17"/>
          <w:szCs w:val="17"/>
          <w:color w:val="auto"/>
        </w:rPr>
        <w:t>. The Committee may amend this Plan prospectively at any time and for any reason deemed sufficient by it without prior notice to any person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affected by this Plan, except that no such amendment may materially impair the rights of any participant with</w:t>
      </w:r>
    </w:p>
    <w:p>
      <w:pPr>
        <w:sectPr>
          <w:pgSz w:w="11900" w:h="16838" w:orient="portrait"/>
          <w:cols w:equalWidth="0" w:num="1">
            <w:col w:w="11275"/>
          </w:cols>
          <w:pgMar w:left="305" w:top="1144"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color w:val="auto"/>
        </w:rPr>
        <w:t>respect to an outstanding award without the participant’s consent, unless such amendment is necessary to comply with applicable law or stock exchange rules.</w:t>
      </w:r>
    </w:p>
    <w:p>
      <w:pPr>
        <w:sectPr>
          <w:pgSz w:w="11900" w:h="16838" w:orient="portrait"/>
          <w:cols w:equalWidth="0" w:num="1">
            <w:col w:w="10740"/>
          </w:cols>
          <w:pgMar w:left="820" w:top="1148" w:right="339"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WINNEBAGO INDUSTRIES, INC.</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OFFICER INCENTIVE COMPENSATION PLAN</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Annual Incentive Award: Fiscal 2025 Plan Year Notice</w:t>
      </w:r>
    </w:p>
    <w:p>
      <w:pPr>
        <w:spacing w:after="0" w:line="200" w:lineRule="exact"/>
        <w:rPr>
          <w:sz w:val="20"/>
          <w:szCs w:val="20"/>
          <w:color w:val="auto"/>
        </w:rPr>
      </w:pPr>
    </w:p>
    <w:p>
      <w:pPr>
        <w:spacing w:after="0" w:line="341"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7"/>
          <w:szCs w:val="17"/>
          <w:color w:val="auto"/>
        </w:rPr>
        <w:t>This annual incentive award is granted under the Winnebago Industries, Inc. Officer Incentive Compensation Plan (the “Plan”) and is subject to the terms and conditions of such Plan.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Fiscal 2025 plan year will consist of the following performance periods, performance measures and weightings: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5780" w:type="dxa"/>
            <w:vAlign w:val="bottom"/>
            <w:tcBorders>
              <w:top w:val="single" w:sz="8" w:color="auto"/>
              <w:left w:val="single" w:sz="8" w:color="auto"/>
              <w:bottom w:val="single" w:sz="8" w:color="auto"/>
              <w:right w:val="single" w:sz="8" w:color="auto"/>
            </w:tcBorders>
            <w:shd w:val="clear" w:color="auto" w:fill="EEECE1"/>
          </w:tcPr>
          <w:p>
            <w:pPr>
              <w:ind w:left="2080"/>
              <w:spacing w:after="0"/>
              <w:rPr>
                <w:sz w:val="20"/>
                <w:szCs w:val="20"/>
                <w:color w:val="auto"/>
              </w:rPr>
            </w:pPr>
            <w:r>
              <w:rPr>
                <w:rFonts w:ascii="Times New Roman" w:cs="Times New Roman" w:eastAsia="Times New Roman" w:hAnsi="Times New Roman"/>
                <w:sz w:val="17"/>
                <w:szCs w:val="17"/>
                <w:b w:val="1"/>
                <w:bCs w:val="1"/>
                <w:color w:val="auto"/>
              </w:rPr>
              <w:t>Performance Measure</w:t>
            </w:r>
          </w:p>
        </w:tc>
        <w:tc>
          <w:tcPr>
            <w:tcW w:w="2820" w:type="dxa"/>
            <w:vAlign w:val="bottom"/>
            <w:tcBorders>
              <w:top w:val="single" w:sz="8" w:color="auto"/>
              <w:bottom w:val="single" w:sz="8" w:color="auto"/>
              <w:right w:val="single" w:sz="8" w:color="auto"/>
            </w:tcBorders>
            <w:shd w:val="clear" w:color="auto" w:fill="EEECE1"/>
          </w:tcPr>
          <w:p>
            <w:pPr>
              <w:ind w:left="660"/>
              <w:spacing w:after="0"/>
              <w:rPr>
                <w:sz w:val="20"/>
                <w:szCs w:val="20"/>
                <w:color w:val="auto"/>
              </w:rPr>
            </w:pPr>
            <w:r>
              <w:rPr>
                <w:rFonts w:ascii="Times New Roman" w:cs="Times New Roman" w:eastAsia="Times New Roman" w:hAnsi="Times New Roman"/>
                <w:sz w:val="17"/>
                <w:szCs w:val="17"/>
                <w:b w:val="1"/>
                <w:bCs w:val="1"/>
                <w:color w:val="auto"/>
              </w:rPr>
              <w:t>Performance Period</w:t>
            </w:r>
          </w:p>
        </w:tc>
        <w:tc>
          <w:tcPr>
            <w:tcW w:w="2700" w:type="dxa"/>
            <w:vAlign w:val="bottom"/>
            <w:tcBorders>
              <w:top w:val="single" w:sz="8" w:color="auto"/>
              <w:bottom w:val="single" w:sz="8" w:color="auto"/>
              <w:right w:val="single" w:sz="8" w:color="auto"/>
            </w:tcBorders>
            <w:shd w:val="clear" w:color="auto" w:fill="EEECE1"/>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Weighting (% of total target award)</w:t>
            </w:r>
          </w:p>
        </w:tc>
        <w:tc>
          <w:tcPr>
            <w:tcW w:w="0" w:type="dxa"/>
            <w:vAlign w:val="bottom"/>
          </w:tcPr>
          <w:p>
            <w:pPr>
              <w:spacing w:after="0"/>
              <w:rPr>
                <w:sz w:val="1"/>
                <w:szCs w:val="1"/>
                <w:color w:val="auto"/>
              </w:rPr>
            </w:pPr>
          </w:p>
        </w:tc>
      </w:tr>
      <w:tr>
        <w:trPr>
          <w:trHeight w:val="150"/>
        </w:trPr>
        <w:tc>
          <w:tcPr>
            <w:tcW w:w="5780" w:type="dxa"/>
            <w:vAlign w:val="bottom"/>
            <w:tcBorders>
              <w:left w:val="single" w:sz="8" w:color="auto"/>
              <w:right w:val="single" w:sz="8" w:color="auto"/>
            </w:tcBorders>
          </w:tcPr>
          <w:p>
            <w:pPr>
              <w:ind w:left="60"/>
              <w:spacing w:after="0" w:line="150" w:lineRule="exact"/>
              <w:rPr>
                <w:sz w:val="20"/>
                <w:szCs w:val="20"/>
                <w:color w:val="auto"/>
              </w:rPr>
            </w:pPr>
            <w:r>
              <w:rPr>
                <w:rFonts w:ascii="Times New Roman" w:cs="Times New Roman" w:eastAsia="Times New Roman" w:hAnsi="Times New Roman"/>
                <w:sz w:val="17"/>
                <w:szCs w:val="17"/>
                <w:color w:val="auto"/>
              </w:rPr>
              <w:t>Individual performance measures (see individual award schedule for participant’s</w:t>
            </w:r>
          </w:p>
        </w:tc>
        <w:tc>
          <w:tcPr>
            <w:tcW w:w="282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w w:val="97"/>
              </w:rPr>
              <w:t>FY25*</w:t>
            </w:r>
          </w:p>
        </w:tc>
        <w:tc>
          <w:tcPr>
            <w:tcW w:w="270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1"/>
        </w:trPr>
        <w:tc>
          <w:tcPr>
            <w:tcW w:w="57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individual performance metrics)</w:t>
            </w:r>
          </w:p>
        </w:tc>
        <w:tc>
          <w:tcPr>
            <w:tcW w:w="2820" w:type="dxa"/>
            <w:vAlign w:val="bottom"/>
            <w:tcBorders>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5780" w:type="dxa"/>
            <w:vAlign w:val="bottom"/>
            <w:tcBorders>
              <w:left w:val="single" w:sz="8" w:color="auto"/>
              <w:right w:val="single" w:sz="8" w:color="auto"/>
            </w:tcBorders>
          </w:tcPr>
          <w:p>
            <w:pPr>
              <w:ind w:left="60"/>
              <w:spacing w:after="0" w:line="152" w:lineRule="exact"/>
              <w:rPr>
                <w:sz w:val="20"/>
                <w:szCs w:val="20"/>
                <w:color w:val="auto"/>
              </w:rPr>
            </w:pPr>
            <w:r>
              <w:rPr>
                <w:rFonts w:ascii="Times New Roman" w:cs="Times New Roman" w:eastAsia="Times New Roman" w:hAnsi="Times New Roman"/>
                <w:sz w:val="17"/>
                <w:szCs w:val="17"/>
                <w:color w:val="auto"/>
              </w:rPr>
              <w:t>Financial measures (see individual award schedule for financial measures</w:t>
            </w:r>
          </w:p>
        </w:tc>
        <w:tc>
          <w:tcPr>
            <w:tcW w:w="282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w w:val="97"/>
              </w:rPr>
              <w:t>FY25*</w:t>
            </w:r>
          </w:p>
        </w:tc>
        <w:tc>
          <w:tcPr>
            <w:tcW w:w="2700" w:type="dxa"/>
            <w:vAlign w:val="bottom"/>
            <w:tcBorders>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53"/>
        </w:trPr>
        <w:tc>
          <w:tcPr>
            <w:tcW w:w="578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applicable to the FY25, 1H and 2H performance periods)</w:t>
            </w:r>
          </w:p>
        </w:tc>
        <w:tc>
          <w:tcPr>
            <w:tcW w:w="282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780" w:type="dxa"/>
            <w:vAlign w:val="bottom"/>
            <w:tcBorders>
              <w:left w:val="single" w:sz="8" w:color="auto"/>
              <w:right w:val="single" w:sz="8" w:color="auto"/>
            </w:tcBorders>
            <w:vMerge w:val="continue"/>
          </w:tcPr>
          <w:p>
            <w:pPr>
              <w:spacing w:after="0"/>
              <w:rPr>
                <w:sz w:val="17"/>
                <w:szCs w:val="17"/>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1H</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3"/>
        </w:trPr>
        <w:tc>
          <w:tcPr>
            <w:tcW w:w="5780" w:type="dxa"/>
            <w:vAlign w:val="bottom"/>
            <w:tcBorders>
              <w:left w:val="single" w:sz="8" w:color="auto"/>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2H</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right="240" w:firstLine="5"/>
        <w:spacing w:after="0" w:line="281" w:lineRule="auto"/>
        <w:tabs>
          <w:tab w:leader="none" w:pos="96"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elect to defer all or a portion of your bonus under the Company’s Executive Deferred Compensation Plan, such election will only apply to the portion of your incentive award for the FY25 performance periods (and will not apply to the portion of your incentive award for the 1H or 2H performance periods).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FY25 = the full fiscal year ending August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1H = the first two fiscal quarters of FY25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2H = the last two fiscal quarters of FY25</w:t>
      </w:r>
    </w:p>
    <w:p>
      <w:pPr>
        <w:spacing w:after="0" w:line="186"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The financial measures component for each performance period may be sub-divided into multiple performance measures with associated weightings as set forth on the participant’s individual award schedule.</w:t>
      </w:r>
    </w:p>
    <w:p>
      <w:pPr>
        <w:spacing w:after="0" w:line="1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Each financial metric sets forth a threshold, target and maximum level of achievement, with the target being expressed as a range (the “target zone”), such that achievement of results at any level within the target zone will result in a payout at target. Payouts for achievement of results between the threshold and the low-end of the target zone or the high-end of the target zone and maximum levels shall be determined by straight-line interpolation.</w:t>
      </w:r>
    </w:p>
    <w:p>
      <w:pPr>
        <w:spacing w:after="0" w:line="134"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All financial measures set forth in the individual award schedule shall have the definitions set forth below and shall be calculated in accordance with GAAP, subject to adjustment as set forth in the Plan:</w:t>
      </w:r>
    </w:p>
    <w:p>
      <w:pPr>
        <w:spacing w:after="0" w:line="113" w:lineRule="exact"/>
        <w:rPr>
          <w:sz w:val="20"/>
          <w:szCs w:val="20"/>
          <w:color w:val="auto"/>
        </w:rPr>
      </w:pPr>
    </w:p>
    <w:p>
      <w:pPr>
        <w:ind w:left="520" w:right="600" w:hanging="260"/>
        <w:spacing w:after="0" w:line="276" w:lineRule="auto"/>
        <w:tabs>
          <w:tab w:leader="none" w:pos="51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Income: Net Revenue less Cost of Goods Sold less Selling, General and Administrative costs (excludes non-op income/loss and net interest expense). Adjust for</w:t>
      </w:r>
    </w:p>
    <w:p>
      <w:pPr>
        <w:sectPr>
          <w:pgSz w:w="11900" w:h="16838" w:orient="portrait"/>
          <w:cols w:equalWidth="0" w:num="1">
            <w:col w:w="11300"/>
          </w:cols>
          <w:pgMar w:left="300" w:top="1136" w:right="299" w:bottom="1440" w:gutter="0" w:footer="0" w:header="0"/>
        </w:sectPr>
      </w:pPr>
    </w:p>
    <w:bookmarkStart w:id="114" w:name="page115"/>
    <w:bookmarkEnd w:id="114"/>
    <w:p>
      <w:pPr>
        <w:ind w:left="520"/>
        <w:spacing w:after="0"/>
        <w:rPr>
          <w:sz w:val="20"/>
          <w:szCs w:val="20"/>
          <w:color w:val="auto"/>
        </w:rPr>
      </w:pPr>
      <w:r>
        <w:rPr>
          <w:rFonts w:ascii="Times New Roman" w:cs="Times New Roman" w:eastAsia="Times New Roman" w:hAnsi="Times New Roman"/>
          <w:sz w:val="17"/>
          <w:szCs w:val="17"/>
          <w:color w:val="auto"/>
        </w:rPr>
        <w:t>Board approved non-GAAP/non-recurring disclosure items that affect operating income not contemplated in the plan*.</w:t>
      </w:r>
    </w:p>
    <w:p>
      <w:pPr>
        <w:spacing w:after="0" w:line="91" w:lineRule="exact"/>
        <w:rPr>
          <w:sz w:val="20"/>
          <w:szCs w:val="20"/>
          <w:color w:val="auto"/>
        </w:rPr>
      </w:pPr>
    </w:p>
    <w:p>
      <w:pPr>
        <w:ind w:left="500" w:hanging="240"/>
        <w:spacing w:after="0"/>
        <w:tabs>
          <w:tab w:leader="none" w:pos="5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Sales: Gross sales (list price to dealer) plus delivery revenue less allowances and discounts</w:t>
      </w:r>
    </w:p>
    <w:p>
      <w:pPr>
        <w:spacing w:after="0" w:line="90" w:lineRule="exact"/>
        <w:rPr>
          <w:rFonts w:ascii="Times New Roman" w:cs="Times New Roman" w:eastAsia="Times New Roman" w:hAnsi="Times New Roman"/>
          <w:sz w:val="17"/>
          <w:szCs w:val="17"/>
          <w:color w:val="auto"/>
        </w:rPr>
      </w:pPr>
    </w:p>
    <w:p>
      <w:pPr>
        <w:ind w:left="760" w:right="1460" w:hanging="500"/>
        <w:spacing w:after="0" w:line="356" w:lineRule="auto"/>
        <w:tabs>
          <w:tab w:leader="none" w:pos="50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Working Capital: Working Capital (Gross Inventory + Accounts Receivable – Accounts Payable) divided by trailing 12 months net sales </w:t>
      </w:r>
      <w:r>
        <w:rPr>
          <w:rFonts w:ascii="Courier New" w:cs="Courier New" w:eastAsia="Courier New" w:hAnsi="Courier New"/>
          <w:sz w:val="17"/>
          <w:szCs w:val="17"/>
          <w:color w:val="auto"/>
        </w:rPr>
        <w:t xml:space="preserve">o </w:t>
      </w:r>
      <w:r>
        <w:rPr>
          <w:rFonts w:ascii="Times New Roman" w:cs="Times New Roman" w:eastAsia="Times New Roman" w:hAnsi="Times New Roman"/>
          <w:sz w:val="17"/>
          <w:szCs w:val="17"/>
          <w:color w:val="auto"/>
        </w:rPr>
        <w:t>For the 1H and 2H periods, trailing 6 month average working capital as of the end of that period</w:t>
      </w:r>
    </w:p>
    <w:p>
      <w:pPr>
        <w:spacing w:after="0" w:line="4" w:lineRule="exact"/>
        <w:rPr>
          <w:sz w:val="20"/>
          <w:szCs w:val="20"/>
          <w:color w:val="auto"/>
        </w:rPr>
      </w:pPr>
    </w:p>
    <w:p>
      <w:pPr>
        <w:ind w:left="520" w:right="4040" w:firstLine="249"/>
        <w:spacing w:after="0" w:line="349" w:lineRule="auto"/>
        <w:tabs>
          <w:tab w:leader="none" w:pos="1025" w:val="left"/>
        </w:tabs>
        <w:numPr>
          <w:ilvl w:val="0"/>
          <w:numId w:val="75"/>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For the FY24 period, trailing 12 month average working capital as of the end of that period *Refer to Finance Policy FIN-004 Non-GAAP Financial Measures</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Form of Payouts: </w:t>
      </w:r>
      <w:r>
        <w:rPr>
          <w:rFonts w:ascii="Times New Roman" w:cs="Times New Roman" w:eastAsia="Times New Roman" w:hAnsi="Times New Roman"/>
          <w:sz w:val="17"/>
          <w:szCs w:val="17"/>
          <w:color w:val="auto"/>
        </w:rPr>
        <w:t>Payouts under these incentive award for the performance periods shall be made in the form of cash following the end of FY25,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of the Plan.</w:t>
      </w:r>
    </w:p>
    <w:p>
      <w:pPr>
        <w:spacing w:after="0" w:line="12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Individual Award Schedule: </w:t>
      </w:r>
      <w:r>
        <w:rPr>
          <w:rFonts w:ascii="Times New Roman" w:cs="Times New Roman" w:eastAsia="Times New Roman" w:hAnsi="Times New Roman"/>
          <w:sz w:val="17"/>
          <w:szCs w:val="17"/>
          <w:color w:val="auto"/>
        </w:rPr>
        <w:t>Each participant will receive an individual award schedule setting forth the individual and financial performance measures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such participant for the performance periods set forth above, including the applicable weightings of financial measures for each performance period. The individual award schedule also sets forth the participant’s target bonus.</w:t>
      </w:r>
    </w:p>
    <w:p>
      <w:pPr>
        <w:sectPr>
          <w:pgSz w:w="11900" w:h="16838" w:orient="portrait"/>
          <w:cols w:equalWidth="0" w:num="1">
            <w:col w:w="11240"/>
          </w:cols>
          <w:pgMar w:left="300" w:top="1148" w:right="3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Performance Stock Unit Agreement</w:t>
      </w:r>
    </w:p>
    <w:p>
      <w:pPr>
        <w:spacing w:after="0" w:line="200"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6"/>
          <w:szCs w:val="16"/>
          <w:color w:val="auto"/>
        </w:rPr>
        <w:t>Winnebago Industries,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pursuant to its 2019 Omnibus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hereby grants an award of Performance Stock Units to you, the Participant named below. The terms and conditions of this Award are set forth in this Performance Stock Unit Agreement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consisting of this cover page, the Terms and Conditions on the following pages, the attached Exhibit 1 and any Exhibit subsequently provided for the second or third Sub-Performance Period (together with Exhibit 1, the “</w:t>
      </w: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135890</wp:posOffset>
            </wp:positionV>
            <wp:extent cx="7134860" cy="258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7">
                      <a:extLst>
                        <a:ext uri="{28A0092B-C50C-407E-A947-70E740481C1C}"/>
                      </a:extLst>
                    </a:blip>
                    <a:srcRect/>
                    <a:stretch>
                      <a:fillRect/>
                    </a:stretch>
                  </pic:blipFill>
                  <pic:spPr bwMode="auto">
                    <a:xfrm>
                      <a:off x="0" y="0"/>
                      <a:ext cx="7134860" cy="2586990"/>
                    </a:xfrm>
                    <a:prstGeom prst="rect">
                      <a:avLst/>
                    </a:prstGeom>
                    <a:noFill/>
                  </pic:spPr>
                </pic:pic>
              </a:graphicData>
            </a:graphic>
          </wp:anchor>
        </w:drawing>
      </w:r>
    </w:p>
    <w:p>
      <w:pPr>
        <w:spacing w:after="0" w:line="324"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Name of Participant:</w:t>
            </w:r>
          </w:p>
        </w:tc>
        <w:tc>
          <w:tcPr>
            <w:tcW w:w="2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4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Target Number of Performance Stock Units:</w:t>
            </w:r>
          </w:p>
        </w:tc>
        <w:tc>
          <w:tcPr>
            <w:tcW w:w="2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1"/>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Maximum Number of Performance Stock Units:</w:t>
            </w:r>
          </w:p>
        </w:tc>
        <w:tc>
          <w:tcPr>
            <w:tcW w:w="2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86"/>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Grant Date:</w:t>
            </w: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October 15, 2024</w:t>
            </w:r>
          </w:p>
        </w:tc>
      </w:tr>
      <w:tr>
        <w:trPr>
          <w:trHeight w:val="366"/>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w w:val="98"/>
              </w:rPr>
              <w:t>There is a full three-year performance period, which is September 1, 2024 – August 28, 2027, which also includes</w:t>
            </w:r>
          </w:p>
        </w:tc>
      </w:tr>
      <w:tr>
        <w:trPr>
          <w:trHeight w:val="191"/>
        </w:trPr>
        <w:tc>
          <w:tcPr>
            <w:tcW w:w="3380" w:type="dxa"/>
            <w:vAlign w:val="bottom"/>
          </w:tcPr>
          <w:p>
            <w:pPr>
              <w:spacing w:after="0"/>
              <w:rPr>
                <w:sz w:val="16"/>
                <w:szCs w:val="16"/>
                <w:color w:val="auto"/>
              </w:rPr>
            </w:pP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w w:val="98"/>
              </w:rPr>
              <w:t>three periods of time within such Performance Period that correspond to the Fiscal Years within the Performance</w:t>
            </w:r>
          </w:p>
        </w:tc>
      </w:tr>
      <w:tr>
        <w:trPr>
          <w:trHeight w:val="167"/>
        </w:trPr>
        <w:tc>
          <w:tcPr>
            <w:tcW w:w="3380" w:type="dxa"/>
            <w:vAlign w:val="bottom"/>
          </w:tcPr>
          <w:p>
            <w:pPr>
              <w:spacing w:after="0"/>
              <w:rPr>
                <w:sz w:val="14"/>
                <w:szCs w:val="14"/>
                <w:color w:val="auto"/>
              </w:rPr>
            </w:pPr>
          </w:p>
        </w:tc>
        <w:tc>
          <w:tcPr>
            <w:tcW w:w="7540" w:type="dxa"/>
            <w:vAlign w:val="bottom"/>
            <w:gridSpan w:val="3"/>
          </w:tcPr>
          <w:p>
            <w:pPr>
              <w:ind w:left="360"/>
              <w:spacing w:after="0" w:line="168" w:lineRule="exact"/>
              <w:rPr>
                <w:sz w:val="20"/>
                <w:szCs w:val="20"/>
                <w:color w:val="auto"/>
              </w:rPr>
            </w:pPr>
            <w:r>
              <w:rPr>
                <w:rFonts w:ascii="Times New Roman" w:cs="Times New Roman" w:eastAsia="Times New Roman" w:hAnsi="Times New Roman"/>
                <w:sz w:val="16"/>
                <w:szCs w:val="16"/>
                <w:color w:val="auto"/>
              </w:rPr>
              <w:t>Period (each such Fiscal Year, a “Sub-Performance Period”).</w:t>
            </w:r>
          </w:p>
        </w:tc>
      </w:tr>
      <w:tr>
        <w:trPr>
          <w:trHeight w:val="20"/>
        </w:trPr>
        <w:tc>
          <w:tcPr>
            <w:tcW w:w="3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96"/>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Vesting Schedule:</w:t>
            </w: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The number of Units determined in accordance with the Exhibits to have been earned as of the end of the</w:t>
            </w:r>
          </w:p>
        </w:tc>
      </w:tr>
      <w:tr>
        <w:trPr>
          <w:trHeight w:val="191"/>
        </w:trPr>
        <w:tc>
          <w:tcPr>
            <w:tcW w:w="3380" w:type="dxa"/>
            <w:vAlign w:val="bottom"/>
          </w:tcPr>
          <w:p>
            <w:pPr>
              <w:spacing w:after="0"/>
              <w:rPr>
                <w:sz w:val="16"/>
                <w:szCs w:val="16"/>
                <w:color w:val="auto"/>
              </w:rPr>
            </w:pP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w w:val="96"/>
              </w:rPr>
              <w:t>Performance Period will vest* on the date the Company’s Human Resources Committee certifies such performance</w:t>
            </w:r>
          </w:p>
        </w:tc>
      </w:tr>
      <w:tr>
        <w:trPr>
          <w:trHeight w:val="180"/>
        </w:trPr>
        <w:tc>
          <w:tcPr>
            <w:tcW w:w="3380" w:type="dxa"/>
            <w:vAlign w:val="bottom"/>
          </w:tcPr>
          <w:p>
            <w:pPr>
              <w:spacing w:after="0"/>
              <w:rPr>
                <w:sz w:val="15"/>
                <w:szCs w:val="15"/>
                <w:color w:val="auto"/>
              </w:rPr>
            </w:pPr>
          </w:p>
        </w:tc>
        <w:tc>
          <w:tcPr>
            <w:tcW w:w="7540" w:type="dxa"/>
            <w:vAlign w:val="bottom"/>
            <w:gridSpan w:val="3"/>
          </w:tcPr>
          <w:p>
            <w:pPr>
              <w:ind w:left="360"/>
              <w:spacing w:after="0" w:line="181" w:lineRule="exact"/>
              <w:rPr>
                <w:sz w:val="20"/>
                <w:szCs w:val="20"/>
                <w:color w:val="auto"/>
              </w:rPr>
            </w:pPr>
            <w:r>
              <w:rPr>
                <w:rFonts w:ascii="Times New Roman" w:cs="Times New Roman" w:eastAsia="Times New Roman" w:hAnsi="Times New Roman"/>
                <w:sz w:val="16"/>
                <w:szCs w:val="16"/>
                <w:color w:val="auto"/>
                <w:w w:val="98"/>
              </w:rPr>
              <w:t>results, which shall be no later than the 10</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6"/>
                <w:szCs w:val="16"/>
                <w:color w:val="auto"/>
                <w:w w:val="98"/>
              </w:rPr>
              <w:t xml:space="preserve"> day of the third calendar month following the end of the Performance</w:t>
            </w:r>
          </w:p>
        </w:tc>
      </w:tr>
      <w:tr>
        <w:trPr>
          <w:trHeight w:val="203"/>
        </w:trPr>
        <w:tc>
          <w:tcPr>
            <w:tcW w:w="3380" w:type="dxa"/>
            <w:vAlign w:val="bottom"/>
          </w:tcPr>
          <w:p>
            <w:pPr>
              <w:spacing w:after="0"/>
              <w:rPr>
                <w:sz w:val="17"/>
                <w:szCs w:val="17"/>
                <w:color w:val="auto"/>
              </w:rPr>
            </w:pP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Period.</w:t>
            </w:r>
          </w:p>
        </w:tc>
      </w:tr>
      <w:tr>
        <w:trPr>
          <w:trHeight w:val="4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Performance Goals:</w:t>
            </w:r>
          </w:p>
        </w:tc>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See Exhibit 1 and any Exhibit subsequently provided for the second or third Sub-Performance Period.</w:t>
            </w:r>
          </w:p>
        </w:tc>
      </w:tr>
    </w:tbl>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Assumes your Service has been continuous from the Grant Date to the vesting date.</w:t>
      </w:r>
    </w:p>
    <w:p>
      <w:pPr>
        <w:spacing w:after="0" w:line="370" w:lineRule="exact"/>
        <w:rPr>
          <w:sz w:val="20"/>
          <w:szCs w:val="20"/>
          <w:color w:val="auto"/>
        </w:rPr>
      </w:pPr>
    </w:p>
    <w:p>
      <w:pPr>
        <w:jc w:val="both"/>
        <w:ind w:firstLine="180"/>
        <w:spacing w:after="0" w:line="258" w:lineRule="auto"/>
        <w:rPr>
          <w:sz w:val="20"/>
          <w:szCs w:val="20"/>
          <w:color w:val="auto"/>
        </w:rPr>
      </w:pPr>
      <w:r>
        <w:rPr>
          <w:rFonts w:ascii="Times New Roman" w:cs="Times New Roman" w:eastAsia="Times New Roman" w:hAnsi="Times New Roman"/>
          <w:sz w:val="16"/>
          <w:szCs w:val="16"/>
          <w:color w:val="auto"/>
        </w:rPr>
        <w:t>By logging into and accepting this Agreement through your account with E*TRADE, you acknowledge and agree (A) to be bound by all of the terms and conditions of this Agreement (including any terms and conditions contained in any Exhibit for a subsequent Sub-Performance Period) and in the Plan document and (B) that you have received and reviewed these documents (other than any Exhibit</w:t>
      </w:r>
    </w:p>
    <w:p>
      <w:pPr>
        <w:sectPr>
          <w:pgSz w:w="11900" w:h="16838" w:orient="portrait"/>
          <w:cols w:equalWidth="0" w:num="1">
            <w:col w:w="11280"/>
          </w:cols>
          <w:pgMar w:left="300" w:top="161"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color w:val="auto"/>
        </w:rPr>
        <w:t>subsequently provided for the second or third Sub-Performance Period, which I understand will be provided at a later date).</w:t>
      </w:r>
    </w:p>
    <w:p>
      <w:pPr>
        <w:sectPr>
          <w:pgSz w:w="11900" w:h="16838" w:orient="portrait"/>
          <w:cols w:equalWidth="0" w:num="1">
            <w:col w:w="10159"/>
          </w:cols>
          <w:pgMar w:left="300" w:top="1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159"/>
          </w:cols>
          <w:pgMar w:left="300" w:top="1139" w:right="1440" w:bottom="1440" w:gutter="0" w:footer="0" w:header="0"/>
          <w:type w:val="continuous"/>
        </w:sectPr>
      </w:pPr>
    </w:p>
    <w:bookmarkStart w:id="117" w:name="page118"/>
    <w:bookmarkEnd w:id="117"/>
    <w:p>
      <w:pPr>
        <w:ind w:left="4440"/>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Performance Stock Unit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w:t>
      </w:r>
    </w:p>
    <w:p>
      <w:pPr>
        <w:spacing w:after="0" w:line="198" w:lineRule="exact"/>
        <w:rPr>
          <w:sz w:val="20"/>
          <w:szCs w:val="20"/>
          <w:color w:val="auto"/>
        </w:rPr>
      </w:pPr>
    </w:p>
    <w:p>
      <w:pPr>
        <w:ind w:right="160" w:firstLine="5"/>
        <w:spacing w:after="0" w:line="289" w:lineRule="auto"/>
        <w:tabs>
          <w:tab w:leader="none" w:pos="272"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Defined Terms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purposes of this Agreement, the definitions of terms contained in the Plan hereby are incorporated by reference, except to the extent that any such term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specifically defined in this Agreement.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Reason</w:t>
      </w:r>
      <w:r>
        <w:rPr>
          <w:rFonts w:ascii="Times New Roman" w:cs="Times New Roman" w:eastAsia="Times New Roman" w:hAnsi="Times New Roman"/>
          <w:sz w:val="16"/>
          <w:szCs w:val="16"/>
          <w:color w:val="auto"/>
        </w:rPr>
        <w:t>” shall have the meaning set forth in your change in control agreement, if applicable.</w:t>
      </w:r>
    </w:p>
    <w:p>
      <w:pPr>
        <w:spacing w:after="0" w:line="166" w:lineRule="exact"/>
        <w:rPr>
          <w:sz w:val="20"/>
          <w:szCs w:val="20"/>
          <w:color w:val="auto"/>
        </w:rPr>
      </w:pPr>
    </w:p>
    <w:p>
      <w:pPr>
        <w:jc w:val="both"/>
        <w:ind w:firstLine="5"/>
        <w:spacing w:after="0" w:line="247" w:lineRule="auto"/>
        <w:tabs>
          <w:tab w:leader="none" w:pos="29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Award of Performance Stock Units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hereby confirms the grant to you, as of the Grant Date and subject to the terms and conditions of this Agreement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the Exhibits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spacing w:after="0" w:line="172" w:lineRule="exact"/>
        <w:rPr>
          <w:rFonts w:ascii="Times New Roman" w:cs="Times New Roman" w:eastAsia="Times New Roman" w:hAnsi="Times New Roman"/>
          <w:sz w:val="16"/>
          <w:szCs w:val="16"/>
          <w:color w:val="auto"/>
        </w:rPr>
      </w:pPr>
    </w:p>
    <w:p>
      <w:pPr>
        <w:jc w:val="both"/>
        <w:ind w:firstLine="5"/>
        <w:spacing w:after="0" w:line="248" w:lineRule="auto"/>
        <w:tabs>
          <w:tab w:leader="none" w:pos="368"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Restrictions Applicable to Units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Neither this Award nor the Units subject to this Award may be sold, assigned, transferred, exchanged or encumbered, voluntarily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 5a.</w:t>
      </w:r>
    </w:p>
    <w:p>
      <w:pPr>
        <w:spacing w:after="0" w:line="174" w:lineRule="exact"/>
        <w:rPr>
          <w:rFonts w:ascii="Times New Roman" w:cs="Times New Roman" w:eastAsia="Times New Roman" w:hAnsi="Times New Roman"/>
          <w:sz w:val="16"/>
          <w:szCs w:val="16"/>
          <w:color w:val="auto"/>
        </w:rPr>
      </w:pPr>
    </w:p>
    <w:p>
      <w:pPr>
        <w:jc w:val="both"/>
        <w:ind w:firstLine="5"/>
        <w:spacing w:after="0" w:line="255" w:lineRule="auto"/>
        <w:tabs>
          <w:tab w:leader="none" w:pos="28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Shareholder Rights</w:t>
      </w:r>
      <w:r>
        <w:rPr>
          <w:rFonts w:ascii="Times New Roman" w:cs="Times New Roman" w:eastAsia="Times New Roman" w:hAnsi="Times New Roman"/>
          <w:sz w:val="16"/>
          <w:szCs w:val="16"/>
          <w:color w:val="auto"/>
        </w:rPr>
        <w:t>. The Units subject to this Award do not entitle you to any rights of a holder of the Company’s common stock. You will not have any of the rights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 of the Company in connection with any Units granted or earned pursuant to this Agreement unless and until Shares are issued to you in settlement of earned and vested Units as provided in Section 6.</w:t>
      </w:r>
    </w:p>
    <w:p>
      <w:pPr>
        <w:spacing w:after="0" w:line="166" w:lineRule="exact"/>
        <w:rPr>
          <w:rFonts w:ascii="Times New Roman" w:cs="Times New Roman" w:eastAsia="Times New Roman" w:hAnsi="Times New Roman"/>
          <w:sz w:val="16"/>
          <w:szCs w:val="16"/>
          <w:color w:val="auto"/>
        </w:rPr>
      </w:pPr>
    </w:p>
    <w:p>
      <w:pPr>
        <w:jc w:val="both"/>
        <w:ind w:firstLine="5"/>
        <w:spacing w:after="0" w:line="255" w:lineRule="auto"/>
        <w:tabs>
          <w:tab w:leader="none" w:pos="32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and Forfeiture of Units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purposes of this Agreement, “Vesting Date” means any date, including the Scheduled Vesting Date (defined below), on which Units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to this Agreement vest as provided in this Section 5. Subject in all cases to Section 16(i) of the Plan, the Units shall vest at the earliest of the following times and to the degree specified.</w:t>
      </w:r>
    </w:p>
    <w:p>
      <w:pPr>
        <w:spacing w:after="0" w:line="158" w:lineRule="exact"/>
        <w:rPr>
          <w:rFonts w:ascii="Times New Roman" w:cs="Times New Roman" w:eastAsia="Times New Roman" w:hAnsi="Times New Roman"/>
          <w:sz w:val="16"/>
          <w:szCs w:val="16"/>
          <w:color w:val="auto"/>
        </w:rPr>
      </w:pPr>
    </w:p>
    <w:p>
      <w:pPr>
        <w:jc w:val="both"/>
        <w:ind w:firstLine="514"/>
        <w:spacing w:after="0" w:line="261" w:lineRule="auto"/>
        <w:tabs>
          <w:tab w:leader="none" w:pos="859"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Scheduled Vesting</w:t>
      </w:r>
      <w:r>
        <w:rPr>
          <w:rFonts w:ascii="Times New Roman" w:cs="Times New Roman" w:eastAsia="Times New Roman" w:hAnsi="Times New Roman"/>
          <w:sz w:val="16"/>
          <w:szCs w:val="16"/>
          <w:color w:val="auto"/>
        </w:rPr>
        <w:t>. The number of Units that have been earned during the Performance Period, as determined by the Committee in accordance with the Exhibits, will vest on the Scheduled Vesting Date, so long as your Service has been continuous from the Grant Date to the Scheduled Vesting Date. For these purposes, the “Scheduled Vesting Date” means the date the Committee certifies (i) the degree to which</w:t>
      </w:r>
    </w:p>
    <w:p>
      <w:pPr>
        <w:sectPr>
          <w:pgSz w:w="11900" w:h="16838" w:orient="portrait"/>
          <w:cols w:equalWidth="0" w:num="1">
            <w:col w:w="11280"/>
          </w:cols>
          <w:pgMar w:left="300" w:top="1158" w:right="319" w:bottom="1440" w:gutter="0" w:footer="0" w:header="0"/>
        </w:sectPr>
      </w:pPr>
    </w:p>
    <w:bookmarkStart w:id="118" w:name="page119"/>
    <w:bookmarkEnd w:id="118"/>
    <w:p>
      <w:pPr>
        <w:spacing w:after="0" w:line="273" w:lineRule="auto"/>
        <w:rPr>
          <w:sz w:val="20"/>
          <w:szCs w:val="20"/>
          <w:color w:val="auto"/>
        </w:rPr>
      </w:pPr>
      <w:r>
        <w:rPr>
          <w:rFonts w:ascii="Times New Roman" w:cs="Times New Roman" w:eastAsia="Times New Roman" w:hAnsi="Times New Roman"/>
          <w:sz w:val="16"/>
          <w:szCs w:val="16"/>
          <w:color w:val="auto"/>
        </w:rPr>
        <w:t>the applicable performance goals for the Performance Period have been satisfied, and (ii) the number of Units that have been earned during the Performance Period as determined in accordance with the Exhibits, which certification shall occur no later than the 10th day of the third calendar month following the end of the Performance Period.</w:t>
      </w:r>
    </w:p>
    <w:p>
      <w:pPr>
        <w:spacing w:after="0" w:line="144" w:lineRule="exact"/>
        <w:rPr>
          <w:sz w:val="20"/>
          <w:szCs w:val="20"/>
          <w:color w:val="auto"/>
        </w:rPr>
      </w:pPr>
    </w:p>
    <w:p>
      <w:pPr>
        <w:jc w:val="both"/>
        <w:ind w:firstLine="514"/>
        <w:spacing w:after="0" w:line="251" w:lineRule="auto"/>
        <w:tabs>
          <w:tab w:leader="none" w:pos="878"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Death or Disability</w:t>
      </w:r>
      <w:r>
        <w:rPr>
          <w:rFonts w:ascii="Times New Roman" w:cs="Times New Roman" w:eastAsia="Times New Roman" w:hAnsi="Times New Roman"/>
          <w:sz w:val="16"/>
          <w:szCs w:val="16"/>
          <w:color w:val="auto"/>
        </w:rPr>
        <w:t>. If your Service terminates by reason of your death or Disability prior to the Scheduled Vesting Date, then as of the date of your termination of Service, a number of Units shall vest determined as follows (i) the number of Units earned based on the actual level of performance for any Sub-Performance Period that has concluded prior to your termination of Service, plus (ii) either (A) the Target Number of Performance Stock Units allocated to the Performance Period or any Sub-Performance Period that has not concluded prior to your termination of Service or (B) in the discretion of the Committee upon its determination of the actual level of performance (if determinable) through the date of your termination of Service, the number of Units specified by the Committee as having been earned based on such performance.</w:t>
      </w:r>
    </w:p>
    <w:p>
      <w:pPr>
        <w:spacing w:after="0" w:line="162" w:lineRule="exact"/>
        <w:rPr>
          <w:rFonts w:ascii="Times New Roman" w:cs="Times New Roman" w:eastAsia="Times New Roman" w:hAnsi="Times New Roman"/>
          <w:sz w:val="16"/>
          <w:szCs w:val="16"/>
          <w:color w:val="auto"/>
        </w:rPr>
      </w:pPr>
    </w:p>
    <w:p>
      <w:pPr>
        <w:ind w:firstLine="514"/>
        <w:spacing w:after="0" w:line="273" w:lineRule="auto"/>
        <w:tabs>
          <w:tab w:leader="none" w:pos="859"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If a Change in Control occurs after the Grant Date but before the Scheduled Vesting Date and your Service continues to the date of the Change in Control, the provisions of Section 12 of the Plan shall apply, including those providing for benefits upon termination of Service for Good Reason.</w:t>
      </w:r>
    </w:p>
    <w:p>
      <w:pPr>
        <w:spacing w:after="0" w:line="143" w:lineRule="exact"/>
        <w:rPr>
          <w:rFonts w:ascii="Times New Roman" w:cs="Times New Roman" w:eastAsia="Times New Roman" w:hAnsi="Times New Roman"/>
          <w:sz w:val="16"/>
          <w:szCs w:val="16"/>
          <w:color w:val="auto"/>
        </w:rPr>
      </w:pPr>
    </w:p>
    <w:p>
      <w:pPr>
        <w:jc w:val="both"/>
        <w:ind w:firstLine="514"/>
        <w:spacing w:after="0" w:line="255" w:lineRule="auto"/>
        <w:tabs>
          <w:tab w:leader="none" w:pos="867"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Retirement</w:t>
      </w:r>
      <w:r>
        <w:rPr>
          <w:rFonts w:ascii="Times New Roman" w:cs="Times New Roman" w:eastAsia="Times New Roman" w:hAnsi="Times New Roman"/>
          <w:sz w:val="16"/>
          <w:szCs w:val="16"/>
          <w:color w:val="auto"/>
        </w:rPr>
        <w:t>. If, due to Retirement, your Service terminates at least twelve (12) months after the Grant Date and prior to the end of the Performance Period, then your Units shall remain outstanding and eligible to vest on the Scheduled Vesting Date, and the number of Units vesting on the Scheduled Vesting Date will equal the number of Units that would have vested pursuant to this Agreement if your termination of Service had not occurred</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For this purpose, (i) Retirement means any termination of employment (other than by the Company for Cause or due to death or Disability) at or after age sixty-five (65) or at or after age fifty-five (55) with ten (10) or more years of continuous Service to the Company and its Affiliates, with Service measured from your most recent date of hire and (ii) any period of service to an entity prior to such entity becoming an Affiliate will not count towards your Service measurement.</w:t>
      </w:r>
    </w:p>
    <w:p>
      <w:pPr>
        <w:spacing w:after="0" w:line="163" w:lineRule="exact"/>
        <w:rPr>
          <w:rFonts w:ascii="Times New Roman" w:cs="Times New Roman" w:eastAsia="Times New Roman" w:hAnsi="Times New Roman"/>
          <w:sz w:val="16"/>
          <w:szCs w:val="16"/>
          <w:color w:val="auto"/>
        </w:rPr>
      </w:pPr>
    </w:p>
    <w:p>
      <w:pPr>
        <w:jc w:val="both"/>
        <w:ind w:firstLine="514"/>
        <w:spacing w:after="0" w:line="254" w:lineRule="auto"/>
        <w:tabs>
          <w:tab w:leader="none" w:pos="869"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Forfeiture of Unvested Units</w:t>
      </w:r>
      <w:r>
        <w:rPr>
          <w:rFonts w:ascii="Times New Roman" w:cs="Times New Roman" w:eastAsia="Times New Roman" w:hAnsi="Times New Roman"/>
          <w:sz w:val="16"/>
          <w:szCs w:val="16"/>
          <w:color w:val="auto"/>
        </w:rPr>
        <w:t>. To the extent any of Sections 5(a) through (d) is applicable to this Award, any Units that do not vest on the Vesting Date as provided therein shall immediately be forfeited. If your Service terminates prior to the Scheduled Vesting Date under circumstances other than as set forth in Sections 5(b) and 5(d), all unvested Units shall immediately be forfeited. Notwithstanding this forfeiture, you will continue to be subject to the terms and conditions of this Agreement.</w:t>
      </w:r>
    </w:p>
    <w:p>
      <w:pPr>
        <w:spacing w:after="0" w:line="167" w:lineRule="exact"/>
        <w:rPr>
          <w:rFonts w:ascii="Times New Roman" w:cs="Times New Roman" w:eastAsia="Times New Roman" w:hAnsi="Times New Roman"/>
          <w:sz w:val="16"/>
          <w:szCs w:val="16"/>
          <w:color w:val="auto"/>
        </w:rPr>
      </w:pPr>
    </w:p>
    <w:p>
      <w:pPr>
        <w:jc w:val="both"/>
        <w:ind w:firstLine="5"/>
        <w:spacing w:after="0" w:line="237" w:lineRule="auto"/>
        <w:tabs>
          <w:tab w:leader="none" w:pos="325"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Settlement of Units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soon as practicable after any date on which Units vest (but no later than the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 the third calendar month following the Vesting Date),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78" w:lineRule="exact"/>
        <w:rPr>
          <w:rFonts w:ascii="Times New Roman" w:cs="Times New Roman" w:eastAsia="Times New Roman" w:hAnsi="Times New Roman"/>
          <w:sz w:val="16"/>
          <w:szCs w:val="16"/>
          <w:color w:val="auto"/>
        </w:rPr>
      </w:pPr>
    </w:p>
    <w:p>
      <w:pPr>
        <w:ind w:firstLine="5"/>
        <w:spacing w:after="0" w:line="262" w:lineRule="auto"/>
        <w:tabs>
          <w:tab w:leader="none" w:pos="27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Dividend Equivalents</w:t>
      </w:r>
      <w:r>
        <w:rPr>
          <w:rFonts w:ascii="Times New Roman" w:cs="Times New Roman" w:eastAsia="Times New Roman" w:hAnsi="Times New Roman"/>
          <w:sz w:val="16"/>
          <w:szCs w:val="16"/>
          <w:color w:val="auto"/>
        </w:rPr>
        <w:t>. If the Company pays cash dividends on its Shares while any Units subject to this Agreement are outstanding, then on the date this Award vests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Section 5 above, the Total</w:t>
      </w:r>
    </w:p>
    <w:p>
      <w:pPr>
        <w:sectPr>
          <w:pgSz w:w="11900" w:h="16838" w:orient="portrait"/>
          <w:cols w:equalWidth="0" w:num="1">
            <w:col w:w="11280"/>
          </w:cols>
          <w:pgMar w:left="300" w:top="1139" w:right="319" w:bottom="1440" w:gutter="0" w:footer="0" w:header="0"/>
        </w:sectPr>
      </w:pPr>
    </w:p>
    <w:bookmarkStart w:id="119" w:name="page120"/>
    <w:bookmarkEnd w:id="119"/>
    <w:p>
      <w:pPr>
        <w:jc w:val="both"/>
        <w:spacing w:after="0" w:line="248" w:lineRule="auto"/>
        <w:rPr>
          <w:sz w:val="20"/>
          <w:szCs w:val="20"/>
          <w:color w:val="auto"/>
        </w:rPr>
      </w:pPr>
      <w:r>
        <w:rPr>
          <w:rFonts w:ascii="Times New Roman" w:cs="Times New Roman" w:eastAsia="Times New Roman" w:hAnsi="Times New Roman"/>
          <w:sz w:val="16"/>
          <w:szCs w:val="16"/>
          <w:color w:val="auto"/>
        </w:rPr>
        <w:t>Dividend Equivalent Amount will be credited to your performance stock unit account in cash. The “Total Dividend Equivalent Amount” will be determined by multiplying the number of underlying Units determined 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spacing w:after="0" w:line="172" w:lineRule="exact"/>
        <w:rPr>
          <w:sz w:val="20"/>
          <w:szCs w:val="20"/>
          <w:color w:val="auto"/>
        </w:rPr>
      </w:pPr>
    </w:p>
    <w:p>
      <w:pPr>
        <w:jc w:val="both"/>
        <w:ind w:firstLine="5"/>
        <w:spacing w:after="0" w:line="284" w:lineRule="auto"/>
        <w:tabs>
          <w:tab w:leader="none" w:pos="283"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Tax Consequences and Withholding</w:t>
      </w:r>
      <w:r>
        <w:rPr>
          <w:rFonts w:ascii="Times New Roman" w:cs="Times New Roman" w:eastAsia="Times New Roman" w:hAnsi="Times New Roman"/>
          <w:sz w:val="14"/>
          <w:szCs w:val="14"/>
          <w:color w:val="auto"/>
        </w:rPr>
        <w:t>. No Shares will be delivered to you in settlement of vested Units, and no payment of any vested Total Dividend Equivalent Amount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made, unless you have made 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w:t>
      </w:r>
    </w:p>
    <w:p>
      <w:pPr>
        <w:jc w:val="both"/>
        <w:ind w:firstLine="5"/>
        <w:spacing w:after="0" w:line="244" w:lineRule="auto"/>
        <w:tabs>
          <w:tab w:leader="none" w:pos="197"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176" w:lineRule="exact"/>
        <w:rPr>
          <w:rFonts w:ascii="Times New Roman" w:cs="Times New Roman" w:eastAsia="Times New Roman" w:hAnsi="Times New Roman"/>
          <w:sz w:val="16"/>
          <w:szCs w:val="16"/>
          <w:color w:val="auto"/>
        </w:rPr>
      </w:pPr>
    </w:p>
    <w:p>
      <w:pPr>
        <w:jc w:val="both"/>
        <w:ind w:firstLine="5"/>
        <w:spacing w:after="0" w:line="248" w:lineRule="auto"/>
        <w:tabs>
          <w:tab w:leader="none" w:pos="283"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Every notice or other communication relating to this Agreement shall be in writing and shall be mailed to or delivered (including electronically) to the party for whom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43" w:lineRule="exact"/>
        <w:rPr>
          <w:rFonts w:ascii="Times New Roman" w:cs="Times New Roman" w:eastAsia="Times New Roman" w:hAnsi="Times New Roman"/>
          <w:sz w:val="16"/>
          <w:szCs w:val="16"/>
          <w:color w:val="auto"/>
        </w:rPr>
      </w:pPr>
    </w:p>
    <w:p>
      <w:pPr>
        <w:ind w:left="360" w:hanging="355"/>
        <w:spacing w:after="0"/>
        <w:tabs>
          <w:tab w:leader="none" w:pos="3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Additional Provisions</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ind w:firstLine="514"/>
        <w:spacing w:after="0" w:line="259" w:lineRule="auto"/>
        <w:tabs>
          <w:tab w:leader="none" w:pos="89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 to Continued Service</w:t>
      </w:r>
      <w:r>
        <w:rPr>
          <w:rFonts w:ascii="Times New Roman" w:cs="Times New Roman" w:eastAsia="Times New Roman" w:hAnsi="Times New Roman"/>
          <w:sz w:val="16"/>
          <w:szCs w:val="16"/>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65" w:lineRule="exact"/>
        <w:rPr>
          <w:rFonts w:ascii="Times New Roman" w:cs="Times New Roman" w:eastAsia="Times New Roman" w:hAnsi="Times New Roman"/>
          <w:sz w:val="16"/>
          <w:szCs w:val="16"/>
          <w:color w:val="auto"/>
        </w:rPr>
      </w:pPr>
    </w:p>
    <w:p>
      <w:pPr>
        <w:jc w:val="both"/>
        <w:ind w:firstLine="514"/>
        <w:spacing w:after="0" w:line="254" w:lineRule="auto"/>
        <w:tabs>
          <w:tab w:leader="none" w:pos="888"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Plan Document</w:t>
      </w:r>
      <w:r>
        <w:rPr>
          <w:rFonts w:ascii="Times New Roman" w:cs="Times New Roman" w:eastAsia="Times New Roman" w:hAnsi="Times New Roman"/>
          <w:sz w:val="16"/>
          <w:szCs w:val="16"/>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69" w:lineRule="exact"/>
        <w:rPr>
          <w:rFonts w:ascii="Times New Roman" w:cs="Times New Roman" w:eastAsia="Times New Roman" w:hAnsi="Times New Roman"/>
          <w:sz w:val="16"/>
          <w:szCs w:val="16"/>
          <w:color w:val="auto"/>
        </w:rPr>
      </w:pPr>
    </w:p>
    <w:p>
      <w:pPr>
        <w:ind w:firstLine="514"/>
        <w:spacing w:after="0" w:line="259" w:lineRule="auto"/>
        <w:tabs>
          <w:tab w:leader="none" w:pos="848"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ectPr>
          <w:pgSz w:w="11900" w:h="16838" w:orient="portrait"/>
          <w:cols w:equalWidth="0" w:num="1">
            <w:col w:w="11280"/>
          </w:cols>
          <w:pgMar w:left="300" w:top="1139" w:right="319" w:bottom="1440" w:gutter="0" w:footer="0" w:header="0"/>
        </w:sectPr>
      </w:pPr>
    </w:p>
    <w:bookmarkStart w:id="120" w:name="page121"/>
    <w:bookmarkEnd w:id="120"/>
    <w:p>
      <w:pPr>
        <w:jc w:val="both"/>
        <w:ind w:firstLine="514"/>
        <w:spacing w:after="0" w:line="254" w:lineRule="auto"/>
        <w:tabs>
          <w:tab w:leader="none" w:pos="84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69" w:lineRule="exact"/>
        <w:rPr>
          <w:rFonts w:ascii="Times New Roman" w:cs="Times New Roman" w:eastAsia="Times New Roman" w:hAnsi="Times New Roman"/>
          <w:sz w:val="16"/>
          <w:szCs w:val="16"/>
          <w:color w:val="auto"/>
        </w:rPr>
      </w:pPr>
    </w:p>
    <w:p>
      <w:pPr>
        <w:ind w:left="920" w:hanging="406"/>
        <w:spacing w:after="0"/>
        <w:tabs>
          <w:tab w:leader="none" w:pos="9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will be binding in all respects on your heirs, representatives, successors and assigns, and on the successors and assigns of the</w:t>
      </w:r>
    </w:p>
    <w:p>
      <w:pPr>
        <w:spacing w:after="0" w:line="1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79" w:lineRule="exact"/>
        <w:rPr>
          <w:rFonts w:ascii="Times New Roman" w:cs="Times New Roman" w:eastAsia="Times New Roman" w:hAnsi="Times New Roman"/>
          <w:sz w:val="16"/>
          <w:szCs w:val="16"/>
          <w:color w:val="auto"/>
        </w:rPr>
      </w:pPr>
    </w:p>
    <w:p>
      <w:pPr>
        <w:jc w:val="both"/>
        <w:ind w:left="520" w:hanging="6"/>
        <w:spacing w:after="0" w:line="252" w:lineRule="auto"/>
        <w:tabs>
          <w:tab w:leader="none" w:pos="86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 The award of Units as provided in this Agreement and any issuance of Shares or payment pursuant to this Agreement are intended to be exempt from Section 409A of 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160" w:lineRule="exact"/>
        <w:rPr>
          <w:rFonts w:ascii="Times New Roman" w:cs="Times New Roman" w:eastAsia="Times New Roman" w:hAnsi="Times New Roman"/>
          <w:sz w:val="16"/>
          <w:szCs w:val="16"/>
          <w:color w:val="auto"/>
        </w:rPr>
      </w:pPr>
    </w:p>
    <w:p>
      <w:pPr>
        <w:jc w:val="both"/>
        <w:ind w:firstLine="514"/>
        <w:spacing w:after="0" w:line="261" w:lineRule="auto"/>
        <w:tabs>
          <w:tab w:leader="none" w:pos="87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 and Acceptance</w:t>
      </w:r>
      <w:r>
        <w:rPr>
          <w:rFonts w:ascii="Times New Roman" w:cs="Times New Roman" w:eastAsia="Times New Roman" w:hAnsi="Times New Roman"/>
          <w:sz w:val="16"/>
          <w:szCs w:val="16"/>
          <w:color w:val="auto"/>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46" w:lineRule="exact"/>
        <w:rPr>
          <w:rFonts w:ascii="Times New Roman" w:cs="Times New Roman" w:eastAsia="Times New Roman" w:hAnsi="Times New Roman"/>
          <w:sz w:val="16"/>
          <w:szCs w:val="16"/>
          <w:color w:val="auto"/>
        </w:rPr>
      </w:pPr>
    </w:p>
    <w:p>
      <w:pPr>
        <w:jc w:val="both"/>
        <w:ind w:firstLine="514"/>
        <w:spacing w:after="0" w:line="248" w:lineRule="auto"/>
        <w:tabs>
          <w:tab w:leader="none" w:pos="85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Forfeiture and Compensation Recovery</w:t>
      </w:r>
      <w:r>
        <w:rPr>
          <w:rFonts w:ascii="Times New Roman" w:cs="Times New Roman" w:eastAsia="Times New Roman" w:hAnsi="Times New Roman"/>
          <w:sz w:val="16"/>
          <w:szCs w:val="16"/>
          <w:color w:val="auto"/>
        </w:rPr>
        <w:t>. To the extent that this Award and any compensation associated herewith is considered “incentive-based compensation” within the meaning and subject to the requirements of Section 10D of the Exchange Act, this Award and any compensation associated herewith shall be subject to potential forfeiture or recovery by the Company or other action in accordance with the Company’s Mandatory Compensation Recovery Policy and/or the Company’s Supplemental Compensation Recovery Policy, as either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are then listed, or as otherwise required by law. This Agreement may be unilaterally amended by the Committee to comply with any such compensation recovery policy.</w:t>
      </w:r>
    </w:p>
    <w:p>
      <w:pPr>
        <w:spacing w:after="0" w:line="16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ectPr>
          <w:pgSz w:w="11900" w:h="16838" w:orient="portrait"/>
          <w:cols w:equalWidth="0" w:num="1">
            <w:col w:w="11280"/>
          </w:cols>
          <w:pgMar w:left="300" w:top="1139" w:right="3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Performance Stock Unit Agreement</w:t>
      </w:r>
    </w:p>
    <w:p>
      <w:pPr>
        <w:spacing w:after="0" w:line="20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6"/>
          <w:szCs w:val="16"/>
          <w:color w:val="auto"/>
        </w:rPr>
        <w:t>Winnebago Industries,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pursuant to its 2019 Omnibus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hereby grants an award of Performance Stock Units to you, the Participant named below. The terms and conditions of this Award are set forth in this Performance Stock Unit Agreement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xml:space="preserve">”), consisting of this cover page, the Terms and Conditions on the following pages and the attached </w:t>
      </w:r>
      <w:r>
        <w:rPr>
          <w:rFonts w:ascii="Times New Roman" w:cs="Times New Roman" w:eastAsia="Times New Roman" w:hAnsi="Times New Roman"/>
          <w:sz w:val="16"/>
          <w:szCs w:val="16"/>
          <w:u w:val="single" w:color="auto"/>
          <w:color w:val="auto"/>
        </w:rPr>
        <w:t>Exhibit 1</w:t>
      </w:r>
      <w:r>
        <w:rPr>
          <w:rFonts w:ascii="Times New Roman" w:cs="Times New Roman" w:eastAsia="Times New Roman" w:hAnsi="Times New Roman"/>
          <w:sz w:val="16"/>
          <w:szCs w:val="16"/>
          <w:color w:val="auto"/>
        </w:rPr>
        <w:t>,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137160</wp:posOffset>
            </wp:positionV>
            <wp:extent cx="6918960" cy="23444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8">
                      <a:extLst>
                        <a:ext uri="{28A0092B-C50C-407E-A947-70E740481C1C}"/>
                      </a:extLst>
                    </a:blip>
                    <a:srcRect/>
                    <a:stretch>
                      <a:fillRect/>
                    </a:stretch>
                  </pic:blipFill>
                  <pic:spPr bwMode="auto">
                    <a:xfrm>
                      <a:off x="0" y="0"/>
                      <a:ext cx="6918960" cy="2344420"/>
                    </a:xfrm>
                    <a:prstGeom prst="rect">
                      <a:avLst/>
                    </a:prstGeom>
                    <a:noFill/>
                  </pic:spPr>
                </pic:pic>
              </a:graphicData>
            </a:graphic>
          </wp:anchor>
        </w:drawing>
      </w:r>
    </w:p>
    <w:p>
      <w:pPr>
        <w:spacing w:after="0" w:line="326"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Name of Participant:</w:t>
            </w: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60" w:type="dxa"/>
            <w:vAlign w:val="bottom"/>
          </w:tcPr>
          <w:p>
            <w:pPr>
              <w:spacing w:after="0"/>
              <w:rPr>
                <w:sz w:val="17"/>
                <w:szCs w:val="17"/>
                <w:color w:val="auto"/>
              </w:rPr>
            </w:pPr>
          </w:p>
        </w:tc>
      </w:tr>
      <w:tr>
        <w:trPr>
          <w:trHeight w:val="4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Target Number of Performance Stock Units:</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Maximum Number of Performance Stock Units:</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61"/>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Grant Date:</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720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September 1, 2024 – August 30, 2025</w:t>
            </w:r>
          </w:p>
        </w:tc>
      </w:tr>
      <w:tr>
        <w:trPr>
          <w:trHeight w:val="368"/>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Vesting Schedule:</w:t>
            </w:r>
          </w:p>
        </w:tc>
        <w:tc>
          <w:tcPr>
            <w:tcW w:w="720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Of the Units determined in accordance with Exhibit 1 to have been earned as of the end of the Performance</w:t>
            </w:r>
          </w:p>
        </w:tc>
      </w:tr>
      <w:tr>
        <w:trPr>
          <w:trHeight w:val="20"/>
        </w:trPr>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84"/>
        </w:trPr>
        <w:tc>
          <w:tcPr>
            <w:tcW w:w="3320" w:type="dxa"/>
            <w:vAlign w:val="bottom"/>
          </w:tcPr>
          <w:p>
            <w:pPr>
              <w:spacing w:after="0"/>
              <w:rPr>
                <w:sz w:val="16"/>
                <w:szCs w:val="16"/>
                <w:color w:val="auto"/>
              </w:rPr>
            </w:pPr>
          </w:p>
        </w:tc>
        <w:tc>
          <w:tcPr>
            <w:tcW w:w="720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w w:val="96"/>
              </w:rPr>
              <w:t>Period, (i) 50% will vest* on the date the Company’s Human Resources Committee certifies such performance</w:t>
            </w:r>
          </w:p>
        </w:tc>
      </w:tr>
      <w:tr>
        <w:trPr>
          <w:trHeight w:val="191"/>
        </w:trPr>
        <w:tc>
          <w:tcPr>
            <w:tcW w:w="3320" w:type="dxa"/>
            <w:vAlign w:val="bottom"/>
          </w:tcPr>
          <w:p>
            <w:pPr>
              <w:spacing w:after="0"/>
              <w:rPr>
                <w:sz w:val="16"/>
                <w:szCs w:val="16"/>
                <w:color w:val="auto"/>
              </w:rPr>
            </w:pPr>
          </w:p>
        </w:tc>
        <w:tc>
          <w:tcPr>
            <w:tcW w:w="720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results, which shall be no later than the 10th day of the third calendar month following the end of the</w:t>
            </w:r>
          </w:p>
        </w:tc>
      </w:tr>
      <w:tr>
        <w:trPr>
          <w:trHeight w:val="203"/>
        </w:trPr>
        <w:tc>
          <w:tcPr>
            <w:tcW w:w="3320" w:type="dxa"/>
            <w:vAlign w:val="bottom"/>
          </w:tcPr>
          <w:p>
            <w:pPr>
              <w:spacing w:after="0"/>
              <w:rPr>
                <w:sz w:val="17"/>
                <w:szCs w:val="17"/>
                <w:color w:val="auto"/>
              </w:rPr>
            </w:pPr>
          </w:p>
        </w:tc>
        <w:tc>
          <w:tcPr>
            <w:tcW w:w="720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Performance Period and (ii) the remaining 50% will vest on the second anniversary of the Grant Date.</w:t>
            </w:r>
          </w:p>
        </w:tc>
      </w:tr>
      <w:tr>
        <w:trPr>
          <w:trHeight w:val="357"/>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Performance Goals:</w:t>
            </w:r>
          </w:p>
        </w:tc>
        <w:tc>
          <w:tcPr>
            <w:tcW w:w="720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See Exhibit 1</w:t>
            </w:r>
          </w:p>
        </w:tc>
      </w:tr>
      <w:tr>
        <w:trPr>
          <w:trHeight w:val="20"/>
        </w:trPr>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Assumes your service has been continuous from the Grant Date to the vesting date.</w:t>
      </w:r>
    </w:p>
    <w:p>
      <w:pPr>
        <w:spacing w:after="0" w:line="380" w:lineRule="exact"/>
        <w:rPr>
          <w:sz w:val="20"/>
          <w:szCs w:val="20"/>
          <w:color w:val="auto"/>
        </w:rPr>
      </w:pPr>
    </w:p>
    <w:p>
      <w:pPr>
        <w:ind w:firstLine="170"/>
        <w:spacing w:after="0" w:line="267" w:lineRule="auto"/>
        <w:rPr>
          <w:sz w:val="20"/>
          <w:szCs w:val="20"/>
          <w:color w:val="auto"/>
        </w:rPr>
      </w:pPr>
      <w:r>
        <w:rPr>
          <w:rFonts w:ascii="Times New Roman" w:cs="Times New Roman" w:eastAsia="Times New Roman" w:hAnsi="Times New Roman"/>
          <w:sz w:val="16"/>
          <w:szCs w:val="16"/>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w:t>
      </w:r>
    </w:p>
    <w:p>
      <w:pPr>
        <w:spacing w:after="0" w:line="15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color w:val="auto"/>
        </w:rPr>
        <w:t>PARTICIPANT:</w:t>
      </w:r>
      <w:r>
        <w:rPr>
          <w:sz w:val="20"/>
          <w:szCs w:val="20"/>
          <w:color w:val="auto"/>
        </w:rPr>
        <w:tab/>
      </w:r>
      <w:r>
        <w:rPr>
          <w:rFonts w:ascii="Times New Roman" w:cs="Times New Roman" w:eastAsia="Times New Roman" w:hAnsi="Times New Roman"/>
          <w:sz w:val="16"/>
          <w:szCs w:val="16"/>
          <w:color w:val="auto"/>
        </w:rPr>
        <w:t>WINNEBAGO INDUSTRIES, INC.</w:t>
      </w:r>
    </w:p>
    <w:p>
      <w:pPr>
        <w:spacing w:after="0" w:line="3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42621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9">
                      <a:extLst>
                        <a:ext uri="{28A0092B-C50C-407E-A947-70E740481C1C}"/>
                      </a:extLst>
                    </a:blip>
                    <a:srcRect/>
                    <a:stretch>
                      <a:fillRect/>
                    </a:stretch>
                  </pic:blipFill>
                  <pic:spPr bwMode="auto">
                    <a:xfrm>
                      <a:off x="0" y="0"/>
                      <a:ext cx="1426210" cy="6985"/>
                    </a:xfrm>
                    <a:prstGeom prst="rect">
                      <a:avLst/>
                    </a:prstGeom>
                    <a:noFill/>
                  </pic:spPr>
                </pic:pic>
              </a:graphicData>
            </a:graphic>
          </wp:anchor>
        </w:drawing>
      </w:r>
    </w:p>
    <w:p>
      <w:pPr>
        <w:ind w:left="11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-17145</wp:posOffset>
            </wp:positionV>
            <wp:extent cx="59245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0">
                      <a:extLst>
                        <a:ext uri="{28A0092B-C50C-407E-A947-70E740481C1C}"/>
                      </a:extLst>
                    </a:blip>
                    <a:srcRect/>
                    <a:stretch>
                      <a:fillRect/>
                    </a:stretch>
                  </pic:blipFill>
                  <pic:spPr bwMode="auto">
                    <a:xfrm>
                      <a:off x="0" y="0"/>
                      <a:ext cx="592455" cy="6985"/>
                    </a:xfrm>
                    <a:prstGeom prst="rect">
                      <a:avLst/>
                    </a:prstGeom>
                    <a:noFill/>
                  </pic:spPr>
                </pic:pic>
              </a:graphicData>
            </a:graphic>
          </wp:anchor>
        </w:drawing>
      </w:r>
    </w:p>
    <w:p>
      <w:pPr>
        <w:sectPr>
          <w:pgSz w:w="11900" w:h="16838" w:orient="portrait"/>
          <w:cols w:equalWidth="0" w:num="1">
            <w:col w:w="11280"/>
          </w:cols>
          <w:pgMar w:left="300" w:top="161" w:right="319" w:bottom="1440" w:gutter="0" w:footer="0" w:header="0"/>
        </w:sectPr>
      </w:pPr>
    </w:p>
    <w:bookmarkStart w:id="122" w:name="page123"/>
    <w:bookmarkEnd w:id="1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ind w:left="4440"/>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2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2019 OMNIBUS INCENTIVE PLAN</w:t>
      </w:r>
    </w:p>
    <w:p>
      <w:pPr>
        <w:spacing w:after="0" w:line="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Performance Stock Unit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w:t>
      </w:r>
    </w:p>
    <w:p>
      <w:pPr>
        <w:spacing w:after="0" w:line="198" w:lineRule="exact"/>
        <w:rPr>
          <w:sz w:val="20"/>
          <w:szCs w:val="20"/>
          <w:color w:val="auto"/>
        </w:rPr>
      </w:pPr>
    </w:p>
    <w:p>
      <w:pPr>
        <w:ind w:right="160" w:firstLine="5"/>
        <w:spacing w:after="0" w:line="289" w:lineRule="auto"/>
        <w:tabs>
          <w:tab w:leader="none" w:pos="272"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Defined Terms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purposes of this Agreement, the definitions of terms contained in the Plan hereby are incorporated by reference, except to the extent that any such term 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specifically defined in this Agreement.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Reason</w:t>
      </w:r>
      <w:r>
        <w:rPr>
          <w:rFonts w:ascii="Times New Roman" w:cs="Times New Roman" w:eastAsia="Times New Roman" w:hAnsi="Times New Roman"/>
          <w:sz w:val="16"/>
          <w:szCs w:val="16"/>
          <w:color w:val="auto"/>
        </w:rPr>
        <w:t>” shall have the meaning set forth in your change in control agreement, if applicable.</w:t>
      </w:r>
    </w:p>
    <w:p>
      <w:pPr>
        <w:spacing w:after="0" w:line="166" w:lineRule="exact"/>
        <w:rPr>
          <w:sz w:val="20"/>
          <w:szCs w:val="20"/>
          <w:color w:val="auto"/>
        </w:rPr>
      </w:pPr>
    </w:p>
    <w:p>
      <w:pPr>
        <w:jc w:val="both"/>
        <w:ind w:firstLine="5"/>
        <w:spacing w:after="0" w:line="247" w:lineRule="auto"/>
        <w:tabs>
          <w:tab w:leader="none" w:pos="29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Award of Performance Stock Units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Company hereby confirms the grant to you, as of the Grant Date and subject to the terms and conditions of this Agreement and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Plan, of an award of Performance Stock Units (the “Units”) in an amount initially equal to the Target Number of Performance Stock Units specified on the cover page of this Agreement. The number of Units that may actually be earned and become eligible to vest pursuant to this Award can be between 0% and 200% of the Target Number of Performance Stock Units, but may not exceed the Maximum Number of Performance Stock Units specified on the cover page of this Agreement. Each Unit that is earned as a result of the performance goals specified in </w:t>
      </w:r>
      <w:r>
        <w:rPr>
          <w:rFonts w:ascii="Times New Roman" w:cs="Times New Roman" w:eastAsia="Times New Roman" w:hAnsi="Times New Roman"/>
          <w:sz w:val="16"/>
          <w:szCs w:val="16"/>
          <w:u w:val="single" w:color="auto"/>
          <w:color w:val="auto"/>
        </w:rPr>
        <w:t>Exhibit 1</w:t>
      </w:r>
      <w:r>
        <w:rPr>
          <w:rFonts w:ascii="Times New Roman" w:cs="Times New Roman" w:eastAsia="Times New Roman" w:hAnsi="Times New Roman"/>
          <w:sz w:val="16"/>
          <w:szCs w:val="16"/>
          <w:color w:val="auto"/>
        </w:rPr>
        <w:t xml:space="preserve"> to this Agreement having been satisfied and which thereafter vests represents the right to receive one share of the Company’s common stock (each, a “Share”). Prior to their settlement or forfeiture in accordance with the terms of this Agreement, the Units granted to you will be credited to a performance stock unit account in your name maintained by the Company. This account will be unfunded and maintained for book-keeping purposes only, with the Units simply representing an unfunded and unsecured contingent obligation of the Company.</w:t>
      </w:r>
    </w:p>
    <w:p>
      <w:pPr>
        <w:spacing w:after="0" w:line="172" w:lineRule="exact"/>
        <w:rPr>
          <w:rFonts w:ascii="Times New Roman" w:cs="Times New Roman" w:eastAsia="Times New Roman" w:hAnsi="Times New Roman"/>
          <w:sz w:val="16"/>
          <w:szCs w:val="16"/>
          <w:color w:val="auto"/>
        </w:rPr>
      </w:pPr>
    </w:p>
    <w:p>
      <w:pPr>
        <w:jc w:val="both"/>
        <w:ind w:firstLine="5"/>
        <w:spacing w:after="0" w:line="248" w:lineRule="auto"/>
        <w:tabs>
          <w:tab w:leader="none" w:pos="368"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Restrictions Applicable to Units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Neither this Award nor the Units subject to this Award may be sold, assigned, transferred, exchanged or encumbered, voluntarily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involuntarily, other than a transfer upon your death in accordance with your will, by the laws of descent and distribution or pursuant to a beneficiary designation submitted in accordance with the Plan. Following any such transfer, this Award shall continue to be subject to the same terms and conditions that were applicable to the Award immediately prior to its transfer. Any attempted transfer in violation of this Section 3 shall be void and without effect. The Units and your right to receive Shares in settlement of any Units under this Agreement shall be subject to forfeiture except to extent the Units have been earned and thereafter vest as provided in Section 5a.</w:t>
      </w:r>
    </w:p>
    <w:p>
      <w:pPr>
        <w:spacing w:after="0" w:line="174" w:lineRule="exact"/>
        <w:rPr>
          <w:rFonts w:ascii="Times New Roman" w:cs="Times New Roman" w:eastAsia="Times New Roman" w:hAnsi="Times New Roman"/>
          <w:sz w:val="16"/>
          <w:szCs w:val="16"/>
          <w:color w:val="auto"/>
        </w:rPr>
      </w:pPr>
    </w:p>
    <w:p>
      <w:pPr>
        <w:jc w:val="both"/>
        <w:ind w:firstLine="5"/>
        <w:spacing w:after="0" w:line="255" w:lineRule="auto"/>
        <w:tabs>
          <w:tab w:leader="none" w:pos="28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Shareholder Rights</w:t>
      </w:r>
      <w:r>
        <w:rPr>
          <w:rFonts w:ascii="Times New Roman" w:cs="Times New Roman" w:eastAsia="Times New Roman" w:hAnsi="Times New Roman"/>
          <w:sz w:val="16"/>
          <w:szCs w:val="16"/>
          <w:color w:val="auto"/>
        </w:rPr>
        <w:t>. The Units subject to this Award do not entitle you to any rights of a holder of the Company’s common stock. You will not have any of the rights of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 of the Company in connection with any Units granted or earned pursuant to this Agreement unless and until Shares are issued to you in settlement of earned and vested Units as provided in Section 6.</w:t>
      </w:r>
    </w:p>
    <w:p>
      <w:pPr>
        <w:spacing w:after="0" w:line="166" w:lineRule="exact"/>
        <w:rPr>
          <w:rFonts w:ascii="Times New Roman" w:cs="Times New Roman" w:eastAsia="Times New Roman" w:hAnsi="Times New Roman"/>
          <w:sz w:val="16"/>
          <w:szCs w:val="16"/>
          <w:color w:val="auto"/>
        </w:rPr>
      </w:pPr>
    </w:p>
    <w:p>
      <w:pPr>
        <w:jc w:val="both"/>
        <w:ind w:firstLine="5"/>
        <w:spacing w:after="0" w:line="255" w:lineRule="auto"/>
        <w:tabs>
          <w:tab w:leader="none" w:pos="272"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Vesting and Forfeiture of Units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purposes of this Agreement, “Vesting Date” means any date, including a Scheduled Vesting Date (defined below), on which Units subject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this Agreement vest as provided in this Section 5. Subject in all cases to Section 16(i) of the Plan, the Units shall vest at the earliest of the following times and to the degree specified.</w:t>
      </w:r>
    </w:p>
    <w:p>
      <w:pPr>
        <w:spacing w:after="0" w:line="158" w:lineRule="exact"/>
        <w:rPr>
          <w:rFonts w:ascii="Times New Roman" w:cs="Times New Roman" w:eastAsia="Times New Roman" w:hAnsi="Times New Roman"/>
          <w:sz w:val="16"/>
          <w:szCs w:val="16"/>
          <w:color w:val="auto"/>
        </w:rPr>
      </w:pPr>
    </w:p>
    <w:p>
      <w:pPr>
        <w:jc w:val="both"/>
        <w:ind w:firstLine="514"/>
        <w:spacing w:after="0" w:line="261" w:lineRule="auto"/>
        <w:tabs>
          <w:tab w:leader="none" w:pos="837"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Scheduled Vesting</w:t>
      </w:r>
      <w:r>
        <w:rPr>
          <w:rFonts w:ascii="Times New Roman" w:cs="Times New Roman" w:eastAsia="Times New Roman" w:hAnsi="Times New Roman"/>
          <w:sz w:val="16"/>
          <w:szCs w:val="16"/>
          <w:color w:val="auto"/>
        </w:rPr>
        <w:t xml:space="preserve">. One-half of the number of Units that have been earned during the Performance Period, as determined by the Committee in accordance with </w:t>
      </w:r>
      <w:r>
        <w:rPr>
          <w:rFonts w:ascii="Times New Roman" w:cs="Times New Roman" w:eastAsia="Times New Roman" w:hAnsi="Times New Roman"/>
          <w:sz w:val="16"/>
          <w:szCs w:val="16"/>
          <w:u w:val="single" w:color="auto"/>
          <w:color w:val="auto"/>
        </w:rPr>
        <w:t>Exhibit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Earned Units</w:t>
      </w:r>
      <w:r>
        <w:rPr>
          <w:rFonts w:ascii="Times New Roman" w:cs="Times New Roman" w:eastAsia="Times New Roman" w:hAnsi="Times New Roman"/>
          <w:sz w:val="16"/>
          <w:szCs w:val="16"/>
          <w:color w:val="auto"/>
        </w:rPr>
        <w:t>”), will vest on the First Scheduled Vesting Date, so long as your Service has been continuous from the Grant Date to the First Scheduled Vesting Date, and the remaining one-half of the Earned Units will vest on the Second</w:t>
      </w:r>
    </w:p>
    <w:p>
      <w:pPr>
        <w:sectPr>
          <w:pgSz w:w="11900" w:h="16838" w:orient="portrait"/>
          <w:cols w:equalWidth="0" w:num="1">
            <w:col w:w="11280"/>
          </w:cols>
          <w:pgMar w:left="300" w:top="1159" w:right="319" w:bottom="1440" w:gutter="0" w:footer="0" w:header="0"/>
        </w:sectPr>
      </w:pPr>
    </w:p>
    <w:bookmarkStart w:id="124" w:name="page125"/>
    <w:bookmarkEnd w:id="124"/>
    <w:p>
      <w:pPr>
        <w:jc w:val="both"/>
        <w:spacing w:after="0" w:line="300" w:lineRule="auto"/>
        <w:rPr>
          <w:sz w:val="20"/>
          <w:szCs w:val="20"/>
          <w:color w:val="auto"/>
        </w:rPr>
      </w:pPr>
      <w:r>
        <w:rPr>
          <w:rFonts w:ascii="Times New Roman" w:cs="Times New Roman" w:eastAsia="Times New Roman" w:hAnsi="Times New Roman"/>
          <w:sz w:val="14"/>
          <w:szCs w:val="14"/>
          <w:color w:val="auto"/>
        </w:rPr>
        <w:t>Scheduled Vesting Date, so long as your Service has been continuous from the Grant Date to the Second Scheduled Vesting Date. For these purposes, the “First Scheduled Vesting Date” means the date the Committee certifies (i) the degree to which the applicable performance goals for the Performance Period have been satisfied, and (ii) the number of Earned Units, which certification shall occur no later than the 10th day of the third calendar month following the end of the Performance Period, and the “Second Scheduled Vesting Date” is the second anniversary of the Grant Date. The First Scheduled Vesting Date and the Second Scheduled Vesting Date are each a “Scheduled Vesting Date.”</w:t>
      </w:r>
    </w:p>
    <w:p>
      <w:pPr>
        <w:spacing w:after="0" w:line="129" w:lineRule="exact"/>
        <w:rPr>
          <w:sz w:val="20"/>
          <w:szCs w:val="20"/>
          <w:color w:val="auto"/>
        </w:rPr>
      </w:pPr>
    </w:p>
    <w:p>
      <w:pPr>
        <w:jc w:val="both"/>
        <w:ind w:firstLine="514"/>
        <w:spacing w:after="0" w:line="261" w:lineRule="auto"/>
        <w:tabs>
          <w:tab w:leader="none" w:pos="88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Death or Disability</w:t>
      </w:r>
      <w:r>
        <w:rPr>
          <w:rFonts w:ascii="Times New Roman" w:cs="Times New Roman" w:eastAsia="Times New Roman" w:hAnsi="Times New Roman"/>
          <w:sz w:val="16"/>
          <w:szCs w:val="16"/>
          <w:color w:val="auto"/>
        </w:rPr>
        <w:t>. If your Service terminates by reason of your death or Disability prior to the conclusion of the Performance Period, then as of the date of your termination of Service, the Target Number of Performance Stock Units shall vest. If your Service terminates by reason of your death or Disability after the Performance Period, then as of your termination of Service, the number of Earned Units shall vest.</w:t>
      </w:r>
    </w:p>
    <w:p>
      <w:pPr>
        <w:spacing w:after="0" w:line="153" w:lineRule="exact"/>
        <w:rPr>
          <w:rFonts w:ascii="Times New Roman" w:cs="Times New Roman" w:eastAsia="Times New Roman" w:hAnsi="Times New Roman"/>
          <w:sz w:val="16"/>
          <w:szCs w:val="16"/>
          <w:color w:val="auto"/>
        </w:rPr>
      </w:pPr>
    </w:p>
    <w:p>
      <w:pPr>
        <w:ind w:firstLine="514"/>
        <w:spacing w:after="0" w:line="273" w:lineRule="auto"/>
        <w:tabs>
          <w:tab w:leader="none" w:pos="869"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If a Change in Control occurs after the Grant Date but before a Scheduled Vesting Date and your Service continues to the date of the Change in Control, the provisions of Section 12 of the Plan shall apply, including those providing for benefits upon termination of Service for Good Reason.</w:t>
      </w:r>
    </w:p>
    <w:p>
      <w:pPr>
        <w:spacing w:after="0" w:line="143" w:lineRule="exact"/>
        <w:rPr>
          <w:rFonts w:ascii="Times New Roman" w:cs="Times New Roman" w:eastAsia="Times New Roman" w:hAnsi="Times New Roman"/>
          <w:sz w:val="16"/>
          <w:szCs w:val="16"/>
          <w:color w:val="auto"/>
        </w:rPr>
      </w:pPr>
    </w:p>
    <w:p>
      <w:pPr>
        <w:jc w:val="both"/>
        <w:ind w:firstLine="514"/>
        <w:spacing w:after="0" w:line="261" w:lineRule="auto"/>
        <w:tabs>
          <w:tab w:leader="none" w:pos="87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Forfeiture of Unvested Units</w:t>
      </w:r>
      <w:r>
        <w:rPr>
          <w:rFonts w:ascii="Times New Roman" w:cs="Times New Roman" w:eastAsia="Times New Roman" w:hAnsi="Times New Roman"/>
          <w:sz w:val="16"/>
          <w:szCs w:val="16"/>
          <w:color w:val="auto"/>
        </w:rPr>
        <w:t>. To the extent any of Sections 5(a) through (c) is applicable to this Award, any Units that do not vest on the Vesting Date as provided therein shall immediately be forfeited. If your Service terminates prior to a Scheduled Vesting Date under circumstances other than as set forth in Sections 5(b) and 5(c), all unvested Units shall immediately be forfeited.</w:t>
      </w:r>
    </w:p>
    <w:p>
      <w:pPr>
        <w:spacing w:after="0" w:line="151" w:lineRule="exact"/>
        <w:rPr>
          <w:rFonts w:ascii="Times New Roman" w:cs="Times New Roman" w:eastAsia="Times New Roman" w:hAnsi="Times New Roman"/>
          <w:sz w:val="16"/>
          <w:szCs w:val="16"/>
          <w:color w:val="auto"/>
        </w:rPr>
      </w:pPr>
    </w:p>
    <w:p>
      <w:pPr>
        <w:jc w:val="both"/>
        <w:ind w:firstLine="5"/>
        <w:spacing w:after="0" w:line="239" w:lineRule="auto"/>
        <w:tabs>
          <w:tab w:leader="none" w:pos="325"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Settlement of Units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soon as practicable after any date on which Units vest (but no later than the 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 the third calendar month following the Vesting Date),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shall cause to be issued and delivered to you (or to your personal representative or your designated beneficiary or estate in the event of your death, as applicable)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8 and compliance with all applicable legal requirements as provided in Section 16 of the Plan, and shall be in complete satisfaction and settlement of such vested Units. If the Units that vest include a fractional Unit, the Company shall round the number of vested Units to the nearest whole Unit prior to issuance of Shares as provided herein.</w:t>
      </w:r>
    </w:p>
    <w:p>
      <w:pPr>
        <w:spacing w:after="0" w:line="167" w:lineRule="exact"/>
        <w:rPr>
          <w:rFonts w:ascii="Times New Roman" w:cs="Times New Roman" w:eastAsia="Times New Roman" w:hAnsi="Times New Roman"/>
          <w:sz w:val="16"/>
          <w:szCs w:val="16"/>
          <w:color w:val="auto"/>
        </w:rPr>
      </w:pPr>
    </w:p>
    <w:p>
      <w:pPr>
        <w:jc w:val="both"/>
        <w:ind w:firstLine="5"/>
        <w:spacing w:after="0" w:line="248" w:lineRule="auto"/>
        <w:tabs>
          <w:tab w:leader="none" w:pos="28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Dividend Equivalents</w:t>
      </w:r>
      <w:r>
        <w:rPr>
          <w:rFonts w:ascii="Times New Roman" w:cs="Times New Roman" w:eastAsia="Times New Roman" w:hAnsi="Times New Roman"/>
          <w:sz w:val="16"/>
          <w:szCs w:val="16"/>
          <w:color w:val="auto"/>
        </w:rPr>
        <w:t>. If the Company pays cash dividends on its Shares while any Units subject to this Agreement are outstanding, then on the date any Units vests pursuant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Section 5 above, the Total Dividend Equivalent Amount will be credited to your performance stock unit account in cash. The “Total Dividend Equivalent Amount” will be determined by multiplying the number of underlying Units determined to have vested as of the Vesting Date by the per share amount of each cash dividend paid on the Company’s common stock with a record date and payment date occurring between the Grant Date and the Vesting Date, and adding those products together. The Total Dividend Equivalent Amount so credited will be fully vested and subject to settlement at the same time as the underlying Units as provided in Section 6 above. Any dividend equivalents accrued on Units that are forfeited in accordance with this Agreement shall also be forfeited.</w:t>
      </w:r>
    </w:p>
    <w:p>
      <w:pPr>
        <w:spacing w:after="0" w:line="174" w:lineRule="exact"/>
        <w:rPr>
          <w:rFonts w:ascii="Times New Roman" w:cs="Times New Roman" w:eastAsia="Times New Roman" w:hAnsi="Times New Roman"/>
          <w:sz w:val="16"/>
          <w:szCs w:val="16"/>
          <w:color w:val="auto"/>
        </w:rPr>
      </w:pPr>
    </w:p>
    <w:p>
      <w:pPr>
        <w:ind w:firstLine="5"/>
        <w:spacing w:after="0" w:line="262" w:lineRule="auto"/>
        <w:tabs>
          <w:tab w:leader="none" w:pos="28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Tax Consequences and Withholding</w:t>
      </w:r>
      <w:r>
        <w:rPr>
          <w:rFonts w:ascii="Times New Roman" w:cs="Times New Roman" w:eastAsia="Times New Roman" w:hAnsi="Times New Roman"/>
          <w:sz w:val="16"/>
          <w:szCs w:val="16"/>
          <w:color w:val="auto"/>
        </w:rPr>
        <w:t>. No Shares will be delivered to you in settlement of vested Units, and no payment of any vested Total Dividend Equivalent Amount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made, unless you have made</w:t>
      </w:r>
    </w:p>
    <w:p>
      <w:pPr>
        <w:sectPr>
          <w:pgSz w:w="11900" w:h="16838" w:orient="portrait"/>
          <w:cols w:equalWidth="0" w:num="1">
            <w:col w:w="11280"/>
          </w:cols>
          <w:pgMar w:left="300" w:top="1139" w:right="319" w:bottom="1440" w:gutter="0" w:footer="0" w:header="0"/>
        </w:sectPr>
      </w:pPr>
    </w:p>
    <w:bookmarkStart w:id="125" w:name="page126"/>
    <w:bookmarkEnd w:id="125"/>
    <w:p>
      <w:pPr>
        <w:jc w:val="both"/>
        <w:spacing w:after="0" w:line="248" w:lineRule="auto"/>
        <w:rPr>
          <w:sz w:val="20"/>
          <w:szCs w:val="20"/>
          <w:color w:val="auto"/>
        </w:rPr>
      </w:pPr>
      <w:r>
        <w:rPr>
          <w:rFonts w:ascii="Times New Roman" w:cs="Times New Roman" w:eastAsia="Times New Roman" w:hAnsi="Times New Roman"/>
          <w:sz w:val="16"/>
          <w:szCs w:val="16"/>
          <w:color w:val="auto"/>
        </w:rPr>
        <w:t>arrangements acceptable to the Company for payment of any federal, state, local or foreign withholding taxes that may be due as a result of the delivery of the Shares and any such payment. You hereby authorize the Company (or any Affiliate) to withhold from the Total Dividend Equivalent Amount, payroll or other amounts payable to you any sums required to satisfy such withholding tax obligations, and otherwise agree to satisfy such obligations in accordance with the provisions of Section 14 of the Plan. You further authorize and consent to the Company, or its respective agents, that all withholding tax obligations may be satisfied by having the Company or its agent withhold a number of Shares that would otherwise be issued to you in settlement of the Units and that have a fair market value equal to the then-outstanding amount of such withholding tax obligations, unless in lieu thereof, you elect at the time of conversion of the Units such other then-permitted method or combination of methods established by the Committee in its discretion, if any, to satisfy your withholding tax obligations.</w:t>
      </w:r>
    </w:p>
    <w:p>
      <w:pPr>
        <w:spacing w:after="0" w:line="163" w:lineRule="exact"/>
        <w:rPr>
          <w:sz w:val="20"/>
          <w:szCs w:val="20"/>
          <w:color w:val="auto"/>
        </w:rPr>
      </w:pPr>
    </w:p>
    <w:p>
      <w:pPr>
        <w:jc w:val="both"/>
        <w:ind w:firstLine="5"/>
        <w:spacing w:after="0" w:line="248" w:lineRule="auto"/>
        <w:tabs>
          <w:tab w:leader="none" w:pos="283"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Every notice or other communication relating to this Agreement shall be in writing and shall be mailed to or delivered (including electronically) to the party for whom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 is intended at such address as may from time to time be designated by it in a notice mailed or delivered to the other party as herein provided. Unless and until some other address is so designated, all notices or communications by you to the Company shall be mailed or delivered to the Company, to the attention of its Senior Vice President, General Counsel and Secretary, at its office at 13200 Pioneer Trail, Suite 150, Eden Prairie, MN 55347, slbogart@winnebagoind.com, and all notices or communications by the Company to you may be given to you personally or may be mailed or, if you are still a Service Provider, emailed to you at the address indicated in the Company's records as your most recent mailing or email address.</w:t>
      </w:r>
    </w:p>
    <w:p>
      <w:pPr>
        <w:spacing w:after="0" w:line="153" w:lineRule="exact"/>
        <w:rPr>
          <w:rFonts w:ascii="Times New Roman" w:cs="Times New Roman" w:eastAsia="Times New Roman" w:hAnsi="Times New Roman"/>
          <w:sz w:val="16"/>
          <w:szCs w:val="16"/>
          <w:color w:val="auto"/>
        </w:rPr>
      </w:pPr>
    </w:p>
    <w:p>
      <w:pPr>
        <w:ind w:left="360" w:hanging="355"/>
        <w:spacing w:after="0"/>
        <w:tabs>
          <w:tab w:leader="none" w:pos="3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Additional Provisions</w:t>
      </w:r>
      <w:r>
        <w:rPr>
          <w:rFonts w:ascii="Times New Roman" w:cs="Times New Roman" w:eastAsia="Times New Roman" w:hAnsi="Times New Roman"/>
          <w:sz w:val="16"/>
          <w:szCs w:val="16"/>
          <w:color w:val="auto"/>
        </w:rPr>
        <w:t>.</w:t>
      </w:r>
    </w:p>
    <w:p>
      <w:pPr>
        <w:spacing w:after="0" w:line="168" w:lineRule="exact"/>
        <w:rPr>
          <w:rFonts w:ascii="Times New Roman" w:cs="Times New Roman" w:eastAsia="Times New Roman" w:hAnsi="Times New Roman"/>
          <w:sz w:val="16"/>
          <w:szCs w:val="16"/>
          <w:color w:val="auto"/>
        </w:rPr>
      </w:pPr>
    </w:p>
    <w:p>
      <w:pPr>
        <w:ind w:firstLine="514"/>
        <w:spacing w:after="0" w:line="273" w:lineRule="auto"/>
        <w:tabs>
          <w:tab w:leader="none" w:pos="89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 to Continued Service</w:t>
      </w:r>
      <w:r>
        <w:rPr>
          <w:rFonts w:ascii="Times New Roman" w:cs="Times New Roman" w:eastAsia="Times New Roman" w:hAnsi="Times New Roman"/>
          <w:sz w:val="16"/>
          <w:szCs w:val="16"/>
          <w:color w:val="auto"/>
        </w:rPr>
        <w:t>. This Agreement does not give you a right to continued Service with the Company or any Affiliate, and the Company or any such Affiliate may terminate your Service at any time and otherwise deal with you without regard to the effect it may have upon you under this Agreement.</w:t>
      </w:r>
    </w:p>
    <w:p>
      <w:pPr>
        <w:spacing w:after="0" w:line="154" w:lineRule="exact"/>
        <w:rPr>
          <w:rFonts w:ascii="Times New Roman" w:cs="Times New Roman" w:eastAsia="Times New Roman" w:hAnsi="Times New Roman"/>
          <w:sz w:val="16"/>
          <w:szCs w:val="16"/>
          <w:color w:val="auto"/>
        </w:rPr>
      </w:pPr>
    </w:p>
    <w:p>
      <w:pPr>
        <w:jc w:val="both"/>
        <w:ind w:firstLine="514"/>
        <w:spacing w:after="0" w:line="254" w:lineRule="auto"/>
        <w:tabs>
          <w:tab w:leader="none" w:pos="888"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Plan Document</w:t>
      </w:r>
      <w:r>
        <w:rPr>
          <w:rFonts w:ascii="Times New Roman" w:cs="Times New Roman" w:eastAsia="Times New Roman" w:hAnsi="Times New Roman"/>
          <w:sz w:val="16"/>
          <w:szCs w:val="16"/>
          <w:color w:val="auto"/>
        </w:rPr>
        <w:t>. This Agreement and the Award are subject to all the provisions of the Plan, and to all interpretations, rules and regulations which may, from time to time, be adopted and promulgated by the Committee pursuant to the Plan. If there is any conflict between the provisions of this Agreement and the Plan, the provisions of the Plan will govern.</w:t>
      </w:r>
    </w:p>
    <w:p>
      <w:pPr>
        <w:spacing w:after="0" w:line="158" w:lineRule="exact"/>
        <w:rPr>
          <w:rFonts w:ascii="Times New Roman" w:cs="Times New Roman" w:eastAsia="Times New Roman" w:hAnsi="Times New Roman"/>
          <w:sz w:val="16"/>
          <w:szCs w:val="16"/>
          <w:color w:val="auto"/>
        </w:rPr>
      </w:pPr>
    </w:p>
    <w:p>
      <w:pPr>
        <w:ind w:firstLine="514"/>
        <w:spacing w:after="0" w:line="273" w:lineRule="auto"/>
        <w:tabs>
          <w:tab w:leader="none" w:pos="848"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the parties’ performance hereunder, and the relationship between them shall be governed by, construed, and enforced in accordance with the laws of the State of Iowa, without giving effect to the choice of law principles thereof.</w:t>
      </w:r>
    </w:p>
    <w:p>
      <w:pPr>
        <w:spacing w:after="0" w:line="143" w:lineRule="exact"/>
        <w:rPr>
          <w:rFonts w:ascii="Times New Roman" w:cs="Times New Roman" w:eastAsia="Times New Roman" w:hAnsi="Times New Roman"/>
          <w:sz w:val="16"/>
          <w:szCs w:val="16"/>
          <w:color w:val="auto"/>
        </w:rPr>
      </w:pPr>
    </w:p>
    <w:p>
      <w:pPr>
        <w:jc w:val="both"/>
        <w:ind w:firstLine="514"/>
        <w:spacing w:after="0" w:line="261" w:lineRule="auto"/>
        <w:tabs>
          <w:tab w:leader="none" w:pos="846"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shall be severable and if any provision of this Agreement is found by any court to be unenforceable, in whole or in part, the remainder of this 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53" w:lineRule="exact"/>
        <w:rPr>
          <w:rFonts w:ascii="Times New Roman" w:cs="Times New Roman" w:eastAsia="Times New Roman" w:hAnsi="Times New Roman"/>
          <w:sz w:val="16"/>
          <w:szCs w:val="16"/>
          <w:color w:val="auto"/>
        </w:rPr>
      </w:pPr>
    </w:p>
    <w:p>
      <w:pPr>
        <w:ind w:left="920" w:hanging="406"/>
        <w:spacing w:after="0"/>
        <w:tabs>
          <w:tab w:leader="none" w:pos="92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will be binding in all respects on your heirs, representatives, successors and assigns, and on the successors and assigns of the</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w:t>
      </w:r>
    </w:p>
    <w:p>
      <w:pPr>
        <w:spacing w:after="0" w:line="175" w:lineRule="exact"/>
        <w:rPr>
          <w:rFonts w:ascii="Times New Roman" w:cs="Times New Roman" w:eastAsia="Times New Roman" w:hAnsi="Times New Roman"/>
          <w:sz w:val="16"/>
          <w:szCs w:val="16"/>
          <w:color w:val="auto"/>
        </w:rPr>
      </w:pPr>
    </w:p>
    <w:p>
      <w:pPr>
        <w:ind w:firstLine="514"/>
        <w:spacing w:after="0" w:line="273" w:lineRule="auto"/>
        <w:tabs>
          <w:tab w:leader="none" w:pos="852"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 The award of Units as provided in this Agreement and any issuance of Shares or payment pursuant to this Agreement are intended to be exempt from Section 409A of</w:t>
      </w:r>
    </w:p>
    <w:p>
      <w:pPr>
        <w:sectPr>
          <w:pgSz w:w="11900" w:h="16838" w:orient="portrait"/>
          <w:cols w:equalWidth="0" w:num="1">
            <w:col w:w="11280"/>
          </w:cols>
          <w:pgMar w:left="300" w:top="1139" w:right="319" w:bottom="1440" w:gutter="0" w:footer="0" w:header="0"/>
        </w:sectPr>
      </w:pPr>
    </w:p>
    <w:bookmarkStart w:id="126" w:name="page127"/>
    <w:bookmarkEnd w:id="126"/>
    <w:p>
      <w:pPr>
        <w:jc w:val="both"/>
        <w:spacing w:after="0" w:line="254" w:lineRule="auto"/>
        <w:rPr>
          <w:sz w:val="20"/>
          <w:szCs w:val="20"/>
          <w:color w:val="auto"/>
        </w:rPr>
      </w:pPr>
      <w:r>
        <w:rPr>
          <w:rFonts w:ascii="Times New Roman" w:cs="Times New Roman" w:eastAsia="Times New Roman" w:hAnsi="Times New Roman"/>
          <w:sz w:val="16"/>
          <w:szCs w:val="16"/>
          <w:color w:val="auto"/>
        </w:rPr>
        <w:t>the Code under the short-term deferral exception specified in Treas. Reg. § 1.409A-l(b)(4). However, for the avoidance of doubt, to the extent that this Agreement is subject to Section 409A of the Code, the Agreement is intended to comply with the requirements of Section 409A of the Code, and the provisions of the Plan and the Agreement shall be interpreted in a manner that satisfies such requirements.</w:t>
      </w:r>
    </w:p>
    <w:p>
      <w:pPr>
        <w:spacing w:after="0" w:line="169" w:lineRule="exact"/>
        <w:rPr>
          <w:sz w:val="20"/>
          <w:szCs w:val="20"/>
          <w:color w:val="auto"/>
        </w:rPr>
      </w:pPr>
    </w:p>
    <w:p>
      <w:pPr>
        <w:jc w:val="both"/>
        <w:ind w:firstLine="514"/>
        <w:spacing w:after="0" w:line="254" w:lineRule="auto"/>
        <w:tabs>
          <w:tab w:leader="none" w:pos="87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 and Acceptance</w:t>
      </w:r>
      <w:r>
        <w:rPr>
          <w:rFonts w:ascii="Times New Roman" w:cs="Times New Roman" w:eastAsia="Times New Roman" w:hAnsi="Times New Roman"/>
          <w:sz w:val="16"/>
          <w:szCs w:val="16"/>
          <w:color w:val="auto"/>
        </w:rPr>
        <w:t>. The Company may deliver any documents related to this Performance Stock Unit Award by 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63" w:lineRule="exact"/>
        <w:rPr>
          <w:rFonts w:ascii="Times New Roman" w:cs="Times New Roman" w:eastAsia="Times New Roman" w:hAnsi="Times New Roman"/>
          <w:sz w:val="16"/>
          <w:szCs w:val="16"/>
          <w:color w:val="auto"/>
        </w:rPr>
      </w:pPr>
    </w:p>
    <w:p>
      <w:pPr>
        <w:jc w:val="both"/>
        <w:ind w:firstLine="514"/>
        <w:spacing w:after="0" w:line="246" w:lineRule="auto"/>
        <w:tabs>
          <w:tab w:leader="none" w:pos="85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Forfeiture and Compensation Recovery</w:t>
      </w:r>
      <w:r>
        <w:rPr>
          <w:rFonts w:ascii="Times New Roman" w:cs="Times New Roman" w:eastAsia="Times New Roman" w:hAnsi="Times New Roman"/>
          <w:sz w:val="16"/>
          <w:szCs w:val="16"/>
          <w:color w:val="auto"/>
        </w:rPr>
        <w:t>. To the extent that this Award and any compensation associated herewith is considered “incentive-based compensation” within the meaning and subject to the requirements of Section 10D of the Exchange Act, this Award and any compensation associated herewith shall be subject to potential forfeiture or recovery by the Company or other action in accordance with the Company’s Executive Officer Incentive Compensation Recovery Policy, as may be amended or amended and restated from time to time, and any other compensation recovery policy adopted by the Board or the Committee at any time, including in response to the requirements of Section 10D of the Exchange Act and any implementing rules and regulations thereunder adopted by the Securities and Exchange Commission or any national securities exchange on which the Company’s Shares are then listed, or as otherwise required by law. This Agreement may be unilaterally amended by the Committee to comply with any such compensation recovery policy.</w:t>
      </w:r>
    </w:p>
    <w:p>
      <w:pPr>
        <w:spacing w:after="0" w:line="17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ectPr>
          <w:pgSz w:w="11900" w:h="16838" w:orient="portrait"/>
          <w:cols w:equalWidth="0" w:num="1">
            <w:col w:w="11280"/>
          </w:cols>
          <w:pgMar w:left="300" w:top="1139" w:right="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19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POLICY</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6"/>
          <w:szCs w:val="16"/>
          <w:color w:val="auto"/>
        </w:rPr>
        <w:t>This Insider Trading Policy (this “Policy”) of Winnebago Industries, Inc. (the “Company”) provides guidelines to employees, officers, and directors of the Company and their related parties, and to the Company itself, with respect to transactions in the Company’s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APPLICABILITY OF POLICY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780" w:right="280" w:hanging="890"/>
        <w:spacing w:after="0" w:line="255" w:lineRule="auto"/>
        <w:tabs>
          <w:tab w:leader="none" w:pos="760" w:val="left"/>
        </w:tabs>
        <w:rPr>
          <w:sz w:val="20"/>
          <w:szCs w:val="20"/>
          <w:color w:val="auto"/>
        </w:rPr>
      </w:pPr>
      <w:r>
        <w:rPr>
          <w:rFonts w:ascii="Times New Roman" w:cs="Times New Roman" w:eastAsia="Times New Roman" w:hAnsi="Times New Roman"/>
          <w:sz w:val="16"/>
          <w:szCs w:val="16"/>
          <w:i w:val="1"/>
          <w:iCs w:val="1"/>
          <w:color w:val="auto"/>
        </w:rPr>
        <w:t>Section 1.</w:t>
        <w:tab/>
        <w:t xml:space="preserve">Company Securities Covered. </w:t>
      </w:r>
      <w:r>
        <w:rPr>
          <w:rFonts w:ascii="Times New Roman" w:cs="Times New Roman" w:eastAsia="Times New Roman" w:hAnsi="Times New Roman"/>
          <w:sz w:val="16"/>
          <w:szCs w:val="16"/>
          <w:color w:val="auto"/>
        </w:rPr>
        <w:t>This Policy applies to all transactions in the Company’s securities, including common stock, options for common stock and any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the Company may issue from time to time, such as preferred stock, warrants and convertible debentures, as well as to derivative securities relating to the Company’s stock, whether or not issued by the Company, such as exchange-traded options.</w:t>
      </w:r>
    </w:p>
    <w:p>
      <w:pPr>
        <w:spacing w:after="0" w:line="16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i w:val="1"/>
          <w:iCs w:val="1"/>
          <w:color w:val="auto"/>
        </w:rPr>
        <w:t>Section 2.</w:t>
      </w:r>
      <w:r>
        <w:rPr>
          <w:sz w:val="20"/>
          <w:szCs w:val="20"/>
          <w:color w:val="auto"/>
        </w:rPr>
        <w:tab/>
      </w:r>
      <w:r>
        <w:rPr>
          <w:rFonts w:ascii="Times New Roman" w:cs="Times New Roman" w:eastAsia="Times New Roman" w:hAnsi="Times New Roman"/>
          <w:sz w:val="14"/>
          <w:szCs w:val="14"/>
          <w:i w:val="1"/>
          <w:iCs w:val="1"/>
          <w:color w:val="auto"/>
        </w:rPr>
        <w:t xml:space="preserve">Persons and Entities Subject to Policy. </w:t>
      </w:r>
      <w:r>
        <w:rPr>
          <w:rFonts w:ascii="Times New Roman" w:cs="Times New Roman" w:eastAsia="Times New Roman" w:hAnsi="Times New Roman"/>
          <w:sz w:val="14"/>
          <w:szCs w:val="14"/>
          <w:color w:val="auto"/>
        </w:rPr>
        <w:t>This Policy applies to all of the following, who are referred to as “Covered Persons”:</w:t>
      </w:r>
    </w:p>
    <w:p>
      <w:pPr>
        <w:spacing w:after="0" w:line="200" w:lineRule="exact"/>
        <w:rPr>
          <w:sz w:val="20"/>
          <w:szCs w:val="20"/>
          <w:color w:val="auto"/>
        </w:rPr>
      </w:pPr>
    </w:p>
    <w:p>
      <w:pPr>
        <w:ind w:left="1140" w:hanging="244"/>
        <w:spacing w:after="0"/>
        <w:tabs>
          <w:tab w:leader="none" w:pos="11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members of the Company’s Board of Directors and officers and employees of the Company and its subsidiaries (collectively, “Company Personnel”);</w:t>
      </w:r>
    </w:p>
    <w:p>
      <w:pPr>
        <w:spacing w:after="0" w:line="18" w:lineRule="exact"/>
        <w:rPr>
          <w:rFonts w:ascii="Times New Roman" w:cs="Times New Roman" w:eastAsia="Times New Roman" w:hAnsi="Times New Roman"/>
          <w:sz w:val="16"/>
          <w:szCs w:val="16"/>
          <w:color w:val="auto"/>
        </w:rPr>
      </w:pPr>
    </w:p>
    <w:p>
      <w:pPr>
        <w:ind w:left="1160" w:right="280" w:hanging="264"/>
        <w:spacing w:after="0" w:line="256" w:lineRule="auto"/>
        <w:tabs>
          <w:tab w:leader="none" w:pos="115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consultants and advisors to the Company and its subsidiaries whose work brings them into contact with Material Nonpublic Information (as defined below) who are not otherwise covered by a duty to comply with the principles in this Policy (collectively, “Company Consultants”); and</w:t>
      </w:r>
    </w:p>
    <w:p>
      <w:pPr>
        <w:ind w:left="1140" w:hanging="244"/>
        <w:spacing w:after="0"/>
        <w:tabs>
          <w:tab w:leader="none" w:pos="114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“Related Parties”:</w:t>
      </w:r>
    </w:p>
    <w:p>
      <w:pPr>
        <w:spacing w:after="0" w:line="6" w:lineRule="exact"/>
        <w:rPr>
          <w:rFonts w:ascii="Times New Roman" w:cs="Times New Roman" w:eastAsia="Times New Roman" w:hAnsi="Times New Roman"/>
          <w:sz w:val="16"/>
          <w:szCs w:val="16"/>
          <w:color w:val="auto"/>
        </w:rPr>
      </w:pPr>
    </w:p>
    <w:p>
      <w:pPr>
        <w:ind w:left="1400" w:right="40" w:hanging="255"/>
        <w:spacing w:after="0" w:line="245" w:lineRule="auto"/>
        <w:rPr>
          <w:rFonts w:ascii="Times New Roman" w:cs="Times New Roman" w:eastAsia="Times New Roman" w:hAnsi="Times New Roman"/>
          <w:sz w:val="16"/>
          <w:szCs w:val="16"/>
          <w:color w:val="auto"/>
        </w:rPr>
      </w:pPr>
      <w:r>
        <w:rPr>
          <w:rFonts w:ascii="Courier New" w:cs="Courier New" w:eastAsia="Courier New" w:hAnsi="Courier New"/>
          <w:sz w:val="16"/>
          <w:szCs w:val="16"/>
          <w:color w:val="auto"/>
        </w:rPr>
        <w:t xml:space="preserve">o </w:t>
      </w:r>
      <w:r>
        <w:rPr>
          <w:rFonts w:ascii="Times New Roman" w:cs="Times New Roman" w:eastAsia="Times New Roman" w:hAnsi="Times New Roman"/>
          <w:sz w:val="16"/>
          <w:szCs w:val="16"/>
          <w:color w:val="auto"/>
        </w:rPr>
        <w:t>any members of the immediate families of Company Personnel or Company Consultants and any other persons sharing a home with, or who are economically</w:t>
      </w:r>
      <w:r>
        <w:rPr>
          <w:rFonts w:ascii="Courier New" w:cs="Courier New" w:eastAsia="Courier New" w:hAnsi="Courier New"/>
          <w:sz w:val="16"/>
          <w:szCs w:val="16"/>
          <w:color w:val="auto"/>
        </w:rPr>
        <w:t xml:space="preserve"> </w:t>
      </w:r>
      <w:r>
        <w:rPr>
          <w:rFonts w:ascii="Times New Roman" w:cs="Times New Roman" w:eastAsia="Times New Roman" w:hAnsi="Times New Roman"/>
          <w:sz w:val="16"/>
          <w:szCs w:val="16"/>
          <w:color w:val="auto"/>
        </w:rPr>
        <w:t>dependent upon, Company Personnel or Company Consultants, and</w:t>
      </w:r>
    </w:p>
    <w:p>
      <w:pPr>
        <w:ind w:left="1400" w:right="320" w:hanging="255"/>
        <w:spacing w:after="0" w:line="250" w:lineRule="auto"/>
        <w:rPr>
          <w:rFonts w:ascii="Times New Roman" w:cs="Times New Roman" w:eastAsia="Times New Roman" w:hAnsi="Times New Roman"/>
          <w:sz w:val="16"/>
          <w:szCs w:val="16"/>
          <w:color w:val="auto"/>
        </w:rPr>
      </w:pPr>
      <w:r>
        <w:rPr>
          <w:rFonts w:ascii="Courier New" w:cs="Courier New" w:eastAsia="Courier New" w:hAnsi="Courier New"/>
          <w:sz w:val="16"/>
          <w:szCs w:val="16"/>
          <w:color w:val="auto"/>
        </w:rPr>
        <w:t xml:space="preserve">o </w:t>
      </w:r>
      <w:r>
        <w:rPr>
          <w:rFonts w:ascii="Times New Roman" w:cs="Times New Roman" w:eastAsia="Times New Roman" w:hAnsi="Times New Roman"/>
          <w:sz w:val="16"/>
          <w:szCs w:val="16"/>
          <w:color w:val="auto"/>
        </w:rPr>
        <w:t>any other person or entity, including a trust, corporation, partnership or other association whose transactions in the Company’s securities are controlled or</w:t>
      </w:r>
      <w:r>
        <w:rPr>
          <w:rFonts w:ascii="Courier New" w:cs="Courier New" w:eastAsia="Courier New" w:hAnsi="Courier New"/>
          <w:sz w:val="16"/>
          <w:szCs w:val="16"/>
          <w:color w:val="auto"/>
        </w:rPr>
        <w:t xml:space="preserve"> </w:t>
      </w:r>
      <w:r>
        <w:rPr>
          <w:rFonts w:ascii="Times New Roman" w:cs="Times New Roman" w:eastAsia="Times New Roman" w:hAnsi="Times New Roman"/>
          <w:sz w:val="16"/>
          <w:szCs w:val="16"/>
          <w:color w:val="auto"/>
        </w:rPr>
        <w:t>influenced by Company Personnel or Company Consultants.</w:t>
      </w:r>
    </w:p>
    <w:p>
      <w:pPr>
        <w:spacing w:after="0" w:line="275" w:lineRule="exact"/>
        <w:rPr>
          <w:sz w:val="20"/>
          <w:szCs w:val="20"/>
          <w:color w:val="auto"/>
        </w:rPr>
      </w:pPr>
    </w:p>
    <w:p>
      <w:pPr>
        <w:ind w:left="820" w:right="20" w:hanging="890"/>
        <w:spacing w:after="0" w:line="262" w:lineRule="auto"/>
        <w:tabs>
          <w:tab w:leader="none" w:pos="800" w:val="left"/>
        </w:tabs>
        <w:rPr>
          <w:sz w:val="20"/>
          <w:szCs w:val="20"/>
          <w:color w:val="auto"/>
        </w:rPr>
      </w:pPr>
      <w:r>
        <w:rPr>
          <w:rFonts w:ascii="Times New Roman" w:cs="Times New Roman" w:eastAsia="Times New Roman" w:hAnsi="Times New Roman"/>
          <w:sz w:val="16"/>
          <w:szCs w:val="16"/>
          <w:i w:val="1"/>
          <w:iCs w:val="1"/>
          <w:color w:val="auto"/>
        </w:rPr>
        <w:t>Section 3.</w:t>
        <w:tab/>
        <w:t xml:space="preserve">Insider Status. </w:t>
      </w:r>
      <w:r>
        <w:rPr>
          <w:rFonts w:ascii="Times New Roman" w:cs="Times New Roman" w:eastAsia="Times New Roman" w:hAnsi="Times New Roman"/>
          <w:sz w:val="16"/>
          <w:szCs w:val="16"/>
          <w:color w:val="auto"/>
        </w:rPr>
        <w:t>Any person who is aware of Material Nonpublic Information regarding the Company is an “Insider” for so long as the information is not publicly known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(i.e., has not been fully disclosed). Inside information is transaction-specific and any employee can be an Insider from time to time.</w:t>
      </w:r>
    </w:p>
    <w:p>
      <w:pPr>
        <w:spacing w:after="0" w:line="161" w:lineRule="exact"/>
        <w:rPr>
          <w:sz w:val="20"/>
          <w:szCs w:val="20"/>
          <w:color w:val="auto"/>
        </w:rPr>
      </w:pPr>
    </w:p>
    <w:p>
      <w:pPr>
        <w:ind w:left="780" w:right="80" w:hanging="890"/>
        <w:spacing w:after="0" w:line="253" w:lineRule="auto"/>
        <w:tabs>
          <w:tab w:leader="none" w:pos="760" w:val="left"/>
        </w:tabs>
        <w:rPr>
          <w:sz w:val="20"/>
          <w:szCs w:val="20"/>
          <w:color w:val="auto"/>
        </w:rPr>
      </w:pPr>
      <w:r>
        <w:rPr>
          <w:rFonts w:ascii="Times New Roman" w:cs="Times New Roman" w:eastAsia="Times New Roman" w:hAnsi="Times New Roman"/>
          <w:sz w:val="16"/>
          <w:szCs w:val="16"/>
          <w:i w:val="1"/>
          <w:iCs w:val="1"/>
          <w:color w:val="auto"/>
        </w:rPr>
        <w:t>Section 4.</w:t>
        <w:tab/>
        <w:t xml:space="preserve">Obligations After Cessation of Service to Company. </w:t>
      </w:r>
      <w:r>
        <w:rPr>
          <w:rFonts w:ascii="Times New Roman" w:cs="Times New Roman" w:eastAsia="Times New Roman" w:hAnsi="Times New Roman"/>
          <w:sz w:val="16"/>
          <w:szCs w:val="16"/>
          <w:color w:val="auto"/>
        </w:rPr>
        <w:t>If a person subject to this Policy ceases to be a Covered Person when the person is aware of Material Nonpublic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the applicable provisions of the Policy will continue to apply to such person until that information becomes public or is no longer material. Accordingly, certain provisions of this Policy, including Trading Windows and pre-clearance, may continue to apply after ceasing to be a Covered Person, based on the circumstances at the time of separation.</w:t>
      </w:r>
    </w:p>
    <w:p>
      <w:pPr>
        <w:spacing w:after="0" w:line="158" w:lineRule="exact"/>
        <w:rPr>
          <w:sz w:val="20"/>
          <w:szCs w:val="20"/>
          <w:color w:val="auto"/>
        </w:rPr>
      </w:pPr>
    </w:p>
    <w:p>
      <w:pPr>
        <w:ind w:left="780" w:right="80" w:hanging="890"/>
        <w:spacing w:after="0" w:line="275" w:lineRule="auto"/>
        <w:tabs>
          <w:tab w:leader="none" w:pos="760" w:val="left"/>
        </w:tabs>
        <w:rPr>
          <w:sz w:val="20"/>
          <w:szCs w:val="20"/>
          <w:color w:val="auto"/>
        </w:rPr>
      </w:pPr>
      <w:r>
        <w:rPr>
          <w:rFonts w:ascii="Times New Roman" w:cs="Times New Roman" w:eastAsia="Times New Roman" w:hAnsi="Times New Roman"/>
          <w:sz w:val="16"/>
          <w:szCs w:val="16"/>
          <w:i w:val="1"/>
          <w:iCs w:val="1"/>
          <w:color w:val="auto"/>
        </w:rPr>
        <w:t>Section 5.</w:t>
        <w:tab/>
        <w:t xml:space="preserve">Transactions by the Company. </w:t>
      </w:r>
      <w:r>
        <w:rPr>
          <w:rFonts w:ascii="Times New Roman" w:cs="Times New Roman" w:eastAsia="Times New Roman" w:hAnsi="Times New Roman"/>
          <w:sz w:val="16"/>
          <w:szCs w:val="16"/>
          <w:color w:val="auto"/>
        </w:rPr>
        <w:t>From time to time, the Company may engage in transactions in its own securities. It is the Company’s policy that any transactions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will comply with applicable laws with respect to insider trading.</w:t>
      </w:r>
    </w:p>
    <w:p>
      <w:pPr>
        <w:spacing w:after="0" w:line="109" w:lineRule="exact"/>
        <w:rPr>
          <w:sz w:val="20"/>
          <w:szCs w:val="20"/>
          <w:color w:val="auto"/>
        </w:rPr>
      </w:pPr>
    </w:p>
    <w:p>
      <w:pPr>
        <w:jc w:val="both"/>
        <w:ind w:left="780" w:right="60" w:hanging="890"/>
        <w:spacing w:after="0" w:line="286" w:lineRule="auto"/>
        <w:tabs>
          <w:tab w:leader="none" w:pos="760" w:val="left"/>
        </w:tabs>
        <w:rPr>
          <w:sz w:val="20"/>
          <w:szCs w:val="20"/>
          <w:color w:val="auto"/>
        </w:rPr>
      </w:pPr>
      <w:r>
        <w:rPr>
          <w:rFonts w:ascii="Times New Roman" w:cs="Times New Roman" w:eastAsia="Times New Roman" w:hAnsi="Times New Roman"/>
          <w:sz w:val="16"/>
          <w:szCs w:val="16"/>
          <w:i w:val="1"/>
          <w:iCs w:val="1"/>
          <w:color w:val="auto"/>
        </w:rPr>
        <w:t>Section 6.</w:t>
      </w:r>
      <w:r>
        <w:rPr>
          <w:sz w:val="20"/>
          <w:szCs w:val="20"/>
          <w:color w:val="auto"/>
        </w:rPr>
        <w:tab/>
      </w:r>
      <w:r>
        <w:rPr>
          <w:rFonts w:ascii="Times New Roman" w:cs="Times New Roman" w:eastAsia="Times New Roman" w:hAnsi="Times New Roman"/>
          <w:sz w:val="14"/>
          <w:szCs w:val="14"/>
          <w:i w:val="1"/>
          <w:iCs w:val="1"/>
          <w:color w:val="auto"/>
        </w:rPr>
        <w:t xml:space="preserve">Transactions in Other Companies’ Securities. </w:t>
      </w:r>
      <w:r>
        <w:rPr>
          <w:rFonts w:ascii="Times New Roman" w:cs="Times New Roman" w:eastAsia="Times New Roman" w:hAnsi="Times New Roman"/>
          <w:sz w:val="14"/>
          <w:szCs w:val="14"/>
          <w:color w:val="auto"/>
        </w:rPr>
        <w:t>This Policy also prohibits Covered Persons from trading in another company’s securities while any such Covered Person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aware of Material Nonpublic Information concerning that company, particularly when that information was obtained in the course of such Covered Person’s service to the Company. These other publicly traded companies may include suppliers, customers, business partners, competitors and potential merger or acquisition parties.</w:t>
      </w:r>
    </w:p>
    <w:p>
      <w:pPr>
        <w:ind w:left="900"/>
        <w:spacing w:after="0"/>
        <w:rPr>
          <w:sz w:val="20"/>
          <w:szCs w:val="20"/>
          <w:color w:val="auto"/>
        </w:rPr>
      </w:pPr>
      <w:r>
        <w:rPr>
          <w:rFonts w:ascii="Times New Roman" w:cs="Times New Roman" w:eastAsia="Times New Roman" w:hAnsi="Times New Roman"/>
          <w:sz w:val="16"/>
          <w:szCs w:val="16"/>
          <w:color w:val="auto"/>
        </w:rPr>
        <w:t>Covered Persons should also not disclose such information, or make trading recommendations regarding such other companies, to any other person.</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840"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auto"/>
        </w:rPr>
        <w:t>STATEMENT OF POLICY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GENERAL POLICY</w:t>
      </w:r>
    </w:p>
    <w:p>
      <w:pPr>
        <w:spacing w:after="0" w:line="189" w:lineRule="exact"/>
        <w:rPr>
          <w:sz w:val="20"/>
          <w:szCs w:val="20"/>
          <w:color w:val="auto"/>
        </w:rPr>
      </w:pPr>
    </w:p>
    <w:p>
      <w:pPr>
        <w:ind w:left="140" w:right="420"/>
        <w:spacing w:after="0" w:line="273" w:lineRule="auto"/>
        <w:rPr>
          <w:sz w:val="20"/>
          <w:szCs w:val="20"/>
          <w:color w:val="auto"/>
        </w:rPr>
      </w:pPr>
      <w:r>
        <w:rPr>
          <w:rFonts w:ascii="Times New Roman" w:cs="Times New Roman" w:eastAsia="Times New Roman" w:hAnsi="Times New Roman"/>
          <w:sz w:val="16"/>
          <w:szCs w:val="16"/>
          <w:color w:val="auto"/>
        </w:rPr>
        <w:t>The Company prohibits the unauthorized disclosure of any nonpublic information acquired in the workplace and the misuse of Material Nonpublic Information in securities trading.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SPECIFIC POLICIES APPLICABLE TO ALL COVERED PERSONS</w:t>
      </w:r>
    </w:p>
    <w:p>
      <w:pPr>
        <w:spacing w:after="0" w:line="187" w:lineRule="exact"/>
        <w:rPr>
          <w:sz w:val="20"/>
          <w:szCs w:val="20"/>
          <w:color w:val="auto"/>
        </w:rPr>
      </w:pPr>
    </w:p>
    <w:p>
      <w:pPr>
        <w:ind w:left="780" w:right="40" w:hanging="890"/>
        <w:spacing w:after="0" w:line="252" w:lineRule="auto"/>
        <w:tabs>
          <w:tab w:leader="none" w:pos="760" w:val="left"/>
        </w:tabs>
        <w:rPr>
          <w:sz w:val="20"/>
          <w:szCs w:val="20"/>
          <w:color w:val="auto"/>
        </w:rPr>
      </w:pPr>
      <w:r>
        <w:rPr>
          <w:rFonts w:ascii="Times New Roman" w:cs="Times New Roman" w:eastAsia="Times New Roman" w:hAnsi="Times New Roman"/>
          <w:sz w:val="16"/>
          <w:szCs w:val="16"/>
          <w:i w:val="1"/>
          <w:iCs w:val="1"/>
          <w:color w:val="auto"/>
        </w:rPr>
        <w:t>Section 1.</w:t>
        <w:tab/>
        <w:t>Trading on Material Nonpublic Information</w:t>
      </w:r>
      <w:r>
        <w:rPr>
          <w:rFonts w:ascii="Times New Roman" w:cs="Times New Roman" w:eastAsia="Times New Roman" w:hAnsi="Times New Roman"/>
          <w:sz w:val="16"/>
          <w:szCs w:val="16"/>
          <w:color w:val="auto"/>
        </w:rPr>
        <w:t>. No Covered Person shall engage in any transaction or have others engage in any transaction on behalf of such person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involving the Company’s securities, including any offer to purchase or offer to sell, when the Covered Person is aware of Material Nonpublic Information concerning the Company until such information has been fully disclosed publicly, except for transactions exempt in accordance with this Policy. From time to time, the Company may impose a Trading Window on any Covered Person during which transactions in the Company’s securities will be suspended with respect to any such Covered Person, as described in more detail below.</w:t>
      </w:r>
    </w:p>
    <w:p>
      <w:pPr>
        <w:spacing w:after="0" w:line="159" w:lineRule="exact"/>
        <w:rPr>
          <w:sz w:val="20"/>
          <w:szCs w:val="20"/>
          <w:color w:val="auto"/>
        </w:rPr>
      </w:pPr>
    </w:p>
    <w:p>
      <w:pPr>
        <w:ind w:left="900" w:right="120" w:hanging="763"/>
        <w:spacing w:after="0" w:line="255"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2.</w:t>
        <w:tab/>
        <w:t>Tipping</w:t>
      </w:r>
      <w:r>
        <w:rPr>
          <w:rFonts w:ascii="Times New Roman" w:cs="Times New Roman" w:eastAsia="Times New Roman" w:hAnsi="Times New Roman"/>
          <w:sz w:val="16"/>
          <w:szCs w:val="16"/>
          <w:color w:val="auto"/>
        </w:rPr>
        <w:t>. No Insider shall disclose (“tip”) Material Nonpublic Information to any other person (including family members) (a “tippee”) where such tippee might then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trade in the securities of companies while aware of such information, nor shall such Insider make recommendations or express opinions on the basis of Material Nonpublic Information as to trading in the Company’s securities.</w:t>
      </w:r>
    </w:p>
    <w:p>
      <w:pPr>
        <w:spacing w:after="0" w:line="167" w:lineRule="exact"/>
        <w:rPr>
          <w:sz w:val="20"/>
          <w:szCs w:val="20"/>
          <w:color w:val="auto"/>
        </w:rPr>
      </w:pPr>
    </w:p>
    <w:p>
      <w:pPr>
        <w:ind w:left="900" w:right="260" w:hanging="763"/>
        <w:spacing w:after="0" w:line="275"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3.</w:t>
        <w:tab/>
        <w:t>Confidentiality of Nonpublic Information</w:t>
      </w:r>
      <w:r>
        <w:rPr>
          <w:rFonts w:ascii="Times New Roman" w:cs="Times New Roman" w:eastAsia="Times New Roman" w:hAnsi="Times New Roman"/>
          <w:sz w:val="16"/>
          <w:szCs w:val="16"/>
          <w:color w:val="auto"/>
        </w:rPr>
        <w:t>. Nonpublic information relating to the Company is the property of the Company and the unauthorized disclosure of such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information is forbidden.</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i w:val="1"/>
          <w:iCs w:val="1"/>
          <w:color w:val="auto"/>
        </w:rPr>
        <w:t>Section 4. Speculative Transactions</w:t>
      </w:r>
      <w:r>
        <w:rPr>
          <w:rFonts w:ascii="Times New Roman" w:cs="Times New Roman" w:eastAsia="Times New Roman" w:hAnsi="Times New Roman"/>
          <w:sz w:val="16"/>
          <w:szCs w:val="16"/>
          <w:color w:val="auto"/>
        </w:rPr>
        <w:t>. All Covered Persons are prohibited at all times, even during an open Trading Window from:</w:t>
      </w:r>
    </w:p>
    <w:p>
      <w:pPr>
        <w:spacing w:after="0" w:line="211" w:lineRule="exact"/>
        <w:rPr>
          <w:sz w:val="20"/>
          <w:szCs w:val="20"/>
          <w:color w:val="auto"/>
        </w:rPr>
      </w:pPr>
    </w:p>
    <w:p>
      <w:pPr>
        <w:ind w:left="1140" w:hanging="244"/>
        <w:spacing w:after="0"/>
        <w:tabs>
          <w:tab w:leader="none" w:pos="11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holding any Company securities in a margin account or pledging Company securities as collateral for a loan;</w:t>
      </w:r>
    </w:p>
    <w:p>
      <w:pPr>
        <w:spacing w:after="0" w:line="18" w:lineRule="exact"/>
        <w:rPr>
          <w:rFonts w:ascii="Times New Roman" w:cs="Times New Roman" w:eastAsia="Times New Roman" w:hAnsi="Times New Roman"/>
          <w:sz w:val="16"/>
          <w:szCs w:val="16"/>
          <w:color w:val="auto"/>
        </w:rPr>
      </w:pPr>
    </w:p>
    <w:p>
      <w:pPr>
        <w:ind w:left="1140" w:hanging="244"/>
        <w:spacing w:after="0"/>
        <w:tabs>
          <w:tab w:leader="none" w:pos="11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transactions in puts, calls, or other derivative transactions relating to the Company's securities;</w:t>
      </w:r>
    </w:p>
    <w:p>
      <w:pPr>
        <w:spacing w:after="0" w:line="6" w:lineRule="exact"/>
        <w:rPr>
          <w:rFonts w:ascii="Times New Roman" w:cs="Times New Roman" w:eastAsia="Times New Roman" w:hAnsi="Times New Roman"/>
          <w:sz w:val="16"/>
          <w:szCs w:val="16"/>
          <w:color w:val="auto"/>
        </w:rPr>
      </w:pPr>
    </w:p>
    <w:p>
      <w:pPr>
        <w:ind w:left="1140" w:hanging="244"/>
        <w:spacing w:after="0"/>
        <w:tabs>
          <w:tab w:leader="none" w:pos="114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short-selling securities of the Company; and</w:t>
      </w:r>
    </w:p>
    <w:p>
      <w:pPr>
        <w:spacing w:after="0" w:line="6" w:lineRule="exact"/>
        <w:rPr>
          <w:rFonts w:ascii="Times New Roman" w:cs="Times New Roman" w:eastAsia="Times New Roman" w:hAnsi="Times New Roman"/>
          <w:sz w:val="16"/>
          <w:szCs w:val="16"/>
          <w:color w:val="auto"/>
        </w:rPr>
      </w:pPr>
    </w:p>
    <w:p>
      <w:pPr>
        <w:ind w:left="1160" w:hanging="264"/>
        <w:spacing w:after="0" w:line="272" w:lineRule="auto"/>
        <w:tabs>
          <w:tab w:leader="none" w:pos="1151"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purchasing any financial instruments (including prepaid variable forward contracts, equity swaps, collars, and exchange funds) that are designed to hedge or offset any decrease in the market value of any equity securities of the Company.</w:t>
      </w:r>
    </w:p>
    <w:p>
      <w:pPr>
        <w:spacing w:after="0" w:line="155" w:lineRule="exact"/>
        <w:rPr>
          <w:sz w:val="20"/>
          <w:szCs w:val="20"/>
          <w:color w:val="auto"/>
        </w:rPr>
      </w:pPr>
    </w:p>
    <w:p>
      <w:pPr>
        <w:ind w:left="900" w:right="180"/>
        <w:spacing w:after="0" w:line="287" w:lineRule="auto"/>
        <w:rPr>
          <w:sz w:val="20"/>
          <w:szCs w:val="20"/>
          <w:color w:val="auto"/>
        </w:rPr>
      </w:pPr>
      <w:r>
        <w:rPr>
          <w:rFonts w:ascii="Times New Roman" w:cs="Times New Roman" w:eastAsia="Times New Roman" w:hAnsi="Times New Roman"/>
          <w:sz w:val="16"/>
          <w:szCs w:val="16"/>
          <w:color w:val="auto"/>
        </w:rPr>
        <w:t>The foregoing restrictions apply to all securities of the Company owned directly or indirectly by Covered Persons. The foregoing restrictions shall not preclude any Covered Person from engaging in general portfolio diversification or investing in broad-based index funds.</w:t>
      </w:r>
    </w:p>
    <w:p>
      <w:pPr>
        <w:spacing w:after="0" w:line="59" w:lineRule="exact"/>
        <w:rPr>
          <w:sz w:val="20"/>
          <w:szCs w:val="20"/>
          <w:color w:val="auto"/>
        </w:rPr>
      </w:pPr>
    </w:p>
    <w:p>
      <w:pPr>
        <w:ind w:left="900" w:right="100"/>
        <w:spacing w:after="0" w:line="254" w:lineRule="auto"/>
        <w:rPr>
          <w:sz w:val="20"/>
          <w:szCs w:val="20"/>
          <w:color w:val="auto"/>
        </w:rPr>
      </w:pPr>
      <w:r>
        <w:rPr>
          <w:rFonts w:ascii="Times New Roman" w:cs="Times New Roman" w:eastAsia="Times New Roman" w:hAnsi="Times New Roman"/>
          <w:sz w:val="16"/>
          <w:szCs w:val="16"/>
          <w:color w:val="auto"/>
        </w:rPr>
        <w:t>Covered Persons who have managed accounts (where another person has been given discretion or authority to trade without the Covered Person’s prior approval) should advise the broker or investment adviser not to trade in the Company’s securities at any time and otherwise limit trading to ensure compliance with this Policy. This restriction does not apply to investments in publicly available mutual funds.</w:t>
      </w:r>
    </w:p>
    <w:p>
      <w:pPr>
        <w:spacing w:after="0" w:line="161" w:lineRule="exact"/>
        <w:rPr>
          <w:sz w:val="20"/>
          <w:szCs w:val="20"/>
          <w:color w:val="auto"/>
        </w:rPr>
      </w:pPr>
    </w:p>
    <w:p>
      <w:pPr>
        <w:ind w:left="800" w:right="140" w:hanging="890"/>
        <w:spacing w:after="0" w:line="252" w:lineRule="auto"/>
        <w:tabs>
          <w:tab w:leader="none" w:pos="780" w:val="left"/>
        </w:tabs>
        <w:rPr>
          <w:sz w:val="20"/>
          <w:szCs w:val="20"/>
          <w:color w:val="auto"/>
        </w:rPr>
      </w:pPr>
      <w:r>
        <w:rPr>
          <w:rFonts w:ascii="Times New Roman" w:cs="Times New Roman" w:eastAsia="Times New Roman" w:hAnsi="Times New Roman"/>
          <w:sz w:val="16"/>
          <w:szCs w:val="16"/>
          <w:i w:val="1"/>
          <w:iCs w:val="1"/>
          <w:color w:val="auto"/>
        </w:rPr>
        <w:t>Section 5.</w:t>
      </w:r>
      <w:r>
        <w:rPr>
          <w:sz w:val="20"/>
          <w:szCs w:val="20"/>
          <w:color w:val="auto"/>
        </w:rPr>
        <w:tab/>
      </w:r>
      <w:r>
        <w:rPr>
          <w:rFonts w:ascii="Times New Roman" w:cs="Times New Roman" w:eastAsia="Times New Roman" w:hAnsi="Times New Roman"/>
          <w:sz w:val="16"/>
          <w:szCs w:val="16"/>
          <w:i w:val="1"/>
          <w:iCs w:val="1"/>
          <w:color w:val="auto"/>
        </w:rPr>
        <w:t xml:space="preserve">Event-specific Trading Window Closures. </w:t>
      </w:r>
      <w:r>
        <w:rPr>
          <w:rFonts w:ascii="Times New Roman" w:cs="Times New Roman" w:eastAsia="Times New Roman" w:hAnsi="Times New Roman"/>
          <w:sz w:val="16"/>
          <w:szCs w:val="16"/>
          <w:color w:val="auto"/>
        </w:rPr>
        <w:t>From time to time, material developments known only to a limited number of Company Personnel or Company Consultants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occur and cause the Company to impose on an appropriate group of Covered Persons additional restrictions on trading. A Covered Person will be notified if such Covered Person become part of such a group, and such Covered Person should not disclose to others the fact that he or she has been so notified or that additional restrictions on his or her trading have been imposed. Decisions about any event-specific trading window closure may be announced by the Chief Executive Officer, the Chief Financial Officer, or the General Counsel.</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0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auto"/>
        </w:rPr>
        <w:t>DEFINITION OF MATERIAL NONPUBLIC INFORMATION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right="60"/>
        <w:spacing w:after="0" w:line="330" w:lineRule="auto"/>
        <w:rPr>
          <w:sz w:val="20"/>
          <w:szCs w:val="20"/>
          <w:color w:val="auto"/>
        </w:rPr>
      </w:pPr>
      <w:r>
        <w:rPr>
          <w:rFonts w:ascii="Times New Roman" w:cs="Times New Roman" w:eastAsia="Times New Roman" w:hAnsi="Times New Roman"/>
          <w:sz w:val="14"/>
          <w:szCs w:val="14"/>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stock or other securities, regardless of whether such information is positive or negative.</w:t>
      </w:r>
    </w:p>
    <w:p>
      <w:pPr>
        <w:spacing w:after="0" w:line="12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While it may be difficult under this standard to determine whether particular information is material, there are various categories of information that are particularly sensitive and, as a general rule, would often be considered material and should be analyzed carefully. Examples of such information may include: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021" w:right="339" w:bottom="1440" w:gutter="0" w:footer="0" w:header="0"/>
        </w:sectPr>
      </w:pPr>
    </w:p>
    <w:bookmarkStart w:id="130" w:name="page131"/>
    <w:bookmarkEnd w:id="130"/>
    <w:p>
      <w:pPr>
        <w:ind w:left="240"/>
        <w:spacing w:after="0"/>
        <w:rPr>
          <w:sz w:val="20"/>
          <w:szCs w:val="20"/>
          <w:color w:val="auto"/>
        </w:rPr>
      </w:pPr>
      <w:r>
        <w:rPr>
          <w:rFonts w:ascii="Times New Roman" w:cs="Times New Roman" w:eastAsia="Times New Roman" w:hAnsi="Times New Roman"/>
          <w:sz w:val="16"/>
          <w:szCs w:val="16"/>
          <w:color w:val="auto"/>
        </w:rPr>
        <w:t>Financial results</w:t>
      </w:r>
    </w:p>
    <w:p>
      <w:pPr>
        <w:spacing w:after="0" w:line="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Projections of future financial results</w:t>
      </w:r>
    </w:p>
    <w:p>
      <w:pPr>
        <w:spacing w:after="0" w:line="3" w:lineRule="exact"/>
        <w:rPr>
          <w:sz w:val="20"/>
          <w:szCs w:val="20"/>
          <w:color w:val="auto"/>
        </w:rPr>
      </w:pPr>
    </w:p>
    <w:p>
      <w:pPr>
        <w:ind w:left="240" w:right="1960"/>
        <w:spacing w:after="0" w:line="276" w:lineRule="auto"/>
        <w:rPr>
          <w:sz w:val="20"/>
          <w:szCs w:val="20"/>
          <w:color w:val="auto"/>
        </w:rPr>
      </w:pPr>
      <w:r>
        <w:rPr>
          <w:rFonts w:ascii="Times New Roman" w:cs="Times New Roman" w:eastAsia="Times New Roman" w:hAnsi="Times New Roman"/>
          <w:sz w:val="14"/>
          <w:szCs w:val="14"/>
          <w:color w:val="auto"/>
        </w:rPr>
        <w:t>New product announcements of a significant nature Significant product defects or modifications</w:t>
      </w:r>
    </w:p>
    <w:p>
      <w:pPr>
        <w:spacing w:after="0" w:line="1" w:lineRule="exact"/>
        <w:rPr>
          <w:sz w:val="20"/>
          <w:szCs w:val="20"/>
          <w:color w:val="auto"/>
        </w:rPr>
      </w:pPr>
    </w:p>
    <w:p>
      <w:pPr>
        <w:ind w:left="260" w:right="560" w:hanging="17"/>
        <w:spacing w:after="0" w:line="244" w:lineRule="auto"/>
        <w:rPr>
          <w:sz w:val="20"/>
          <w:szCs w:val="20"/>
          <w:color w:val="auto"/>
        </w:rPr>
      </w:pPr>
      <w:r>
        <w:rPr>
          <w:rFonts w:ascii="Times New Roman" w:cs="Times New Roman" w:eastAsia="Times New Roman" w:hAnsi="Times New Roman"/>
          <w:sz w:val="16"/>
          <w:szCs w:val="16"/>
          <w:color w:val="auto"/>
        </w:rPr>
        <w:t>A pending or proposed acquisition, merger, joint venture or other strategic relationship</w:t>
      </w:r>
    </w:p>
    <w:p>
      <w:pPr>
        <w:spacing w:after="0" w:line="1" w:lineRule="exact"/>
        <w:rPr>
          <w:sz w:val="20"/>
          <w:szCs w:val="20"/>
          <w:color w:val="auto"/>
        </w:rPr>
      </w:pPr>
    </w:p>
    <w:p>
      <w:pPr>
        <w:ind w:left="240" w:right="1840"/>
        <w:spacing w:after="0" w:line="244" w:lineRule="auto"/>
        <w:rPr>
          <w:sz w:val="20"/>
          <w:szCs w:val="20"/>
          <w:color w:val="auto"/>
        </w:rPr>
      </w:pPr>
      <w:r>
        <w:rPr>
          <w:rFonts w:ascii="Times New Roman" w:cs="Times New Roman" w:eastAsia="Times New Roman" w:hAnsi="Times New Roman"/>
          <w:sz w:val="16"/>
          <w:szCs w:val="16"/>
          <w:color w:val="auto"/>
        </w:rPr>
        <w:t>Impending bankruptcy or financial liquidity problems Significant cybersecurity incidents</w:t>
      </w:r>
    </w:p>
    <w:p>
      <w:pPr>
        <w:spacing w:after="0" w:line="20" w:lineRule="exact"/>
        <w:rPr>
          <w:sz w:val="20"/>
          <w:szCs w:val="20"/>
          <w:color w:val="auto"/>
        </w:rPr>
      </w:pPr>
      <w:r>
        <w:rPr>
          <w:sz w:val="20"/>
          <w:szCs w:val="20"/>
          <w:color w:val="auto"/>
        </w:rPr>
        <w:br w:type="column"/>
      </w:r>
    </w:p>
    <w:p>
      <w:pPr>
        <w:ind w:right="800"/>
        <w:spacing w:after="0" w:line="253" w:lineRule="auto"/>
        <w:rPr>
          <w:sz w:val="20"/>
          <w:szCs w:val="20"/>
          <w:color w:val="auto"/>
        </w:rPr>
      </w:pPr>
      <w:r>
        <w:rPr>
          <w:rFonts w:ascii="Times New Roman" w:cs="Times New Roman" w:eastAsia="Times New Roman" w:hAnsi="Times New Roman"/>
          <w:sz w:val="16"/>
          <w:szCs w:val="16"/>
          <w:color w:val="auto"/>
        </w:rPr>
        <w:t>Gain or loss, or change in status, of a significant customer or contract Equity or debt offerings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actual or threatened litigation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governmental regulatory activities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senior management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dividend policy or stock splits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pricing changes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changes in accounting methods</w:t>
      </w:r>
    </w:p>
    <w:p>
      <w:pPr>
        <w:spacing w:after="0" w:line="184" w:lineRule="exact"/>
        <w:rPr>
          <w:sz w:val="20"/>
          <w:szCs w:val="20"/>
          <w:color w:val="auto"/>
        </w:rPr>
      </w:pPr>
    </w:p>
    <w:p>
      <w:pPr>
        <w:sectPr>
          <w:pgSz w:w="11900" w:h="16838" w:orient="portrait"/>
          <w:cols w:equalWidth="0" w:num="2">
            <w:col w:w="5420" w:space="720"/>
            <w:col w:w="5120"/>
          </w:cols>
          <w:pgMar w:left="300" w:top="885"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The above list is only illustrative; many other types of information may be considered “material” depending on the circumstances.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Nonpublic information is information that has not been previously disclosed to the general public and is otherwise not available to the general public, as described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DEFINITION OF PUBLIC DISCLOSURE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Information that has not been disclosed to the public is generally considered to be nonpublic information. In order for information to be disclosed to the public, the information must be widely disseminated, such as through issuance of a press release or disclosure in a Securities and Exchange Commission (“SEC”) filing, such as a Form 10-K, Form 10-Q or Form 8-K. Information disclosed on a conference call or webcast that was announced in advance and publicly accessible is also considered publicly available. However, a presentation to a select audience, a posting on the Internet or social media, or an article in a limited-distribution magazine generally do not qualify as full disclosure. Full public disclosure means that the securities markets have had the opportunity to digest the news. Generally, two trading days following public release is regarded as sufficient for dissemination and interpretation of material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GUIDELINES APPLICABLE TO DIRECTORS, OFFICERS AND CERTAIN OTHER EMPLOYEES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4"/>
          <w:szCs w:val="14"/>
          <w:color w:val="auto"/>
        </w:rPr>
        <w:t>The guidelines regarding a quarterly trading window and the pre-clearance of trades set forth in Sections 1 and 2 below, respectively, are applicable to all directors and officers of the Company as well as to those other employees that the Company believes have access to Material Nonpublic Information in the course of their duties who have been notified by the Company that they are subject to the quarterly trading window and pre-clearance requirements of this Policy, and other Covered Persons associated with such persons.</w:t>
      </w:r>
    </w:p>
    <w:p>
      <w:pPr>
        <w:spacing w:after="0" w:line="134" w:lineRule="exact"/>
        <w:rPr>
          <w:sz w:val="20"/>
          <w:szCs w:val="20"/>
          <w:color w:val="auto"/>
        </w:rPr>
      </w:pPr>
    </w:p>
    <w:p>
      <w:pPr>
        <w:ind w:left="900" w:right="20" w:hanging="763"/>
        <w:spacing w:after="0" w:line="248"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1.</w:t>
        <w:tab/>
        <w:t>Quarterly Trading Window</w:t>
      </w:r>
      <w:r>
        <w:rPr>
          <w:rFonts w:ascii="Times New Roman" w:cs="Times New Roman" w:eastAsia="Times New Roman" w:hAnsi="Times New Roman"/>
          <w:sz w:val="16"/>
          <w:szCs w:val="16"/>
          <w:color w:val="auto"/>
        </w:rPr>
        <w:t>. The period beginning 14 calendar days prior to the end of each fiscal quarter and ending two trading days following the date of public</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 of the financial results for that quarter, is a particularly sensitive period of time for transactions in the Company’s stock from the perspective of compliance with applicable securities laws. This sensitivity is due to the fact that certain Company Personnel and Company Consultants will, during that period, often be aware of Material Nonpublic Information about the expected financial results for the quarter.</w:t>
      </w:r>
    </w:p>
    <w:p>
      <w:pPr>
        <w:spacing w:after="0" w:line="175" w:lineRule="exact"/>
        <w:rPr>
          <w:sz w:val="20"/>
          <w:szCs w:val="20"/>
          <w:color w:val="auto"/>
        </w:rPr>
      </w:pPr>
    </w:p>
    <w:p>
      <w:pPr>
        <w:ind w:left="900"/>
        <w:spacing w:after="0" w:line="246" w:lineRule="auto"/>
        <w:rPr>
          <w:sz w:val="20"/>
          <w:szCs w:val="20"/>
          <w:color w:val="auto"/>
        </w:rPr>
      </w:pPr>
      <w:r>
        <w:rPr>
          <w:rFonts w:ascii="Times New Roman" w:cs="Times New Roman" w:eastAsia="Times New Roman" w:hAnsi="Times New Roman"/>
          <w:sz w:val="16"/>
          <w:szCs w:val="16"/>
          <w:color w:val="auto"/>
        </w:rPr>
        <w:t>Accordingly, to ensure compliance with this Policy and applicable federal and state securities laws, the Company has designated a quarterly “Trading Window” period pursuant to which the Trading Window will be open commencing at the close of business on the trading day following the date of public disclosure of the financial results for a particular fiscal quarter or year and ending at the close of business on the fifteenth day prior to the end of the fiscal quarter. Each person who has been notified by the Company that they are subject to the quarterly Trading Window and pre-clearance guidelines of this Policy must refrain from conducting transactions involving the Company’s securities other than during an open Trading Window, except for transactions subject to an exemption set forth below. The safest period for trading in the Company’s securities, assuming the absence of Material Nonpublic Information, is generally the first week or two after the quarterly Trading Window opens.</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60"/>
          </w:cols>
          <w:pgMar w:left="300" w:top="885" w:right="339" w:bottom="1440" w:gutter="0" w:footer="0" w:header="0"/>
          <w:type w:val="continuous"/>
        </w:sectPr>
      </w:pPr>
    </w:p>
    <w:bookmarkStart w:id="131" w:name="page132"/>
    <w:bookmarkEnd w:id="131"/>
    <w:p>
      <w:pPr>
        <w:ind w:left="900" w:right="160"/>
        <w:spacing w:after="0" w:line="248" w:lineRule="auto"/>
        <w:rPr>
          <w:sz w:val="20"/>
          <w:szCs w:val="20"/>
          <w:color w:val="auto"/>
        </w:rPr>
      </w:pPr>
      <w:r>
        <w:rPr>
          <w:rFonts w:ascii="Times New Roman" w:cs="Times New Roman" w:eastAsia="Times New Roman" w:hAnsi="Times New Roman"/>
          <w:sz w:val="16"/>
          <w:szCs w:val="16"/>
          <w:color w:val="auto"/>
        </w:rPr>
        <w:t>The purpose behind the Company’s self-imposed Trading Window periods is to help establish a diligent effort to avoid any improper transaction. It should be noted, however, that even during an open Trading Window, any person aware of Material Nonpublic Information concerning the Company should not engage in any transactions in the Company's securities until two trading days following the date of public disclosure of such information, whether or not the Company has recommended a suspension of trading to that person, except for transactions subject to an exemption set forth below. Trading in the Company’s securities during an open Trading Window should not be considered a “safe harbor,” and all Covered Persons should use good judgment at all times.</w:t>
      </w:r>
    </w:p>
    <w:p>
      <w:pPr>
        <w:spacing w:after="0" w:line="172" w:lineRule="exact"/>
        <w:rPr>
          <w:sz w:val="20"/>
          <w:szCs w:val="20"/>
          <w:color w:val="auto"/>
        </w:rPr>
      </w:pPr>
    </w:p>
    <w:p>
      <w:pPr>
        <w:ind w:left="900" w:right="60" w:hanging="763"/>
        <w:spacing w:after="0" w:line="284"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2.</w:t>
      </w:r>
      <w:r>
        <w:rPr>
          <w:sz w:val="20"/>
          <w:szCs w:val="20"/>
          <w:color w:val="auto"/>
        </w:rPr>
        <w:tab/>
      </w:r>
      <w:r>
        <w:rPr>
          <w:rFonts w:ascii="Times New Roman" w:cs="Times New Roman" w:eastAsia="Times New Roman" w:hAnsi="Times New Roman"/>
          <w:sz w:val="14"/>
          <w:szCs w:val="14"/>
          <w:i w:val="1"/>
          <w:iCs w:val="1"/>
          <w:color w:val="auto"/>
        </w:rPr>
        <w:t>Pre-clearance of Trades</w:t>
      </w:r>
      <w:r>
        <w:rPr>
          <w:rFonts w:ascii="Times New Roman" w:cs="Times New Roman" w:eastAsia="Times New Roman" w:hAnsi="Times New Roman"/>
          <w:sz w:val="14"/>
          <w:szCs w:val="14"/>
          <w:color w:val="auto"/>
        </w:rPr>
        <w:t>. All directors and officers of the Company as well as those other employees that the Company believes have access to Material Nonpublic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in the course of their duties who have been notified by the Company that they are subject to the quarterly Trading Window and pre-clearance requires of this Policy, and other Covered Persons associated with such persons, should refrain from conducting transactions involving the Company’s securities, even during an open Trading Window, without first complying with the Company’s “pre-clearance” process, except for transactions subject to an exemption set forth below. Each such person should receive pre-clearance from the Company’s General Counsel or the General Counsel’s designee prior to conducting a transaction in the Company’s securities, and even prior to discussing a potential transaction with a broker, family member or other third party. The Company may find it necessary, from time to time, to require compliance with the pre-clearance process from additional employees, consultants, and contractors. If a transaction has been approved under this pre-clearance process, the trade must be effected within five (5) business days of the pre-approval, or such other period specified by the General Counsel, or the person should seek another pre-clearance approval. The Company may also revoke pre-approval of a trade at any time, and any trade not yet effected as of such revocation may not proceed. The Company will make available a stock transaction pre-clearance form that should be submitted with each pre-clearance request.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CERTAIN EXCEPTIONS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The only exceptions to the trading window and/or pre-clearance requirements of this Policy are as follows:</w:t>
      </w:r>
    </w:p>
    <w:p>
      <w:pPr>
        <w:spacing w:after="0" w:line="185" w:lineRule="exact"/>
        <w:rPr>
          <w:sz w:val="20"/>
          <w:szCs w:val="20"/>
          <w:color w:val="auto"/>
        </w:rPr>
      </w:pPr>
    </w:p>
    <w:p>
      <w:pPr>
        <w:ind w:left="900" w:right="240" w:hanging="763"/>
        <w:spacing w:after="0" w:line="253"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1</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b/>
        <w:t xml:space="preserve">Vesting of Restricted Stock or Restricted Stock Units, Including Forfeiture of Shares for Tax Withholding. </w:t>
      </w:r>
      <w:r>
        <w:rPr>
          <w:rFonts w:ascii="Times New Roman" w:cs="Times New Roman" w:eastAsia="Times New Roman" w:hAnsi="Times New Roman"/>
          <w:sz w:val="16"/>
          <w:szCs w:val="16"/>
          <w:color w:val="auto"/>
        </w:rPr>
        <w:t>Vesting of restricted stock or restricted stock units,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including performance stock units, is exempt from the Trading Window and pre-clearance requirements of this Policy. Similarly, exercising a tax withholding right with respect to restricted stock or restricted stock units pursuant to which Company Personnel elects to have the Company withhold shares of stock to satisfy tax withholding requirements upon vesting is exempt from the Trading Window and pre-clearance requirements of this Policy.</w:t>
      </w:r>
    </w:p>
    <w:p>
      <w:pPr>
        <w:spacing w:after="0" w:line="158" w:lineRule="exact"/>
        <w:rPr>
          <w:sz w:val="20"/>
          <w:szCs w:val="20"/>
          <w:color w:val="auto"/>
        </w:rPr>
      </w:pPr>
    </w:p>
    <w:p>
      <w:pPr>
        <w:jc w:val="center"/>
        <w:ind w:right="40"/>
        <w:spacing w:after="0" w:line="275" w:lineRule="auto"/>
        <w:rPr>
          <w:sz w:val="20"/>
          <w:szCs w:val="20"/>
          <w:color w:val="auto"/>
        </w:rPr>
      </w:pPr>
      <w:r>
        <w:rPr>
          <w:rFonts w:ascii="Times New Roman" w:cs="Times New Roman" w:eastAsia="Times New Roman" w:hAnsi="Times New Roman"/>
          <w:sz w:val="16"/>
          <w:szCs w:val="16"/>
          <w:i w:val="1"/>
          <w:iCs w:val="1"/>
          <w:color w:val="auto"/>
        </w:rPr>
        <w:t xml:space="preserve">Section 2.  Purchase of Shares under ESPP. </w:t>
      </w:r>
      <w:r>
        <w:rPr>
          <w:rFonts w:ascii="Times New Roman" w:cs="Times New Roman" w:eastAsia="Times New Roman" w:hAnsi="Times New Roman"/>
          <w:sz w:val="16"/>
          <w:szCs w:val="16"/>
          <w:color w:val="auto"/>
        </w:rPr>
        <w:t>The purchase of shares pursuant to an election to participate in the Company’s Employee Stock Purchase Plan (“ESPP”) is exempt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from the Trading Window and pre-clearance requirements of this Policy. However, this Policy does apply to selling shares acquired through the ESPP.</w:t>
      </w:r>
    </w:p>
    <w:p>
      <w:pPr>
        <w:spacing w:after="0" w:line="151" w:lineRule="exact"/>
        <w:rPr>
          <w:sz w:val="20"/>
          <w:szCs w:val="20"/>
          <w:color w:val="auto"/>
        </w:rPr>
      </w:pPr>
    </w:p>
    <w:p>
      <w:pPr>
        <w:ind w:left="900" w:hanging="763"/>
        <w:spacing w:after="0" w:line="248"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3</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b/>
        <w:t>Transactions Pursuant to a Pre-Approved Rule 10b5-1 Trading Plan</w:t>
      </w:r>
      <w:r>
        <w:rPr>
          <w:rFonts w:ascii="Times New Roman" w:cs="Times New Roman" w:eastAsia="Times New Roman" w:hAnsi="Times New Roman"/>
          <w:sz w:val="16"/>
          <w:szCs w:val="16"/>
          <w:color w:val="auto"/>
        </w:rPr>
        <w:t>. Any Covered Person who wishes to enter into a trading plan under SEC Rule 10b5-1 must first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obtain pre-approval of the plan by the General Counsel or the General Counsel’s designee. As required by Rule 10b5-1, Covered Persons may enter into a trading plan only when such person is not aware of Material Nonpublic Information. In addition, officers, directors and employees may only enter into a Rule 10b5-1 trading plan when the Trading Window is open. Transactions effected pursuant to a pre-approved trading plan will not require further pre-clearance and need not occur only during open Trading Windows at the time of the transaction if the plan specifies the dates, prices and amounts of the contemplated trades, or establishes a formula or fully delegates authority</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60"/>
          </w:cols>
          <w:pgMar w:left="300" w:top="1075" w:right="339" w:bottom="1440" w:gutter="0" w:footer="0" w:header="0"/>
        </w:sectPr>
      </w:pPr>
    </w:p>
    <w:bookmarkStart w:id="132" w:name="page133"/>
    <w:bookmarkEnd w:id="132"/>
    <w:p>
      <w:pPr>
        <w:ind w:left="900"/>
        <w:spacing w:after="0"/>
        <w:rPr>
          <w:sz w:val="20"/>
          <w:szCs w:val="20"/>
          <w:color w:val="auto"/>
        </w:rPr>
      </w:pPr>
      <w:r>
        <w:rPr>
          <w:rFonts w:ascii="Times New Roman" w:cs="Times New Roman" w:eastAsia="Times New Roman" w:hAnsi="Times New Roman"/>
          <w:sz w:val="16"/>
          <w:szCs w:val="16"/>
          <w:color w:val="auto"/>
        </w:rPr>
        <w:t>for determining the dates, prices and amounts, and otherwise complies with the requirements set forth in Appendix A to this Policy.</w:t>
      </w:r>
    </w:p>
    <w:p>
      <w:pPr>
        <w:spacing w:after="0" w:line="196" w:lineRule="exact"/>
        <w:rPr>
          <w:sz w:val="20"/>
          <w:szCs w:val="20"/>
          <w:color w:val="auto"/>
        </w:rPr>
      </w:pPr>
    </w:p>
    <w:p>
      <w:pPr>
        <w:ind w:left="900" w:right="80" w:hanging="763"/>
        <w:spacing w:after="0" w:line="255"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4</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b/>
        <w:t>Bona Fide Gifts</w:t>
      </w:r>
      <w:r>
        <w:rPr>
          <w:rFonts w:ascii="Times New Roman" w:cs="Times New Roman" w:eastAsia="Times New Roman" w:hAnsi="Times New Roman"/>
          <w:sz w:val="16"/>
          <w:szCs w:val="16"/>
          <w:color w:val="auto"/>
        </w:rPr>
        <w:t>. Making</w:t>
      </w:r>
      <w:r>
        <w:rPr>
          <w:rFonts w:ascii="Times New Roman" w:cs="Times New Roman" w:eastAsia="Times New Roman" w:hAnsi="Times New Roman"/>
          <w:sz w:val="16"/>
          <w:szCs w:val="16"/>
          <w:i w:val="1"/>
          <w:iCs w:val="1"/>
          <w:color w:val="auto"/>
        </w:rPr>
        <w:t xml:space="preserve"> bona fide </w:t>
      </w:r>
      <w:r>
        <w:rPr>
          <w:rFonts w:ascii="Times New Roman" w:cs="Times New Roman" w:eastAsia="Times New Roman" w:hAnsi="Times New Roman"/>
          <w:sz w:val="16"/>
          <w:szCs w:val="16"/>
          <w:color w:val="auto"/>
        </w:rPr>
        <w:t>gifts of Company securities is exempt from the Trading Window restrictions of this Policy if the gift is made to a Covered Person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subject to this Policy or the person making the gift has a reasonable basis for believing that the recipient of the gift will not sell the securities during a restriction existing at the time of the gift that precludes the person making the gift from trading pursuant to the terms of this Policy.</w:t>
      </w:r>
    </w:p>
    <w:p>
      <w:pPr>
        <w:spacing w:after="0" w:line="156" w:lineRule="exact"/>
        <w:rPr>
          <w:sz w:val="20"/>
          <w:szCs w:val="20"/>
          <w:color w:val="auto"/>
        </w:rPr>
      </w:pPr>
    </w:p>
    <w:p>
      <w:pPr>
        <w:ind w:left="900" w:right="140" w:hanging="763"/>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Section 5. Dividend Reinvestments. </w:t>
      </w:r>
      <w:r>
        <w:rPr>
          <w:rFonts w:ascii="Times New Roman" w:cs="Times New Roman" w:eastAsia="Times New Roman" w:hAnsi="Times New Roman"/>
          <w:sz w:val="16"/>
          <w:szCs w:val="16"/>
          <w:color w:val="auto"/>
        </w:rPr>
        <w:t>The purchase of Company securities under any Company dividend reinvestment plan is exempt from the Trading Window and pre-clearance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restrictions of this Policy. This exemption </w:t>
      </w:r>
      <w:r>
        <w:rPr>
          <w:rFonts w:ascii="Times New Roman" w:cs="Times New Roman" w:eastAsia="Times New Roman" w:hAnsi="Times New Roman"/>
          <w:sz w:val="16"/>
          <w:szCs w:val="16"/>
          <w:i w:val="1"/>
          <w:iCs w:val="1"/>
          <w:color w:val="auto"/>
        </w:rPr>
        <w:t>does not</w:t>
      </w:r>
      <w:r>
        <w:rPr>
          <w:rFonts w:ascii="Times New Roman" w:cs="Times New Roman" w:eastAsia="Times New Roman" w:hAnsi="Times New Roman"/>
          <w:sz w:val="16"/>
          <w:szCs w:val="16"/>
          <w:color w:val="auto"/>
        </w:rPr>
        <w:t xml:space="preserve"> exempt an election to participate in the plan or change the level of participation in the plan. This Policy also applies to any sale of Company securities purchased pursuant to the plan.</w:t>
      </w:r>
    </w:p>
    <w:p>
      <w:pPr>
        <w:spacing w:after="0" w:line="151" w:lineRule="exact"/>
        <w:rPr>
          <w:sz w:val="20"/>
          <w:szCs w:val="20"/>
          <w:color w:val="auto"/>
        </w:rPr>
      </w:pPr>
    </w:p>
    <w:p>
      <w:pPr>
        <w:ind w:left="900" w:right="180" w:hanging="763"/>
        <w:spacing w:after="0" w:line="294"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6</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i w:val="1"/>
          <w:iCs w:val="1"/>
          <w:color w:val="auto"/>
        </w:rPr>
        <w:t xml:space="preserve">Limited Hardship Exception. </w:t>
      </w:r>
      <w:r>
        <w:rPr>
          <w:rFonts w:ascii="Times New Roman" w:cs="Times New Roman" w:eastAsia="Times New Roman" w:hAnsi="Times New Roman"/>
          <w:sz w:val="14"/>
          <w:szCs w:val="14"/>
          <w:color w:val="auto"/>
        </w:rPr>
        <w:t>Under limited circumstances, such as a</w:t>
      </w:r>
      <w:r>
        <w:rPr>
          <w:rFonts w:ascii="Times New Roman" w:cs="Times New Roman" w:eastAsia="Times New Roman" w:hAnsi="Times New Roman"/>
          <w:sz w:val="14"/>
          <w:szCs w:val="14"/>
          <w:i w:val="1"/>
          <w:iCs w:val="1"/>
          <w:color w:val="auto"/>
        </w:rPr>
        <w:t xml:space="preserve"> bona fide </w:t>
      </w:r>
      <w:r>
        <w:rPr>
          <w:rFonts w:ascii="Times New Roman" w:cs="Times New Roman" w:eastAsia="Times New Roman" w:hAnsi="Times New Roman"/>
          <w:sz w:val="14"/>
          <w:szCs w:val="14"/>
          <w:color w:val="auto"/>
        </w:rPr>
        <w:t>hardship, an exception from the Trading Window requirements may be granted for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particular transaction if the Covered Person is not aware of Material Nonpublic Information and the transaction is approved in writing in advance by the General</w:t>
      </w:r>
    </w:p>
    <w:p>
      <w:pPr>
        <w:spacing w:after="0" w:line="1" w:lineRule="exact"/>
        <w:rPr>
          <w:sz w:val="20"/>
          <w:szCs w:val="20"/>
          <w:color w:val="auto"/>
        </w:rPr>
      </w:pPr>
    </w:p>
    <w:p>
      <w:pPr>
        <w:ind w:left="900" w:right="220"/>
        <w:spacing w:after="0" w:line="274" w:lineRule="auto"/>
        <w:rPr>
          <w:sz w:val="20"/>
          <w:szCs w:val="20"/>
          <w:color w:val="auto"/>
        </w:rPr>
      </w:pPr>
      <w:r>
        <w:rPr>
          <w:rFonts w:ascii="Times New Roman" w:cs="Times New Roman" w:eastAsia="Times New Roman" w:hAnsi="Times New Roman"/>
          <w:sz w:val="16"/>
          <w:szCs w:val="16"/>
          <w:color w:val="auto"/>
        </w:rPr>
        <w:t>Counsel. The existence of the foregoing approval procedures does not in any way obligate the General Counsel to approve any trades requested by hardship applicants, and any such waiver will be granted sparingly, if ever.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INDIVIDUAL RESPONSIBILITY OF COMPANY PERSONNEL AND COMPANY CONSULTANTS TO COMPLY WITH POLICY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All Company Personnel and Company Consultants have the individual responsibility to comply with this Policy against insider trading, regardless of whether the Company has recommended a trading window to that person or others. The guidelines set forth in this Policy are guidelines only, and appropriate judgment should be exercised in connection with any trade in the Company’s securities.</w:t>
      </w:r>
    </w:p>
    <w:p>
      <w:pPr>
        <w:spacing w:after="0" w:line="169" w:lineRule="exact"/>
        <w:rPr>
          <w:sz w:val="20"/>
          <w:szCs w:val="20"/>
          <w:color w:val="auto"/>
        </w:rPr>
      </w:pPr>
    </w:p>
    <w:p>
      <w:pPr>
        <w:ind w:right="280"/>
        <w:spacing w:after="0" w:line="330" w:lineRule="auto"/>
        <w:rPr>
          <w:sz w:val="20"/>
          <w:szCs w:val="20"/>
          <w:color w:val="auto"/>
        </w:rPr>
      </w:pPr>
      <w:r>
        <w:rPr>
          <w:rFonts w:ascii="Times New Roman" w:cs="Times New Roman" w:eastAsia="Times New Roman" w:hAnsi="Times New Roman"/>
          <w:sz w:val="14"/>
          <w:szCs w:val="14"/>
          <w:color w:val="auto"/>
        </w:rPr>
        <w:t>A Covered Person may, from time to time, have to forego a proposed transaction in the Company’s securities even if the Covered Person planned to make the transaction before learning of the Material Nonpublic Information and even though the Covered Person believes he or she may suffer an economic loss or forego anticipated profit by waiting.</w:t>
      </w:r>
    </w:p>
    <w:p>
      <w:pPr>
        <w:spacing w:after="0" w:line="120"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6"/>
          <w:szCs w:val="16"/>
          <w:color w:val="auto"/>
        </w:rPr>
        <w:t>Any Company Personnel or Company Consultants who know of any material information concerning the Company that has not been disclosed to the public must report such information promptly to the Chief Executive Officer, Chief Financial Officer or General Counsel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Personnel and Company Consultants are expected to be responsible for the compliance of their Related Parties, as defined above.</w:t>
      </w:r>
    </w:p>
    <w:p>
      <w:pPr>
        <w:spacing w:after="0" w:line="198"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Remember that if securities transactions ever become the subject of scrutiny, they are likely to be viewed after-the- fact with the benefit of hindsight. As a result, before engaging in any transaction, Covered Persons should carefully consider how the transaction may be construed in the bright light of hindsight.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POTENTIAL CRIMINAL AND CIVIL LIABILITY AND/OR DISCIPLINARY ACTION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900" w:right="60" w:hanging="763"/>
        <w:spacing w:after="0" w:line="255"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1.</w:t>
        <w:tab/>
        <w:t>Liability for Insider Trading</w:t>
      </w:r>
      <w:r>
        <w:rPr>
          <w:rFonts w:ascii="Times New Roman" w:cs="Times New Roman" w:eastAsia="Times New Roman" w:hAnsi="Times New Roman"/>
          <w:sz w:val="16"/>
          <w:szCs w:val="16"/>
          <w:color w:val="auto"/>
        </w:rPr>
        <w:t>. Under the federal securities laws, Insiders may be subject to civil fines of up to three times the profit gained or loss avoided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trade and criminal fines of up to $5,000,000 and up to twenty years in jail for engaging in transactions in the Company’s securities at a time when they are aware of nonpublic information regarding the Company.</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00" w:top="885" w:right="359" w:bottom="1440" w:gutter="0" w:footer="0" w:header="0"/>
        </w:sectPr>
      </w:pPr>
    </w:p>
    <w:bookmarkStart w:id="133" w:name="page134"/>
    <w:bookmarkEnd w:id="133"/>
    <w:p>
      <w:pPr>
        <w:jc w:val="both"/>
        <w:ind w:left="900" w:right="40" w:hanging="763"/>
        <w:spacing w:after="0" w:line="255"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2.</w:t>
        <w:tab/>
        <w:t>Liability for Tipping</w:t>
      </w:r>
      <w:r>
        <w:rPr>
          <w:rFonts w:ascii="Times New Roman" w:cs="Times New Roman" w:eastAsia="Times New Roman" w:hAnsi="Times New Roman"/>
          <w:sz w:val="16"/>
          <w:szCs w:val="16"/>
          <w:color w:val="auto"/>
        </w:rPr>
        <w:t>. Insiders may also be liable for improper transactions by any tippee to whom they have disclosed nonpublic information regarding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to whom they have made recommendations or expressed opinions on the basis of such information as to trading in the Company's securities. The SEC has imposed large penalties even when the disclosing person did not profit financially from the trading.</w:t>
      </w:r>
    </w:p>
    <w:p>
      <w:pPr>
        <w:spacing w:after="0" w:line="167" w:lineRule="exact"/>
        <w:rPr>
          <w:sz w:val="20"/>
          <w:szCs w:val="20"/>
          <w:color w:val="auto"/>
        </w:rPr>
      </w:pPr>
    </w:p>
    <w:p>
      <w:pPr>
        <w:ind w:left="900" w:right="280" w:hanging="763"/>
        <w:spacing w:after="0" w:line="262"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3.</w:t>
        <w:tab/>
        <w:t>Possible Disciplinary Actions</w:t>
      </w:r>
      <w:r>
        <w:rPr>
          <w:rFonts w:ascii="Times New Roman" w:cs="Times New Roman" w:eastAsia="Times New Roman" w:hAnsi="Times New Roman"/>
          <w:sz w:val="16"/>
          <w:szCs w:val="16"/>
          <w:color w:val="auto"/>
        </w:rPr>
        <w:t>. Employees of the Company who violate this Policy shall also be subject to disciplinary action by the Company, which may include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ineligibility for future participation in the Company's equity incentive plans or termination of employment.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SEC, the stock exchanges, and FINRA (Financial Industry Regulatory Authority) use sophisticated electronic surveillance techniques to uncover insider trading and tipping.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COMPLIANCE PROCEDURES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900" w:hanging="763"/>
        <w:spacing w:after="0" w:line="275"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1.</w:t>
        <w:tab/>
        <w:t>Policy and Information Distribution and Posting</w:t>
      </w:r>
      <w:r>
        <w:rPr>
          <w:rFonts w:ascii="Times New Roman" w:cs="Times New Roman" w:eastAsia="Times New Roman" w:hAnsi="Times New Roman"/>
          <w:sz w:val="16"/>
          <w:szCs w:val="16"/>
          <w:color w:val="auto"/>
        </w:rPr>
        <w:t>. The Company will distribute a calendar of quarterly Trading Windows to all persons subject to the quarterly Trading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Windows. A copy of the current version of this Policy and the quarterly Trading Window calendar may also be requested from the General Counsel.</w:t>
      </w:r>
    </w:p>
    <w:p>
      <w:pPr>
        <w:spacing w:after="0" w:line="141" w:lineRule="exact"/>
        <w:rPr>
          <w:sz w:val="20"/>
          <w:szCs w:val="20"/>
          <w:color w:val="auto"/>
        </w:rPr>
      </w:pPr>
    </w:p>
    <w:p>
      <w:pPr>
        <w:ind w:left="900" w:right="40" w:hanging="763"/>
        <w:spacing w:after="0" w:line="275" w:lineRule="auto"/>
        <w:tabs>
          <w:tab w:leader="none" w:pos="880" w:val="left"/>
        </w:tabs>
        <w:rPr>
          <w:sz w:val="20"/>
          <w:szCs w:val="20"/>
          <w:color w:val="auto"/>
        </w:rPr>
      </w:pPr>
      <w:r>
        <w:rPr>
          <w:rFonts w:ascii="Times New Roman" w:cs="Times New Roman" w:eastAsia="Times New Roman" w:hAnsi="Times New Roman"/>
          <w:sz w:val="16"/>
          <w:szCs w:val="16"/>
          <w:i w:val="1"/>
          <w:iCs w:val="1"/>
          <w:color w:val="auto"/>
        </w:rPr>
        <w:t>Section 2.</w:t>
        <w:tab/>
        <w:t>Training</w:t>
      </w:r>
      <w:r>
        <w:rPr>
          <w:rFonts w:ascii="Times New Roman" w:cs="Times New Roman" w:eastAsia="Times New Roman" w:hAnsi="Times New Roman"/>
          <w:sz w:val="16"/>
          <w:szCs w:val="16"/>
          <w:color w:val="auto"/>
        </w:rPr>
        <w:t>. The Company provides training on this Policy and the insider trading rules to all Company Personnel from time to time. Company Personnel are required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attend trainings assigned to them.</w:t>
      </w:r>
    </w:p>
    <w:p>
      <w:pPr>
        <w:spacing w:after="0" w:line="151" w:lineRule="exact"/>
        <w:rPr>
          <w:sz w:val="20"/>
          <w:szCs w:val="20"/>
          <w:color w:val="auto"/>
        </w:rPr>
      </w:pPr>
    </w:p>
    <w:p>
      <w:pPr>
        <w:ind w:right="4760"/>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INQUIRIES</w:t>
      </w:r>
      <w:r>
        <w:rPr>
          <w:rFonts w:ascii="Times New Roman" w:cs="Times New Roman" w:eastAsia="Times New Roman" w:hAnsi="Times New Roman"/>
          <w:sz w:val="16"/>
          <w:szCs w:val="16"/>
          <w:color w:val="auto"/>
        </w:rPr>
        <w:t>: Please direct any questions as to any of the matters discussed in this Policy to the General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Counsel.</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60"/>
          </w:cols>
          <w:pgMar w:left="300" w:top="883" w:right="339" w:bottom="1440" w:gutter="0" w:footer="0" w:header="0"/>
        </w:sectPr>
      </w:pPr>
    </w:p>
    <w:bookmarkStart w:id="134" w:name="page135"/>
    <w:bookmarkEnd w:id="134"/>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A</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Guidelines for Rule 10b5-1 Plans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guidelines apply to all Rule 10b5-1 Plans entered into by Covered Persons:</w:t>
      </w:r>
    </w:p>
    <w:p>
      <w:pPr>
        <w:spacing w:after="0" w:line="198" w:lineRule="exact"/>
        <w:rPr>
          <w:sz w:val="20"/>
          <w:szCs w:val="20"/>
          <w:color w:val="auto"/>
        </w:rPr>
      </w:pPr>
    </w:p>
    <w:p>
      <w:pPr>
        <w:ind w:left="500" w:hanging="250"/>
        <w:spacing w:after="0"/>
        <w:tabs>
          <w:tab w:leader="none" w:pos="5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Covered Persons may not enter into or modify a Rule 10b5-1 Plan when the Trading Window is closed or while otherwise aware of Material Nonpublic Information.</w:t>
      </w:r>
    </w:p>
    <w:p>
      <w:pPr>
        <w:spacing w:after="0" w:line="208" w:lineRule="exact"/>
        <w:rPr>
          <w:rFonts w:ascii="Times New Roman" w:cs="Times New Roman" w:eastAsia="Times New Roman" w:hAnsi="Times New Roman"/>
          <w:sz w:val="16"/>
          <w:szCs w:val="16"/>
          <w:color w:val="auto"/>
        </w:rPr>
      </w:pPr>
    </w:p>
    <w:p>
      <w:pPr>
        <w:ind w:left="500" w:hanging="250"/>
        <w:spacing w:after="0" w:line="261" w:lineRule="auto"/>
        <w:tabs>
          <w:tab w:leader="none" w:pos="49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directors and officer subject to Section 16 of the Securities Exchange Act of 1934, as amended (the “Exchange Act”), no transaction may take place under a Rule 10b5-1 Plan until expiration of a cooling-off period consisting of the later of (i) 90 days after adoption or modification (e.g., a change in the amount, price or timing) of the Rule 10b5-1 Plan or (ii) two business days following the disclosure of the Company’s financial results in a Form 10-Q or Form 10-K for the fiscal quarter (the Company’s fourth fiscal quarter in the case of a Form 10-K) in which the Rule 10b5-1 Plan was adopted or modified, but in any event, this required cooling-off period is subject to a maximum of 120 days after adoption or modification of the Rule 10b5-1 Plan.</w:t>
      </w:r>
    </w:p>
    <w:p>
      <w:pPr>
        <w:spacing w:after="0" w:line="166" w:lineRule="exact"/>
        <w:rPr>
          <w:rFonts w:ascii="Times New Roman" w:cs="Times New Roman" w:eastAsia="Times New Roman" w:hAnsi="Times New Roman"/>
          <w:sz w:val="16"/>
          <w:szCs w:val="16"/>
          <w:color w:val="auto"/>
        </w:rPr>
      </w:pPr>
    </w:p>
    <w:p>
      <w:pPr>
        <w:ind w:left="500" w:right="120" w:hanging="250"/>
        <w:spacing w:after="0" w:line="284" w:lineRule="auto"/>
        <w:tabs>
          <w:tab w:leader="none" w:pos="49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persons other than directors and officers subject to Section 16 of the Exchange Act, no transaction may take place under a Rule 10b5-1 Plan until the expiration of a cooling-off period that is 30 days following the adoption or modification of a Rule 10b5-1 Plan.</w:t>
      </w:r>
    </w:p>
    <w:p>
      <w:pPr>
        <w:spacing w:after="0" w:line="137" w:lineRule="exact"/>
        <w:rPr>
          <w:rFonts w:ascii="Times New Roman" w:cs="Times New Roman" w:eastAsia="Times New Roman" w:hAnsi="Times New Roman"/>
          <w:sz w:val="16"/>
          <w:szCs w:val="16"/>
          <w:color w:val="auto"/>
        </w:rPr>
      </w:pPr>
    </w:p>
    <w:p>
      <w:pPr>
        <w:ind w:left="500" w:hanging="250"/>
        <w:spacing w:after="0"/>
        <w:tabs>
          <w:tab w:leader="none" w:pos="5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certain limited exceptions specified in Rule 10b5-1, a Covered Person may not have more than one Rule 10b5-1 Plan in effect at any same time.</w:t>
      </w:r>
    </w:p>
    <w:p>
      <w:pPr>
        <w:spacing w:after="0" w:line="208" w:lineRule="exact"/>
        <w:rPr>
          <w:rFonts w:ascii="Times New Roman" w:cs="Times New Roman" w:eastAsia="Times New Roman" w:hAnsi="Times New Roman"/>
          <w:sz w:val="16"/>
          <w:szCs w:val="16"/>
          <w:color w:val="auto"/>
        </w:rPr>
      </w:pPr>
    </w:p>
    <w:p>
      <w:pPr>
        <w:jc w:val="both"/>
        <w:ind w:left="500" w:right="200" w:hanging="250"/>
        <w:spacing w:after="0" w:line="273" w:lineRule="auto"/>
        <w:tabs>
          <w:tab w:leader="none" w:pos="49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certain limited exceptions specified in Rule 10b5-1, a Covered Person may only enter into a Rule 10b5-1 Plan that is designed to effect an open market purchase or sale of the total amount of securities subject to the Rule 10b5-1 Plan as a single transaction (a “single-transaction plan”) if the Covered Person has not entered into a “single-transaction plan” in the prior 12 months.</w:t>
      </w:r>
    </w:p>
    <w:p>
      <w:pPr>
        <w:spacing w:after="0" w:line="146" w:lineRule="exact"/>
        <w:rPr>
          <w:rFonts w:ascii="Times New Roman" w:cs="Times New Roman" w:eastAsia="Times New Roman" w:hAnsi="Times New Roman"/>
          <w:sz w:val="16"/>
          <w:szCs w:val="16"/>
          <w:color w:val="auto"/>
        </w:rPr>
      </w:pPr>
    </w:p>
    <w:p>
      <w:pPr>
        <w:ind w:left="500" w:right="220" w:hanging="250"/>
        <w:spacing w:after="0" w:line="284" w:lineRule="auto"/>
        <w:tabs>
          <w:tab w:leader="none" w:pos="49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Covered Person must act in good faith with respect to a Rule 10b5-1 Plan. A Rule 10b5-1 Plan cannot be entered into as part of a plan or scheme to evade the prohibitions of Rule 10b-5.</w:t>
      </w:r>
    </w:p>
    <w:p>
      <w:pPr>
        <w:spacing w:after="0" w:line="148" w:lineRule="exact"/>
        <w:rPr>
          <w:rFonts w:ascii="Times New Roman" w:cs="Times New Roman" w:eastAsia="Times New Roman" w:hAnsi="Times New Roman"/>
          <w:sz w:val="16"/>
          <w:szCs w:val="16"/>
          <w:color w:val="auto"/>
        </w:rPr>
      </w:pPr>
    </w:p>
    <w:p>
      <w:pPr>
        <w:ind w:left="500" w:right="40" w:hanging="250"/>
        <w:spacing w:after="0" w:line="266" w:lineRule="auto"/>
        <w:tabs>
          <w:tab w:leader="none" w:pos="49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and officers subject to Section 16 of the Exchange Act must include a representation in the Rule 10b5-1 Plan that (i) the person is not aware of material nonpublic information about the Company or Company securities and (ii) the person is adopting the plan in good faith and not as part of plan or scheme to evade the prohibitions of Rule 10b-5.</w:t>
      </w:r>
    </w:p>
    <w:p>
      <w:pPr>
        <w:spacing w:after="0" w:line="13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6"/>
          <w:szCs w:val="16"/>
          <w:color w:val="auto"/>
        </w:rPr>
        <w:t>The Company and the Company’s directors and officers subject to Section 16 of the Exchange Act must make certain disclosures in SEC filings concerning Rule 10b5-1 Plans. Accordingly, such directors and officers must provide any information requested by the Company regarding Rule 10b5-1 Plans for the purpose of providing the required disclosures or any other disclosures that the Company deems to be appropriate under the circumstances.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60"/>
          </w:cols>
          <w:pgMar w:left="300" w:top="88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auto"/>
        </w:rPr>
        <w:t>Exhibit 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40" w:type="dxa"/>
            <w:vAlign w:val="bottom"/>
          </w:tcPr>
          <w:p>
            <w:pPr>
              <w:spacing w:after="0"/>
              <w:rPr>
                <w:sz w:val="13"/>
                <w:szCs w:val="13"/>
                <w:color w:val="auto"/>
              </w:rPr>
            </w:pPr>
          </w:p>
        </w:tc>
        <w:tc>
          <w:tcPr>
            <w:tcW w:w="5880" w:type="dxa"/>
            <w:vAlign w:val="bottom"/>
            <w:gridSpan w:val="4"/>
          </w:tcPr>
          <w:p>
            <w:pPr>
              <w:jc w:val="center"/>
              <w:ind w:right="1080"/>
              <w:spacing w:after="0"/>
              <w:rPr>
                <w:sz w:val="20"/>
                <w:szCs w:val="20"/>
                <w:color w:val="auto"/>
              </w:rPr>
            </w:pPr>
            <w:r>
              <w:rPr>
                <w:rFonts w:ascii="Arial" w:cs="Arial" w:eastAsia="Arial" w:hAnsi="Arial"/>
                <w:sz w:val="13"/>
                <w:szCs w:val="13"/>
                <w:b w:val="1"/>
                <w:bCs w:val="1"/>
                <w:color w:val="auto"/>
                <w:w w:val="98"/>
              </w:rPr>
              <w:t>SUBSIDIARIES OF THE REGISTRANT</w:t>
            </w:r>
          </w:p>
        </w:tc>
        <w:tc>
          <w:tcPr>
            <w:tcW w:w="2160" w:type="dxa"/>
            <w:vAlign w:val="bottom"/>
          </w:tcPr>
          <w:p>
            <w:pPr>
              <w:spacing w:after="0"/>
              <w:rPr>
                <w:sz w:val="13"/>
                <w:szCs w:val="13"/>
                <w:color w:val="auto"/>
              </w:rPr>
            </w:pPr>
          </w:p>
        </w:tc>
      </w:tr>
      <w:tr>
        <w:trPr>
          <w:trHeight w:val="173"/>
        </w:trPr>
        <w:tc>
          <w:tcPr>
            <w:tcW w:w="3240" w:type="dxa"/>
            <w:vAlign w:val="bottom"/>
          </w:tcPr>
          <w:p>
            <w:pPr>
              <w:spacing w:after="0"/>
              <w:rPr>
                <w:sz w:val="15"/>
                <w:szCs w:val="15"/>
                <w:color w:val="auto"/>
              </w:rPr>
            </w:pPr>
          </w:p>
        </w:tc>
        <w:tc>
          <w:tcPr>
            <w:tcW w:w="5880" w:type="dxa"/>
            <w:vAlign w:val="bottom"/>
            <w:gridSpan w:val="4"/>
          </w:tcPr>
          <w:p>
            <w:pPr>
              <w:jc w:val="center"/>
              <w:ind w:right="1080"/>
              <w:spacing w:after="0"/>
              <w:rPr>
                <w:sz w:val="20"/>
                <w:szCs w:val="20"/>
                <w:color w:val="auto"/>
              </w:rPr>
            </w:pPr>
            <w:r>
              <w:rPr>
                <w:rFonts w:ascii="Arial" w:cs="Arial" w:eastAsia="Arial" w:hAnsi="Arial"/>
                <w:sz w:val="13"/>
                <w:szCs w:val="13"/>
                <w:b w:val="1"/>
                <w:bCs w:val="1"/>
                <w:color w:val="auto"/>
                <w:w w:val="98"/>
              </w:rPr>
              <w:t>at August 31, 2024</w:t>
            </w:r>
          </w:p>
        </w:tc>
        <w:tc>
          <w:tcPr>
            <w:tcW w:w="2160" w:type="dxa"/>
            <w:vAlign w:val="bottom"/>
          </w:tcPr>
          <w:p>
            <w:pPr>
              <w:spacing w:after="0"/>
              <w:rPr>
                <w:sz w:val="15"/>
                <w:szCs w:val="15"/>
                <w:color w:val="auto"/>
              </w:rPr>
            </w:pPr>
          </w:p>
        </w:tc>
      </w:tr>
      <w:tr>
        <w:trPr>
          <w:trHeight w:val="177"/>
        </w:trPr>
        <w:tc>
          <w:tcPr>
            <w:tcW w:w="3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Jurisdiction of</w:t>
            </w: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7"/>
              </w:rPr>
              <w:t>Percent of</w:t>
            </w:r>
          </w:p>
        </w:tc>
      </w:tr>
      <w:tr>
        <w:trPr>
          <w:trHeight w:val="17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of Corporation</w:t>
            </w:r>
          </w:p>
        </w:tc>
        <w:tc>
          <w:tcPr>
            <w:tcW w:w="3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Incorporation</w:t>
            </w:r>
          </w:p>
        </w:tc>
        <w:tc>
          <w:tcPr>
            <w:tcW w:w="120" w:type="dxa"/>
            <w:vAlign w:val="bottom"/>
            <w:tcBorders>
              <w:bottom w:val="single" w:sz="8" w:color="CCEEFF"/>
            </w:tcBorders>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Ownership</w:t>
            </w:r>
          </w:p>
        </w:tc>
      </w:tr>
      <w:tr>
        <w:trPr>
          <w:trHeight w:val="160"/>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Winnebago Industries, Inc.</w:t>
            </w:r>
          </w:p>
        </w:tc>
        <w:tc>
          <w:tcPr>
            <w:tcW w:w="3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Minnesota</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Parent</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Winnebago of Indiana, LLC</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Iowa</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Grand Design RV, LLC</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Indiana</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Winnebago Industries Holdco, LLC</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Octavius Corporation</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Chris Craft USA, Inc.</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CC Marine Brand Acquisition, LLC</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Chris Craft Corporation</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CC Property Acquisition, LLC</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Delaware</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9"/>
        </w:trPr>
        <w:tc>
          <w:tcPr>
            <w:tcW w:w="3240" w:type="dxa"/>
            <w:vAlign w:val="bottom"/>
          </w:tcPr>
          <w:p>
            <w:pPr>
              <w:ind w:left="20"/>
              <w:spacing w:after="0"/>
              <w:rPr>
                <w:sz w:val="20"/>
                <w:szCs w:val="20"/>
                <w:color w:val="auto"/>
              </w:rPr>
            </w:pPr>
            <w:r>
              <w:rPr>
                <w:rFonts w:ascii="Arial" w:cs="Arial" w:eastAsia="Arial" w:hAnsi="Arial"/>
                <w:sz w:val="13"/>
                <w:szCs w:val="13"/>
                <w:color w:val="auto"/>
              </w:rPr>
              <w:t>Newmar Corporation</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Indiana</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r>
        <w:trPr>
          <w:trHeight w:val="171"/>
        </w:trPr>
        <w:tc>
          <w:tcPr>
            <w:tcW w:w="3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Barletta Boat Company, LLC</w:t>
            </w:r>
          </w:p>
        </w:tc>
        <w:tc>
          <w:tcPr>
            <w:tcW w:w="3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Indiana</w:t>
            </w:r>
          </w:p>
        </w:tc>
        <w:tc>
          <w:tcPr>
            <w:tcW w:w="2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r>
      <w:tr>
        <w:trPr>
          <w:trHeight w:val="167"/>
        </w:trPr>
        <w:tc>
          <w:tcPr>
            <w:tcW w:w="3240" w:type="dxa"/>
            <w:vAlign w:val="bottom"/>
          </w:tcPr>
          <w:p>
            <w:pPr>
              <w:ind w:left="20"/>
              <w:spacing w:after="0"/>
              <w:rPr>
                <w:sz w:val="20"/>
                <w:szCs w:val="20"/>
                <w:color w:val="auto"/>
              </w:rPr>
            </w:pPr>
            <w:r>
              <w:rPr>
                <w:rFonts w:ascii="Arial" w:cs="Arial" w:eastAsia="Arial" w:hAnsi="Arial"/>
                <w:sz w:val="13"/>
                <w:szCs w:val="13"/>
                <w:color w:val="auto"/>
              </w:rPr>
              <w:t>Lithionics Battery, LLC</w:t>
            </w: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Florida</w:t>
            </w:r>
          </w:p>
        </w:tc>
        <w:tc>
          <w:tcPr>
            <w:tcW w:w="2160" w:type="dxa"/>
            <w:vAlign w:val="bottom"/>
          </w:tcPr>
          <w:p>
            <w:pPr>
              <w:jc w:val="center"/>
              <w:spacing w:after="0"/>
              <w:rPr>
                <w:sz w:val="20"/>
                <w:szCs w:val="20"/>
                <w:color w:val="auto"/>
              </w:rPr>
            </w:pPr>
            <w:r>
              <w:rPr>
                <w:rFonts w:ascii="Arial" w:cs="Arial" w:eastAsia="Arial" w:hAnsi="Arial"/>
                <w:sz w:val="13"/>
                <w:szCs w:val="13"/>
                <w:color w:val="auto"/>
                <w:w w:val="96"/>
              </w:rPr>
              <w:t>100%</w:t>
            </w:r>
          </w:p>
        </w:tc>
      </w:tr>
    </w:tbl>
    <w:p>
      <w:pPr>
        <w:sectPr>
          <w:pgSz w:w="11900" w:h="16838" w:orient="portrait"/>
          <w:cols w:equalWidth="0" w:num="1">
            <w:col w:w="11280"/>
          </w:cols>
          <w:pgMar w:left="300" w:top="765"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23</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84"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color w:val="auto"/>
        </w:rPr>
        <w:t>We consent to the incorporation by reference in Registration Statement Nos. 333-31595, 333-47123, 333-113246, 333-194854, 333-222261, 333-232220 and 333-276170 on Form S-8 of our reports dated October 23, 2024, relating to the financial statements of Winnebago Industries, Inc. and the effectiveness of Winnebago Industries, Inc.'s internal control over financial reporting appearing in this Annual Report on Form 10-K for the year ended August 31, 2024.</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Minneapolis, Minnesota</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October 23, 2024</w:t>
      </w:r>
    </w:p>
    <w:p>
      <w:pPr>
        <w:sectPr>
          <w:pgSz w:w="11900" w:h="16838" w:orient="portrait"/>
          <w:cols w:equalWidth="0" w:num="1">
            <w:col w:w="11280"/>
          </w:cols>
          <w:pgMar w:left="300" w:top="765" w:right="3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3"/>
          <w:szCs w:val="13"/>
          <w:b w:val="1"/>
          <w:bCs w:val="1"/>
          <w:color w:val="auto"/>
        </w:rPr>
        <w:t>Exhibit 31.1</w:t>
      </w:r>
    </w:p>
    <w:p>
      <w:pPr>
        <w:spacing w:after="0" w:line="232"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CERTIFICATION BY CHIEF EXECUTIVE OFFICER</w:t>
      </w:r>
    </w:p>
    <w:p>
      <w:pPr>
        <w:spacing w:after="0" w:line="11"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 Michael J. Happe, Chief Executive Officer of Winnebago Industries, Inc., certify that:</w:t>
      </w:r>
    </w:p>
    <w:p>
      <w:pPr>
        <w:spacing w:after="0" w:line="73" w:lineRule="exact"/>
        <w:rPr>
          <w:sz w:val="20"/>
          <w:szCs w:val="20"/>
          <w:color w:val="auto"/>
        </w:rPr>
      </w:pPr>
    </w:p>
    <w:p>
      <w:pPr>
        <w:ind w:left="260" w:hanging="255"/>
        <w:spacing w:after="0"/>
        <w:tabs>
          <w:tab w:leader="none" w:pos="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Winnebago Industries, Inc. (the "Registrant");</w:t>
      </w:r>
    </w:p>
    <w:p>
      <w:pPr>
        <w:spacing w:after="0" w:line="41" w:lineRule="exact"/>
        <w:rPr>
          <w:rFonts w:ascii="Arial" w:cs="Arial" w:eastAsia="Arial" w:hAnsi="Arial"/>
          <w:sz w:val="13"/>
          <w:szCs w:val="13"/>
          <w:color w:val="auto"/>
        </w:rPr>
      </w:pPr>
    </w:p>
    <w:p>
      <w:pPr>
        <w:ind w:left="260" w:right="500" w:hanging="255"/>
        <w:spacing w:after="0" w:line="283" w:lineRule="auto"/>
        <w:tabs>
          <w:tab w:leader="none" w:pos="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6" w:lineRule="exact"/>
        <w:rPr>
          <w:rFonts w:ascii="Arial" w:cs="Arial" w:eastAsia="Arial" w:hAnsi="Arial"/>
          <w:sz w:val="13"/>
          <w:szCs w:val="13"/>
          <w:color w:val="auto"/>
        </w:rPr>
      </w:pPr>
    </w:p>
    <w:p>
      <w:pPr>
        <w:ind w:left="260" w:right="220" w:hanging="255"/>
        <w:spacing w:after="0" w:line="266" w:lineRule="auto"/>
        <w:tabs>
          <w:tab w:leader="none" w:pos="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7" w:lineRule="exact"/>
        <w:rPr>
          <w:rFonts w:ascii="Arial" w:cs="Arial" w:eastAsia="Arial" w:hAnsi="Arial"/>
          <w:sz w:val="13"/>
          <w:szCs w:val="13"/>
          <w:color w:val="auto"/>
        </w:rPr>
      </w:pPr>
    </w:p>
    <w:p>
      <w:pPr>
        <w:ind w:left="260" w:right="100" w:hanging="255"/>
        <w:spacing w:after="0" w:line="266" w:lineRule="auto"/>
        <w:tabs>
          <w:tab w:leader="none" w:pos="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Arial" w:cs="Arial" w:eastAsia="Arial" w:hAnsi="Arial"/>
          <w:sz w:val="13"/>
          <w:szCs w:val="13"/>
          <w:color w:val="auto"/>
        </w:rPr>
      </w:pPr>
    </w:p>
    <w:p>
      <w:pPr>
        <w:ind w:left="520" w:right="60" w:hanging="260"/>
        <w:spacing w:after="0" w:line="266" w:lineRule="auto"/>
        <w:tabs>
          <w:tab w:leader="none" w:pos="520" w:val="left"/>
        </w:tabs>
        <w:numPr>
          <w:ilvl w:val="1"/>
          <w:numId w:val="9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56" w:lineRule="exact"/>
        <w:rPr>
          <w:rFonts w:ascii="Arial" w:cs="Arial" w:eastAsia="Arial" w:hAnsi="Arial"/>
          <w:sz w:val="13"/>
          <w:szCs w:val="13"/>
          <w:color w:val="auto"/>
        </w:rPr>
      </w:pPr>
    </w:p>
    <w:p>
      <w:pPr>
        <w:ind w:left="520" w:right="20" w:hanging="260"/>
        <w:spacing w:after="0" w:line="283" w:lineRule="auto"/>
        <w:tabs>
          <w:tab w:leader="none" w:pos="520" w:val="left"/>
        </w:tabs>
        <w:numPr>
          <w:ilvl w:val="1"/>
          <w:numId w:val="9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3"/>
          <w:szCs w:val="13"/>
          <w:color w:val="auto"/>
        </w:rPr>
      </w:pPr>
    </w:p>
    <w:p>
      <w:pPr>
        <w:ind w:left="520" w:right="140" w:hanging="260"/>
        <w:spacing w:after="0" w:line="266" w:lineRule="auto"/>
        <w:tabs>
          <w:tab w:leader="none" w:pos="513" w:val="left"/>
        </w:tabs>
        <w:numPr>
          <w:ilvl w:val="1"/>
          <w:numId w:val="9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7" w:lineRule="exact"/>
        <w:rPr>
          <w:rFonts w:ascii="Arial" w:cs="Arial" w:eastAsia="Arial" w:hAnsi="Arial"/>
          <w:sz w:val="13"/>
          <w:szCs w:val="13"/>
          <w:color w:val="auto"/>
        </w:rPr>
      </w:pPr>
    </w:p>
    <w:p>
      <w:pPr>
        <w:ind w:left="520" w:right="200" w:hanging="260"/>
        <w:spacing w:after="0" w:line="266" w:lineRule="auto"/>
        <w:tabs>
          <w:tab w:leader="none" w:pos="520" w:val="left"/>
        </w:tabs>
        <w:numPr>
          <w:ilvl w:val="1"/>
          <w:numId w:val="93"/>
        </w:numPr>
        <w:rPr>
          <w:rFonts w:ascii="Arial" w:cs="Arial" w:eastAsia="Arial" w:hAnsi="Arial"/>
          <w:sz w:val="13"/>
          <w:szCs w:val="13"/>
          <w:color w:val="auto"/>
        </w:rPr>
      </w:pPr>
      <w:r>
        <w:rPr>
          <w:rFonts w:ascii="Arial" w:cs="Arial" w:eastAsia="Arial" w:hAnsi="Arial"/>
          <w:sz w:val="13"/>
          <w:szCs w:val="13"/>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67" w:lineRule="exact"/>
        <w:rPr>
          <w:rFonts w:ascii="Arial" w:cs="Arial" w:eastAsia="Arial" w:hAnsi="Arial"/>
          <w:sz w:val="13"/>
          <w:szCs w:val="13"/>
          <w:color w:val="auto"/>
        </w:rPr>
      </w:pPr>
    </w:p>
    <w:p>
      <w:pPr>
        <w:ind w:left="260" w:right="60" w:hanging="255"/>
        <w:spacing w:after="0" w:line="266" w:lineRule="auto"/>
        <w:tabs>
          <w:tab w:leader="none" w:pos="2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6" w:lineRule="exact"/>
        <w:rPr>
          <w:rFonts w:ascii="Arial" w:cs="Arial" w:eastAsia="Arial" w:hAnsi="Arial"/>
          <w:sz w:val="13"/>
          <w:szCs w:val="13"/>
          <w:color w:val="auto"/>
        </w:rPr>
      </w:pPr>
    </w:p>
    <w:p>
      <w:pPr>
        <w:ind w:left="520" w:hanging="260"/>
        <w:spacing w:after="0" w:line="283" w:lineRule="auto"/>
        <w:tabs>
          <w:tab w:leader="none" w:pos="520" w:val="left"/>
        </w:tabs>
        <w:numPr>
          <w:ilvl w:val="1"/>
          <w:numId w:val="9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3"/>
          <w:szCs w:val="13"/>
          <w:color w:val="auto"/>
        </w:rPr>
      </w:pPr>
    </w:p>
    <w:p>
      <w:pPr>
        <w:ind w:left="520" w:hanging="260"/>
        <w:spacing w:after="0"/>
        <w:tabs>
          <w:tab w:leader="none" w:pos="520" w:val="left"/>
        </w:tabs>
        <w:numPr>
          <w:ilvl w:val="1"/>
          <w:numId w:val="9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520"/>
        <w:spacing w:after="0"/>
        <w:tabs>
          <w:tab w:leader="none" w:pos="1440" w:val="left"/>
          <w:tab w:leader="none" w:pos="6380" w:val="left"/>
          <w:tab w:leader="none" w:pos="722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October 23, 2024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12700</wp:posOffset>
            </wp:positionV>
            <wp:extent cx="258064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1">
                      <a:extLst>
                        <a:ext uri="{28A0092B-C50C-407E-A947-70E740481C1C}"/>
                      </a:extLst>
                    </a:blip>
                    <a:srcRect/>
                    <a:stretch>
                      <a:fillRect/>
                    </a:stretch>
                  </pic:blipFill>
                  <pic:spPr bwMode="auto">
                    <a:xfrm>
                      <a:off x="0" y="0"/>
                      <a:ext cx="2580640" cy="6985"/>
                    </a:xfrm>
                    <a:prstGeom prst="rect">
                      <a:avLst/>
                    </a:prstGeom>
                    <a:noFill/>
                  </pic:spPr>
                </pic:pic>
              </a:graphicData>
            </a:graphic>
          </wp:anchor>
        </w:drawing>
      </w:r>
    </w:p>
    <w:p>
      <w:pPr>
        <w:spacing w:after="0" w:line="11"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Michael J. Happe</w:t>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3"/>
          <w:szCs w:val="13"/>
          <w:color w:val="auto"/>
        </w:rPr>
        <w:t>President, Chief Executive Officer</w:t>
      </w:r>
    </w:p>
    <w:p>
      <w:pPr>
        <w:sectPr>
          <w:pgSz w:w="11900" w:h="16838" w:orient="portrait"/>
          <w:cols w:equalWidth="0" w:num="1">
            <w:col w:w="11280"/>
          </w:cols>
          <w:pgMar w:left="300" w:top="797"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31.2</w:t>
      </w:r>
    </w:p>
    <w:p>
      <w:pPr>
        <w:spacing w:after="0" w:line="11"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CERTIFICATION BY CHIEF FINANCIAL OFFICER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PURSUANT TO 18 U.S.C. SECTION 1350,</w:t>
      </w:r>
    </w:p>
    <w:p>
      <w:pPr>
        <w:jc w:val="center"/>
        <w:spacing w:after="0"/>
        <w:rPr>
          <w:sz w:val="20"/>
          <w:szCs w:val="20"/>
          <w:color w:val="auto"/>
        </w:rPr>
      </w:pPr>
      <w:r>
        <w:rPr>
          <w:rFonts w:ascii="Arial" w:cs="Arial" w:eastAsia="Arial" w:hAnsi="Arial"/>
          <w:sz w:val="13"/>
          <w:szCs w:val="13"/>
          <w:b w:val="1"/>
          <w:bCs w:val="1"/>
          <w:color w:val="auto"/>
        </w:rPr>
        <w:t>AS ADOPTED PURSUANT TO SECTION 302</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 Bryan L. Hughes, Chief Financial Officer of Winnebago Industries, Inc., certify that:</w:t>
      </w:r>
    </w:p>
    <w:p>
      <w:pPr>
        <w:spacing w:after="0" w:line="73" w:lineRule="exact"/>
        <w:rPr>
          <w:sz w:val="20"/>
          <w:szCs w:val="20"/>
          <w:color w:val="auto"/>
        </w:rPr>
      </w:pPr>
    </w:p>
    <w:p>
      <w:pPr>
        <w:ind w:left="260" w:hanging="255"/>
        <w:spacing w:after="0"/>
        <w:tabs>
          <w:tab w:leader="none" w:pos="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Winnebago Industries, Inc. (the "Registrant");</w:t>
      </w:r>
    </w:p>
    <w:p>
      <w:pPr>
        <w:spacing w:after="0" w:line="232" w:lineRule="exact"/>
        <w:rPr>
          <w:rFonts w:ascii="Arial" w:cs="Arial" w:eastAsia="Arial" w:hAnsi="Arial"/>
          <w:sz w:val="13"/>
          <w:szCs w:val="13"/>
          <w:color w:val="auto"/>
        </w:rPr>
      </w:pPr>
    </w:p>
    <w:p>
      <w:pPr>
        <w:ind w:left="260" w:right="500" w:hanging="255"/>
        <w:spacing w:after="0" w:line="266" w:lineRule="auto"/>
        <w:tabs>
          <w:tab w:leader="none" w:pos="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56" w:lineRule="exact"/>
        <w:rPr>
          <w:rFonts w:ascii="Arial" w:cs="Arial" w:eastAsia="Arial" w:hAnsi="Arial"/>
          <w:sz w:val="13"/>
          <w:szCs w:val="13"/>
          <w:color w:val="auto"/>
        </w:rPr>
      </w:pPr>
    </w:p>
    <w:p>
      <w:pPr>
        <w:ind w:left="260" w:right="220" w:hanging="255"/>
        <w:spacing w:after="0" w:line="283" w:lineRule="auto"/>
        <w:tabs>
          <w:tab w:leader="none" w:pos="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6" w:lineRule="exact"/>
        <w:rPr>
          <w:rFonts w:ascii="Arial" w:cs="Arial" w:eastAsia="Arial" w:hAnsi="Arial"/>
          <w:sz w:val="13"/>
          <w:szCs w:val="13"/>
          <w:color w:val="auto"/>
        </w:rPr>
      </w:pPr>
    </w:p>
    <w:p>
      <w:pPr>
        <w:ind w:left="260" w:right="100" w:hanging="255"/>
        <w:spacing w:after="0" w:line="283" w:lineRule="auto"/>
        <w:tabs>
          <w:tab w:leader="none" w:pos="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3"/>
          <w:szCs w:val="13"/>
          <w:color w:val="auto"/>
        </w:rPr>
      </w:pPr>
    </w:p>
    <w:p>
      <w:pPr>
        <w:ind w:left="520" w:right="60" w:hanging="260"/>
        <w:spacing w:after="0" w:line="266" w:lineRule="auto"/>
        <w:tabs>
          <w:tab w:leader="none" w:pos="5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67" w:lineRule="exact"/>
        <w:rPr>
          <w:rFonts w:ascii="Arial" w:cs="Arial" w:eastAsia="Arial" w:hAnsi="Arial"/>
          <w:sz w:val="13"/>
          <w:szCs w:val="13"/>
          <w:color w:val="auto"/>
        </w:rPr>
      </w:pPr>
    </w:p>
    <w:p>
      <w:pPr>
        <w:ind w:left="520" w:right="20" w:hanging="260"/>
        <w:spacing w:after="0" w:line="266" w:lineRule="auto"/>
        <w:tabs>
          <w:tab w:leader="none" w:pos="5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3"/>
          <w:szCs w:val="13"/>
          <w:color w:val="auto"/>
        </w:rPr>
      </w:pPr>
    </w:p>
    <w:p>
      <w:pPr>
        <w:ind w:left="520" w:right="140" w:hanging="260"/>
        <w:spacing w:after="0" w:line="266" w:lineRule="auto"/>
        <w:tabs>
          <w:tab w:leader="none" w:pos="513" w:val="left"/>
        </w:tabs>
        <w:numPr>
          <w:ilvl w:val="1"/>
          <w:numId w:val="9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56" w:lineRule="exact"/>
        <w:rPr>
          <w:rFonts w:ascii="Arial" w:cs="Arial" w:eastAsia="Arial" w:hAnsi="Arial"/>
          <w:sz w:val="13"/>
          <w:szCs w:val="13"/>
          <w:color w:val="auto"/>
        </w:rPr>
      </w:pPr>
    </w:p>
    <w:p>
      <w:pPr>
        <w:ind w:left="520" w:right="200" w:hanging="260"/>
        <w:spacing w:after="0" w:line="283" w:lineRule="auto"/>
        <w:tabs>
          <w:tab w:leader="none" w:pos="5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46" w:lineRule="exact"/>
        <w:rPr>
          <w:rFonts w:ascii="Arial" w:cs="Arial" w:eastAsia="Arial" w:hAnsi="Arial"/>
          <w:sz w:val="13"/>
          <w:szCs w:val="13"/>
          <w:color w:val="auto"/>
        </w:rPr>
      </w:pPr>
    </w:p>
    <w:p>
      <w:pPr>
        <w:ind w:left="260" w:right="60" w:hanging="255"/>
        <w:spacing w:after="0" w:line="283" w:lineRule="auto"/>
        <w:tabs>
          <w:tab w:leader="none" w:pos="26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3"/>
          <w:szCs w:val="13"/>
          <w:color w:val="auto"/>
        </w:rPr>
      </w:pPr>
    </w:p>
    <w:p>
      <w:pPr>
        <w:ind w:left="520" w:hanging="260"/>
        <w:spacing w:after="0" w:line="266" w:lineRule="auto"/>
        <w:tabs>
          <w:tab w:leader="none" w:pos="5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7" w:lineRule="exact"/>
        <w:rPr>
          <w:rFonts w:ascii="Arial" w:cs="Arial" w:eastAsia="Arial" w:hAnsi="Arial"/>
          <w:sz w:val="13"/>
          <w:szCs w:val="13"/>
          <w:color w:val="auto"/>
        </w:rPr>
      </w:pPr>
    </w:p>
    <w:p>
      <w:pPr>
        <w:ind w:left="520" w:hanging="260"/>
        <w:spacing w:after="0"/>
        <w:tabs>
          <w:tab w:leader="none" w:pos="5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p>
      <w:pPr>
        <w:ind w:left="400"/>
        <w:spacing w:after="0"/>
        <w:tabs>
          <w:tab w:leader="none" w:pos="1100" w:val="left"/>
          <w:tab w:leader="none" w:pos="6220" w:val="left"/>
          <w:tab w:leader="none" w:pos="6940" w:val="left"/>
        </w:tabs>
        <w:rPr>
          <w:sz w:val="20"/>
          <w:szCs w:val="20"/>
          <w:color w:val="auto"/>
        </w:rPr>
      </w:pP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October 23, 2024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12700</wp:posOffset>
            </wp:positionV>
            <wp:extent cx="250634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2">
                      <a:extLst>
                        <a:ext uri="{28A0092B-C50C-407E-A947-70E740481C1C}"/>
                      </a:extLst>
                    </a:blip>
                    <a:srcRect/>
                    <a:stretch>
                      <a:fillRect/>
                    </a:stretch>
                  </pic:blipFill>
                  <pic:spPr bwMode="auto">
                    <a:xfrm>
                      <a:off x="0" y="0"/>
                      <a:ext cx="2506345" cy="6985"/>
                    </a:xfrm>
                    <a:prstGeom prst="rect">
                      <a:avLst/>
                    </a:prstGeom>
                    <a:noFill/>
                  </pic:spPr>
                </pic:pic>
              </a:graphicData>
            </a:graphic>
          </wp:anchor>
        </w:drawing>
      </w:r>
    </w:p>
    <w:p>
      <w:pPr>
        <w:spacing w:after="0" w:line="11" w:lineRule="exact"/>
        <w:rPr>
          <w:sz w:val="20"/>
          <w:szCs w:val="20"/>
          <w:color w:val="auto"/>
        </w:rPr>
      </w:pPr>
    </w:p>
    <w:p>
      <w:pPr>
        <w:ind w:left="6960"/>
        <w:spacing w:after="0"/>
        <w:rPr>
          <w:sz w:val="20"/>
          <w:szCs w:val="20"/>
          <w:color w:val="auto"/>
        </w:rPr>
      </w:pPr>
      <w:r>
        <w:rPr>
          <w:rFonts w:ascii="Arial" w:cs="Arial" w:eastAsia="Arial" w:hAnsi="Arial"/>
          <w:sz w:val="13"/>
          <w:szCs w:val="13"/>
          <w:color w:val="auto"/>
        </w:rPr>
        <w:t>Bryan L. Hughes</w:t>
      </w:r>
    </w:p>
    <w:p>
      <w:pPr>
        <w:spacing w:after="0" w:line="10" w:lineRule="exact"/>
        <w:rPr>
          <w:sz w:val="20"/>
          <w:szCs w:val="20"/>
          <w:color w:val="auto"/>
        </w:rPr>
      </w:pPr>
    </w:p>
    <w:p>
      <w:pPr>
        <w:ind w:left="6960"/>
        <w:spacing w:after="0"/>
        <w:rPr>
          <w:sz w:val="20"/>
          <w:szCs w:val="20"/>
          <w:color w:val="auto"/>
        </w:rPr>
      </w:pPr>
      <w:r>
        <w:rPr>
          <w:rFonts w:ascii="Arial" w:cs="Arial" w:eastAsia="Arial" w:hAnsi="Arial"/>
          <w:sz w:val="13"/>
          <w:szCs w:val="13"/>
          <w:color w:val="auto"/>
        </w:rPr>
        <w:t>Senior Vice President, Chief Financial Officer</w:t>
      </w:r>
    </w:p>
    <w:p>
      <w:pPr>
        <w:ind w:left="6960"/>
        <w:spacing w:after="0"/>
        <w:rPr>
          <w:sz w:val="20"/>
          <w:szCs w:val="20"/>
          <w:color w:val="auto"/>
        </w:rPr>
      </w:pPr>
      <w:r>
        <w:rPr>
          <w:rFonts w:ascii="Arial" w:cs="Arial" w:eastAsia="Arial" w:hAnsi="Arial"/>
          <w:sz w:val="13"/>
          <w:szCs w:val="13"/>
          <w:color w:val="auto"/>
        </w:rPr>
        <w:t>(Principal Financial and Accounting Officer)</w:t>
      </w:r>
    </w:p>
    <w:p>
      <w:pPr>
        <w:sectPr>
          <w:pgSz w:w="11900" w:h="16838" w:orient="portrait"/>
          <w:cols w:equalWidth="0" w:num="1">
            <w:col w:w="11280"/>
          </w:cols>
          <w:pgMar w:left="300" w:top="765" w:right="3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32.1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10" w:lineRule="exact"/>
        <w:rPr>
          <w:sz w:val="20"/>
          <w:szCs w:val="20"/>
          <w:color w:val="auto"/>
        </w:rPr>
      </w:pPr>
    </w:p>
    <w:p>
      <w:pPr>
        <w:ind w:right="740"/>
        <w:spacing w:after="0" w:line="283"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Michael J. Happe, Chief Executive Officer of Winnebago Industries, Inc. (the "Company"), hereby certify that to my knowledge:</w:t>
      </w:r>
    </w:p>
    <w:p>
      <w:pPr>
        <w:spacing w:after="0" w:line="146" w:lineRule="exact"/>
        <w:rPr>
          <w:sz w:val="20"/>
          <w:szCs w:val="20"/>
          <w:color w:val="auto"/>
        </w:rPr>
      </w:pPr>
    </w:p>
    <w:p>
      <w:pPr>
        <w:ind w:left="520" w:right="100" w:hanging="260"/>
        <w:spacing w:after="0" w:line="266" w:lineRule="auto"/>
        <w:tabs>
          <w:tab w:leader="none" w:pos="5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Annual Report on Form 10-K for the year ended August 31, 2024 (the "Report") of the Company fully complies with the requirements of Section 13(a) or 15(d) of the Securities Exchange Act of 1934, and</w:t>
      </w:r>
    </w:p>
    <w:p>
      <w:pPr>
        <w:spacing w:after="0" w:line="167" w:lineRule="exact"/>
        <w:rPr>
          <w:rFonts w:ascii="Arial" w:cs="Arial" w:eastAsia="Arial" w:hAnsi="Arial"/>
          <w:sz w:val="13"/>
          <w:szCs w:val="13"/>
          <w:color w:val="auto"/>
        </w:rPr>
      </w:pPr>
    </w:p>
    <w:p>
      <w:pPr>
        <w:ind w:left="520" w:hanging="260"/>
        <w:spacing w:after="0"/>
        <w:tabs>
          <w:tab w:leader="none" w:pos="5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640" w:type="dxa"/>
            <w:vAlign w:val="bottom"/>
          </w:tcPr>
          <w:p>
            <w:pPr>
              <w:spacing w:after="0"/>
              <w:rPr>
                <w:sz w:val="20"/>
                <w:szCs w:val="20"/>
                <w:color w:val="auto"/>
              </w:rPr>
            </w:pPr>
            <w:r>
              <w:rPr>
                <w:rFonts w:ascii="Arial" w:cs="Arial" w:eastAsia="Arial" w:hAnsi="Arial"/>
                <w:sz w:val="13"/>
                <w:szCs w:val="13"/>
                <w:color w:val="auto"/>
              </w:rPr>
              <w:t>Date:</w:t>
            </w:r>
          </w:p>
        </w:tc>
        <w:tc>
          <w:tcPr>
            <w:tcW w:w="3420" w:type="dxa"/>
            <w:vAlign w:val="bottom"/>
          </w:tcPr>
          <w:p>
            <w:pPr>
              <w:ind w:left="340"/>
              <w:spacing w:after="0"/>
              <w:rPr>
                <w:sz w:val="20"/>
                <w:szCs w:val="20"/>
                <w:color w:val="auto"/>
              </w:rPr>
            </w:pPr>
            <w:r>
              <w:rPr>
                <w:rFonts w:ascii="Arial" w:cs="Arial" w:eastAsia="Arial" w:hAnsi="Arial"/>
                <w:sz w:val="13"/>
                <w:szCs w:val="13"/>
                <w:color w:val="auto"/>
              </w:rPr>
              <w:t>October 23, 2024</w:t>
            </w:r>
          </w:p>
        </w:tc>
        <w:tc>
          <w:tcPr>
            <w:tcW w:w="2940" w:type="dxa"/>
            <w:vAlign w:val="bottom"/>
          </w:tcPr>
          <w:p>
            <w:pPr>
              <w:ind w:left="2100"/>
              <w:spacing w:after="0"/>
              <w:rPr>
                <w:sz w:val="20"/>
                <w:szCs w:val="20"/>
                <w:color w:val="auto"/>
              </w:rPr>
            </w:pPr>
            <w:r>
              <w:rPr>
                <w:rFonts w:ascii="Arial" w:cs="Arial" w:eastAsia="Arial" w:hAnsi="Arial"/>
                <w:sz w:val="13"/>
                <w:szCs w:val="13"/>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Michael J. Happe</w:t>
            </w:r>
          </w:p>
        </w:tc>
      </w:tr>
      <w:tr>
        <w:trPr>
          <w:trHeight w:val="159"/>
        </w:trPr>
        <w:tc>
          <w:tcPr>
            <w:tcW w:w="6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Michael J. Happe</w:t>
            </w:r>
          </w:p>
        </w:tc>
      </w:tr>
      <w:tr>
        <w:trPr>
          <w:trHeight w:val="170"/>
        </w:trPr>
        <w:tc>
          <w:tcPr>
            <w:tcW w:w="6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President, Chief Executive Officer</w:t>
            </w:r>
          </w:p>
        </w:tc>
      </w:tr>
    </w:tbl>
    <w:p>
      <w:pPr>
        <w:sectPr>
          <w:pgSz w:w="11900" w:h="16838" w:orient="portrait"/>
          <w:cols w:equalWidth="0" w:num="1">
            <w:col w:w="11280"/>
          </w:cols>
          <w:pgMar w:left="300" w:top="797" w:right="3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32.2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w:t>
      </w:r>
    </w:p>
    <w:p>
      <w:pPr>
        <w:jc w:val="center"/>
        <w:spacing w:after="0"/>
        <w:rPr>
          <w:sz w:val="20"/>
          <w:szCs w:val="20"/>
          <w:color w:val="auto"/>
        </w:rPr>
      </w:pPr>
      <w:r>
        <w:rPr>
          <w:rFonts w:ascii="Arial" w:cs="Arial" w:eastAsia="Arial" w:hAnsi="Arial"/>
          <w:sz w:val="13"/>
          <w:szCs w:val="13"/>
          <w:b w:val="1"/>
          <w:bCs w:val="1"/>
          <w:color w:val="auto"/>
        </w:rPr>
        <w:t>OF THE SARBANES-OXLEY ACT OF 2002</w:t>
      </w:r>
    </w:p>
    <w:p>
      <w:pPr>
        <w:spacing w:after="0" w:line="210"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Bryan L. Hughes, Chief Financial Officer of Winnebago Industries, Inc. (the "Company"), hereby certify that to my knowledge:</w:t>
      </w:r>
    </w:p>
    <w:p>
      <w:pPr>
        <w:spacing w:after="0" w:line="146" w:lineRule="exact"/>
        <w:rPr>
          <w:sz w:val="20"/>
          <w:szCs w:val="20"/>
          <w:color w:val="auto"/>
        </w:rPr>
      </w:pPr>
    </w:p>
    <w:p>
      <w:pPr>
        <w:ind w:left="520" w:right="100" w:hanging="260"/>
        <w:spacing w:after="0" w:line="266" w:lineRule="auto"/>
        <w:tabs>
          <w:tab w:leader="none" w:pos="5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Annual Report on Form 10-K for the year ended August 31, 2024 (the "Report") of the Company fully complies with the requirements of Section 13(a) or 15(d) of the Securities Exchange Act of 1934, and</w:t>
      </w:r>
    </w:p>
    <w:p>
      <w:pPr>
        <w:spacing w:after="0" w:line="167" w:lineRule="exact"/>
        <w:rPr>
          <w:rFonts w:ascii="Arial" w:cs="Arial" w:eastAsia="Arial" w:hAnsi="Arial"/>
          <w:sz w:val="13"/>
          <w:szCs w:val="13"/>
          <w:color w:val="auto"/>
        </w:rPr>
      </w:pPr>
    </w:p>
    <w:p>
      <w:pPr>
        <w:ind w:left="520" w:hanging="260"/>
        <w:spacing w:after="0"/>
        <w:tabs>
          <w:tab w:leader="none" w:pos="5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information contained in this Report fairly presents, in all material respects, the financial condition and results of operations of the Company.</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640" w:type="dxa"/>
            <w:vAlign w:val="bottom"/>
          </w:tcPr>
          <w:p>
            <w:pPr>
              <w:spacing w:after="0"/>
              <w:rPr>
                <w:sz w:val="20"/>
                <w:szCs w:val="20"/>
                <w:color w:val="auto"/>
              </w:rPr>
            </w:pPr>
            <w:r>
              <w:rPr>
                <w:rFonts w:ascii="Arial" w:cs="Arial" w:eastAsia="Arial" w:hAnsi="Arial"/>
                <w:sz w:val="13"/>
                <w:szCs w:val="13"/>
                <w:color w:val="auto"/>
              </w:rPr>
              <w:t>Date:</w:t>
            </w:r>
          </w:p>
        </w:tc>
        <w:tc>
          <w:tcPr>
            <w:tcW w:w="3420" w:type="dxa"/>
            <w:vAlign w:val="bottom"/>
          </w:tcPr>
          <w:p>
            <w:pPr>
              <w:ind w:left="340"/>
              <w:spacing w:after="0"/>
              <w:rPr>
                <w:sz w:val="20"/>
                <w:szCs w:val="20"/>
                <w:color w:val="auto"/>
              </w:rPr>
            </w:pPr>
            <w:r>
              <w:rPr>
                <w:rFonts w:ascii="Arial" w:cs="Arial" w:eastAsia="Arial" w:hAnsi="Arial"/>
                <w:sz w:val="13"/>
                <w:szCs w:val="13"/>
                <w:color w:val="auto"/>
              </w:rPr>
              <w:t>October 23, 2024</w:t>
            </w:r>
          </w:p>
        </w:tc>
        <w:tc>
          <w:tcPr>
            <w:tcW w:w="2940" w:type="dxa"/>
            <w:vAlign w:val="bottom"/>
          </w:tcPr>
          <w:p>
            <w:pPr>
              <w:ind w:left="2100"/>
              <w:spacing w:after="0"/>
              <w:rPr>
                <w:sz w:val="20"/>
                <w:szCs w:val="20"/>
                <w:color w:val="auto"/>
              </w:rPr>
            </w:pPr>
            <w:r>
              <w:rPr>
                <w:rFonts w:ascii="Arial" w:cs="Arial" w:eastAsia="Arial" w:hAnsi="Arial"/>
                <w:sz w:val="13"/>
                <w:szCs w:val="13"/>
                <w:color w:val="auto"/>
              </w:rPr>
              <w:t>By:</w:t>
            </w: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/s/ Bryan L. Hughes</w:t>
            </w:r>
          </w:p>
        </w:tc>
      </w:tr>
      <w:tr>
        <w:trPr>
          <w:trHeight w:val="159"/>
        </w:trPr>
        <w:tc>
          <w:tcPr>
            <w:tcW w:w="6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Bryan L. Hughes</w:t>
            </w:r>
          </w:p>
        </w:tc>
      </w:tr>
      <w:tr>
        <w:trPr>
          <w:trHeight w:val="130"/>
        </w:trPr>
        <w:tc>
          <w:tcPr>
            <w:tcW w:w="6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260" w:type="dxa"/>
            <w:vAlign w:val="bottom"/>
          </w:tcPr>
          <w:p>
            <w:pPr>
              <w:ind w:left="20"/>
              <w:spacing w:after="0" w:line="130" w:lineRule="exact"/>
              <w:rPr>
                <w:sz w:val="20"/>
                <w:szCs w:val="20"/>
                <w:color w:val="auto"/>
              </w:rPr>
            </w:pPr>
            <w:r>
              <w:rPr>
                <w:rFonts w:ascii="Arial" w:cs="Arial" w:eastAsia="Arial" w:hAnsi="Arial"/>
                <w:sz w:val="13"/>
                <w:szCs w:val="13"/>
                <w:color w:val="auto"/>
              </w:rPr>
              <w:t>Senior Vice President, Chief Financial Officer</w:t>
            </w:r>
          </w:p>
        </w:tc>
      </w:tr>
      <w:tr>
        <w:trPr>
          <w:trHeight w:val="167"/>
        </w:trPr>
        <w:tc>
          <w:tcPr>
            <w:tcW w:w="6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260" w:type="dxa"/>
            <w:vAlign w:val="bottom"/>
          </w:tcPr>
          <w:p>
            <w:pPr>
              <w:ind w:left="20"/>
              <w:spacing w:after="0"/>
              <w:rPr>
                <w:sz w:val="20"/>
                <w:szCs w:val="20"/>
                <w:color w:val="auto"/>
              </w:rPr>
            </w:pPr>
            <w:r>
              <w:rPr>
                <w:rFonts w:ascii="Arial" w:cs="Arial" w:eastAsia="Arial" w:hAnsi="Arial"/>
                <w:sz w:val="13"/>
                <w:szCs w:val="13"/>
                <w:color w:val="auto"/>
              </w:rPr>
              <w:t>(Principal Financial and Accounting Officer)</w:t>
            </w:r>
          </w:p>
        </w:tc>
      </w:tr>
    </w:tbl>
    <w:p>
      <w:pPr>
        <w:sectPr>
          <w:pgSz w:w="11900" w:h="16838" w:orient="portrait"/>
          <w:cols w:equalWidth="0" w:num="1">
            <w:col w:w="11280"/>
          </w:cols>
          <w:pgMar w:left="300" w:top="797" w:right="3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MANDATORY COMPENSATION RECOVERY POLICY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Adopted October 11,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Policy</w:t>
      </w:r>
    </w:p>
    <w:p>
      <w:pPr>
        <w:spacing w:after="0" w:line="12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6"/>
          <w:szCs w:val="16"/>
          <w:color w:val="auto"/>
        </w:rPr>
        <w:t>The Board of Directors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of Winnebago Industries,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adopted this Mandatory Compensation Recovery Policy (this “</w:t>
      </w:r>
      <w:r>
        <w:rPr>
          <w:rFonts w:ascii="Times New Roman" w:cs="Times New Roman" w:eastAsia="Times New Roman" w:hAnsi="Times New Roman"/>
          <w:sz w:val="16"/>
          <w:szCs w:val="16"/>
          <w:u w:val="single" w:color="auto"/>
          <w:color w:val="auto"/>
        </w:rPr>
        <w:t>Policy</w:t>
      </w:r>
      <w:r>
        <w:rPr>
          <w:rFonts w:ascii="Times New Roman" w:cs="Times New Roman" w:eastAsia="Times New Roman" w:hAnsi="Times New Roman"/>
          <w:sz w:val="16"/>
          <w:szCs w:val="16"/>
          <w:color w:val="auto"/>
        </w:rPr>
        <w:t>”) pursuant to Rule 10D-1 of the Securities and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the Securities and Exchange Commission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regulations promulgated thereunder, and applicable New York Stock Exchange (“</w:t>
      </w:r>
      <w:r>
        <w:rPr>
          <w:rFonts w:ascii="Times New Roman" w:cs="Times New Roman" w:eastAsia="Times New Roman" w:hAnsi="Times New Roman"/>
          <w:sz w:val="16"/>
          <w:szCs w:val="16"/>
          <w:u w:val="single" w:color="auto"/>
          <w:color w:val="auto"/>
        </w:rPr>
        <w:t>NYSE</w:t>
      </w:r>
      <w:r>
        <w:rPr>
          <w:rFonts w:ascii="Times New Roman" w:cs="Times New Roman" w:eastAsia="Times New Roman" w:hAnsi="Times New Roman"/>
          <w:sz w:val="16"/>
          <w:szCs w:val="16"/>
          <w:color w:val="auto"/>
        </w:rPr>
        <w:t>”)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Administration</w:t>
      </w:r>
    </w:p>
    <w:p>
      <w:pPr>
        <w:spacing w:after="0" w:line="126" w:lineRule="exact"/>
        <w:rPr>
          <w:sz w:val="20"/>
          <w:szCs w:val="20"/>
          <w:color w:val="auto"/>
        </w:rPr>
      </w:pPr>
    </w:p>
    <w:p>
      <w:pPr>
        <w:ind w:right="40" w:firstLine="509"/>
        <w:spacing w:after="0" w:line="298" w:lineRule="auto"/>
        <w:rPr>
          <w:sz w:val="20"/>
          <w:szCs w:val="20"/>
          <w:color w:val="auto"/>
        </w:rPr>
      </w:pPr>
      <w:r>
        <w:rPr>
          <w:rFonts w:ascii="Times New Roman" w:cs="Times New Roman" w:eastAsia="Times New Roman" w:hAnsi="Times New Roman"/>
          <w:sz w:val="16"/>
          <w:szCs w:val="16"/>
          <w:color w:val="auto"/>
        </w:rPr>
        <w:t>This Policy will be administered by the Human Resources Committee of the Board (the “</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Any determinations made by the Committee will be final and binding on all affected individuals.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w:t>
      </w:r>
    </w:p>
    <w:p>
      <w:pPr>
        <w:spacing w:after="0" w:line="126"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Accounting Restatement</w:t>
      </w:r>
      <w:r>
        <w:rPr>
          <w:rFonts w:ascii="Times New Roman" w:cs="Times New Roman" w:eastAsia="Times New Roman" w:hAnsi="Times New Roman"/>
          <w:sz w:val="16"/>
          <w:szCs w:val="16"/>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(a) is 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Executive</w:t>
      </w:r>
      <w:r>
        <w:rPr>
          <w:rFonts w:ascii="Times New Roman" w:cs="Times New Roman" w:eastAsia="Times New Roman" w:hAnsi="Times New Roman"/>
          <w:sz w:val="16"/>
          <w:szCs w:val="16"/>
          <w:color w:val="auto"/>
        </w:rPr>
        <w:t>” means each of the Company’s current and former Section 16 Officers.</w:t>
      </w:r>
    </w:p>
    <w:p>
      <w:pPr>
        <w:spacing w:after="0" w:line="124"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Erroneously Awarded Compensation</w:t>
      </w:r>
      <w:r>
        <w:rPr>
          <w:rFonts w:ascii="Times New Roman" w:cs="Times New Roman" w:eastAsia="Times New Roman" w:hAnsi="Times New Roman"/>
          <w:sz w:val="16"/>
          <w:szCs w:val="16"/>
          <w:color w:val="auto"/>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NYSE.</w:t>
      </w:r>
    </w:p>
    <w:p>
      <w:pPr>
        <w:spacing w:after="0" w:line="7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Financial Reporting Measures</w:t>
      </w:r>
      <w:r>
        <w:rPr>
          <w:rFonts w:ascii="Times New Roman" w:cs="Times New Roman" w:eastAsia="Times New Roman" w:hAnsi="Times New Roman"/>
          <w:sz w:val="16"/>
          <w:szCs w:val="16"/>
          <w:color w:val="auto"/>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ectPr>
          <w:pgSz w:w="11900" w:h="16838" w:orient="portrait"/>
          <w:cols w:equalWidth="0" w:num="1">
            <w:col w:w="11280"/>
          </w:cols>
          <w:pgMar w:left="300" w:top="129" w:right="319" w:bottom="1440" w:gutter="0" w:footer="0" w:header="0"/>
        </w:sectPr>
      </w:pPr>
    </w:p>
    <w:bookmarkStart w:id="142" w:name="page143"/>
    <w:bookmarkEnd w:id="142"/>
    <w:p>
      <w:pPr>
        <w:ind w:right="540" w:firstLine="509"/>
        <w:spacing w:after="0" w:line="29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Incentive-Based Compensation</w:t>
      </w:r>
      <w:r>
        <w:rPr>
          <w:rFonts w:ascii="Times New Roman" w:cs="Times New Roman" w:eastAsia="Times New Roman" w:hAnsi="Times New Roman"/>
          <w:sz w:val="16"/>
          <w:szCs w:val="16"/>
          <w:color w:val="auto"/>
        </w:rPr>
        <w:t>” is any compensation that is granted, earned, or vested based wholly or in part upon the attainment of a Financial Reporting Measure.</w:t>
      </w:r>
    </w:p>
    <w:p>
      <w:pPr>
        <w:spacing w:after="0" w:line="52" w:lineRule="exact"/>
        <w:rPr>
          <w:sz w:val="20"/>
          <w:szCs w:val="20"/>
          <w:color w:val="auto"/>
        </w:rPr>
      </w:pPr>
    </w:p>
    <w:p>
      <w:pPr>
        <w:ind w:right="400" w:firstLine="509"/>
        <w:spacing w:after="0" w:line="28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Lookback Period</w:t>
      </w:r>
      <w:r>
        <w:rPr>
          <w:rFonts w:ascii="Times New Roman" w:cs="Times New Roman" w:eastAsia="Times New Roman" w:hAnsi="Times New Roman"/>
          <w:sz w:val="16"/>
          <w:szCs w:val="16"/>
          <w:color w:val="auto"/>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6"/>
          <w:szCs w:val="16"/>
          <w:u w:val="single" w:color="auto"/>
          <w:color w:val="auto"/>
        </w:rPr>
        <w:t>Recoupment Event</w:t>
      </w:r>
      <w:r>
        <w:rPr>
          <w:rFonts w:ascii="Times New Roman" w:cs="Times New Roman" w:eastAsia="Times New Roman" w:hAnsi="Times New Roman"/>
          <w:sz w:val="16"/>
          <w:szCs w:val="16"/>
          <w:color w:val="auto"/>
        </w:rPr>
        <w:t>” occurs when the Company is required to prepare an Accounting Restatement.</w:t>
      </w:r>
    </w:p>
    <w:p>
      <w:pPr>
        <w:spacing w:after="0" w:line="124"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Restatement Date</w:t>
      </w:r>
      <w:r>
        <w:rPr>
          <w:rFonts w:ascii="Times New Roman" w:cs="Times New Roman" w:eastAsia="Times New Roman" w:hAnsi="Times New Roman"/>
          <w:sz w:val="16"/>
          <w:szCs w:val="16"/>
          <w:color w:val="auto"/>
        </w:rPr>
        <w:t>”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the date a court, regulator, or other legally authorized body directs the Company to prepare an Accounting Restatement.</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Section 16 Officer</w:t>
      </w:r>
      <w:r>
        <w:rPr>
          <w:rFonts w:ascii="Times New Roman" w:cs="Times New Roman" w:eastAsia="Times New Roman" w:hAnsi="Times New Roman"/>
          <w:sz w:val="16"/>
          <w:szCs w:val="16"/>
          <w:color w:val="auto"/>
        </w:rPr>
        <w:t>” is defined as an “officer” of the Company within the meaning of Rule 16a-1(f) of the Exchange Act.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means Section 409A of the Internal Revenue Code and the regulations and guidance promulgated thereunder.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Amount Subject to Recovery</w:t>
      </w:r>
    </w:p>
    <w:p>
      <w:pPr>
        <w:spacing w:after="0" w:line="126"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6"/>
          <w:szCs w:val="16"/>
          <w:color w:val="auto"/>
        </w:rPr>
        <w:t>The Incentive-Based Compensation that is subject to recovery under this Policy includes such compensation that is received by a Covered Executive (i) on or after October 2, 2023 (even if such Incentive-Based Compensation was approved, awarded or granted prior to this date), (ii) after the individual began service as a Covered Executive, (iii) if the individual served as a Section 16 Officer at any time during the performance period for such Incentive-Based Compensation, and (iv) while the Company has a class of securities listed on a national securities exchange or national securities association.</w:t>
      </w:r>
    </w:p>
    <w:p>
      <w:pPr>
        <w:spacing w:after="0" w:line="89"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6"/>
          <w:szCs w:val="16"/>
          <w:color w:val="auto"/>
        </w:rPr>
        <w:t>The amount of Incentive-Based Compensation subject to recovery from a Covered Executive upon a Recoupment Event is the Erroneously Awarded Compensation, which amount shall be determined by the Committee.</w:t>
      </w:r>
    </w:p>
    <w:p>
      <w:pPr>
        <w:spacing w:after="0" w:line="63" w:lineRule="exact"/>
        <w:rPr>
          <w:sz w:val="20"/>
          <w:szCs w:val="20"/>
          <w:color w:val="auto"/>
        </w:rPr>
      </w:pPr>
    </w:p>
    <w:p>
      <w:pPr>
        <w:jc w:val="both"/>
        <w:ind w:right="340" w:firstLine="509"/>
        <w:spacing w:after="0" w:line="284" w:lineRule="auto"/>
        <w:rPr>
          <w:sz w:val="20"/>
          <w:szCs w:val="20"/>
          <w:color w:val="auto"/>
        </w:rPr>
      </w:pPr>
      <w:r>
        <w:rPr>
          <w:rFonts w:ascii="Times New Roman" w:cs="Times New Roman" w:eastAsia="Times New Roman" w:hAnsi="Times New Roman"/>
          <w:sz w:val="16"/>
          <w:szCs w:val="16"/>
          <w:color w:val="auto"/>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Recovery of Erroneously Awarded Compensation</w:t>
      </w:r>
    </w:p>
    <w:p>
      <w:pPr>
        <w:spacing w:after="0" w:line="126"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6"/>
          <w:szCs w:val="16"/>
          <w:color w:val="auto"/>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p>
    <w:p>
      <w:pPr>
        <w:spacing w:after="0" w:line="72" w:lineRule="exact"/>
        <w:rPr>
          <w:sz w:val="20"/>
          <w:szCs w:val="20"/>
          <w:color w:val="auto"/>
        </w:rPr>
      </w:pPr>
    </w:p>
    <w:p>
      <w:pPr>
        <w:jc w:val="both"/>
        <w:ind w:right="460" w:firstLine="509"/>
        <w:spacing w:after="0" w:line="273" w:lineRule="auto"/>
        <w:rPr>
          <w:sz w:val="20"/>
          <w:szCs w:val="20"/>
          <w:color w:val="auto"/>
        </w:rPr>
      </w:pPr>
      <w:r>
        <w:rPr>
          <w:rFonts w:ascii="Times New Roman" w:cs="Times New Roman" w:eastAsia="Times New Roman" w:hAnsi="Times New Roman"/>
          <w:sz w:val="16"/>
          <w:szCs w:val="16"/>
          <w:color w:val="auto"/>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00" w:top="103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u w:val="single" w:color="auto"/>
          <w:color w:val="auto"/>
        </w:rPr>
        <w:t>Limited Exceptions</w:t>
      </w:r>
    </w:p>
    <w:p>
      <w:pPr>
        <w:spacing w:after="0" w:line="126"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6"/>
          <w:szCs w:val="16"/>
          <w:color w:val="auto"/>
        </w:rPr>
        <w:t>Erroneously Awarded Compensation will be recovered in accordance with this Policy unless the Committee determines that recovery would be impracticable and one of the following conditions is met:</w:t>
      </w:r>
    </w:p>
    <w:p>
      <w:pPr>
        <w:spacing w:after="0" w:line="74" w:lineRule="exact"/>
        <w:rPr>
          <w:sz w:val="20"/>
          <w:szCs w:val="20"/>
          <w:color w:val="auto"/>
        </w:rPr>
      </w:pPr>
    </w:p>
    <w:p>
      <w:pPr>
        <w:ind w:left="760" w:right="500" w:hanging="246"/>
        <w:spacing w:after="0" w:line="284" w:lineRule="auto"/>
        <w:tabs>
          <w:tab w:leader="none" w:pos="753"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 paid to a third party to assist in enforcing this Policy would exceed the amount to be recovered, provided the Company has first made a reasonable effort to recover the Erroneously Awarded Compensation; or</w:t>
      </w:r>
    </w:p>
    <w:p>
      <w:pPr>
        <w:spacing w:after="0" w:line="31" w:lineRule="exact"/>
        <w:rPr>
          <w:rFonts w:ascii="Times New Roman" w:cs="Times New Roman" w:eastAsia="Times New Roman" w:hAnsi="Times New Roman"/>
          <w:sz w:val="16"/>
          <w:szCs w:val="16"/>
          <w:color w:val="auto"/>
        </w:rPr>
      </w:pPr>
    </w:p>
    <w:p>
      <w:pPr>
        <w:ind w:left="760" w:right="240" w:hanging="246"/>
        <w:spacing w:after="0" w:line="298" w:lineRule="auto"/>
        <w:tabs>
          <w:tab w:leader="none" w:pos="753"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recovery would likely cause a U.S. tax-qualified retirement plan to fail to meet the requirements of Internal Revenue Code Sections 401(a)(13) and 411(a) and the regulations thereunder.</w:t>
      </w:r>
    </w:p>
    <w:p>
      <w:pPr>
        <w:spacing w:after="0" w:line="21"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6"/>
          <w:szCs w:val="16"/>
          <w:color w:val="auto"/>
        </w:rPr>
        <w:t>Reliance on any of the above exemptions will further comply with applicable listing standards, including without limitation, documenting the reason for the impracticability and providing required documentation to NYSE.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 Insurance or Indemnification</w:t>
      </w:r>
    </w:p>
    <w:p>
      <w:pPr>
        <w:spacing w:after="0" w:line="12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6"/>
          <w:szCs w:val="16"/>
          <w:color w:val="auto"/>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Interpretation</w:t>
      </w:r>
    </w:p>
    <w:p>
      <w:pPr>
        <w:spacing w:after="0" w:line="12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6"/>
          <w:szCs w:val="16"/>
          <w:color w:val="auto"/>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the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Amendment; Termination</w:t>
      </w:r>
    </w:p>
    <w:p>
      <w:pPr>
        <w:spacing w:after="0" w:line="13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6"/>
          <w:szCs w:val="16"/>
          <w:color w:val="auto"/>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Other Recoupment Rights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60"/>
          </w:cols>
          <w:pgMar w:left="300" w:top="1343" w:right="339" w:bottom="1440" w:gutter="0" w:footer="0" w:header="0"/>
        </w:sectPr>
      </w:pPr>
    </w:p>
    <w:bookmarkStart w:id="144" w:name="page145"/>
    <w:bookmarkEnd w:id="144"/>
    <w:p>
      <w:pPr>
        <w:ind w:firstLine="509"/>
        <w:spacing w:after="0" w:line="261" w:lineRule="auto"/>
        <w:rPr>
          <w:sz w:val="20"/>
          <w:szCs w:val="20"/>
          <w:color w:val="auto"/>
        </w:rPr>
      </w:pPr>
      <w:r>
        <w:rPr>
          <w:rFonts w:ascii="Times New Roman" w:cs="Times New Roman" w:eastAsia="Times New Roman" w:hAnsi="Times New Roman"/>
          <w:sz w:val="16"/>
          <w:szCs w:val="16"/>
          <w:color w:val="auto"/>
        </w:rPr>
        <w:t>Any right of recoupment under this Policy is in addition to, and not in lieu of, any other remedies or rights of recoupment that may be available to the Company pursuant to the terms of any similar provision in any employment agreement or other compensation plan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 the Company’s Supplemental Compensation Recovery Policy. To the extent that application of this Policy would provide for recovery of Erroneously Awarded Compensation that the Company recovers pursuant to another policy or provision, the amount that is recovered will be credited to the required recovery under this Policy.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Successors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00" w:top="1037" w:right="359" w:bottom="1440" w:gutter="0" w:footer="0" w:header="0"/>
        </w:sectPr>
      </w:pPr>
    </w:p>
    <w:bookmarkStart w:id="145" w:name="page146"/>
    <w:bookmarkEnd w:id="145"/>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ACKNOWLEDGMENT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WINNEBAGO INDUSTRIES, INC.</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MANDATORY COMPENSATION RECOVERY POLICY</w:t>
      </w:r>
    </w:p>
    <w:p>
      <w:pPr>
        <w:spacing w:after="0" w:line="200" w:lineRule="exact"/>
        <w:rPr>
          <w:sz w:val="20"/>
          <w:szCs w:val="20"/>
          <w:color w:val="auto"/>
        </w:rPr>
      </w:pPr>
    </w:p>
    <w:p>
      <w:pPr>
        <w:spacing w:after="0" w:line="233"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By signing below, the undersigned acknowledges and confirms that the undersigned has received and reviewed a copy of the Winnebago Industries, Inc. Mandatory Compensation Recovery Policy.</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Printed Name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w:t>
      </w:r>
    </w:p>
    <w:sectPr>
      <w:pgSz w:w="11900" w:h="16838" w:orient="portrait"/>
      <w:cols w:equalWidth="0" w:num="1">
        <w:col w:w="11180"/>
      </w:cols>
      <w:pgMar w:left="300" w:top="103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1)"/>
      <w:numFmt w:val="lowerLetter"/>
      <w:start w:val="2"/>
    </w:lvl>
  </w:abstractNum>
  <w:abstractNum w:abstractNumId="10">
    <w:nsid w:val="374A3FE6"/>
    <w:multiLevelType w:val="hybridMultilevel"/>
    <w:lvl w:ilvl="0">
      <w:lvlJc w:val="left"/>
      <w:lvlText w:val="(%1)"/>
      <w:numFmt w:val="decimal"/>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
      <w:numFmt w:val="bullet"/>
      <w:start w:val="1"/>
    </w:lvl>
    <w:lvl w:ilvl="1">
      <w:lvlJc w:val="left"/>
      <w:lvlText w:val="(%2)"/>
      <w:numFmt w:val="decimal"/>
      <w:start w:val="3"/>
    </w:lvl>
    <w:lvl w:ilvl="2">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1"/>
    </w:lvl>
  </w:abstractNum>
  <w:abstractNum w:abstractNumId="21">
    <w:nsid w:val="15B5AF5C"/>
    <w:multiLevelType w:val="hybridMultilevel"/>
    <w:lvl w:ilvl="0">
      <w:lvlJc w:val="left"/>
      <w:lvlText w:val="%1."/>
      <w:numFmt w:val="decimal"/>
      <w:start w:val="4"/>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1"/>
    </w:lvl>
  </w:abstractNum>
  <w:abstractNum w:abstractNumId="24">
    <w:nsid w:val="10233C99"/>
    <w:multiLevelType w:val="hybridMultilevel"/>
    <w:lvl w:ilvl="0">
      <w:lvlJc w:val="left"/>
      <w:lvlText w:val="(%1)"/>
      <w:numFmt w:val="decimal"/>
      <w:start w:val="1"/>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decimal"/>
      <w:start w:val="1"/>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1."/>
      <w:numFmt w:val="decimal"/>
      <w:start w:val="1"/>
    </w:lvl>
  </w:abstractNum>
  <w:abstractNum w:abstractNumId="33">
    <w:nsid w:val="25A70BF7"/>
    <w:multiLevelType w:val="hybridMultilevel"/>
    <w:lvl w:ilvl="0">
      <w:lvlJc w:val="left"/>
      <w:lvlText w:val="%1."/>
      <w:numFmt w:val="decimal"/>
      <w:start w:val="3"/>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7">
    <w:nsid w:val="138182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Letter"/>
      <w:start w:val="1"/>
    </w:lvl>
    <w:lvl w:ilvl="5">
      <w:lvlJc w:val="left"/>
      <w:lvlText w:val="%6."/>
      <w:numFmt w:val="lowerRoman"/>
      <w:start w:val="1"/>
    </w:lvl>
  </w:abstractNum>
  <w:abstractNum w:abstractNumId="38">
    <w:nsid w:val="5DB70AE5"/>
    <w:multiLevelType w:val="hybridMultilevel"/>
    <w:lvl w:ilvl="0">
      <w:lvlJc w:val="left"/>
      <w:lvlText w:val="%1."/>
      <w:numFmt w:val="lowerRoman"/>
      <w:start w:val="2"/>
    </w:lvl>
  </w:abstractNum>
  <w:abstractNum w:abstractNumId="39">
    <w:nsid w:val="100F8FC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0">
    <w:nsid w:val="6590700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1">
    <w:nsid w:val="15014ACB"/>
    <w:multiLevelType w:val="hybridMultilevel"/>
    <w:lvl w:ilvl="0">
      <w:lvlJc w:val="left"/>
      <w:lvlText w:val="%1."/>
      <w:numFmt w:val="decimal"/>
      <w:start w:val="7"/>
    </w:lvl>
    <w:lvl w:ilvl="1">
      <w:lvlJc w:val="left"/>
      <w:lvlText w:val="(%2)"/>
      <w:numFmt w:val="lowerLetter"/>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2"/>
    </w:lvl>
    <w:lvl w:ilvl="1">
      <w:lvlJc w:val="left"/>
      <w:lvlText w:val="(%2)"/>
      <w:numFmt w:val="lowerLetter"/>
      <w:start w:val="1"/>
    </w:lvl>
  </w:abstractNum>
  <w:abstractNum w:abstractNumId="44">
    <w:nsid w:val="799D0247"/>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5">
    <w:nsid w:val="6B9476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6">
    <w:nsid w:val="42C296BD"/>
    <w:multiLevelType w:val="hybridMultilevel"/>
    <w:lvl w:ilvl="0">
      <w:lvlJc w:val="left"/>
      <w:lvlText w:val="%1."/>
      <w:numFmt w:val="decimal"/>
      <w:start w:val="10"/>
    </w:lvl>
    <w:lvl w:ilvl="1">
      <w:lvlJc w:val="left"/>
      <w:lvlText w:val="(%2)"/>
      <w:numFmt w:val="lowerLetter"/>
      <w:start w:val="1"/>
    </w:lvl>
  </w:abstractNum>
  <w:abstractNum w:abstractNumId="47">
    <w:nsid w:val="168E121F"/>
    <w:multiLevelType w:val="hybridMultilevel"/>
    <w:lvl w:ilvl="0">
      <w:lvlJc w:val="left"/>
      <w:lvlText w:val="(%1)"/>
      <w:numFmt w:val="lowerLetter"/>
      <w:start w:val="7"/>
    </w:lvl>
  </w:abstractNum>
  <w:abstractNum w:abstractNumId="48">
    <w:nsid w:val="1EBA5D2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9">
    <w:nsid w:val="661E3F1E"/>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0">
    <w:nsid w:val="5DC79EA8"/>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1">
    <w:nsid w:val="540A471C"/>
    <w:multiLevelType w:val="hybridMultilevel"/>
    <w:lvl w:ilvl="0">
      <w:lvlJc w:val="left"/>
      <w:lvlText w:val="%1."/>
      <w:numFmt w:val="decimal"/>
      <w:start w:val="10"/>
    </w:lvl>
    <w:lvl w:ilvl="1">
      <w:lvlJc w:val="left"/>
      <w:lvlText w:val="(%2)"/>
      <w:numFmt w:val="lowerLetter"/>
      <w:start w:val="1"/>
    </w:lvl>
  </w:abstractNum>
  <w:abstractNum w:abstractNumId="52">
    <w:nsid w:val="7BD3EE7B"/>
    <w:multiLevelType w:val="hybridMultilevel"/>
    <w:lvl w:ilvl="0">
      <w:lvlJc w:val="left"/>
      <w:lvlText w:val="%1."/>
      <w:numFmt w:val="decimal"/>
      <w:start w:val="1"/>
    </w:lvl>
    <w:lvl w:ilvl="1">
      <w:lvlJc w:val="left"/>
      <w:lvlText w:val="%2."/>
      <w:numFmt w:val="lowerLetter"/>
      <w:start w:val="1"/>
    </w:lvl>
  </w:abstractNum>
  <w:abstractNum w:abstractNumId="53">
    <w:nsid w:val="51D9C564"/>
    <w:multiLevelType w:val="hybridMultilevel"/>
    <w:lvl w:ilvl="0">
      <w:lvlJc w:val="left"/>
      <w:lvlText w:val="%1"/>
      <w:numFmt w:val="decimal"/>
      <w:start w:val="1"/>
    </w:lvl>
    <w:lvl w:ilvl="1">
      <w:lvlJc w:val="left"/>
      <w:lvlText w:val="%2."/>
      <w:numFmt w:val="lowerLetter"/>
      <w:start w:val="2"/>
    </w:lvl>
  </w:abstractNum>
  <w:abstractNum w:abstractNumId="54">
    <w:nsid w:val="613EFDC5"/>
    <w:multiLevelType w:val="hybridMultilevel"/>
    <w:lvl w:ilvl="0">
      <w:lvlJc w:val="left"/>
      <w:lvlText w:val="%1."/>
      <w:numFmt w:val="decimal"/>
      <w:start w:val="4"/>
    </w:lvl>
    <w:lvl w:ilvl="1">
      <w:lvlJc w:val="left"/>
      <w:lvlText w:val="%2"/>
      <w:numFmt w:val="lowerLetter"/>
      <w:start w:val="1"/>
    </w:lvl>
  </w:abstractNum>
  <w:abstractNum w:abstractNumId="55">
    <w:nsid w:val="BF72B14"/>
    <w:multiLevelType w:val="hybridMultilevel"/>
    <w:lvl w:ilvl="0">
      <w:lvlJc w:val="left"/>
      <w:lvlText w:val="%1."/>
      <w:numFmt w:val="decimal"/>
      <w:start w:val="5"/>
    </w:lvl>
  </w:abstractNum>
  <w:abstractNum w:abstractNumId="56">
    <w:nsid w:val="11447B73"/>
    <w:multiLevelType w:val="hybridMultilevel"/>
    <w:lvl w:ilvl="0">
      <w:lvlJc w:val="left"/>
      <w:lvlText w:val="%1."/>
      <w:numFmt w:val="decimal"/>
      <w:start w:val="6"/>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2"/>
    </w:lvl>
  </w:abstractNum>
  <w:abstractNum w:abstractNumId="59">
    <w:nsid w:val="8F2B15E"/>
    <w:multiLevelType w:val="hybridMultilevel"/>
    <w:lvl w:ilvl="0">
      <w:lvlJc w:val="left"/>
      <w:lvlText w:val="%1."/>
      <w:numFmt w:val="decimal"/>
      <w:start w:val="7"/>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decimal"/>
      <w:start w:val="1"/>
    </w:lvl>
    <w:lvl w:ilvl="1">
      <w:lvlJc w:val="left"/>
      <w:lvlText w:val="%2."/>
      <w:numFmt w:val="lowerLetter"/>
      <w:start w:val="1"/>
    </w:lvl>
  </w:abstractNum>
  <w:abstractNum w:abstractNumId="64">
    <w:nsid w:val="60B6DF70"/>
    <w:multiLevelType w:val="hybridMultilevel"/>
    <w:lvl w:ilvl="0">
      <w:lvlJc w:val="left"/>
      <w:lvlText w:val="%1"/>
      <w:numFmt w:val="decimal"/>
      <w:start w:val="1"/>
    </w:lvl>
    <w:lvl w:ilvl="1">
      <w:lvlJc w:val="left"/>
      <w:lvlText w:val="%2."/>
      <w:numFmt w:val="lowerLetter"/>
      <w:start w:val="2"/>
    </w:lvl>
  </w:abstractNum>
  <w:abstractNum w:abstractNumId="65">
    <w:nsid w:val="6A5EE64"/>
    <w:multiLevelType w:val="hybridMultilevel"/>
    <w:lvl w:ilvl="0">
      <w:lvlJc w:val="left"/>
      <w:lvlText w:val="%1."/>
      <w:numFmt w:val="decimal"/>
      <w:start w:val="4"/>
    </w:lvl>
    <w:lvl w:ilvl="1">
      <w:lvlJc w:val="left"/>
      <w:lvlText w:val="%2"/>
      <w:numFmt w:val="lowerLetter"/>
      <w:start w:val="1"/>
    </w:lvl>
  </w:abstractNum>
  <w:abstractNum w:abstractNumId="66">
    <w:nsid w:val="14330624"/>
    <w:multiLevelType w:val="hybridMultilevel"/>
    <w:lvl w:ilvl="0">
      <w:lvlJc w:val="left"/>
      <w:lvlText w:val="%1."/>
      <w:numFmt w:val="decimal"/>
      <w:start w:val="5"/>
    </w:lvl>
  </w:abstractNum>
  <w:abstractNum w:abstractNumId="67">
    <w:nsid w:val="7FFFCA11"/>
    <w:multiLevelType w:val="hybridMultilevel"/>
    <w:lvl w:ilvl="0">
      <w:lvlJc w:val="left"/>
      <w:lvlText w:val="%1."/>
      <w:numFmt w:val="decimal"/>
      <w:start w:val="6"/>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2"/>
    </w:lvl>
  </w:abstractNum>
  <w:abstractNum w:abstractNumId="70">
    <w:nsid w:val="100F59DC"/>
    <w:multiLevelType w:val="hybridMultilevel"/>
    <w:lvl w:ilvl="0">
      <w:lvlJc w:val="left"/>
      <w:lvlText w:val="%1."/>
      <w:numFmt w:val="decimal"/>
      <w:start w:val="7"/>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o"/>
      <w:numFmt w:val="bullet"/>
      <w:start w:val="1"/>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1."/>
      <w:numFmt w:val="decimal"/>
      <w:start w:val="2"/>
    </w:lvl>
    <w:lvl w:ilvl="1">
      <w:lvlJc w:val="left"/>
      <w:lvlText w:val="(%2)"/>
      <w:numFmt w:val="lowerLetter"/>
      <w:start w:val="1"/>
    </w:lvl>
  </w:abstractNum>
  <w:abstractNum w:abstractNumId="77">
    <w:nsid w:val="4C04A8AF"/>
    <w:multiLevelType w:val="hybridMultilevel"/>
    <w:lvl w:ilvl="0">
      <w:lvlJc w:val="left"/>
      <w:lvlText w:val="%1"/>
      <w:numFmt w:val="decimal"/>
      <w:start w:val="1"/>
    </w:lvl>
    <w:lvl w:ilvl="1">
      <w:lvlJc w:val="left"/>
      <w:lvlText w:val="(%2)"/>
      <w:numFmt w:val="lowerLetter"/>
      <w:start w:val="2"/>
    </w:lvl>
  </w:abstractNum>
  <w:abstractNum w:abstractNumId="78">
    <w:nsid w:val="1716703B"/>
    <w:multiLevelType w:val="hybridMultilevel"/>
    <w:lvl w:ilvl="0">
      <w:lvlJc w:val="left"/>
      <w:lvlText w:val="%1."/>
      <w:numFmt w:val="decimal"/>
      <w:start w:val="6"/>
    </w:lvl>
    <w:lvl w:ilvl="1">
      <w:lvlJc w:val="left"/>
      <w:lvlText w:val="%2"/>
      <w:numFmt w:val="lowerLetter"/>
      <w:start w:val="1"/>
    </w:lvl>
  </w:abstractNum>
  <w:abstractNum w:abstractNumId="79">
    <w:nsid w:val="14E17E33"/>
    <w:multiLevelType w:val="hybridMultilevel"/>
    <w:lvl w:ilvl="0">
      <w:lvlJc w:val="left"/>
      <w:lvlText w:val="%1."/>
      <w:numFmt w:val="decimal"/>
      <w:start w:val="8"/>
    </w:lvl>
    <w:lvl w:ilvl="1">
      <w:lvlJc w:val="left"/>
      <w:lvlText w:val="%2"/>
      <w:numFmt w:val="lowerLetter"/>
      <w:start w:val="1"/>
    </w:lvl>
  </w:abstractNum>
  <w:abstractNum w:abstractNumId="80">
    <w:nsid w:val="3222E7CD"/>
    <w:multiLevelType w:val="hybridMultilevel"/>
    <w:lvl w:ilvl="0">
      <w:lvlJc w:val="left"/>
      <w:lvlText w:val="%1"/>
      <w:numFmt w:val="decimal"/>
      <w:start w:val="14"/>
    </w:lvl>
    <w:lvl w:ilvl="1">
      <w:lvlJc w:val="left"/>
      <w:lvlText w:val="%2"/>
      <w:numFmt w:val="lowerLetter"/>
      <w:start w:val="1"/>
    </w:lvl>
  </w:abstractNum>
  <w:abstractNum w:abstractNumId="81">
    <w:nsid w:val="74DE0EE3"/>
    <w:multiLevelType w:val="hybridMultilevel"/>
    <w:lvl w:ilvl="0">
      <w:lvlJc w:val="left"/>
      <w:lvlText w:val="%1."/>
      <w:numFmt w:val="decimal"/>
      <w:start w:val="9"/>
    </w:lvl>
    <w:lvl w:ilvl="1">
      <w:lvlJc w:val="left"/>
      <w:lvlText w:val="(%2)"/>
      <w:numFmt w:val="lowerLetter"/>
      <w:start w:val="1"/>
    </w:lvl>
  </w:abstractNum>
  <w:abstractNum w:abstractNumId="82">
    <w:nsid w:val="68EBC550"/>
    <w:multiLevelType w:val="hybridMultilevel"/>
    <w:lvl w:ilvl="0">
      <w:lvlJc w:val="left"/>
      <w:lvlText w:val="(%1)"/>
      <w:numFmt w:val="lowerLetter"/>
      <w:start w:val="4"/>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2"/>
    </w:lvl>
    <w:lvl w:ilvl="1">
      <w:lvlJc w:val="left"/>
      <w:lvlText w:val="(%2)"/>
      <w:numFmt w:val="lowerLetter"/>
      <w:start w:val="1"/>
    </w:lvl>
  </w:abstractNum>
  <w:abstractNum w:abstractNumId="85">
    <w:nsid w:val="4A2AC315"/>
    <w:multiLevelType w:val="hybridMultilevel"/>
    <w:lvl w:ilvl="0">
      <w:lvlJc w:val="left"/>
      <w:lvlText w:val="%1"/>
      <w:numFmt w:val="decimal"/>
      <w:start w:val="1"/>
    </w:lvl>
    <w:lvl w:ilvl="1">
      <w:lvlJc w:val="left"/>
      <w:lvlText w:val="(%2)"/>
      <w:numFmt w:val="lowerLetter"/>
      <w:start w:val="2"/>
    </w:lvl>
  </w:abstractNum>
  <w:abstractNum w:abstractNumId="86">
    <w:nsid w:val="39EE015C"/>
    <w:multiLevelType w:val="hybridMultilevel"/>
    <w:lvl w:ilvl="0">
      <w:lvlJc w:val="left"/>
      <w:lvlText w:val="%1."/>
      <w:numFmt w:val="decimal"/>
      <w:start w:val="6"/>
    </w:lvl>
    <w:lvl w:ilvl="1">
      <w:lvlJc w:val="left"/>
      <w:lvlText w:val="%2"/>
      <w:numFmt w:val="lowerLetter"/>
      <w:start w:val="1"/>
    </w:lvl>
  </w:abstractNum>
  <w:abstractNum w:abstractNumId="87">
    <w:nsid w:val="57FC4FBB"/>
    <w:multiLevelType w:val="hybridMultilevel"/>
    <w:lvl w:ilvl="0">
      <w:lvlJc w:val="left"/>
      <w:lvlText w:val="%1."/>
      <w:numFmt w:val="decimal"/>
      <w:start w:val="9"/>
    </w:lvl>
    <w:lvl w:ilvl="1">
      <w:lvlJc w:val="left"/>
      <w:lvlText w:val="(%2)"/>
      <w:numFmt w:val="lowerLetter"/>
      <w:start w:val="1"/>
    </w:lvl>
  </w:abstractNum>
  <w:abstractNum w:abstractNumId="88">
    <w:nsid w:val="CC1016F"/>
    <w:multiLevelType w:val="hybridMultilevel"/>
    <w:lvl w:ilvl="0">
      <w:lvlJc w:val="left"/>
      <w:lvlText w:val="(%1)"/>
      <w:numFmt w:val="lowerLetter"/>
      <w:start w:val="7"/>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1."/>
      <w:numFmt w:val="decimal"/>
      <w:start w:val="1"/>
    </w:lvl>
    <w:lvl w:ilvl="1">
      <w:lvlJc w:val="left"/>
      <w:lvlText w:val="%2."/>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lowerLetter"/>
      <w:start w:val="1"/>
    </w:lvl>
  </w:abstractNum>
  <w:abstractNum w:abstractNumId="95">
    <w:nsid w:val="5FB8370B"/>
    <w:multiLevelType w:val="hybridMultilevel"/>
    <w:lvl w:ilvl="0">
      <w:lvlJc w:val="left"/>
      <w:lvlText w:val="%1."/>
      <w:numFmt w:val="lowerLetter"/>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90" Type="http://schemas.openxmlformats.org/officeDocument/2006/relationships/image" Target="media/image79.png"/><Relationship Id="rId92" Type="http://schemas.openxmlformats.org/officeDocument/2006/relationships/image" Target="media/image80.png"/><Relationship Id="rId94" Type="http://schemas.openxmlformats.org/officeDocument/2006/relationships/image" Target="media/image81.png"/><Relationship Id="rId96" Type="http://schemas.openxmlformats.org/officeDocument/2006/relationships/image" Target="media/image82.png"/><Relationship Id="rId99" Type="http://schemas.openxmlformats.org/officeDocument/2006/relationships/image" Target="media/image83.png"/><Relationship Id="rId102"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7" Type="http://schemas.openxmlformats.org/officeDocument/2006/relationships/image" Target="media/image87.png"/><Relationship Id="rId109" Type="http://schemas.openxmlformats.org/officeDocument/2006/relationships/image" Target="media/image88.png"/><Relationship Id="rId111" Type="http://schemas.openxmlformats.org/officeDocument/2006/relationships/image" Target="media/image89.png"/><Relationship Id="rId114" Type="http://schemas.openxmlformats.org/officeDocument/2006/relationships/image" Target="media/image90.png"/><Relationship Id="rId116" Type="http://schemas.openxmlformats.org/officeDocument/2006/relationships/image" Target="media/image91.png"/><Relationship Id="rId119" Type="http://schemas.openxmlformats.org/officeDocument/2006/relationships/image" Target="media/image92.png"/><Relationship Id="rId121"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8"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4" Type="http://schemas.openxmlformats.org/officeDocument/2006/relationships/image" Target="media/image99.png"/><Relationship Id="rId137" Type="http://schemas.openxmlformats.org/officeDocument/2006/relationships/image" Target="media/image100.png"/><Relationship Id="rId139" Type="http://schemas.openxmlformats.org/officeDocument/2006/relationships/image" Target="media/image101.png"/><Relationship Id="rId141" Type="http://schemas.openxmlformats.org/officeDocument/2006/relationships/image" Target="media/image102.png"/><Relationship Id="rId144" Type="http://schemas.openxmlformats.org/officeDocument/2006/relationships/image" Target="media/image103.png"/><Relationship Id="rId147"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4" Type="http://schemas.openxmlformats.org/officeDocument/2006/relationships/image" Target="media/image107.png"/><Relationship Id="rId157" Type="http://schemas.openxmlformats.org/officeDocument/2006/relationships/image" Target="media/image108.png"/><Relationship Id="rId160" Type="http://schemas.openxmlformats.org/officeDocument/2006/relationships/image" Target="media/image109.png"/><Relationship Id="rId163" Type="http://schemas.openxmlformats.org/officeDocument/2006/relationships/image" Target="media/image110.png"/><Relationship Id="rId166" Type="http://schemas.openxmlformats.org/officeDocument/2006/relationships/image" Target="media/image111.png"/><Relationship Id="rId169" Type="http://schemas.openxmlformats.org/officeDocument/2006/relationships/image" Target="media/image112.png"/><Relationship Id="rId172" Type="http://schemas.openxmlformats.org/officeDocument/2006/relationships/image" Target="media/image113.png"/><Relationship Id="rId175" Type="http://schemas.openxmlformats.org/officeDocument/2006/relationships/image" Target="media/image114.png"/><Relationship Id="rId178" Type="http://schemas.openxmlformats.org/officeDocument/2006/relationships/image" Target="media/image115.png"/><Relationship Id="rId181" Type="http://schemas.openxmlformats.org/officeDocument/2006/relationships/image" Target="media/image116.png"/><Relationship Id="rId182" Type="http://schemas.openxmlformats.org/officeDocument/2006/relationships/image" Target="media/image117.png"/><Relationship Id="rId183" Type="http://schemas.openxmlformats.org/officeDocument/2006/relationships/image" Target="media/image118.png"/><Relationship Id="rId186" Type="http://schemas.openxmlformats.org/officeDocument/2006/relationships/image" Target="media/image119.png"/><Relationship Id="rId189" Type="http://schemas.openxmlformats.org/officeDocument/2006/relationships/image" Target="media/image120.png"/><Relationship Id="rId192" Type="http://schemas.openxmlformats.org/officeDocument/2006/relationships/image" Target="media/image121.png"/><Relationship Id="rId195" Type="http://schemas.openxmlformats.org/officeDocument/2006/relationships/image" Target="media/image122.png"/><Relationship Id="rId198" Type="http://schemas.openxmlformats.org/officeDocument/2006/relationships/image" Target="media/image123.png"/><Relationship Id="rId201" Type="http://schemas.openxmlformats.org/officeDocument/2006/relationships/image" Target="media/image124.png"/><Relationship Id="rId203" Type="http://schemas.openxmlformats.org/officeDocument/2006/relationships/image" Target="media/image125.png"/><Relationship Id="rId204" Type="http://schemas.openxmlformats.org/officeDocument/2006/relationships/image" Target="media/image126.png"/><Relationship Id="rId205" Type="http://schemas.openxmlformats.org/officeDocument/2006/relationships/image" Target="media/image127.png"/><Relationship Id="rId206" Type="http://schemas.openxmlformats.org/officeDocument/2006/relationships/image" Target="media/image128.png"/><Relationship Id="rId207" Type="http://schemas.openxmlformats.org/officeDocument/2006/relationships/image" Target="media/image129.png"/><Relationship Id="rId208" Type="http://schemas.openxmlformats.org/officeDocument/2006/relationships/image" Target="media/image130.png"/><Relationship Id="rId209" Type="http://schemas.openxmlformats.org/officeDocument/2006/relationships/image" Target="media/image131.png"/><Relationship Id="rId210" Type="http://schemas.openxmlformats.org/officeDocument/2006/relationships/image" Target="media/image132.png"/><Relationship Id="rId211" Type="http://schemas.openxmlformats.org/officeDocument/2006/relationships/image" Target="media/image133.png"/><Relationship Id="rId212" Type="http://schemas.openxmlformats.org/officeDocument/2006/relationships/image" Target="media/image134.png"/><Relationship Id="rId213" Type="http://schemas.openxmlformats.org/officeDocument/2006/relationships/image" Target="media/image135.png"/><Relationship Id="rId214" Type="http://schemas.openxmlformats.org/officeDocument/2006/relationships/image" Target="media/image136.png"/><Relationship Id="rId215" Type="http://schemas.openxmlformats.org/officeDocument/2006/relationships/image" Target="media/image137.png"/><Relationship Id="rId216" Type="http://schemas.openxmlformats.org/officeDocument/2006/relationships/image" Target="media/image138.png"/><Relationship Id="rId217" Type="http://schemas.openxmlformats.org/officeDocument/2006/relationships/image" Target="media/image139.png"/><Relationship Id="rId218" Type="http://schemas.openxmlformats.org/officeDocument/2006/relationships/image" Target="media/image140.png"/><Relationship Id="rId219" Type="http://schemas.openxmlformats.org/officeDocument/2006/relationships/image" Target="media/image141.png"/><Relationship Id="rId220" Type="http://schemas.openxmlformats.org/officeDocument/2006/relationships/image" Target="media/image142.png"/><Relationship Id="rId221" Type="http://schemas.openxmlformats.org/officeDocument/2006/relationships/image" Target="media/image143.png"/><Relationship Id="rId222" Type="http://schemas.openxmlformats.org/officeDocument/2006/relationships/image" Target="media/image144.png"/><Relationship Id="rId223" Type="http://schemas.openxmlformats.org/officeDocument/2006/relationships/image" Target="media/image145.png"/><Relationship Id="rId224" Type="http://schemas.openxmlformats.org/officeDocument/2006/relationships/image" Target="media/image146.png"/><Relationship Id="rId225" Type="http://schemas.openxmlformats.org/officeDocument/2006/relationships/image" Target="media/image147.jpeg"/><Relationship Id="rId226" Type="http://schemas.openxmlformats.org/officeDocument/2006/relationships/image" Target="media/image148.jpeg"/><Relationship Id="rId227" Type="http://schemas.openxmlformats.org/officeDocument/2006/relationships/image" Target="media/image149.png"/><Relationship Id="rId228" Type="http://schemas.openxmlformats.org/officeDocument/2006/relationships/image" Target="media/image150.png"/><Relationship Id="rId229" Type="http://schemas.openxmlformats.org/officeDocument/2006/relationships/image" Target="media/image151.png"/><Relationship Id="rId230" Type="http://schemas.openxmlformats.org/officeDocument/2006/relationships/image" Target="media/image152.png"/><Relationship Id="rId231" Type="http://schemas.openxmlformats.org/officeDocument/2006/relationships/image" Target="media/image153.png"/><Relationship Id="rId232" Type="http://schemas.openxmlformats.org/officeDocument/2006/relationships/image" Target="media/image154.png"/><Relationship Id="rId85" Type="http://schemas.openxmlformats.org/officeDocument/2006/relationships/hyperlink" Target="https://www.sec.gov/Archives/edgar/data/0000107687/000010768722000004/wgo-mnarticlesreincorporat.htm" TargetMode="External"/><Relationship Id="rId86" Type="http://schemas.openxmlformats.org/officeDocument/2006/relationships/hyperlink" Target="https://www.sec.gov/Archives/edgar/data/107687/000010768723000018/wgo-bylawsxaugust152023xfi.htm" TargetMode="External"/><Relationship Id="rId87" Type="http://schemas.openxmlformats.org/officeDocument/2006/relationships/hyperlink" Target="https://www.sec.gov/Archives/edgar/data/107687/000010768722000024/exh4a202210-k.htm" TargetMode="External"/><Relationship Id="rId89" Type="http://schemas.openxmlformats.org/officeDocument/2006/relationships/hyperlink" Target="https://www.sec.gov/Archives/edgar/data/107687/000110465919059604/a19-21005_2ex4d1.htm#Exhibit4_1_114535" TargetMode="External"/><Relationship Id="rId91" Type="http://schemas.openxmlformats.org/officeDocument/2006/relationships/hyperlink" Target="https://www.sec.gov/Archives/edgar/data/107687/000110465920082433/tm2024371d1_ex4-1.htm" TargetMode="External"/><Relationship Id="rId93" Type="http://schemas.openxmlformats.org/officeDocument/2006/relationships/hyperlink" Target="https://www.sec.gov/Archives/edgar/data/0000107687/000110465924005904/tm243871d1_ex4-1.htm" TargetMode="External"/><Relationship Id="rId95" Type="http://schemas.openxmlformats.org/officeDocument/2006/relationships/hyperlink" Target="https://www.sec.gov/Archives/edgar/data/107687/0000897101-95-000449.txt" TargetMode="External"/><Relationship Id="rId97" Type="http://schemas.openxmlformats.org/officeDocument/2006/relationships/hyperlink" Target="https://www.sec.gov/Archives/edgar/data/107687/000089710101500122/winnebago010807_ex10-i.txt" TargetMode="External"/><Relationship Id="rId98" Type="http://schemas.openxmlformats.org/officeDocument/2006/relationships/hyperlink" Target="https://www.sec.gov/Archives/edgar/data/107687/000010768711000049/exh10bbexecdefcompplan.htm" TargetMode="External"/><Relationship Id="rId100" Type="http://schemas.openxmlformats.org/officeDocument/2006/relationships/hyperlink" Target="https://www.sec.gov/Archives/edgar/data/107687/000010768713000055/exh1012014omnibusequityper.htm" TargetMode="External"/><Relationship Id="rId101" Type="http://schemas.openxmlformats.org/officeDocument/2006/relationships/hyperlink" Target="https://www.sec.gov/Archives/edgar/data/107687/000010768718000029/wgo2018proxy.htm#sD976BCD7069F542AB66E985E101896FF" TargetMode="External"/><Relationship Id="rId103" Type="http://schemas.openxmlformats.org/officeDocument/2006/relationships/hyperlink" Target="https://www.sec.gov/ix?doc=/Archives/edgar/data/107687/000114036123051281/ny20008674x1_def14a.htm#tAPPA" TargetMode="External"/><Relationship Id="rId106" Type="http://schemas.openxmlformats.org/officeDocument/2006/relationships/hyperlink" Target="https://www.sec.gov/ix?doc=/Archives/edgar/data/107687/000114036123051281/ny20008674x1_def14a.htm#tAPPB" TargetMode="External"/><Relationship Id="rId108" Type="http://schemas.openxmlformats.org/officeDocument/2006/relationships/hyperlink" Target="https://www.sec.gov/Archives/edgar/data/107687/000010768713000040/wgo2013q3exh101.htm" TargetMode="External"/><Relationship Id="rId110" Type="http://schemas.openxmlformats.org/officeDocument/2006/relationships/hyperlink" Target="https://www.sec.gov/Archives/edgar/data/107687/000010768718000038/a2019q1exh10boptions.htm" TargetMode="External"/><Relationship Id="rId112" Type="http://schemas.openxmlformats.org/officeDocument/2006/relationships/hyperlink" Target="https://www.sec.gov/Archives/edgar/data/107687/000010768722000024/winnebagonqsooptionagreeme.htm" TargetMode="External"/><Relationship Id="rId113" Type="http://schemas.openxmlformats.org/officeDocument/2006/relationships/hyperlink" Target="https://www.sec.gov/Archives/edgar/data/107687/000010768722000024/wgo-nqsooptionagreement201.htm" TargetMode="External"/><Relationship Id="rId115" Type="http://schemas.openxmlformats.org/officeDocument/2006/relationships/hyperlink" Target="https://www.sec.gov/Archives/edgar/data/107687/000010768723000028/wgo-nqsooptionagreement201.htm" TargetMode="External"/><Relationship Id="rId117" Type="http://schemas.openxmlformats.org/officeDocument/2006/relationships/hyperlink" Target="https://www.sec.gov/Archives/edgar/data/107687/000010768722000024/winnebago-executiversuawar.htm" TargetMode="External"/><Relationship Id="rId118" Type="http://schemas.openxmlformats.org/officeDocument/2006/relationships/hyperlink" Target="https://www.sec.gov/Archives/edgar/data/107687/000010768722000024/wgo-executiversuaward2019p.htm" TargetMode="External"/><Relationship Id="rId120" Type="http://schemas.openxmlformats.org/officeDocument/2006/relationships/hyperlink" Target="https://www.sec.gov/Archives/edgar/data/107687/000010768723000028/wgo-executiveeltrsuaward20.htm" TargetMode="External"/><Relationship Id="rId122" Type="http://schemas.openxmlformats.org/officeDocument/2006/relationships/hyperlink" Target="https://www.sec.gov/Archives/edgar/data/107687/000010768718000038/a2019q1exh10ersudirector.htm" TargetMode="External"/><Relationship Id="rId123" Type="http://schemas.openxmlformats.org/officeDocument/2006/relationships/hyperlink" Target="https://www.sec.gov/Archives/edgar/data/107687/000010768722000024/winnebago-directorrsuaward.htm" TargetMode="External"/><Relationship Id="rId126" Type="http://schemas.openxmlformats.org/officeDocument/2006/relationships/hyperlink" Target="https://www.sec.gov/Archives/edgar/data/107687/000010768722000024/wgo-directorrsuaward2019pl.htm" TargetMode="External"/><Relationship Id="rId127" Type="http://schemas.openxmlformats.org/officeDocument/2006/relationships/hyperlink" Target="https://www.sec.gov/Archives/edgar/data/107687/000010768723000028/wgo-directorrsuaward2019pl.htm" TargetMode="External"/><Relationship Id="rId129" Type="http://schemas.openxmlformats.org/officeDocument/2006/relationships/hyperlink" Target="https://www.sec.gov/Archives/edgar/data/107687/000010768718000038/a2019q1exh10fcic.htm" TargetMode="External"/><Relationship Id="rId130" Type="http://schemas.openxmlformats.org/officeDocument/2006/relationships/hyperlink" Target="https://www.sec.gov/Archives/edgar/data/107687/000089710109002143/wgo094796_ex10z.htm" TargetMode="External"/><Relationship Id="rId133" Type="http://schemas.openxmlformats.org/officeDocument/2006/relationships/hyperlink" Target="https://www.sec.gov/Archives/edgar/data/107687/000010768720000035/psuawardagreementfy21-.htm" TargetMode="External"/><Relationship Id="rId135" Type="http://schemas.openxmlformats.org/officeDocument/2006/relationships/hyperlink" Target="https://www.sec.gov/Archives/edgar/data/0000107687/000010768721000043/winnebago-psuawardagreemen.htm" TargetMode="External"/><Relationship Id="rId136" Type="http://schemas.openxmlformats.org/officeDocument/2006/relationships/hyperlink" Target="https://www.sec.gov/Archives/edgar/data/107687/000010768722000024/wgo-psuawardagreementfy23x.htm" TargetMode="External"/><Relationship Id="rId138" Type="http://schemas.openxmlformats.org/officeDocument/2006/relationships/hyperlink" Target="https://www.sec.gov/Archives/edgar/data/107687/000010768723000037/wgo-psuawardagreementfy22x.htm" TargetMode="External"/><Relationship Id="rId140" Type="http://schemas.openxmlformats.org/officeDocument/2006/relationships/hyperlink" Target="https://www.sec.gov/Archives/edgar/data/107687/000010768716000120/exh101non-compnonxsolicita.htm" TargetMode="External"/><Relationship Id="rId142" Type="http://schemas.openxmlformats.org/officeDocument/2006/relationships/hyperlink" Target="https://www.sec.gov/Archives/edgar/data/107687/000010768716000120/exh102non-solicitationandc.htm" TargetMode="External"/><Relationship Id="rId143" Type="http://schemas.openxmlformats.org/officeDocument/2006/relationships/hyperlink" Target="https://www.sec.gov/Archives/edgar/data/107687/000010768716000120/exh103registrationrights.htm" TargetMode="External"/><Relationship Id="rId145" Type="http://schemas.openxmlformats.org/officeDocument/2006/relationships/hyperlink" Target="https://www.sec.gov/Archives/edgar/data/107687/000010768719000015/employmentagreementdclar.htm" TargetMode="External"/><Relationship Id="rId146" Type="http://schemas.openxmlformats.org/officeDocument/2006/relationships/hyperlink" Target="https://www.sec.gov/Archives/edgar/data/107687/000010768719000015/changeincontrolagreement.htm" TargetMode="External"/><Relationship Id="rId148" Type="http://schemas.openxmlformats.org/officeDocument/2006/relationships/hyperlink" Target="https://www.sec.gov/Archives/edgar/data/107687/000010768723000028/donclark-secondamendedan.htm" TargetMode="External"/><Relationship Id="rId149" Type="http://schemas.openxmlformats.org/officeDocument/2006/relationships/hyperlink" Target="https://www.sec.gov/Archives/edgar/data/107687/000010768723000028/dclark-secondamendedandr.htm" TargetMode="External"/><Relationship Id="rId152" Type="http://schemas.openxmlformats.org/officeDocument/2006/relationships/hyperlink" Target="https://www.sec.gov/Archives/edgar/data/107687/000010768719000017/ex10120198-k0916.htm" TargetMode="External"/><Relationship Id="rId153" Type="http://schemas.openxmlformats.org/officeDocument/2006/relationships/hyperlink" Target="https://www.sec.gov/Archives/edgar/data/107687/000010768719000022/wgoamendedandrestatedcre.htm" TargetMode="External"/><Relationship Id="rId155" Type="http://schemas.openxmlformats.org/officeDocument/2006/relationships/hyperlink" Target="https://www.sec.gov/Archives/edgar/data/0000107687/000110465922080691/tm2221309d1_ex10-1.htm" TargetMode="External"/><Relationship Id="rId156" Type="http://schemas.openxmlformats.org/officeDocument/2006/relationships/hyperlink" Target="https://www.sec.gov/Archives/edgar/data/107687/000110465919059604/a19-21005_2ex10d1.htm#Exhibit10_1_034908" TargetMode="External"/><Relationship Id="rId158" Type="http://schemas.openxmlformats.org/officeDocument/2006/relationships/hyperlink" Target="https://www.sec.gov/Archives/edgar/data/0000107687/000110465924005904/tm243871d1_ex10-1.htm" TargetMode="External"/><Relationship Id="rId159" Type="http://schemas.openxmlformats.org/officeDocument/2006/relationships/hyperlink" Target="https://www.sec.gov/Archives/edgar/data/107687/000110465919059604/a19-21005_2ex10d2.htm#Exhibit10_2_040203" TargetMode="External"/><Relationship Id="rId161" Type="http://schemas.openxmlformats.org/officeDocument/2006/relationships/hyperlink" Target="https://www.sec.gov/Archives/edgar/data/107687/000110465919059604/a19-21005_2ex10d3.htm#Exhibit10_3_041616" TargetMode="External"/><Relationship Id="rId162" Type="http://schemas.openxmlformats.org/officeDocument/2006/relationships/hyperlink" Target="https://www.sec.gov/Archives/edgar/data/107687/000110465919059604/a19-21005_2ex10d4.htm#Exhibit10_5_074927" TargetMode="External"/><Relationship Id="rId164" Type="http://schemas.openxmlformats.org/officeDocument/2006/relationships/hyperlink" Target="https://www.sec.gov/Archives/edgar/data/107687/000110465919059604/a19-21005_2ex10d5.htm#Exhibit10_45_010935" TargetMode="External"/><Relationship Id="rId165" Type="http://schemas.openxmlformats.org/officeDocument/2006/relationships/hyperlink" Target="https://www.sec.gov/Archives/edgar/data/107687/000110465919059604/a19-21005_2ex10d6.htm#Exhibit10_6_042233" TargetMode="External"/><Relationship Id="rId167" Type="http://schemas.openxmlformats.org/officeDocument/2006/relationships/hyperlink" Target="https://www.sec.gov/Archives/edgar/data/107687/000110465919059604/a19-21005_2ex10d7.htm#Exhibit10_7_043941" TargetMode="External"/><Relationship Id="rId168" Type="http://schemas.openxmlformats.org/officeDocument/2006/relationships/hyperlink" Target="https://www.sec.gov/Archives/edgar/data/107687/000110465919059604/a19-21005_2ex10d8.htm#Exhibit10_8_085444" TargetMode="External"/><Relationship Id="rId170" Type="http://schemas.openxmlformats.org/officeDocument/2006/relationships/hyperlink" Target="https://www.sec.gov/Archives/edgar/data/107687/000110465919059604/a19-21005_2ex10d9.htm#Exhibit10_9_105341" TargetMode="External"/><Relationship Id="rId171" Type="http://schemas.openxmlformats.org/officeDocument/2006/relationships/hyperlink" Target="https://www.sec.gov/Archives/edgar/data/0000107687/000110465924005904/tm243871d1_ex10-2.htm" TargetMode="External"/><Relationship Id="rId173" Type="http://schemas.openxmlformats.org/officeDocument/2006/relationships/hyperlink" Target="https://www.sec.gov/Archives/edgar/data/0000107687/000110465924005904/tm243871d1_ex10-3.htm" TargetMode="External"/><Relationship Id="rId174" Type="http://schemas.openxmlformats.org/officeDocument/2006/relationships/hyperlink" Target="https://www.sec.gov/Archives/edgar/data/0000107687/000110465924005904/tm243871d1_ex10-4.htm" TargetMode="External"/><Relationship Id="rId176" Type="http://schemas.openxmlformats.org/officeDocument/2006/relationships/hyperlink" Target="https://www.sec.gov/Archives/edgar/data/0000107687/000110465924005904/tm243871d1_ex10-5.htm" TargetMode="External"/><Relationship Id="rId177" Type="http://schemas.openxmlformats.org/officeDocument/2006/relationships/hyperlink" Target="https://www.sec.gov/Archives/edgar/data/0000107687/000110465924005904/tm243871d1_ex10-6.htm" TargetMode="External"/><Relationship Id="rId179" Type="http://schemas.openxmlformats.org/officeDocument/2006/relationships/hyperlink" Target="https://www.sec.gov/Archives/edgar/data/0000107687/000110465924005904/tm243871d1_ex10-7.htm" TargetMode="External"/><Relationship Id="rId180" Type="http://schemas.openxmlformats.org/officeDocument/2006/relationships/hyperlink" Target="https://www.sec.gov/Archives/edgar/data/0000107687/000110465924005904/tm243871d1_ex10-8.htm" TargetMode="External"/><Relationship Id="rId184" Type="http://schemas.openxmlformats.org/officeDocument/2006/relationships/hyperlink" Target="https://www.sec.gov/Archives/edgar/data/0000107687/000110465924005904/tm243871d1_ex10-9.htm" TargetMode="External"/><Relationship Id="rId185" Type="http://schemas.openxmlformats.org/officeDocument/2006/relationships/hyperlink" Target="https://www.sec.gov/Archives/edgar/data/0000107687/000110465924005904/tm243871d1_ex10-10.htm" TargetMode="External"/><Relationship Id="rId187" Type="http://schemas.openxmlformats.org/officeDocument/2006/relationships/hyperlink" Target="https://www.sec.gov/Archives/edgar/data/0000107687/000110465924005904/tm243871d1_ex10-11.htm" TargetMode="External"/><Relationship Id="rId188" Type="http://schemas.openxmlformats.org/officeDocument/2006/relationships/hyperlink" Target="https://www.sec.gov/Archives/edgar/data/0000107687/000110465924005904/tm243871d1_ex10-12.htm" TargetMode="External"/><Relationship Id="rId190" Type="http://schemas.openxmlformats.org/officeDocument/2006/relationships/hyperlink" Target="https://www.sec.gov/Archives/edgar/data/0000107687/000110465924005904/tm243871d1_ex10-13.htm" TargetMode="External"/><Relationship Id="rId191" Type="http://schemas.openxmlformats.org/officeDocument/2006/relationships/hyperlink" Target="https://www.sec.gov/Archives/edgar/data/107687/000010768719000036/amendmentno1toaandrcredi.htm" TargetMode="External"/><Relationship Id="rId193" Type="http://schemas.openxmlformats.org/officeDocument/2006/relationships/hyperlink" Target="https://www.sec.gov/Archives/edgar/data/107687/000010768719000036/firstrestatedandamendedl.htm" TargetMode="External"/><Relationship Id="rId194" Type="http://schemas.openxmlformats.org/officeDocument/2006/relationships/hyperlink" Target="https://www.sec.gov/Archives/edgar/data/107687/000010768719000036/secondrestatedandamended.htm" TargetMode="External"/><Relationship Id="rId196" Type="http://schemas.openxmlformats.org/officeDocument/2006/relationships/hyperlink" Target="https://www.sec.gov/Archives/edgar/data/107687/000010768724000017/gdrv-11333cr2xfirstamend.htm" TargetMode="External"/><Relationship Id="rId197" Type="http://schemas.openxmlformats.org/officeDocument/2006/relationships/hyperlink" Target="https://www.sec.gov/Archives/edgar/data/107687/000110465920082433/tm2024371d1_ex10-1.htm" TargetMode="External"/><Relationship Id="rId199" Type="http://schemas.openxmlformats.org/officeDocument/2006/relationships/hyperlink" Target="https://www.sec.gov/Archives/edgar/data/107687/000110465920082433/tm2024371d1_ex10-2.htm" TargetMode="External"/><Relationship Id="rId200" Type="http://schemas.openxmlformats.org/officeDocument/2006/relationships/hyperlink" Target="https://www.sec.gov/Archives/edgar/data/0000107687/000010768721000048/winnebago-happeamendedandr.htm" TargetMode="External"/><Relationship Id="rId202" Type="http://schemas.openxmlformats.org/officeDocument/2006/relationships/hyperlink" Target="https://www.sec.gov/Archives/edgar/data/0000107687/000010768721000048/winnebago-executiveoffic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2024-10-23T15:47:04Z</dcterms:created>
  <dcterms:modified xsi:type="dcterms:W3CDTF">2024-10-23T15:47:04Z</dcterms:modified>
</cp:coreProperties>
</file>