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154940</wp:posOffset>
            </wp:positionV>
            <wp:extent cx="13633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139065</wp:posOffset>
            </wp:positionV>
            <wp:extent cx="136334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36" w:lineRule="exact"/>
        <w:rPr>
          <w:sz w:val="24"/>
          <w:szCs w:val="24"/>
          <w:color w:val="auto"/>
        </w:rPr>
      </w:pPr>
    </w:p>
    <w:p>
      <w:pPr>
        <w:jc w:val="center"/>
        <w:ind w:right="40"/>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June 10,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328295</wp:posOffset>
            </wp:positionV>
            <wp:extent cx="13722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5"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32" w:lineRule="exact"/>
        <w:rPr>
          <w:sz w:val="24"/>
          <w:szCs w:val="24"/>
          <w:color w:val="auto"/>
        </w:rPr>
      </w:pPr>
    </w:p>
    <w:tbl>
      <w:tblPr>
        <w:tblLayout w:type="fixed"/>
        <w:tblInd w:w="1420" w:type="dxa"/>
        <w:tblCellMar>
          <w:top w:w="0" w:type="dxa"/>
          <w:left w:w="0" w:type="dxa"/>
          <w:bottom w:w="0" w:type="dxa"/>
          <w:right w:w="0" w:type="dxa"/>
        </w:tblCellMar>
      </w:tblPr>
      <w:tr>
        <w:trPr>
          <w:trHeight w:val="220"/>
        </w:trPr>
        <w:tc>
          <w:tcPr>
            <w:tcW w:w="3180" w:type="dxa"/>
            <w:vAlign w:val="bottom"/>
          </w:tcPr>
          <w:p>
            <w:pPr>
              <w:jc w:val="center"/>
              <w:ind w:right="150"/>
              <w:spacing w:after="0"/>
              <w:rPr>
                <w:sz w:val="20"/>
                <w:szCs w:val="20"/>
                <w:color w:val="auto"/>
              </w:rPr>
            </w:pPr>
            <w:r>
              <w:rPr>
                <w:rFonts w:ascii="Arial" w:cs="Arial" w:eastAsia="Arial" w:hAnsi="Arial"/>
                <w:sz w:val="18"/>
                <w:szCs w:val="18"/>
                <w:b w:val="1"/>
                <w:bCs w:val="1"/>
                <w:color w:val="auto"/>
                <w:w w:val="94"/>
              </w:rPr>
              <w:t>Iowa</w:t>
            </w:r>
          </w:p>
        </w:tc>
        <w:tc>
          <w:tcPr>
            <w:tcW w:w="2820" w:type="dxa"/>
            <w:vAlign w:val="bottom"/>
          </w:tcPr>
          <w:p>
            <w:pPr>
              <w:jc w:val="right"/>
              <w:ind w:right="1090"/>
              <w:spacing w:after="0"/>
              <w:rPr>
                <w:sz w:val="20"/>
                <w:szCs w:val="20"/>
                <w:color w:val="auto"/>
              </w:rPr>
            </w:pPr>
            <w:r>
              <w:rPr>
                <w:rFonts w:ascii="Arial" w:cs="Arial" w:eastAsia="Arial" w:hAnsi="Arial"/>
                <w:sz w:val="18"/>
                <w:szCs w:val="18"/>
                <w:b w:val="1"/>
                <w:bCs w:val="1"/>
                <w:color w:val="auto"/>
              </w:rPr>
              <w:t>001-06403</w:t>
            </w:r>
          </w:p>
        </w:tc>
        <w:tc>
          <w:tcPr>
            <w:tcW w:w="1920" w:type="dxa"/>
            <w:vAlign w:val="bottom"/>
          </w:tcPr>
          <w:p>
            <w:pPr>
              <w:jc w:val="right"/>
              <w:ind w:right="130"/>
              <w:spacing w:after="0"/>
              <w:rPr>
                <w:sz w:val="20"/>
                <w:szCs w:val="20"/>
                <w:color w:val="auto"/>
              </w:rPr>
            </w:pPr>
            <w:r>
              <w:rPr>
                <w:rFonts w:ascii="Arial" w:cs="Arial" w:eastAsia="Arial" w:hAnsi="Arial"/>
                <w:sz w:val="18"/>
                <w:szCs w:val="18"/>
                <w:b w:val="1"/>
                <w:bCs w:val="1"/>
                <w:color w:val="auto"/>
              </w:rPr>
              <w:t>42-0802678</w:t>
            </w:r>
          </w:p>
        </w:tc>
      </w:tr>
      <w:tr>
        <w:trPr>
          <w:trHeight w:val="216"/>
        </w:trPr>
        <w:tc>
          <w:tcPr>
            <w:tcW w:w="3180" w:type="dxa"/>
            <w:vAlign w:val="bottom"/>
          </w:tcPr>
          <w:p>
            <w:pPr>
              <w:jc w:val="center"/>
              <w:ind w:right="170"/>
              <w:spacing w:after="0"/>
              <w:rPr>
                <w:sz w:val="20"/>
                <w:szCs w:val="20"/>
                <w:color w:val="auto"/>
              </w:rPr>
            </w:pPr>
            <w:r>
              <w:rPr>
                <w:rFonts w:ascii="Arial" w:cs="Arial" w:eastAsia="Arial" w:hAnsi="Arial"/>
                <w:sz w:val="18"/>
                <w:szCs w:val="18"/>
                <w:color w:val="auto"/>
                <w:w w:val="91"/>
              </w:rPr>
              <w:t>(State or Other Jurisdiction</w:t>
            </w:r>
          </w:p>
        </w:tc>
        <w:tc>
          <w:tcPr>
            <w:tcW w:w="2820" w:type="dxa"/>
            <w:vAlign w:val="bottom"/>
          </w:tcPr>
          <w:p>
            <w:pPr>
              <w:jc w:val="center"/>
              <w:ind w:right="230"/>
              <w:spacing w:after="0"/>
              <w:rPr>
                <w:sz w:val="20"/>
                <w:szCs w:val="20"/>
                <w:color w:val="auto"/>
              </w:rPr>
            </w:pPr>
            <w:r>
              <w:rPr>
                <w:rFonts w:ascii="Arial" w:cs="Arial" w:eastAsia="Arial" w:hAnsi="Arial"/>
                <w:sz w:val="18"/>
                <w:szCs w:val="18"/>
                <w:color w:val="auto"/>
                <w:w w:val="92"/>
              </w:rPr>
              <w:t>(Commission File Number)</w:t>
            </w:r>
          </w:p>
        </w:tc>
        <w:tc>
          <w:tcPr>
            <w:tcW w:w="1920" w:type="dxa"/>
            <w:vAlign w:val="bottom"/>
          </w:tcPr>
          <w:p>
            <w:pPr>
              <w:jc w:val="center"/>
              <w:ind w:left="510"/>
              <w:spacing w:after="0"/>
              <w:rPr>
                <w:sz w:val="20"/>
                <w:szCs w:val="20"/>
                <w:color w:val="auto"/>
              </w:rPr>
            </w:pPr>
            <w:r>
              <w:rPr>
                <w:rFonts w:ascii="Arial" w:cs="Arial" w:eastAsia="Arial" w:hAnsi="Arial"/>
                <w:sz w:val="18"/>
                <w:szCs w:val="18"/>
                <w:color w:val="auto"/>
                <w:w w:val="92"/>
              </w:rPr>
              <w:t>(IRS Employer</w:t>
            </w:r>
          </w:p>
        </w:tc>
      </w:tr>
      <w:tr>
        <w:trPr>
          <w:trHeight w:val="230"/>
        </w:trPr>
        <w:tc>
          <w:tcPr>
            <w:tcW w:w="3180" w:type="dxa"/>
            <w:vAlign w:val="bottom"/>
          </w:tcPr>
          <w:p>
            <w:pPr>
              <w:jc w:val="center"/>
              <w:ind w:right="170"/>
              <w:spacing w:after="0"/>
              <w:rPr>
                <w:sz w:val="20"/>
                <w:szCs w:val="20"/>
                <w:color w:val="auto"/>
              </w:rPr>
            </w:pPr>
            <w:r>
              <w:rPr>
                <w:rFonts w:ascii="Arial" w:cs="Arial" w:eastAsia="Arial" w:hAnsi="Arial"/>
                <w:sz w:val="18"/>
                <w:szCs w:val="18"/>
                <w:color w:val="auto"/>
                <w:w w:val="94"/>
              </w:rPr>
              <w:t>of Incorporation)</w:t>
            </w:r>
          </w:p>
        </w:tc>
        <w:tc>
          <w:tcPr>
            <w:tcW w:w="2820" w:type="dxa"/>
            <w:vAlign w:val="bottom"/>
          </w:tcPr>
          <w:p>
            <w:pPr>
              <w:spacing w:after="0"/>
              <w:rPr>
                <w:sz w:val="20"/>
                <w:szCs w:val="20"/>
                <w:color w:val="auto"/>
              </w:rPr>
            </w:pPr>
          </w:p>
        </w:tc>
        <w:tc>
          <w:tcPr>
            <w:tcW w:w="1920" w:type="dxa"/>
            <w:vAlign w:val="bottom"/>
          </w:tcPr>
          <w:p>
            <w:pPr>
              <w:jc w:val="center"/>
              <w:ind w:left="49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318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P.O. Box 152, Forest City, Iowa</w:t>
            </w:r>
          </w:p>
        </w:tc>
        <w:tc>
          <w:tcPr>
            <w:tcW w:w="2820" w:type="dxa"/>
            <w:vAlign w:val="bottom"/>
          </w:tcPr>
          <w:p>
            <w:pPr>
              <w:spacing w:after="0"/>
              <w:rPr>
                <w:sz w:val="24"/>
                <w:szCs w:val="24"/>
                <w:color w:val="auto"/>
              </w:rPr>
            </w:pPr>
          </w:p>
        </w:tc>
        <w:tc>
          <w:tcPr>
            <w:tcW w:w="1920" w:type="dxa"/>
            <w:vAlign w:val="bottom"/>
          </w:tcPr>
          <w:p>
            <w:pPr>
              <w:jc w:val="right"/>
              <w:ind w:right="350"/>
              <w:spacing w:after="0"/>
              <w:rPr>
                <w:sz w:val="20"/>
                <w:szCs w:val="20"/>
                <w:color w:val="auto"/>
              </w:rPr>
            </w:pPr>
            <w:r>
              <w:rPr>
                <w:rFonts w:ascii="Arial" w:cs="Arial" w:eastAsia="Arial" w:hAnsi="Arial"/>
                <w:sz w:val="18"/>
                <w:szCs w:val="18"/>
                <w:b w:val="1"/>
                <w:bCs w:val="1"/>
                <w:color w:val="auto"/>
              </w:rPr>
              <w:t>50436</w:t>
            </w:r>
          </w:p>
        </w:tc>
      </w:tr>
      <w:tr>
        <w:trPr>
          <w:trHeight w:val="230"/>
        </w:trPr>
        <w:tc>
          <w:tcPr>
            <w:tcW w:w="3180" w:type="dxa"/>
            <w:vAlign w:val="bottom"/>
          </w:tcPr>
          <w:p>
            <w:pPr>
              <w:jc w:val="center"/>
              <w:ind w:right="150"/>
              <w:spacing w:after="0"/>
              <w:rPr>
                <w:sz w:val="20"/>
                <w:szCs w:val="20"/>
                <w:color w:val="auto"/>
              </w:rPr>
            </w:pPr>
            <w:r>
              <w:rPr>
                <w:rFonts w:ascii="Arial" w:cs="Arial" w:eastAsia="Arial" w:hAnsi="Arial"/>
                <w:sz w:val="18"/>
                <w:szCs w:val="18"/>
                <w:color w:val="auto"/>
                <w:w w:val="92"/>
              </w:rPr>
              <w:t>(Address of Principal Executive Offices)</w:t>
            </w:r>
          </w:p>
        </w:tc>
        <w:tc>
          <w:tcPr>
            <w:tcW w:w="2820" w:type="dxa"/>
            <w:vAlign w:val="bottom"/>
          </w:tcPr>
          <w:p>
            <w:pPr>
              <w:spacing w:after="0"/>
              <w:rPr>
                <w:sz w:val="20"/>
                <w:szCs w:val="20"/>
                <w:color w:val="auto"/>
              </w:rPr>
            </w:pPr>
          </w:p>
        </w:tc>
        <w:tc>
          <w:tcPr>
            <w:tcW w:w="1920" w:type="dxa"/>
            <w:vAlign w:val="bottom"/>
          </w:tcPr>
          <w:p>
            <w:pPr>
              <w:jc w:val="center"/>
              <w:ind w:left="510"/>
              <w:spacing w:after="0"/>
              <w:rPr>
                <w:sz w:val="20"/>
                <w:szCs w:val="20"/>
                <w:color w:val="auto"/>
              </w:rPr>
            </w:pPr>
            <w:r>
              <w:rPr>
                <w:rFonts w:ascii="Arial" w:cs="Arial" w:eastAsia="Arial" w:hAnsi="Arial"/>
                <w:sz w:val="18"/>
                <w:szCs w:val="18"/>
                <w:color w:val="auto"/>
                <w:w w:val="94"/>
              </w:rPr>
              <w:t>(Zip Code)</w:t>
            </w:r>
          </w:p>
        </w:tc>
      </w:tr>
    </w:tbl>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 xml:space="preserve">Registrant's telephone number, including area code  </w:t>
      </w:r>
      <w:r>
        <w:rPr>
          <w:rFonts w:ascii="Arial" w:cs="Arial" w:eastAsia="Arial" w:hAnsi="Arial"/>
          <w:sz w:val="22"/>
          <w:szCs w:val="22"/>
          <w:b w:val="1"/>
          <w:bCs w:val="1"/>
          <w:color w:val="auto"/>
        </w:rPr>
        <w:t>641-585-3535</w:t>
      </w:r>
    </w:p>
    <w:p>
      <w:pPr>
        <w:spacing w:after="0" w:line="260" w:lineRule="exact"/>
        <w:rPr>
          <w:sz w:val="24"/>
          <w:szCs w:val="24"/>
          <w:color w:val="auto"/>
        </w:rPr>
      </w:pPr>
    </w:p>
    <w:p>
      <w:pPr>
        <w:ind w:left="2560"/>
        <w:spacing w:after="0"/>
        <w:rPr>
          <w:sz w:val="20"/>
          <w:szCs w:val="20"/>
          <w:color w:val="auto"/>
        </w:rPr>
      </w:pPr>
      <w:r>
        <w:rPr>
          <w:rFonts w:ascii="Arial" w:cs="Arial" w:eastAsia="Arial" w:hAnsi="Arial"/>
          <w:sz w:val="18"/>
          <w:szCs w:val="18"/>
          <w:color w:val="auto"/>
        </w:rPr>
        <w:t>______________________________________________________________________</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2955290</wp:posOffset>
            </wp:positionH>
            <wp:positionV relativeFrom="paragraph">
              <wp:posOffset>168910</wp:posOffset>
            </wp:positionV>
            <wp:extent cx="13550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5509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spacing w:after="0" w:line="263"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 (see General Instruction A.2. below):</w:t>
      </w:r>
    </w:p>
    <w:p>
      <w:pPr>
        <w:spacing w:after="0" w:line="215" w:lineRule="exact"/>
        <w:rPr>
          <w:sz w:val="24"/>
          <w:szCs w:val="24"/>
          <w:color w:val="auto"/>
        </w:rPr>
      </w:pPr>
    </w:p>
    <w:p>
      <w:pPr>
        <w:ind w:left="600" w:hanging="592"/>
        <w:spacing w:after="0"/>
        <w:tabs>
          <w:tab w:leader="none" w:pos="60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communications pursuant to Rule 425 under the Securities Act (17 CFR 230.425)</w:t>
      </w:r>
    </w:p>
    <w:p>
      <w:pPr>
        <w:spacing w:after="0" w:line="260" w:lineRule="exact"/>
        <w:rPr>
          <w:rFonts w:ascii="Arial" w:cs="Arial" w:eastAsia="Arial" w:hAnsi="Arial"/>
          <w:sz w:val="22"/>
          <w:szCs w:val="22"/>
          <w:color w:val="auto"/>
        </w:rPr>
      </w:pPr>
    </w:p>
    <w:p>
      <w:pPr>
        <w:ind w:left="600" w:hanging="592"/>
        <w:spacing w:after="0"/>
        <w:tabs>
          <w:tab w:leader="none" w:pos="60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 CFR 240.14a-12)</w:t>
      </w:r>
    </w:p>
    <w:p>
      <w:pPr>
        <w:spacing w:after="0" w:line="260" w:lineRule="exact"/>
        <w:rPr>
          <w:rFonts w:ascii="Arial" w:cs="Arial" w:eastAsia="Arial" w:hAnsi="Arial"/>
          <w:sz w:val="22"/>
          <w:szCs w:val="22"/>
          <w:color w:val="auto"/>
        </w:rPr>
      </w:pPr>
    </w:p>
    <w:p>
      <w:pPr>
        <w:ind w:left="600" w:hanging="592"/>
        <w:spacing w:after="0"/>
        <w:tabs>
          <w:tab w:leader="none" w:pos="60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14d-2(b) under the Exchange Act (17 CFR 240.14d-2(b))</w:t>
      </w:r>
    </w:p>
    <w:p>
      <w:pPr>
        <w:spacing w:after="0" w:line="271" w:lineRule="exact"/>
        <w:rPr>
          <w:rFonts w:ascii="Arial" w:cs="Arial" w:eastAsia="Arial" w:hAnsi="Arial"/>
          <w:sz w:val="21"/>
          <w:szCs w:val="21"/>
          <w:color w:val="auto"/>
        </w:rPr>
      </w:pPr>
    </w:p>
    <w:p>
      <w:pPr>
        <w:ind w:left="600" w:hanging="592"/>
        <w:spacing w:after="0"/>
        <w:tabs>
          <w:tab w:leader="none" w:pos="60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379095</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7.01 Regulation FD Disclosure.</w:t>
      </w:r>
    </w:p>
    <w:p>
      <w:pPr>
        <w:spacing w:after="0" w:line="21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Winnebago Industries, Inc. (Winnebago Industries) is filing herewith a press release issued on June 10, 2010, as Exhibit 99.1 which is included herein. The press release was issued to report that on June 17, 2010, Winnebago Industries anticipates announcing its financial results for the third quarter of fiscal 2010 ended May 29, 2010. In connection with the announcement, Winnebago Industries will host a conference call on June 17, 2010 at 9:00 a.m. Central time. Details regarding the conference call are contained in the press release included herein.</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138" w:lineRule="exact"/>
        <w:rPr>
          <w:sz w:val="20"/>
          <w:szCs w:val="20"/>
          <w:color w:val="auto"/>
        </w:rPr>
      </w:pPr>
    </w:p>
    <w:p>
      <w:pPr>
        <w:ind w:left="420" w:hanging="412"/>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480"/>
        <w:spacing w:after="0"/>
        <w:tabs>
          <w:tab w:leader="none" w:pos="146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11" w:lineRule="exact"/>
        <w:rPr>
          <w:sz w:val="20"/>
          <w:szCs w:val="20"/>
          <w:color w:val="auto"/>
        </w:rPr>
      </w:pPr>
    </w:p>
    <w:p>
      <w:pPr>
        <w:ind w:left="640"/>
        <w:spacing w:after="0"/>
        <w:tabs>
          <w:tab w:leader="none" w:pos="14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Winnebago Industries, Inc. dated June 10, 2010.</w:t>
      </w:r>
    </w:p>
    <w:p>
      <w:pPr>
        <w:spacing w:after="0" w:line="200" w:lineRule="exact"/>
        <w:rPr>
          <w:sz w:val="20"/>
          <w:szCs w:val="20"/>
          <w:color w:val="auto"/>
        </w:rPr>
      </w:pPr>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SIGNATURES</w:t>
      </w:r>
    </w:p>
    <w:p>
      <w:pPr>
        <w:spacing w:after="0" w:line="15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98" w:lineRule="exact"/>
        <w:rPr>
          <w:sz w:val="20"/>
          <w:szCs w:val="20"/>
          <w:color w:val="auto"/>
        </w:rPr>
      </w:pPr>
    </w:p>
    <w:p>
      <w:pPr>
        <w:spacing w:after="0"/>
        <w:tabs>
          <w:tab w:leader="none" w:pos="3520" w:val="left"/>
        </w:tabs>
        <w:rPr>
          <w:sz w:val="20"/>
          <w:szCs w:val="20"/>
          <w:color w:val="auto"/>
        </w:rPr>
      </w:pPr>
      <w:r>
        <w:rPr>
          <w:rFonts w:ascii="Arial" w:cs="Arial" w:eastAsia="Arial" w:hAnsi="Arial"/>
          <w:sz w:val="18"/>
          <w:szCs w:val="18"/>
          <w:color w:val="auto"/>
        </w:rPr>
        <w:t>Dated: June 10, 2010</w:t>
      </w:r>
      <w:r>
        <w:rPr>
          <w:sz w:val="20"/>
          <w:szCs w:val="20"/>
          <w:color w:val="auto"/>
        </w:rPr>
        <w:tab/>
      </w:r>
      <w:r>
        <w:rPr>
          <w:rFonts w:ascii="Arial" w:cs="Arial" w:eastAsia="Arial" w:hAnsi="Arial"/>
          <w:sz w:val="21"/>
          <w:szCs w:val="21"/>
          <w:color w:val="auto"/>
        </w:rPr>
        <w:t>W</w:t>
      </w:r>
      <w:r>
        <w:rPr>
          <w:rFonts w:ascii="Arial" w:cs="Arial" w:eastAsia="Arial" w:hAnsi="Arial"/>
          <w:sz w:val="12"/>
          <w:szCs w:val="12"/>
          <w:color w:val="auto"/>
        </w:rPr>
        <w:t>INNEBAGO</w:t>
      </w:r>
      <w:r>
        <w:rPr>
          <w:rFonts w:ascii="Arial" w:cs="Arial" w:eastAsia="Arial" w:hAnsi="Arial"/>
          <w:sz w:val="21"/>
          <w:szCs w:val="21"/>
          <w:color w:val="auto"/>
        </w:rPr>
        <w:t xml:space="preserve"> I</w:t>
      </w:r>
      <w:r>
        <w:rPr>
          <w:rFonts w:ascii="Arial" w:cs="Arial" w:eastAsia="Arial" w:hAnsi="Arial"/>
          <w:sz w:val="12"/>
          <w:szCs w:val="12"/>
          <w:color w:val="auto"/>
        </w:rPr>
        <w:t>NDUSTRIES,</w:t>
      </w:r>
      <w:r>
        <w:rPr>
          <w:rFonts w:ascii="Arial" w:cs="Arial" w:eastAsia="Arial" w:hAnsi="Arial"/>
          <w:sz w:val="21"/>
          <w:szCs w:val="21"/>
          <w:color w:val="auto"/>
        </w:rPr>
        <w:t xml:space="preserve"> I</w:t>
      </w:r>
      <w:r>
        <w:rPr>
          <w:rFonts w:ascii="Arial" w:cs="Arial" w:eastAsia="Arial" w:hAnsi="Arial"/>
          <w:sz w:val="12"/>
          <w:szCs w:val="12"/>
          <w:color w:val="auto"/>
        </w:rPr>
        <w:t>NC.</w:t>
      </w:r>
    </w:p>
    <w:p>
      <w:pPr>
        <w:spacing w:after="0" w:line="225" w:lineRule="exact"/>
        <w:rPr>
          <w:sz w:val="20"/>
          <w:szCs w:val="20"/>
          <w:color w:val="auto"/>
        </w:rPr>
      </w:pPr>
    </w:p>
    <w:tbl>
      <w:tblPr>
        <w:tblLayout w:type="fixed"/>
        <w:tblInd w:w="354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J. Olson</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80" w:type="dxa"/>
            <w:vAlign w:val="bottom"/>
          </w:tcPr>
          <w:p>
            <w:pPr>
              <w:spacing w:after="0" w:line="195" w:lineRule="exact"/>
              <w:rPr>
                <w:sz w:val="20"/>
                <w:szCs w:val="20"/>
                <w:color w:val="auto"/>
              </w:rPr>
            </w:pPr>
            <w:r>
              <w:rPr>
                <w:rFonts w:ascii="Arial" w:cs="Arial" w:eastAsia="Arial" w:hAnsi="Arial"/>
                <w:sz w:val="18"/>
                <w:szCs w:val="18"/>
                <w:color w:val="auto"/>
              </w:rPr>
              <w:t>Robert J. Olson</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980" w:type="dxa"/>
            <w:vAlign w:val="bottom"/>
          </w:tcPr>
          <w:p>
            <w:pPr>
              <w:spacing w:after="0"/>
              <w:rPr>
                <w:sz w:val="20"/>
                <w:szCs w:val="20"/>
                <w:color w:val="auto"/>
              </w:rPr>
            </w:pPr>
            <w:r>
              <w:rPr>
                <w:rFonts w:ascii="Arial" w:cs="Arial" w:eastAsia="Arial" w:hAnsi="Arial"/>
                <w:sz w:val="18"/>
                <w:szCs w:val="18"/>
                <w:color w:val="auto"/>
              </w:rPr>
              <w:t>Chairman of the Board, Chief Executive Officer and President</w:t>
            </w: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EXHIBIT INDEX</w:t>
      </w:r>
    </w:p>
    <w:p>
      <w:pPr>
        <w:spacing w:after="0" w:line="215"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480"/>
        <w:spacing w:after="0"/>
        <w:tabs>
          <w:tab w:leader="none" w:pos="146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11" w:lineRule="exact"/>
        <w:rPr>
          <w:sz w:val="20"/>
          <w:szCs w:val="20"/>
          <w:color w:val="auto"/>
        </w:rPr>
      </w:pPr>
    </w:p>
    <w:p>
      <w:pPr>
        <w:ind w:left="640"/>
        <w:spacing w:after="0"/>
        <w:tabs>
          <w:tab w:leader="none" w:pos="14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Winnebago Industries, Inc. dated June 10, 2010.</w:t>
      </w:r>
    </w:p>
    <w:p>
      <w:pPr>
        <w:sectPr>
          <w:pgSz w:w="11900" w:h="16838" w:orient="portrait"/>
          <w:cols w:equalWidth="0" w:num="1">
            <w:col w:w="11260"/>
          </w:cols>
          <w:pgMar w:left="240" w:top="355" w:right="39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b w:val="1"/>
          <w:bCs w:val="1"/>
          <w:color w:val="auto"/>
        </w:rPr>
        <w:t>Exhibit 99.1</w:t>
      </w:r>
    </w:p>
    <w:p>
      <w:pPr>
        <w:spacing w:after="0" w:line="2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For further information: Sheila Davis, PR/IR Manager - 641-585-6803</w:t>
      </w:r>
    </w:p>
    <w:p>
      <w:pPr>
        <w:spacing w:after="0" w:line="200" w:lineRule="exact"/>
        <w:rPr>
          <w:sz w:val="20"/>
          <w:szCs w:val="20"/>
          <w:color w:val="auto"/>
        </w:rPr>
      </w:pPr>
    </w:p>
    <w:p>
      <w:pPr>
        <w:spacing w:after="0" w:line="255" w:lineRule="exact"/>
        <w:rPr>
          <w:sz w:val="20"/>
          <w:szCs w:val="20"/>
          <w:color w:val="auto"/>
        </w:rPr>
      </w:pPr>
    </w:p>
    <w:p>
      <w:pPr>
        <w:jc w:val="center"/>
        <w:ind w:right="40"/>
        <w:spacing w:after="0" w:line="243" w:lineRule="auto"/>
        <w:rPr>
          <w:sz w:val="20"/>
          <w:szCs w:val="20"/>
          <w:color w:val="auto"/>
        </w:rPr>
      </w:pPr>
      <w:r>
        <w:rPr>
          <w:rFonts w:ascii="Arial" w:cs="Arial" w:eastAsia="Arial" w:hAnsi="Arial"/>
          <w:sz w:val="22"/>
          <w:szCs w:val="22"/>
          <w:b w:val="1"/>
          <w:bCs w:val="1"/>
          <w:color w:val="auto"/>
        </w:rPr>
        <w:t>WINNEBAGO INDUSTRIES ANNOUNCES THIRD QUARTER OF FISCAL 2010 FINANCIAL RESULTS CONFERENCE CALL TO BE HELD ON JUNE 17, 2010</w:t>
      </w:r>
    </w:p>
    <w:p>
      <w:pPr>
        <w:spacing w:after="0" w:line="19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FOREST CITY, IOWA, June 10, 2010 - Winnebago Industries, Inc. (NYSE: WGO), the nation's top-selling motor home manufacturer, will host a conference call on Thursday, June 17, 2010 at 9 a.m. Central Time (CT) to discuss the financial results for its third quarter of fiscal 2010 ended May 29, 2010. The Company will release its financial results on June 17, 2010 at 6:00 a.m. CT.</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 xml:space="preserve">Winnebago Industries' conference call may be heard live via the Company's website, </w:t>
      </w:r>
      <w:r>
        <w:rPr>
          <w:rFonts w:ascii="Arial" w:cs="Arial" w:eastAsia="Arial" w:hAnsi="Arial"/>
          <w:sz w:val="18"/>
          <w:szCs w:val="18"/>
          <w:u w:val="single" w:color="auto"/>
          <w:color w:val="auto"/>
        </w:rPr>
        <w:t>http://www.winnebagoind.com/investor.html</w:t>
      </w:r>
      <w:r>
        <w:rPr>
          <w:rFonts w:ascii="Arial" w:cs="Arial" w:eastAsia="Arial" w:hAnsi="Arial"/>
          <w:sz w:val="18"/>
          <w:szCs w:val="18"/>
          <w:color w:val="auto"/>
        </w:rPr>
        <w:t xml:space="preserve">. The event will be archived and available for replay for the next 90 days. To access the replay, click on </w:t>
      </w:r>
      <w:r>
        <w:rPr>
          <w:rFonts w:ascii="Arial" w:cs="Arial" w:eastAsia="Arial" w:hAnsi="Arial"/>
          <w:sz w:val="18"/>
          <w:szCs w:val="18"/>
          <w:u w:val="single" w:color="auto"/>
          <w:color w:val="auto"/>
        </w:rPr>
        <w:t>http://www.winnebagoind.com/investor.html</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Minimum requirements to listen to the Web cast: either Windows Media Player or RealPlayer and at least a 28.8 Kbps connection to the Internet.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Windows Media Player software is downloadable free at: </w:t>
      </w:r>
      <w:r>
        <w:rPr>
          <w:rFonts w:ascii="Arial" w:cs="Arial" w:eastAsia="Arial" w:hAnsi="Arial"/>
          <w:sz w:val="16"/>
          <w:szCs w:val="16"/>
          <w:u w:val="single" w:color="auto"/>
          <w:color w:val="auto"/>
        </w:rPr>
        <w:t>www.microsoft.com/windows/windowsmedia/download/default.asp</w:t>
      </w:r>
      <w:r>
        <w:rPr>
          <w:rFonts w:ascii="Arial" w:cs="Arial" w:eastAsia="Arial" w:hAnsi="Arial"/>
          <w:sz w:val="16"/>
          <w:szCs w:val="16"/>
          <w:color w:val="auto"/>
        </w:rPr>
        <w:t>, and the RealPlayer software 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downloadable free at: </w:t>
      </w:r>
      <w:r>
        <w:rPr>
          <w:rFonts w:ascii="Arial" w:cs="Arial" w:eastAsia="Arial" w:hAnsi="Arial"/>
          <w:sz w:val="18"/>
          <w:szCs w:val="18"/>
          <w:u w:val="single" w:color="auto"/>
          <w:color w:val="auto"/>
        </w:rPr>
        <w:t>www.real.com/products/player/index.html</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Winnebago Industries</w:t>
      </w:r>
    </w:p>
    <w:p>
      <w:pPr>
        <w:spacing w:after="0" w:line="27"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 xml:space="preserve">Winnebago Industries, Inc. is the nation's top-selling manufacturer of motor homes, self-contained recreation vehicles used primarily in leisure travel and outdoor recreation activities. The Company builds quality motor homes under the Winnebago, Itasca and ERA brand names with state-of-the-art computer-aided design and manufacturing systems on automotive-styled assembly lines. The Company's common stock is listed on the New York and Chicago Stock Exchanges and traded under the symbol WGO. Options for the Company's common stock are traded on the Chicago Board Options Exchange. For access to Winnebago Industries' investor relations material, or to add your name to an automatic email list for Company news releases, visit, </w:t>
      </w:r>
      <w:r>
        <w:rPr>
          <w:rFonts w:ascii="Arial" w:cs="Arial" w:eastAsia="Arial" w:hAnsi="Arial"/>
          <w:sz w:val="18"/>
          <w:szCs w:val="18"/>
          <w:u w:val="single" w:color="auto"/>
          <w:color w:val="auto"/>
        </w:rPr>
        <w:t>http://www.winnebagoind.com/investor.html</w:t>
      </w:r>
      <w:r>
        <w:rPr>
          <w:rFonts w:ascii="Arial" w:cs="Arial" w:eastAsia="Arial" w:hAnsi="Arial"/>
          <w:sz w:val="18"/>
          <w:szCs w:val="18"/>
          <w:color w:val="auto"/>
        </w:rPr>
        <w: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2019-12-10T03:36:35Z</dcterms:created>
  <dcterms:modified xsi:type="dcterms:W3CDTF">2019-12-10T03:36:35Z</dcterms:modified>
</cp:coreProperties>
</file>