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96"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44"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44" w:lineRule="exact"/>
        <w:rPr>
          <w:sz w:val="24"/>
          <w:szCs w:val="24"/>
          <w:color w:val="auto"/>
        </w:rPr>
      </w:pPr>
    </w:p>
    <w:p>
      <w:pPr>
        <w:ind w:right="2580" w:firstLine="355"/>
        <w:spacing w:after="0" w:line="378" w:lineRule="auto"/>
        <w:rPr>
          <w:sz w:val="20"/>
          <w:szCs w:val="20"/>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February 25, 2023</w:t>
      </w:r>
    </w:p>
    <w:p>
      <w:pPr>
        <w:spacing w:after="0" w:line="1"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or</w:t>
      </w:r>
    </w:p>
    <w:p>
      <w:pPr>
        <w:spacing w:after="0" w:line="66" w:lineRule="exact"/>
        <w:rPr>
          <w:sz w:val="24"/>
          <w:szCs w:val="24"/>
          <w:color w:val="auto"/>
        </w:rPr>
      </w:pPr>
    </w:p>
    <w:p>
      <w:pPr>
        <w:ind w:left="280" w:right="2680" w:hanging="254"/>
        <w:spacing w:after="0" w:line="365" w:lineRule="auto"/>
        <w:tabs>
          <w:tab w:leader="none" w:pos="2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jc w:val="center"/>
        <w:ind w:right="60"/>
        <w:spacing w:after="0"/>
        <w:rPr>
          <w:sz w:val="20"/>
          <w:szCs w:val="20"/>
          <w:color w:val="auto"/>
        </w:rPr>
      </w:pPr>
      <w:r>
        <w:rPr>
          <w:rFonts w:ascii="Arial" w:cs="Arial" w:eastAsia="Arial" w:hAnsi="Arial"/>
          <w:sz w:val="16"/>
          <w:szCs w:val="16"/>
          <w:color w:val="auto"/>
        </w:rPr>
        <w:t>Commission File Number: 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62230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218"/>
        </w:trPr>
        <w:tc>
          <w:tcPr>
            <w:tcW w:w="1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center"/>
              <w:ind w:right="459"/>
              <w:spacing w:after="0"/>
              <w:rPr>
                <w:sz w:val="20"/>
                <w:szCs w:val="20"/>
                <w:color w:val="auto"/>
              </w:rPr>
            </w:pPr>
            <w:r>
              <w:rPr>
                <w:rFonts w:ascii="Arial" w:cs="Arial" w:eastAsia="Arial" w:hAnsi="Arial"/>
                <w:sz w:val="16"/>
                <w:szCs w:val="16"/>
                <w:b w:val="1"/>
                <w:bCs w:val="1"/>
                <w:color w:val="auto"/>
              </w:rPr>
              <w:t>Minnesota</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Borders>
              <w:bottom w:val="single" w:sz="8" w:color="auto"/>
            </w:tcBorders>
            <w:gridSpan w:val="3"/>
          </w:tcPr>
          <w:p>
            <w:pPr>
              <w:jc w:val="right"/>
              <w:ind w:right="2000"/>
              <w:spacing w:after="0"/>
              <w:rPr>
                <w:sz w:val="20"/>
                <w:szCs w:val="20"/>
                <w:color w:val="auto"/>
              </w:rPr>
            </w:pPr>
            <w:r>
              <w:rPr>
                <w:rFonts w:ascii="Arial" w:cs="Arial" w:eastAsia="Arial" w:hAnsi="Arial"/>
                <w:sz w:val="16"/>
                <w:szCs w:val="16"/>
                <w:b w:val="1"/>
                <w:bCs w:val="1"/>
                <w:color w:val="auto"/>
              </w:rPr>
              <w:t>42-0802678</w:t>
            </w:r>
          </w:p>
        </w:tc>
      </w:tr>
      <w:tr>
        <w:trPr>
          <w:trHeight w:val="207"/>
        </w:trPr>
        <w:tc>
          <w:tcPr>
            <w:tcW w:w="6420" w:type="dxa"/>
            <w:vAlign w:val="bottom"/>
            <w:gridSpan w:val="6"/>
          </w:tcPr>
          <w:p>
            <w:pPr>
              <w:jc w:val="center"/>
              <w:ind w:right="680"/>
              <w:spacing w:after="0"/>
              <w:rPr>
                <w:sz w:val="20"/>
                <w:szCs w:val="20"/>
                <w:color w:val="auto"/>
              </w:rPr>
            </w:pPr>
            <w:r>
              <w:rPr>
                <w:rFonts w:ascii="Arial" w:cs="Arial" w:eastAsia="Arial" w:hAnsi="Arial"/>
                <w:sz w:val="16"/>
                <w:szCs w:val="16"/>
                <w:color w:val="auto"/>
              </w:rPr>
              <w:t>(State or other jurisdiction of incorporation or organization)</w:t>
            </w:r>
          </w:p>
        </w:tc>
        <w:tc>
          <w:tcPr>
            <w:tcW w:w="80" w:type="dxa"/>
            <w:vAlign w:val="bottom"/>
          </w:tcPr>
          <w:p>
            <w:pPr>
              <w:spacing w:after="0"/>
              <w:rPr>
                <w:sz w:val="17"/>
                <w:szCs w:val="17"/>
                <w:color w:val="auto"/>
              </w:rPr>
            </w:pPr>
          </w:p>
        </w:tc>
        <w:tc>
          <w:tcPr>
            <w:tcW w:w="4760" w:type="dxa"/>
            <w:vAlign w:val="bottom"/>
            <w:gridSpan w:val="2"/>
          </w:tcPr>
          <w:p>
            <w:pPr>
              <w:jc w:val="center"/>
              <w:ind w:right="100"/>
              <w:spacing w:after="0"/>
              <w:rPr>
                <w:sz w:val="20"/>
                <w:szCs w:val="20"/>
                <w:color w:val="auto"/>
              </w:rPr>
            </w:pPr>
            <w:r>
              <w:rPr>
                <w:rFonts w:ascii="Arial" w:cs="Arial" w:eastAsia="Arial" w:hAnsi="Arial"/>
                <w:sz w:val="16"/>
                <w:szCs w:val="16"/>
                <w:color w:val="auto"/>
              </w:rPr>
              <w:t>(I.R.S. Employer Identification No.)</w:t>
            </w:r>
          </w:p>
        </w:tc>
      </w:tr>
      <w:tr>
        <w:trPr>
          <w:trHeight w:val="273"/>
        </w:trPr>
        <w:tc>
          <w:tcPr>
            <w:tcW w:w="1720" w:type="dxa"/>
            <w:vAlign w:val="bottom"/>
          </w:tcPr>
          <w:p>
            <w:pPr>
              <w:ind w:left="240"/>
              <w:spacing w:after="0"/>
              <w:rPr>
                <w:sz w:val="20"/>
                <w:szCs w:val="20"/>
                <w:color w:val="auto"/>
              </w:rPr>
            </w:pPr>
            <w:r>
              <w:rPr>
                <w:rFonts w:ascii="Arial" w:cs="Arial" w:eastAsia="Arial" w:hAnsi="Arial"/>
                <w:sz w:val="16"/>
                <w:szCs w:val="16"/>
                <w:b w:val="1"/>
                <w:bCs w:val="1"/>
                <w:color w:val="auto"/>
              </w:rPr>
              <w:t>13200 Pioneer Trail</w:t>
            </w:r>
          </w:p>
        </w:tc>
        <w:tc>
          <w:tcPr>
            <w:tcW w:w="220" w:type="dxa"/>
            <w:vAlign w:val="bottom"/>
          </w:tcPr>
          <w:p>
            <w:pPr>
              <w:spacing w:after="0"/>
              <w:rPr>
                <w:sz w:val="23"/>
                <w:szCs w:val="23"/>
                <w:color w:val="auto"/>
              </w:rPr>
            </w:pPr>
          </w:p>
        </w:tc>
        <w:tc>
          <w:tcPr>
            <w:tcW w:w="2380" w:type="dxa"/>
            <w:vAlign w:val="bottom"/>
          </w:tcPr>
          <w:p>
            <w:pPr>
              <w:ind w:left="500"/>
              <w:spacing w:after="0"/>
              <w:rPr>
                <w:sz w:val="20"/>
                <w:szCs w:val="20"/>
                <w:color w:val="auto"/>
              </w:rPr>
            </w:pPr>
            <w:r>
              <w:rPr>
                <w:rFonts w:ascii="Arial" w:cs="Arial" w:eastAsia="Arial" w:hAnsi="Arial"/>
                <w:sz w:val="16"/>
                <w:szCs w:val="16"/>
                <w:b w:val="1"/>
                <w:bCs w:val="1"/>
                <w:color w:val="auto"/>
              </w:rPr>
              <w:t>Eden Prairie</w:t>
            </w:r>
          </w:p>
        </w:tc>
        <w:tc>
          <w:tcPr>
            <w:tcW w:w="2100" w:type="dxa"/>
            <w:vAlign w:val="bottom"/>
            <w:gridSpan w:val="3"/>
          </w:tcPr>
          <w:p>
            <w:pPr>
              <w:jc w:val="right"/>
              <w:ind w:right="1220"/>
              <w:spacing w:after="0"/>
              <w:rPr>
                <w:sz w:val="20"/>
                <w:szCs w:val="20"/>
                <w:color w:val="auto"/>
              </w:rPr>
            </w:pPr>
            <w:r>
              <w:rPr>
                <w:rFonts w:ascii="Arial" w:cs="Arial" w:eastAsia="Arial" w:hAnsi="Arial"/>
                <w:sz w:val="16"/>
                <w:szCs w:val="16"/>
                <w:b w:val="1"/>
                <w:bCs w:val="1"/>
                <w:color w:val="auto"/>
              </w:rPr>
              <w:t>Minnesota</w:t>
            </w:r>
          </w:p>
        </w:tc>
        <w:tc>
          <w:tcPr>
            <w:tcW w:w="4840" w:type="dxa"/>
            <w:vAlign w:val="bottom"/>
            <w:gridSpan w:val="3"/>
          </w:tcPr>
          <w:p>
            <w:pPr>
              <w:jc w:val="right"/>
              <w:ind w:right="2200"/>
              <w:spacing w:after="0"/>
              <w:rPr>
                <w:sz w:val="20"/>
                <w:szCs w:val="20"/>
                <w:color w:val="auto"/>
              </w:rPr>
            </w:pPr>
            <w:r>
              <w:rPr>
                <w:rFonts w:ascii="Arial" w:cs="Arial" w:eastAsia="Arial" w:hAnsi="Arial"/>
                <w:sz w:val="16"/>
                <w:szCs w:val="16"/>
                <w:b w:val="1"/>
                <w:bCs w:val="1"/>
                <w:color w:val="auto"/>
              </w:rPr>
              <w:t>55347</w:t>
            </w:r>
          </w:p>
        </w:tc>
      </w:tr>
      <w:tr>
        <w:trPr>
          <w:trHeight w:val="206"/>
        </w:trPr>
        <w:tc>
          <w:tcPr>
            <w:tcW w:w="4320" w:type="dxa"/>
            <w:vAlign w:val="bottom"/>
            <w:tcBorders>
              <w:top w:val="single" w:sz="8" w:color="auto"/>
            </w:tcBorders>
            <w:gridSpan w:val="3"/>
          </w:tcPr>
          <w:p>
            <w:pPr>
              <w:jc w:val="center"/>
              <w:ind w:left="1319"/>
              <w:spacing w:after="0"/>
              <w:rPr>
                <w:sz w:val="20"/>
                <w:szCs w:val="20"/>
                <w:color w:val="auto"/>
              </w:rPr>
            </w:pPr>
            <w:r>
              <w:rPr>
                <w:rFonts w:ascii="Arial" w:cs="Arial" w:eastAsia="Arial" w:hAnsi="Arial"/>
                <w:sz w:val="16"/>
                <w:szCs w:val="16"/>
                <w:color w:val="auto"/>
              </w:rPr>
              <w:t>(Address of principal executive offices)</w:t>
            </w:r>
          </w:p>
        </w:tc>
        <w:tc>
          <w:tcPr>
            <w:tcW w:w="4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7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color w:val="auto"/>
              </w:rPr>
              <w:t>(Zip Code)</w:t>
            </w:r>
          </w:p>
        </w:tc>
      </w:tr>
      <w:tr>
        <w:trPr>
          <w:trHeight w:val="273"/>
        </w:trPr>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6"/>
                <w:szCs w:val="16"/>
                <w:b w:val="1"/>
                <w:bCs w:val="1"/>
                <w:color w:val="auto"/>
              </w:rPr>
              <w:t>952-829-8600</w:t>
            </w:r>
          </w:p>
        </w:tc>
        <w:tc>
          <w:tcPr>
            <w:tcW w:w="8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spacing w:after="0"/>
              <w:rPr>
                <w:sz w:val="23"/>
                <w:szCs w:val="23"/>
                <w:color w:val="auto"/>
              </w:rPr>
            </w:pPr>
          </w:p>
        </w:tc>
        <w:tc>
          <w:tcPr>
            <w:tcW w:w="2260" w:type="dxa"/>
            <w:vAlign w:val="bottom"/>
          </w:tcPr>
          <w:p>
            <w:pPr>
              <w:spacing w:after="0"/>
              <w:rPr>
                <w:sz w:val="23"/>
                <w:szCs w:val="23"/>
                <w:color w:val="auto"/>
              </w:rPr>
            </w:pPr>
          </w:p>
        </w:tc>
      </w:tr>
      <w:tr>
        <w:trPr>
          <w:trHeight w:val="193"/>
        </w:trPr>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320" w:type="dxa"/>
            <w:vAlign w:val="bottom"/>
            <w:gridSpan w:val="7"/>
          </w:tcPr>
          <w:p>
            <w:pPr>
              <w:jc w:val="center"/>
              <w:ind w:right="1960"/>
              <w:spacing w:after="0"/>
              <w:rPr>
                <w:sz w:val="20"/>
                <w:szCs w:val="20"/>
                <w:color w:val="auto"/>
              </w:rPr>
            </w:pPr>
            <w:r>
              <w:rPr>
                <w:rFonts w:ascii="Arial" w:cs="Arial" w:eastAsia="Arial" w:hAnsi="Arial"/>
                <w:sz w:val="16"/>
                <w:szCs w:val="16"/>
                <w:color w:val="auto"/>
              </w:rPr>
              <w:t>(Registrant's telephone number, including area code)</w:t>
            </w:r>
          </w:p>
        </w:tc>
      </w:tr>
      <w:tr>
        <w:trPr>
          <w:trHeight w:val="527"/>
        </w:trPr>
        <w:tc>
          <w:tcPr>
            <w:tcW w:w="432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3"/>
        </w:trPr>
        <w:tc>
          <w:tcPr>
            <w:tcW w:w="17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gridSpan w:val="2"/>
          </w:tcPr>
          <w:p>
            <w:pPr>
              <w:spacing w:after="0"/>
              <w:rPr>
                <w:sz w:val="2"/>
                <w:szCs w:val="2"/>
                <w:color w:val="auto"/>
              </w:rPr>
            </w:pPr>
          </w:p>
        </w:tc>
      </w:tr>
      <w:tr>
        <w:trPr>
          <w:trHeight w:val="207"/>
        </w:trPr>
        <w:tc>
          <w:tcPr>
            <w:tcW w:w="1720" w:type="dxa"/>
            <w:vAlign w:val="bottom"/>
            <w:tcBorders>
              <w:left w:val="single" w:sz="8" w:color="auto"/>
              <w:bottom w:val="single" w:sz="8" w:color="auto"/>
            </w:tcBorders>
          </w:tcPr>
          <w:p>
            <w:pPr>
              <w:spacing w:after="0"/>
              <w:rPr>
                <w:sz w:val="17"/>
                <w:szCs w:val="17"/>
                <w:color w:val="auto"/>
              </w:rPr>
            </w:pPr>
          </w:p>
        </w:tc>
        <w:tc>
          <w:tcPr>
            <w:tcW w:w="2600" w:type="dxa"/>
            <w:vAlign w:val="bottom"/>
            <w:tcBorders>
              <w:bottom w:val="single" w:sz="8" w:color="auto"/>
            </w:tcBorders>
            <w:gridSpan w:val="2"/>
          </w:tcPr>
          <w:p>
            <w:pPr>
              <w:jc w:val="center"/>
              <w:ind w:right="1179"/>
              <w:spacing w:after="0"/>
              <w:rPr>
                <w:sz w:val="20"/>
                <w:szCs w:val="20"/>
                <w:color w:val="auto"/>
              </w:rPr>
            </w:pPr>
            <w:r>
              <w:rPr>
                <w:rFonts w:ascii="Arial" w:cs="Arial" w:eastAsia="Arial" w:hAnsi="Arial"/>
                <w:sz w:val="16"/>
                <w:szCs w:val="16"/>
                <w:color w:val="auto"/>
              </w:rPr>
              <w:t>Title of each class</w:t>
            </w:r>
          </w:p>
        </w:tc>
        <w:tc>
          <w:tcPr>
            <w:tcW w:w="46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9"/>
              </w:rPr>
              <w:t>Trading Symbol(s)</w:t>
            </w:r>
          </w:p>
        </w:tc>
        <w:tc>
          <w:tcPr>
            <w:tcW w:w="80" w:type="dxa"/>
            <w:vAlign w:val="bottom"/>
            <w:tcBorders>
              <w:bottom w:val="single" w:sz="8" w:color="auto"/>
              <w:right w:val="single" w:sz="8" w:color="auto"/>
            </w:tcBorders>
          </w:tcPr>
          <w:p>
            <w:pPr>
              <w:spacing w:after="0"/>
              <w:rPr>
                <w:sz w:val="17"/>
                <w:szCs w:val="17"/>
                <w:color w:val="auto"/>
              </w:rPr>
            </w:pPr>
          </w:p>
        </w:tc>
        <w:tc>
          <w:tcPr>
            <w:tcW w:w="47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320" w:type="dxa"/>
            <w:vAlign w:val="bottom"/>
            <w:tcBorders>
              <w:left w:val="single" w:sz="8" w:color="auto"/>
              <w:bottom w:val="single" w:sz="8" w:color="auto"/>
            </w:tcBorders>
            <w:gridSpan w:val="3"/>
          </w:tcPr>
          <w:p>
            <w:pPr>
              <w:jc w:val="center"/>
              <w:ind w:left="379"/>
              <w:spacing w:after="0"/>
              <w:rPr>
                <w:sz w:val="20"/>
                <w:szCs w:val="20"/>
                <w:color w:val="auto"/>
              </w:rPr>
            </w:pPr>
            <w:r>
              <w:rPr>
                <w:rFonts w:ascii="Arial" w:cs="Arial" w:eastAsia="Arial" w:hAnsi="Arial"/>
                <w:sz w:val="16"/>
                <w:szCs w:val="16"/>
                <w:color w:val="auto"/>
              </w:rPr>
              <w:t>Common Stock, $0.50 par value per share</w:t>
            </w:r>
          </w:p>
        </w:tc>
        <w:tc>
          <w:tcPr>
            <w:tcW w:w="4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WGO</w:t>
            </w:r>
          </w:p>
        </w:tc>
        <w:tc>
          <w:tcPr>
            <w:tcW w:w="8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New York Stock Exchange</w:t>
            </w:r>
          </w:p>
        </w:tc>
      </w:tr>
    </w:tbl>
    <w:p>
      <w:pPr>
        <w:spacing w:after="0" w:line="326" w:lineRule="exact"/>
        <w:rPr>
          <w:sz w:val="24"/>
          <w:szCs w:val="24"/>
          <w:color w:val="auto"/>
        </w:rPr>
      </w:pPr>
    </w:p>
    <w:p>
      <w:pPr>
        <w:jc w:val="both"/>
        <w:ind w:right="48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4" w:lineRule="exact"/>
        <w:rPr>
          <w:sz w:val="24"/>
          <w:szCs w:val="24"/>
          <w:color w:val="auto"/>
        </w:rPr>
      </w:pPr>
    </w:p>
    <w:p>
      <w:pPr>
        <w:ind w:right="24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5" w:lineRule="exact"/>
        <w:rPr>
          <w:sz w:val="24"/>
          <w:szCs w:val="24"/>
          <w:color w:val="auto"/>
        </w:rPr>
      </w:pPr>
    </w:p>
    <w:p>
      <w:pPr>
        <w:ind w:right="40"/>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9" w:lineRule="exact"/>
        <w:rPr>
          <w:sz w:val="24"/>
          <w:szCs w:val="24"/>
          <w:color w:val="auto"/>
        </w:rPr>
      </w:pPr>
    </w:p>
    <w:p>
      <w:pPr>
        <w:spacing w:after="0" w:line="184" w:lineRule="exact"/>
        <w:tabs>
          <w:tab w:leader="none" w:pos="2020" w:val="left"/>
          <w:tab w:leader="none" w:pos="36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43" w:lineRule="exact"/>
        <w:rPr>
          <w:sz w:val="24"/>
          <w:szCs w:val="24"/>
          <w:color w:val="auto"/>
        </w:rPr>
      </w:pPr>
    </w:p>
    <w:p>
      <w:pPr>
        <w:ind w:left="180"/>
        <w:spacing w:after="0" w:line="184" w:lineRule="exact"/>
        <w:tabs>
          <w:tab w:leader="none" w:pos="2760" w:val="left"/>
        </w:tabs>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5"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90" w:lineRule="exact"/>
        <w:rPr>
          <w:sz w:val="24"/>
          <w:szCs w:val="24"/>
          <w:color w:val="auto"/>
        </w:rPr>
      </w:pPr>
    </w:p>
    <w:p>
      <w:pPr>
        <w:spacing w:after="0"/>
        <w:rPr>
          <w:sz w:val="20"/>
          <w:szCs w:val="20"/>
          <w:color w:val="auto"/>
        </w:rPr>
      </w:pPr>
      <w:r>
        <w:rPr>
          <w:rFonts w:ascii="Arial" w:cs="Arial" w:eastAsia="Arial" w:hAnsi="Arial"/>
          <w:sz w:val="16"/>
          <w:szCs w:val="16"/>
          <w:color w:val="auto"/>
        </w:rPr>
        <w:t>As of March 16, 2023, there were 30,556,243 shares of common stock, par value $0.50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on Form 10-Q</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February 25, 2023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gridSpan w:val="4"/>
          </w:tcPr>
          <w:p>
            <w:pPr>
              <w:spacing w:after="0"/>
              <w:rPr>
                <w:sz w:val="20"/>
                <w:szCs w:val="20"/>
                <w:color w:val="auto"/>
              </w:rPr>
            </w:pPr>
            <w:r>
              <w:rPr>
                <w:rFonts w:ascii="Arial" w:cs="Arial" w:eastAsia="Arial" w:hAnsi="Arial"/>
                <w:sz w:val="16"/>
                <w:szCs w:val="16"/>
                <w:b w:val="1"/>
                <w:bCs w:val="1"/>
                <w:color w:val="0000FF"/>
              </w:rPr>
              <w:t>PART I.</w:t>
            </w:r>
          </w:p>
        </w:tc>
        <w:tc>
          <w:tcPr>
            <w:tcW w:w="6400" w:type="dxa"/>
            <w:vAlign w:val="bottom"/>
            <w:gridSpan w:val="17"/>
          </w:tcPr>
          <w:p>
            <w:pPr>
              <w:spacing w:after="0"/>
              <w:rPr>
                <w:sz w:val="20"/>
                <w:szCs w:val="20"/>
                <w:color w:val="auto"/>
              </w:rPr>
            </w:pPr>
            <w:r>
              <w:rPr>
                <w:rFonts w:ascii="Arial" w:cs="Arial" w:eastAsia="Arial" w:hAnsi="Arial"/>
                <w:sz w:val="16"/>
                <w:szCs w:val="16"/>
                <w:b w:val="1"/>
                <w:bCs w:val="1"/>
                <w:color w:val="0000FF"/>
              </w:rPr>
              <w:t>FINANCIAL INFORMATION</w:t>
            </w: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20"/>
                <w:szCs w:val="20"/>
                <w:color w:val="auto"/>
              </w:rPr>
            </w:pPr>
            <w:r>
              <w:rPr>
                <w:rFonts w:ascii="Arial" w:cs="Arial" w:eastAsia="Arial" w:hAnsi="Arial"/>
                <w:sz w:val="16"/>
                <w:szCs w:val="16"/>
                <w:color w:val="0000FF"/>
                <w:w w:val="93"/>
              </w:rPr>
              <w:t>Item 1.</w:t>
            </w:r>
          </w:p>
        </w:tc>
        <w:tc>
          <w:tcPr>
            <w:tcW w:w="460" w:type="dxa"/>
            <w:vAlign w:val="bottom"/>
            <w:gridSpan w:val="3"/>
          </w:tcPr>
          <w:p>
            <w:pPr>
              <w:spacing w:after="0"/>
              <w:rPr>
                <w:sz w:val="17"/>
                <w:szCs w:val="17"/>
                <w:color w:val="auto"/>
              </w:rPr>
            </w:pPr>
          </w:p>
        </w:tc>
        <w:tc>
          <w:tcPr>
            <w:tcW w:w="6400" w:type="dxa"/>
            <w:vAlign w:val="bottom"/>
            <w:gridSpan w:val="17"/>
          </w:tcPr>
          <w:p>
            <w:pPr>
              <w:spacing w:after="0"/>
              <w:rPr>
                <w:sz w:val="20"/>
                <w:szCs w:val="20"/>
                <w:color w:val="auto"/>
              </w:rPr>
            </w:pPr>
            <w:r>
              <w:rPr>
                <w:rFonts w:ascii="Arial" w:cs="Arial" w:eastAsia="Arial" w:hAnsi="Arial"/>
                <w:sz w:val="16"/>
                <w:szCs w:val="16"/>
                <w:color w:val="0000FF"/>
              </w:rPr>
              <w:t>Consolidated Financial Statements</w:t>
            </w: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9"/>
          </w:tcPr>
          <w:p>
            <w:pPr>
              <w:spacing w:after="0"/>
              <w:rPr>
                <w:sz w:val="20"/>
                <w:szCs w:val="20"/>
                <w:color w:val="auto"/>
              </w:rPr>
            </w:pPr>
            <w:r>
              <w:rPr>
                <w:rFonts w:ascii="Arial" w:cs="Arial" w:eastAsia="Arial" w:hAnsi="Arial"/>
                <w:sz w:val="16"/>
                <w:szCs w:val="16"/>
                <w:color w:val="0000FF"/>
              </w:rPr>
              <w:t>Consolidated Statements of Income</w:t>
            </w:r>
          </w:p>
        </w:tc>
        <w:tc>
          <w:tcPr>
            <w:tcW w:w="3640" w:type="dxa"/>
            <w:vAlign w:val="bottom"/>
            <w:gridSpan w:val="6"/>
          </w:tcPr>
          <w:p>
            <w:pPr>
              <w:spacing w:after="0"/>
              <w:rPr>
                <w:sz w:val="17"/>
                <w:szCs w:val="17"/>
                <w:color w:val="auto"/>
              </w:rPr>
            </w:pP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7"/>
          </w:tcPr>
          <w:p>
            <w:pPr>
              <w:spacing w:after="0"/>
              <w:rPr>
                <w:sz w:val="20"/>
                <w:szCs w:val="20"/>
                <w:color w:val="auto"/>
              </w:rPr>
            </w:pPr>
            <w:r>
              <w:rPr>
                <w:rFonts w:ascii="Arial" w:cs="Arial" w:eastAsia="Arial" w:hAnsi="Arial"/>
                <w:sz w:val="16"/>
                <w:szCs w:val="16"/>
                <w:color w:val="0000FF"/>
              </w:rPr>
              <w:t>Consolidated Balance Sheets</w:t>
            </w:r>
          </w:p>
        </w:tc>
        <w:tc>
          <w:tcPr>
            <w:tcW w:w="440" w:type="dxa"/>
            <w:vAlign w:val="bottom"/>
            <w:gridSpan w:val="2"/>
          </w:tcPr>
          <w:p>
            <w:pPr>
              <w:spacing w:after="0"/>
              <w:rPr>
                <w:sz w:val="17"/>
                <w:szCs w:val="17"/>
                <w:color w:val="auto"/>
              </w:rPr>
            </w:pPr>
          </w:p>
        </w:tc>
        <w:tc>
          <w:tcPr>
            <w:tcW w:w="3640" w:type="dxa"/>
            <w:vAlign w:val="bottom"/>
            <w:gridSpan w:val="6"/>
          </w:tcPr>
          <w:p>
            <w:pPr>
              <w:spacing w:after="0"/>
              <w:rPr>
                <w:sz w:val="17"/>
                <w:szCs w:val="17"/>
                <w:color w:val="auto"/>
              </w:rPr>
            </w:pP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4</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10"/>
          </w:tcPr>
          <w:p>
            <w:pPr>
              <w:spacing w:after="0"/>
              <w:rPr>
                <w:sz w:val="20"/>
                <w:szCs w:val="20"/>
                <w:color w:val="auto"/>
              </w:rPr>
            </w:pPr>
            <w:r>
              <w:rPr>
                <w:rFonts w:ascii="Arial" w:cs="Arial" w:eastAsia="Arial" w:hAnsi="Arial"/>
                <w:sz w:val="16"/>
                <w:szCs w:val="16"/>
                <w:color w:val="0000FF"/>
              </w:rPr>
              <w:t>Consolidated Statements of Cash Flows</w:t>
            </w:r>
          </w:p>
        </w:tc>
        <w:tc>
          <w:tcPr>
            <w:tcW w:w="3320" w:type="dxa"/>
            <w:vAlign w:val="bottom"/>
            <w:gridSpan w:val="5"/>
          </w:tcPr>
          <w:p>
            <w:pPr>
              <w:spacing w:after="0"/>
              <w:rPr>
                <w:sz w:val="17"/>
                <w:szCs w:val="17"/>
                <w:color w:val="auto"/>
              </w:rPr>
            </w:pP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5</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0" w:type="dxa"/>
            <w:vAlign w:val="bottom"/>
            <w:gridSpan w:val="15"/>
          </w:tcPr>
          <w:p>
            <w:pPr>
              <w:spacing w:after="0"/>
              <w:rPr>
                <w:sz w:val="20"/>
                <w:szCs w:val="20"/>
                <w:color w:val="auto"/>
              </w:rPr>
            </w:pPr>
            <w:r>
              <w:rPr>
                <w:rFonts w:ascii="Arial" w:cs="Arial" w:eastAsia="Arial" w:hAnsi="Arial"/>
                <w:sz w:val="16"/>
                <w:szCs w:val="16"/>
                <w:color w:val="0000FF"/>
              </w:rPr>
              <w:t>Consolidated Statements of Changes in Shareholders' Equity</w:t>
            </w: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7</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gridSpan w:val="14"/>
          </w:tcPr>
          <w:p>
            <w:pPr>
              <w:spacing w:after="0"/>
              <w:rPr>
                <w:sz w:val="20"/>
                <w:szCs w:val="20"/>
                <w:color w:val="auto"/>
              </w:rPr>
            </w:pPr>
            <w:r>
              <w:rPr>
                <w:rFonts w:ascii="Arial" w:cs="Arial" w:eastAsia="Arial" w:hAnsi="Arial"/>
                <w:sz w:val="16"/>
                <w:szCs w:val="16"/>
                <w:color w:val="0000FF"/>
              </w:rPr>
              <w:t>Notes to Consolidated Financial Statements</w:t>
            </w:r>
          </w:p>
        </w:tc>
        <w:tc>
          <w:tcPr>
            <w:tcW w:w="1820" w:type="dxa"/>
            <w:vAlign w:val="bottom"/>
          </w:tcPr>
          <w:p>
            <w:pPr>
              <w:spacing w:after="0"/>
              <w:rPr>
                <w:sz w:val="17"/>
                <w:szCs w:val="17"/>
                <w:color w:val="auto"/>
              </w:rPr>
            </w:pP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9</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sz w:val="20"/>
                <w:szCs w:val="20"/>
                <w:color w:val="auto"/>
              </w:rPr>
            </w:pPr>
            <w:r>
              <w:rPr>
                <w:rFonts w:ascii="Arial" w:cs="Arial" w:eastAsia="Arial" w:hAnsi="Arial"/>
                <w:sz w:val="16"/>
                <w:szCs w:val="16"/>
                <w:color w:val="0000FF"/>
              </w:rPr>
              <w:t>Item 2.</w:t>
            </w:r>
          </w:p>
        </w:tc>
        <w:tc>
          <w:tcPr>
            <w:tcW w:w="6400" w:type="dxa"/>
            <w:vAlign w:val="bottom"/>
            <w:gridSpan w:val="17"/>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23</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20" w:type="dxa"/>
            <w:vAlign w:val="bottom"/>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6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Item 3.</w:t>
            </w:r>
          </w:p>
        </w:tc>
        <w:tc>
          <w:tcPr>
            <w:tcW w:w="360" w:type="dxa"/>
            <w:vAlign w:val="bottom"/>
            <w:gridSpan w:val="2"/>
          </w:tcPr>
          <w:p>
            <w:pPr>
              <w:spacing w:after="0"/>
              <w:rPr>
                <w:sz w:val="17"/>
                <w:szCs w:val="17"/>
                <w:color w:val="auto"/>
              </w:rPr>
            </w:pPr>
          </w:p>
        </w:tc>
        <w:tc>
          <w:tcPr>
            <w:tcW w:w="424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160" w:type="dxa"/>
            <w:vAlign w:val="bottom"/>
            <w:gridSpan w:val="3"/>
          </w:tcPr>
          <w:p>
            <w:pPr>
              <w:spacing w:after="0"/>
              <w:rPr>
                <w:sz w:val="17"/>
                <w:szCs w:val="17"/>
                <w:color w:val="auto"/>
              </w:rPr>
            </w:pP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34</w:t>
            </w:r>
          </w:p>
        </w:tc>
      </w:tr>
      <w:tr>
        <w:trPr>
          <w:trHeight w:val="196"/>
        </w:trPr>
        <w:tc>
          <w:tcPr>
            <w:tcW w:w="960" w:type="dxa"/>
            <w:vAlign w:val="bottom"/>
            <w:gridSpan w:val="4"/>
          </w:tcPr>
          <w:p>
            <w:pPr>
              <w:spacing w:after="0"/>
              <w:rPr>
                <w:sz w:val="20"/>
                <w:szCs w:val="20"/>
                <w:color w:val="auto"/>
              </w:rPr>
            </w:pPr>
            <w:r>
              <w:rPr>
                <w:rFonts w:ascii="Arial" w:cs="Arial" w:eastAsia="Arial" w:hAnsi="Arial"/>
                <w:sz w:val="16"/>
                <w:szCs w:val="16"/>
                <w:color w:val="0000FF"/>
              </w:rPr>
              <w:t>Item 4.</w:t>
            </w:r>
          </w:p>
        </w:tc>
        <w:tc>
          <w:tcPr>
            <w:tcW w:w="6400" w:type="dxa"/>
            <w:vAlign w:val="bottom"/>
            <w:gridSpan w:val="17"/>
          </w:tcPr>
          <w:p>
            <w:pPr>
              <w:spacing w:after="0"/>
              <w:rPr>
                <w:sz w:val="20"/>
                <w:szCs w:val="20"/>
                <w:color w:val="auto"/>
              </w:rPr>
            </w:pPr>
            <w:r>
              <w:rPr>
                <w:rFonts w:ascii="Arial" w:cs="Arial" w:eastAsia="Arial" w:hAnsi="Arial"/>
                <w:sz w:val="16"/>
                <w:szCs w:val="16"/>
                <w:color w:val="0000FF"/>
              </w:rPr>
              <w:t>Controls and Procedures.</w:t>
            </w: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34</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6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b w:val="1"/>
                <w:bCs w:val="1"/>
                <w:color w:val="0000FF"/>
                <w:w w:val="97"/>
              </w:rPr>
              <w:t>PART II.</w:t>
            </w:r>
          </w:p>
        </w:tc>
        <w:tc>
          <w:tcPr>
            <w:tcW w:w="340" w:type="dxa"/>
            <w:vAlign w:val="bottom"/>
          </w:tcPr>
          <w:p>
            <w:pPr>
              <w:spacing w:after="0"/>
              <w:rPr>
                <w:sz w:val="24"/>
                <w:szCs w:val="24"/>
                <w:color w:val="auto"/>
              </w:rPr>
            </w:pPr>
          </w:p>
        </w:tc>
        <w:tc>
          <w:tcPr>
            <w:tcW w:w="174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b w:val="1"/>
                <w:bCs w:val="1"/>
                <w:color w:val="0000FF"/>
                <w:w w:val="99"/>
              </w:rPr>
              <w:t>OTHER INFORMATION</w:t>
            </w:r>
          </w:p>
        </w:tc>
        <w:tc>
          <w:tcPr>
            <w:tcW w:w="4660" w:type="dxa"/>
            <w:vAlign w:val="bottom"/>
            <w:gridSpan w:val="11"/>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35</w:t>
            </w:r>
          </w:p>
        </w:tc>
      </w:tr>
      <w:tr>
        <w:trPr>
          <w:trHeight w:val="196"/>
        </w:trPr>
        <w:tc>
          <w:tcPr>
            <w:tcW w:w="6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Item 1.</w:t>
            </w:r>
          </w:p>
        </w:tc>
        <w:tc>
          <w:tcPr>
            <w:tcW w:w="360" w:type="dxa"/>
            <w:vAlign w:val="bottom"/>
            <w:gridSpan w:val="2"/>
          </w:tcPr>
          <w:p>
            <w:pPr>
              <w:spacing w:after="0"/>
              <w:rPr>
                <w:sz w:val="17"/>
                <w:szCs w:val="17"/>
                <w:color w:val="auto"/>
              </w:rPr>
            </w:pPr>
          </w:p>
        </w:tc>
        <w:tc>
          <w:tcPr>
            <w:tcW w:w="138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9"/>
              </w:rPr>
              <w:t>Legal Proceedings.</w:t>
            </w:r>
          </w:p>
        </w:tc>
        <w:tc>
          <w:tcPr>
            <w:tcW w:w="5020" w:type="dxa"/>
            <w:vAlign w:val="bottom"/>
            <w:gridSpan w:val="12"/>
          </w:tcPr>
          <w:p>
            <w:pPr>
              <w:spacing w:after="0"/>
              <w:rPr>
                <w:sz w:val="17"/>
                <w:szCs w:val="17"/>
                <w:color w:val="auto"/>
              </w:rPr>
            </w:pP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35</w:t>
            </w:r>
          </w:p>
        </w:tc>
      </w:tr>
      <w:tr>
        <w:trPr>
          <w:trHeight w:val="196"/>
        </w:trPr>
        <w:tc>
          <w:tcPr>
            <w:tcW w:w="960" w:type="dxa"/>
            <w:vAlign w:val="bottom"/>
            <w:gridSpan w:val="4"/>
          </w:tcPr>
          <w:p>
            <w:pPr>
              <w:spacing w:after="0"/>
              <w:rPr>
                <w:sz w:val="20"/>
                <w:szCs w:val="20"/>
                <w:color w:val="auto"/>
              </w:rPr>
            </w:pPr>
            <w:r>
              <w:rPr>
                <w:rFonts w:ascii="Arial" w:cs="Arial" w:eastAsia="Arial" w:hAnsi="Arial"/>
                <w:sz w:val="16"/>
                <w:szCs w:val="16"/>
                <w:color w:val="0000FF"/>
              </w:rPr>
              <w:t>Item 1A.</w:t>
            </w:r>
          </w:p>
        </w:tc>
        <w:tc>
          <w:tcPr>
            <w:tcW w:w="6400" w:type="dxa"/>
            <w:vAlign w:val="bottom"/>
            <w:gridSpan w:val="17"/>
          </w:tcPr>
          <w:p>
            <w:pPr>
              <w:spacing w:after="0"/>
              <w:rPr>
                <w:sz w:val="20"/>
                <w:szCs w:val="20"/>
                <w:color w:val="auto"/>
              </w:rPr>
            </w:pPr>
            <w:r>
              <w:rPr>
                <w:rFonts w:ascii="Arial" w:cs="Arial" w:eastAsia="Arial" w:hAnsi="Arial"/>
                <w:sz w:val="16"/>
                <w:szCs w:val="16"/>
                <w:color w:val="0000FF"/>
              </w:rPr>
              <w:t>Risk Factors</w:t>
            </w: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35</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500" w:type="dxa"/>
            <w:vAlign w:val="bottom"/>
            <w:gridSpan w:val="11"/>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60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360" w:type="dxa"/>
            <w:vAlign w:val="bottom"/>
            <w:gridSpan w:val="2"/>
          </w:tcPr>
          <w:p>
            <w:pPr>
              <w:spacing w:after="0"/>
              <w:rPr>
                <w:sz w:val="17"/>
                <w:szCs w:val="17"/>
                <w:color w:val="auto"/>
              </w:rPr>
            </w:pPr>
          </w:p>
        </w:tc>
        <w:tc>
          <w:tcPr>
            <w:tcW w:w="6400" w:type="dxa"/>
            <w:vAlign w:val="bottom"/>
            <w:gridSpan w:val="17"/>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35</w:t>
            </w:r>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840" w:type="dxa"/>
            <w:vAlign w:val="bottom"/>
            <w:gridSpan w:val="12"/>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sz w:val="20"/>
                <w:szCs w:val="20"/>
                <w:color w:val="auto"/>
              </w:rPr>
            </w:pPr>
            <w:r>
              <w:rPr>
                <w:rFonts w:ascii="Arial" w:cs="Arial" w:eastAsia="Arial" w:hAnsi="Arial"/>
                <w:sz w:val="16"/>
                <w:szCs w:val="16"/>
                <w:color w:val="0000FF"/>
              </w:rPr>
              <w:t>Item 6.</w:t>
            </w:r>
          </w:p>
        </w:tc>
        <w:tc>
          <w:tcPr>
            <w:tcW w:w="6400" w:type="dxa"/>
            <w:vAlign w:val="bottom"/>
            <w:gridSpan w:val="17"/>
          </w:tcPr>
          <w:p>
            <w:pPr>
              <w:spacing w:after="0"/>
              <w:rPr>
                <w:sz w:val="20"/>
                <w:szCs w:val="20"/>
                <w:color w:val="auto"/>
              </w:rPr>
            </w:pPr>
            <w:r>
              <w:rPr>
                <w:rFonts w:ascii="Arial" w:cs="Arial" w:eastAsia="Arial" w:hAnsi="Arial"/>
                <w:sz w:val="16"/>
                <w:szCs w:val="16"/>
                <w:color w:val="0000FF"/>
              </w:rPr>
              <w:t>Exhibits</w:t>
            </w:r>
          </w:p>
        </w:tc>
        <w:tc>
          <w:tcPr>
            <w:tcW w:w="3840" w:type="dxa"/>
            <w:vAlign w:val="bottom"/>
            <w:gridSpan w:val="3"/>
          </w:tcPr>
          <w:p>
            <w:pPr>
              <w:jc w:val="right"/>
              <w:spacing w:after="0"/>
              <w:rPr>
                <w:sz w:val="20"/>
                <w:szCs w:val="20"/>
                <w:color w:val="auto"/>
              </w:rPr>
            </w:pPr>
            <w:r>
              <w:rPr>
                <w:rFonts w:ascii="Arial" w:cs="Arial" w:eastAsia="Arial" w:hAnsi="Arial"/>
                <w:sz w:val="16"/>
                <w:szCs w:val="16"/>
                <w:color w:val="0000FF"/>
              </w:rPr>
              <w:t>36</w:t>
            </w:r>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840" w:type="dxa"/>
            <w:vAlign w:val="bottom"/>
            <w:gridSpan w:val="14"/>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106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b w:val="1"/>
                <w:bCs w:val="1"/>
                <w:color w:val="0000FF"/>
                <w:w w:val="99"/>
              </w:rPr>
              <w:t>SIGNATURES</w:t>
            </w:r>
          </w:p>
        </w:tc>
        <w:tc>
          <w:tcPr>
            <w:tcW w:w="6300" w:type="dxa"/>
            <w:vAlign w:val="bottom"/>
            <w:gridSpan w:val="16"/>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12"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446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906"/>
        </w:trPr>
        <w:tc>
          <w:tcPr>
            <w:tcW w:w="446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4460" w:type="dxa"/>
            <w:vAlign w:val="bottom"/>
            <w:gridSpan w:val="2"/>
          </w:tcPr>
          <w:p>
            <w:pPr>
              <w:spacing w:after="0"/>
              <w:rPr>
                <w:sz w:val="20"/>
                <w:szCs w:val="20"/>
                <w:color w:val="auto"/>
              </w:rPr>
            </w:pPr>
            <w:r>
              <w:rPr>
                <w:rFonts w:ascii="Arial" w:cs="Arial" w:eastAsia="Arial" w:hAnsi="Arial"/>
                <w:sz w:val="16"/>
                <w:szCs w:val="16"/>
                <w:b w:val="1"/>
                <w:bCs w:val="1"/>
                <w:color w:val="auto"/>
              </w:rPr>
              <w:t>Item 1. Consolidated Financial Statements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20"/>
        </w:trPr>
        <w:tc>
          <w:tcPr>
            <w:tcW w:w="446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3"/>
        </w:trPr>
        <w:tc>
          <w:tcPr>
            <w:tcW w:w="446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Income</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5"/>
        </w:trPr>
        <w:tc>
          <w:tcPr>
            <w:tcW w:w="446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3"/>
        </w:trPr>
        <w:tc>
          <w:tcPr>
            <w:tcW w:w="12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2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20"/>
                <w:szCs w:val="20"/>
                <w:color w:val="auto"/>
              </w:rPr>
            </w:pPr>
          </w:p>
        </w:tc>
        <w:tc>
          <w:tcPr>
            <w:tcW w:w="31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12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25,</w:t>
            </w: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259"/>
              <w:spacing w:after="0" w:line="158" w:lineRule="exact"/>
              <w:rPr>
                <w:sz w:val="20"/>
                <w:szCs w:val="20"/>
                <w:color w:val="auto"/>
              </w:rPr>
            </w:pPr>
            <w:r>
              <w:rPr>
                <w:rFonts w:ascii="Arial" w:cs="Arial" w:eastAsia="Arial" w:hAnsi="Arial"/>
                <w:sz w:val="16"/>
                <w:szCs w:val="16"/>
                <w:b w:val="1"/>
                <w:bCs w:val="1"/>
                <w:color w:val="auto"/>
              </w:rPr>
              <w:t>February 26,</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25,</w:t>
            </w: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239"/>
              <w:spacing w:after="0" w:line="158" w:lineRule="exact"/>
              <w:rPr>
                <w:sz w:val="20"/>
                <w:szCs w:val="20"/>
                <w:color w:val="auto"/>
              </w:rPr>
            </w:pPr>
            <w:r>
              <w:rPr>
                <w:rFonts w:ascii="Arial" w:cs="Arial" w:eastAsia="Arial" w:hAnsi="Arial"/>
                <w:sz w:val="16"/>
                <w:szCs w:val="16"/>
                <w:b w:val="1"/>
                <w:bCs w:val="1"/>
                <w:color w:val="auto"/>
              </w:rPr>
              <w:t>February 26,</w:t>
            </w:r>
          </w:p>
        </w:tc>
      </w:tr>
      <w:tr>
        <w:trPr>
          <w:trHeight w:val="215"/>
        </w:trPr>
        <w:tc>
          <w:tcPr>
            <w:tcW w:w="4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 except per share data)</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10"/>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2,320.5</w:t>
            </w:r>
          </w:p>
        </w:tc>
      </w:tr>
      <w:tr>
        <w:trPr>
          <w:trHeight w:val="213"/>
        </w:trPr>
        <w:tc>
          <w:tcPr>
            <w:tcW w:w="4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goods sold</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1,874.5</w:t>
            </w:r>
          </w:p>
        </w:tc>
      </w:tr>
      <w:tr>
        <w:trPr>
          <w:trHeight w:val="20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446.0</w:t>
            </w:r>
          </w:p>
        </w:tc>
      </w:tr>
      <w:tr>
        <w:trPr>
          <w:trHeight w:val="209"/>
        </w:trPr>
        <w:tc>
          <w:tcPr>
            <w:tcW w:w="446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146.7</w:t>
            </w: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09"/>
        </w:trPr>
        <w:tc>
          <w:tcPr>
            <w:tcW w:w="4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162.9</w:t>
            </w:r>
          </w:p>
        </w:tc>
      </w:tr>
      <w:tr>
        <w:trPr>
          <w:trHeight w:val="213"/>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283.1</w:t>
            </w:r>
          </w:p>
        </w:tc>
      </w:tr>
      <w:tr>
        <w:trPr>
          <w:trHeight w:val="213"/>
        </w:trPr>
        <w:tc>
          <w:tcPr>
            <w:tcW w:w="446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Non-operating loss</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10"/>
        </w:trPr>
        <w:tc>
          <w:tcPr>
            <w:tcW w:w="4460" w:type="dxa"/>
            <w:vAlign w:val="bottom"/>
            <w:gridSpan w:val="2"/>
          </w:tcPr>
          <w:p>
            <w:pPr>
              <w:ind w:left="20"/>
              <w:spacing w:after="0"/>
              <w:rPr>
                <w:sz w:val="20"/>
                <w:szCs w:val="20"/>
                <w:color w:val="auto"/>
              </w:rPr>
            </w:pPr>
            <w:r>
              <w:rPr>
                <w:rFonts w:ascii="Arial" w:cs="Arial" w:eastAsia="Arial" w:hAnsi="Arial"/>
                <w:sz w:val="16"/>
                <w:szCs w:val="16"/>
                <w:color w:val="auto"/>
              </w:rPr>
              <w:t>Income before income taxes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249.7</w:t>
            </w: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r>
      <w:tr>
        <w:trPr>
          <w:trHeight w:val="213"/>
        </w:trPr>
        <w:tc>
          <w:tcPr>
            <w:tcW w:w="446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w:t>
            </w: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126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4460" w:type="dxa"/>
            <w:vAlign w:val="bottom"/>
            <w:gridSpan w:val="2"/>
          </w:tcPr>
          <w:p>
            <w:pPr>
              <w:ind w:left="20"/>
              <w:spacing w:after="0"/>
              <w:rPr>
                <w:sz w:val="20"/>
                <w:szCs w:val="20"/>
                <w:color w:val="auto"/>
              </w:rPr>
            </w:pPr>
            <w:r>
              <w:rPr>
                <w:rFonts w:ascii="Arial" w:cs="Arial" w:eastAsia="Arial" w:hAnsi="Arial"/>
                <w:sz w:val="16"/>
                <w:szCs w:val="16"/>
                <w:color w:val="auto"/>
              </w:rPr>
              <w:t>Earnings per common share:</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4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r>
      <w:tr>
        <w:trPr>
          <w:trHeight w:val="213"/>
        </w:trPr>
        <w:tc>
          <w:tcPr>
            <w:tcW w:w="4460" w:type="dxa"/>
            <w:vAlign w:val="bottom"/>
            <w:gridSpan w:val="2"/>
          </w:tcPr>
          <w:p>
            <w:pPr>
              <w:ind w:left="220"/>
              <w:spacing w:after="0"/>
              <w:rPr>
                <w:sz w:val="20"/>
                <w:szCs w:val="20"/>
                <w:color w:val="auto"/>
              </w:rPr>
            </w:pPr>
            <w:r>
              <w:rPr>
                <w:rFonts w:ascii="Arial" w:cs="Arial" w:eastAsia="Arial" w:hAnsi="Arial"/>
                <w:sz w:val="16"/>
                <w:szCs w:val="16"/>
                <w:color w:val="auto"/>
              </w:rPr>
              <w:t>Diluted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2.69</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5.58</w:t>
            </w:r>
          </w:p>
        </w:tc>
      </w:tr>
      <w:tr>
        <w:trPr>
          <w:trHeight w:val="260"/>
        </w:trPr>
        <w:tc>
          <w:tcPr>
            <w:tcW w:w="4460" w:type="dxa"/>
            <w:vAlign w:val="bottom"/>
            <w:gridSpan w:val="2"/>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13"/>
        </w:trPr>
        <w:tc>
          <w:tcPr>
            <w:tcW w:w="4460" w:type="dxa"/>
            <w:vAlign w:val="bottom"/>
            <w:gridSpan w:val="2"/>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4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210"/>
        </w:trPr>
        <w:tc>
          <w:tcPr>
            <w:tcW w:w="4460" w:type="dxa"/>
            <w:vAlign w:val="bottom"/>
            <w:gridSpan w:val="2"/>
          </w:tcPr>
          <w:p>
            <w:pPr>
              <w:ind w:left="22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34.2</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786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880"/>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5"/>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Consolidated Balance Sheets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95"/>
        </w:trPr>
        <w:tc>
          <w:tcPr>
            <w:tcW w:w="126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February 25,</w:t>
            </w:r>
          </w:p>
        </w:tc>
        <w:tc>
          <w:tcPr>
            <w:tcW w:w="260" w:type="dxa"/>
            <w:vAlign w:val="bottom"/>
          </w:tcPr>
          <w:p>
            <w:pPr>
              <w:spacing w:after="0"/>
              <w:rPr>
                <w:sz w:val="16"/>
                <w:szCs w:val="16"/>
                <w:color w:val="auto"/>
              </w:rPr>
            </w:pPr>
          </w:p>
        </w:tc>
        <w:tc>
          <w:tcPr>
            <w:tcW w:w="138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27,</w:t>
            </w:r>
          </w:p>
        </w:tc>
      </w:tr>
      <w:tr>
        <w:trPr>
          <w:trHeight w:val="215"/>
        </w:trPr>
        <w:tc>
          <w:tcPr>
            <w:tcW w:w="7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 except per share data)</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0"/>
        </w:trPr>
        <w:tc>
          <w:tcPr>
            <w:tcW w:w="126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rPr>
              <w:t>(Unaudited)</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229.3</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282.2</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Receivables, less allowance for doubtful accounts ($0.5 and $0.6, respectively)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w:t>
            </w: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Inventories,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540.4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525.8</w:t>
            </w:r>
          </w:p>
        </w:tc>
      </w:tr>
      <w:tr>
        <w:trPr>
          <w:trHeight w:val="216"/>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r>
      <w:tr>
        <w:trPr>
          <w:trHeight w:val="209"/>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1,093.8</w:t>
            </w:r>
          </w:p>
        </w:tc>
      </w:tr>
      <w:tr>
        <w:trPr>
          <w:trHeight w:val="212"/>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276.2</w:t>
            </w:r>
          </w:p>
        </w:tc>
      </w:tr>
      <w:tr>
        <w:trPr>
          <w:trHeight w:val="213"/>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484.2</w:t>
            </w:r>
          </w:p>
        </w:tc>
      </w:tr>
      <w:tr>
        <w:trPr>
          <w:trHeight w:val="21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472.4</w:t>
            </w:r>
          </w:p>
        </w:tc>
      </w:tr>
      <w:tr>
        <w:trPr>
          <w:trHeight w:val="213"/>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Investment in life insurance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21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r>
      <w:tr>
        <w:trPr>
          <w:trHeight w:val="213"/>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Deferred income tax assets,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12"/>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2,445.4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2,416.7</w:t>
            </w: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3"/>
        </w:trPr>
        <w:tc>
          <w:tcPr>
            <w:tcW w:w="1260" w:type="dxa"/>
            <w:vAlign w:val="bottom"/>
            <w:shd w:val="clear" w:color="auto" w:fill="CCEEFF"/>
          </w:tcPr>
          <w:p>
            <w:pPr>
              <w:spacing w:after="0"/>
              <w:rPr>
                <w:sz w:val="15"/>
                <w:szCs w:val="15"/>
                <w:color w:val="auto"/>
              </w:rPr>
            </w:pPr>
          </w:p>
        </w:tc>
        <w:tc>
          <w:tcPr>
            <w:tcW w:w="6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165.0</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217.5</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Income taxes payable</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Accrued expenses: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Product warranties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127.9</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Self-insurance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Promotional</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interest and dividends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13"/>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r>
      <w:tr>
        <w:trPr>
          <w:trHeight w:val="20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522.1</w:t>
            </w:r>
          </w:p>
        </w:tc>
      </w:tr>
      <w:tr>
        <w:trPr>
          <w:trHeight w:val="210"/>
        </w:trPr>
        <w:tc>
          <w:tcPr>
            <w:tcW w:w="7860" w:type="dxa"/>
            <w:vAlign w:val="bottom"/>
            <w:gridSpan w:val="2"/>
          </w:tcPr>
          <w:p>
            <w:pPr>
              <w:ind w:left="40"/>
              <w:spacing w:after="0"/>
              <w:rPr>
                <w:sz w:val="20"/>
                <w:szCs w:val="20"/>
                <w:color w:val="auto"/>
              </w:rPr>
            </w:pPr>
            <w:r>
              <w:rPr>
                <w:rFonts w:ascii="Arial" w:cs="Arial" w:eastAsia="Arial" w:hAnsi="Arial"/>
                <w:sz w:val="16"/>
                <w:szCs w:val="16"/>
                <w:color w:val="auto"/>
              </w:rPr>
              <w:t>Long-term debt,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591.0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545.9</w:t>
            </w:r>
          </w:p>
        </w:tc>
      </w:tr>
      <w:tr>
        <w:trPr>
          <w:trHeight w:val="219"/>
        </w:trPr>
        <w:tc>
          <w:tcPr>
            <w:tcW w:w="7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Deferred income tax liabilities, net</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3"/>
        </w:trPr>
        <w:tc>
          <w:tcPr>
            <w:tcW w:w="7860" w:type="dxa"/>
            <w:vAlign w:val="bottom"/>
            <w:gridSpan w:val="2"/>
          </w:tcPr>
          <w:p>
            <w:pPr>
              <w:ind w:left="40"/>
              <w:spacing w:after="0"/>
              <w:rPr>
                <w:sz w:val="20"/>
                <w:szCs w:val="20"/>
                <w:color w:val="auto"/>
              </w:rPr>
            </w:pPr>
            <w:r>
              <w:rPr>
                <w:rFonts w:ascii="Arial" w:cs="Arial" w:eastAsia="Arial" w:hAnsi="Arial"/>
                <w:sz w:val="16"/>
                <w:szCs w:val="16"/>
                <w:color w:val="auto"/>
              </w:rPr>
              <w:t>Unrecognized tax benefits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r>
      <w:tr>
        <w:trPr>
          <w:trHeight w:val="213"/>
        </w:trPr>
        <w:tc>
          <w:tcPr>
            <w:tcW w:w="7860" w:type="dxa"/>
            <w:vAlign w:val="bottom"/>
            <w:gridSpan w:val="2"/>
          </w:tcPr>
          <w:p>
            <w:pPr>
              <w:ind w:left="40"/>
              <w:spacing w:after="0"/>
              <w:rPr>
                <w:sz w:val="20"/>
                <w:szCs w:val="20"/>
                <w:color w:val="auto"/>
              </w:rPr>
            </w:pPr>
            <w:r>
              <w:rPr>
                <w:rFonts w:ascii="Arial" w:cs="Arial" w:eastAsia="Arial" w:hAnsi="Arial"/>
                <w:sz w:val="16"/>
                <w:szCs w:val="16"/>
                <w:color w:val="auto"/>
              </w:rPr>
              <w:t>Deferred compensation benefits, net of current portion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9"/>
        </w:trPr>
        <w:tc>
          <w:tcPr>
            <w:tcW w:w="7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r>
      <w:tr>
        <w:trPr>
          <w:trHeight w:val="209"/>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1,108.1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1,153.7</w:t>
            </w:r>
          </w:p>
        </w:tc>
      </w:tr>
      <w:tr>
        <w:trPr>
          <w:trHeight w:val="19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Contingent liabilities and commitments (Note 11)</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3"/>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Shareholders' equity:</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Preferred stock, par value $0.01: 10.0 shares authorized; Zero shares issued and outstanding</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Common stock, par value $0.50: 120.0 shares authorized; 51.8 shares issued</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256.3</w:t>
            </w: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1,671.0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1,537.5</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7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Treasury stock, at cost: 21.2 and 21.5 shares, respectively</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(556.2)</w:t>
            </w:r>
          </w:p>
        </w:tc>
      </w:tr>
      <w:tr>
        <w:trPr>
          <w:trHeight w:val="212"/>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shareholders'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1,337.3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1,263.0</w:t>
            </w:r>
          </w:p>
        </w:tc>
      </w:tr>
      <w:tr>
        <w:trPr>
          <w:trHeight w:val="210"/>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2,445.4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2,416.7</w:t>
            </w:r>
          </w:p>
        </w:tc>
      </w:tr>
      <w:tr>
        <w:trPr>
          <w:trHeight w:val="20"/>
        </w:trPr>
        <w:tc>
          <w:tcPr>
            <w:tcW w:w="12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86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880"/>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5"/>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3"/>
        </w:trPr>
        <w:tc>
          <w:tcPr>
            <w:tcW w:w="126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126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25,</w:t>
            </w:r>
          </w:p>
        </w:tc>
        <w:tc>
          <w:tcPr>
            <w:tcW w:w="220" w:type="dxa"/>
            <w:vAlign w:val="bottom"/>
          </w:tcPr>
          <w:p>
            <w:pPr>
              <w:spacing w:after="0"/>
              <w:rPr>
                <w:sz w:val="13"/>
                <w:szCs w:val="13"/>
                <w:color w:val="auto"/>
              </w:rPr>
            </w:pPr>
          </w:p>
        </w:tc>
        <w:tc>
          <w:tcPr>
            <w:tcW w:w="1420" w:type="dxa"/>
            <w:vAlign w:val="bottom"/>
          </w:tcPr>
          <w:p>
            <w:pPr>
              <w:jc w:val="right"/>
              <w:ind w:right="259"/>
              <w:spacing w:after="0" w:line="158" w:lineRule="exact"/>
              <w:rPr>
                <w:sz w:val="20"/>
                <w:szCs w:val="20"/>
                <w:color w:val="auto"/>
              </w:rPr>
            </w:pPr>
            <w:r>
              <w:rPr>
                <w:rFonts w:ascii="Arial" w:cs="Arial" w:eastAsia="Arial" w:hAnsi="Arial"/>
                <w:sz w:val="16"/>
                <w:szCs w:val="16"/>
                <w:b w:val="1"/>
                <w:bCs w:val="1"/>
                <w:color w:val="auto"/>
              </w:rPr>
              <w:t>February 26,</w:t>
            </w:r>
          </w:p>
        </w:tc>
      </w:tr>
      <w:tr>
        <w:trPr>
          <w:trHeight w:val="215"/>
        </w:trPr>
        <w:tc>
          <w:tcPr>
            <w:tcW w:w="7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113.0</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190.8</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Non-cash interest expense, net</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Last in, first-out expense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Contingent consideration fair value adjustment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Other, net</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Change in operating assets and liabilities, net of assets and liabilities acquired</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Receivables,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(123.6)</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Inventories,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Income taxes and unrecognized tax benefits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expenses and 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09"/>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46.1</w:t>
            </w:r>
          </w:p>
        </w:tc>
      </w:tr>
      <w:tr>
        <w:trPr>
          <w:trHeight w:val="183"/>
        </w:trPr>
        <w:tc>
          <w:tcPr>
            <w:tcW w:w="1260" w:type="dxa"/>
            <w:vAlign w:val="bottom"/>
            <w:shd w:val="clear" w:color="auto" w:fill="CCEEFF"/>
          </w:tcPr>
          <w:p>
            <w:pPr>
              <w:spacing w:after="0"/>
              <w:rPr>
                <w:sz w:val="15"/>
                <w:szCs w:val="15"/>
                <w:color w:val="auto"/>
              </w:rPr>
            </w:pPr>
          </w:p>
        </w:tc>
        <w:tc>
          <w:tcPr>
            <w:tcW w:w="6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7"/>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Acquisition of business, net of cash acquired</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(228.2)</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9"/>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(271.8)</w:t>
            </w:r>
          </w:p>
        </w:tc>
      </w:tr>
      <w:tr>
        <w:trPr>
          <w:trHeight w:val="183"/>
        </w:trPr>
        <w:tc>
          <w:tcPr>
            <w:tcW w:w="1260" w:type="dxa"/>
            <w:vAlign w:val="bottom"/>
            <w:shd w:val="clear" w:color="auto" w:fill="CCEEFF"/>
          </w:tcPr>
          <w:p>
            <w:pPr>
              <w:spacing w:after="0"/>
              <w:rPr>
                <w:sz w:val="15"/>
                <w:szCs w:val="15"/>
                <w:color w:val="auto"/>
              </w:rPr>
            </w:pPr>
          </w:p>
        </w:tc>
        <w:tc>
          <w:tcPr>
            <w:tcW w:w="6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7"/>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Borrowings on long-term debt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1,943.6</w:t>
            </w: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Repayments on long-term debt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(1,808.5)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(1,943.6)</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of cash dividends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Payments for repurchases of common stock</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(64.2)</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9"/>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(74.1)</w:t>
            </w:r>
          </w:p>
        </w:tc>
      </w:tr>
      <w:tr>
        <w:trPr>
          <w:trHeight w:val="237"/>
        </w:trPr>
        <w:tc>
          <w:tcPr>
            <w:tcW w:w="1260" w:type="dxa"/>
            <w:vAlign w:val="bottom"/>
            <w:shd w:val="clear" w:color="auto" w:fill="CCEEFF"/>
          </w:tcPr>
          <w:p>
            <w:pPr>
              <w:spacing w:after="0"/>
              <w:rPr>
                <w:sz w:val="20"/>
                <w:szCs w:val="20"/>
                <w:color w:val="auto"/>
              </w:rPr>
            </w:pPr>
          </w:p>
        </w:tc>
        <w:tc>
          <w:tcPr>
            <w:tcW w:w="6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bl>
    <w:p>
      <w:pPr>
        <w:spacing w:after="0" w:line="15"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Arial" w:cs="Arial" w:eastAsia="Arial" w:hAnsi="Arial"/>
          <w:sz w:val="16"/>
          <w:szCs w:val="16"/>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beginning of period</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center"/>
              <w:ind w:left="399"/>
              <w:spacing w:after="0"/>
              <w:rPr>
                <w:sz w:val="20"/>
                <w:szCs w:val="20"/>
                <w:color w:val="auto"/>
              </w:rPr>
            </w:pPr>
            <w:r>
              <w:rPr>
                <w:rFonts w:ascii="Arial" w:cs="Arial" w:eastAsia="Arial" w:hAnsi="Arial"/>
                <w:sz w:val="16"/>
                <w:szCs w:val="16"/>
                <w:color w:val="auto"/>
              </w:rPr>
              <w:t>(299.8)</w:t>
            </w:r>
          </w:p>
        </w:tc>
      </w:tr>
      <w:tr>
        <w:trPr>
          <w:trHeight w:val="219"/>
        </w:trPr>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282.2</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color w:val="auto"/>
                <w:w w:val="99"/>
              </w:rPr>
              <w:t>434.6</w:t>
            </w:r>
          </w:p>
        </w:tc>
      </w:tr>
      <w:tr>
        <w:trPr>
          <w:trHeight w:val="210"/>
        </w:trPr>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color w:val="auto"/>
                <w:w w:val="99"/>
              </w:rPr>
              <w:t>134.8</w:t>
            </w:r>
          </w:p>
        </w:tc>
      </w:tr>
      <w:tr>
        <w:trPr>
          <w:trHeight w:val="23"/>
        </w:trPr>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140" w:space="720"/>
            <w:col w:w="338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602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736"/>
        </w:trPr>
        <w:tc>
          <w:tcPr>
            <w:tcW w:w="1260" w:type="dxa"/>
            <w:vAlign w:val="bottom"/>
            <w:tcBorders>
              <w:top w:val="single" w:sz="8" w:color="0000FF"/>
            </w:tcBorders>
          </w:tcPr>
          <w:p>
            <w:pPr>
              <w:spacing w:after="0"/>
              <w:rPr>
                <w:sz w:val="24"/>
                <w:szCs w:val="24"/>
                <w:color w:val="auto"/>
              </w:rPr>
            </w:pPr>
          </w:p>
        </w:tc>
        <w:tc>
          <w:tcPr>
            <w:tcW w:w="47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6020" w:type="dxa"/>
            <w:vAlign w:val="bottom"/>
            <w:gridSpan w:val="2"/>
          </w:tcPr>
          <w:p>
            <w:pPr>
              <w:ind w:left="140"/>
              <w:spacing w:after="0"/>
              <w:rPr>
                <w:sz w:val="20"/>
                <w:szCs w:val="20"/>
                <w:color w:val="auto"/>
              </w:rPr>
            </w:pPr>
            <w:r>
              <w:rPr>
                <w:rFonts w:ascii="Arial" w:cs="Arial" w:eastAsia="Arial" w:hAnsi="Arial"/>
                <w:sz w:val="16"/>
                <w:szCs w:val="16"/>
                <w:color w:val="auto"/>
              </w:rPr>
              <w:t>Income taxes paid, net</w:t>
            </w:r>
          </w:p>
        </w:tc>
        <w:tc>
          <w:tcPr>
            <w:tcW w:w="252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42.0</w:t>
            </w:r>
          </w:p>
        </w:tc>
        <w:tc>
          <w:tcPr>
            <w:tcW w:w="7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71.3</w:t>
            </w:r>
          </w:p>
        </w:tc>
      </w:tr>
      <w:tr>
        <w:trPr>
          <w:trHeight w:val="21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paid</w:t>
            </w:r>
          </w:p>
        </w:tc>
        <w:tc>
          <w:tcPr>
            <w:tcW w:w="2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7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56"/>
        </w:trPr>
        <w:tc>
          <w:tcPr>
            <w:tcW w:w="6020" w:type="dxa"/>
            <w:vAlign w:val="bottom"/>
            <w:gridSpan w:val="2"/>
          </w:tcPr>
          <w:p>
            <w:pPr>
              <w:spacing w:after="0"/>
              <w:rPr>
                <w:sz w:val="22"/>
                <w:szCs w:val="22"/>
                <w:color w:val="auto"/>
              </w:rPr>
            </w:pPr>
          </w:p>
        </w:tc>
        <w:tc>
          <w:tcPr>
            <w:tcW w:w="2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16"/>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6020" w:type="dxa"/>
            <w:vAlign w:val="bottom"/>
            <w:gridSpan w:val="2"/>
          </w:tcPr>
          <w:p>
            <w:pPr>
              <w:ind w:left="140"/>
              <w:spacing w:after="0"/>
              <w:rPr>
                <w:sz w:val="20"/>
                <w:szCs w:val="20"/>
                <w:color w:val="auto"/>
              </w:rPr>
            </w:pPr>
            <w:r>
              <w:rPr>
                <w:rFonts w:ascii="Arial" w:cs="Arial" w:eastAsia="Arial" w:hAnsi="Arial"/>
                <w:sz w:val="16"/>
                <w:szCs w:val="16"/>
                <w:color w:val="auto"/>
              </w:rPr>
              <w:t>Issuance of common stock for acquisition of business</w:t>
            </w:r>
          </w:p>
        </w:tc>
        <w:tc>
          <w:tcPr>
            <w:tcW w:w="252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1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Capital expenditures in accounts payable</w:t>
            </w:r>
          </w:p>
        </w:tc>
        <w:tc>
          <w:tcPr>
            <w:tcW w:w="2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7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6020" w:type="dxa"/>
            <w:vAlign w:val="bottom"/>
            <w:gridSpan w:val="2"/>
          </w:tcPr>
          <w:p>
            <w:pPr>
              <w:ind w:left="140"/>
              <w:spacing w:after="0"/>
              <w:rPr>
                <w:sz w:val="20"/>
                <w:szCs w:val="20"/>
                <w:color w:val="auto"/>
              </w:rPr>
            </w:pPr>
            <w:r>
              <w:rPr>
                <w:rFonts w:ascii="Arial" w:cs="Arial" w:eastAsia="Arial" w:hAnsi="Arial"/>
                <w:sz w:val="16"/>
                <w:szCs w:val="16"/>
                <w:color w:val="auto"/>
              </w:rPr>
              <w:t>Increase in lease assets in exchange for lease liabilities:</w:t>
            </w:r>
          </w:p>
        </w:tc>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60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leases</w:t>
            </w:r>
          </w:p>
        </w:tc>
        <w:tc>
          <w:tcPr>
            <w:tcW w:w="2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7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10"/>
        </w:trPr>
        <w:tc>
          <w:tcPr>
            <w:tcW w:w="6020" w:type="dxa"/>
            <w:vAlign w:val="bottom"/>
            <w:gridSpan w:val="2"/>
          </w:tcPr>
          <w:p>
            <w:pPr>
              <w:ind w:left="220"/>
              <w:spacing w:after="0"/>
              <w:rPr>
                <w:sz w:val="20"/>
                <w:szCs w:val="20"/>
                <w:color w:val="auto"/>
              </w:rPr>
            </w:pPr>
            <w:r>
              <w:rPr>
                <w:rFonts w:ascii="Arial" w:cs="Arial" w:eastAsia="Arial" w:hAnsi="Arial"/>
                <w:sz w:val="16"/>
                <w:szCs w:val="16"/>
                <w:color w:val="auto"/>
              </w:rPr>
              <w:t>Finance leases</w:t>
            </w:r>
          </w:p>
        </w:tc>
        <w:tc>
          <w:tcPr>
            <w:tcW w:w="252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r>
    </w:tbl>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Changes in Shareholders' Equity</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Three Months Ended February 25, 2023</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2680" w:type="dxa"/>
            <w:vAlign w:val="bottom"/>
          </w:tcPr>
          <w:p>
            <w:pPr>
              <w:spacing w:after="0"/>
              <w:rPr>
                <w:sz w:val="24"/>
                <w:szCs w:val="2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4"/>
                <w:szCs w:val="24"/>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vMerge w:val="restart"/>
          </w:tcPr>
          <w:p>
            <w:pPr>
              <w:jc w:val="center"/>
              <w:ind w:right="48"/>
              <w:spacing w:after="0" w:line="122"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4"/>
                <w:szCs w:val="4"/>
                <w:color w:val="auto"/>
              </w:rPr>
            </w:pPr>
          </w:p>
        </w:tc>
        <w:tc>
          <w:tcPr>
            <w:tcW w:w="860" w:type="dxa"/>
            <w:vAlign w:val="bottom"/>
            <w:vMerge w:val="restart"/>
          </w:tcPr>
          <w:p>
            <w:pPr>
              <w:ind w:left="80"/>
              <w:spacing w:after="0" w:line="122"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300" w:type="dxa"/>
            <w:vAlign w:val="bottom"/>
            <w:vMerge w:val="restart"/>
          </w:tcPr>
          <w:p>
            <w:pPr>
              <w:jc w:val="center"/>
              <w:ind w:right="68"/>
              <w:spacing w:after="0" w:line="122" w:lineRule="exact"/>
              <w:rPr>
                <w:sz w:val="20"/>
                <w:szCs w:val="20"/>
                <w:color w:val="auto"/>
              </w:rPr>
            </w:pPr>
            <w:r>
              <w:rPr>
                <w:rFonts w:ascii="Arial" w:cs="Arial" w:eastAsia="Arial" w:hAnsi="Arial"/>
                <w:sz w:val="14"/>
                <w:szCs w:val="14"/>
                <w:b w:val="1"/>
                <w:bCs w:val="1"/>
                <w:color w:val="auto"/>
              </w:rPr>
              <w:t>Comprehensive</w:t>
            </w: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4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48"/>
        </w:trPr>
        <w:tc>
          <w:tcPr>
            <w:tcW w:w="2680" w:type="dxa"/>
            <w:vAlign w:val="bottom"/>
          </w:tcPr>
          <w:p>
            <w:pPr>
              <w:spacing w:after="0"/>
              <w:rPr>
                <w:sz w:val="4"/>
                <w:szCs w:val="4"/>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4"/>
                <w:szCs w:val="4"/>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4"/>
                <w:szCs w:val="4"/>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November 26, 2022</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(554.7)</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1,288.6</w:t>
            </w:r>
          </w:p>
        </w:tc>
        <w:tc>
          <w:tcPr>
            <w:tcW w:w="0" w:type="dxa"/>
            <w:vAlign w:val="bottom"/>
          </w:tcPr>
          <w:p>
            <w:pPr>
              <w:spacing w:after="0"/>
              <w:rPr>
                <w:sz w:val="1"/>
                <w:szCs w:val="1"/>
                <w:color w:val="auto"/>
              </w:rPr>
            </w:pPr>
          </w:p>
        </w:tc>
      </w:tr>
      <w:tr>
        <w:trPr>
          <w:trHeight w:val="196"/>
        </w:trPr>
        <w:tc>
          <w:tcPr>
            <w:tcW w:w="26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3"/>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stock for employee benefit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stock-based awards, net</w:t>
            </w: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8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(0.4)</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3"/>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dividends; $0.27 per</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w:t>
            </w: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80" w:type="dxa"/>
            <w:vAlign w:val="bottom"/>
          </w:tcPr>
          <w:p>
            <w:pPr>
              <w:ind w:left="140"/>
              <w:spacing w:after="0"/>
              <w:rPr>
                <w:sz w:val="20"/>
                <w:szCs w:val="20"/>
                <w:color w:val="auto"/>
              </w:rPr>
            </w:pPr>
            <w:r>
              <w:rPr>
                <w:rFonts w:ascii="Arial" w:cs="Arial" w:eastAsia="Arial" w:hAnsi="Arial"/>
                <w:sz w:val="14"/>
                <w:szCs w:val="14"/>
                <w:color w:val="auto"/>
              </w:rPr>
              <w:t>Total comprehensive income</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0.1</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202"/>
        </w:trPr>
        <w:tc>
          <w:tcPr>
            <w:tcW w:w="2680" w:type="dxa"/>
            <w:vAlign w:val="bottom"/>
          </w:tcPr>
          <w:p>
            <w:pPr>
              <w:ind w:left="20"/>
              <w:spacing w:after="0"/>
              <w:rPr>
                <w:sz w:val="20"/>
                <w:szCs w:val="20"/>
                <w:color w:val="auto"/>
              </w:rPr>
            </w:pPr>
            <w:r>
              <w:rPr>
                <w:rFonts w:ascii="Arial" w:cs="Arial" w:eastAsia="Arial" w:hAnsi="Arial"/>
                <w:sz w:val="14"/>
                <w:szCs w:val="14"/>
                <w:color w:val="auto"/>
              </w:rPr>
              <w:t>Balances at February 25, 2023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1,671.0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(553.1)</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1,337.3</w:t>
            </w: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26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Three Months Ended February 26, 2022</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68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0"/>
                <w:szCs w:val="20"/>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860" w:type="dxa"/>
            <w:vAlign w:val="bottom"/>
          </w:tcPr>
          <w:p>
            <w:pPr>
              <w:jc w:val="center"/>
              <w:ind w:right="48"/>
              <w:spacing w:after="0" w:line="148"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68"/>
              <w:spacing w:after="0" w:line="148" w:lineRule="exact"/>
              <w:rPr>
                <w:sz w:val="20"/>
                <w:szCs w:val="20"/>
                <w:color w:val="auto"/>
              </w:rPr>
            </w:pPr>
            <w:r>
              <w:rPr>
                <w:rFonts w:ascii="Arial" w:cs="Arial" w:eastAsia="Arial" w:hAnsi="Arial"/>
                <w:sz w:val="14"/>
                <w:szCs w:val="14"/>
                <w:b w:val="1"/>
                <w:bCs w:val="1"/>
                <w:color w:val="auto"/>
              </w:rPr>
              <w:t>Comprehensive</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November 27, 2021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(372.6)</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1,159.3</w:t>
            </w:r>
          </w:p>
        </w:tc>
        <w:tc>
          <w:tcPr>
            <w:tcW w:w="0" w:type="dxa"/>
            <w:vAlign w:val="bottom"/>
          </w:tcPr>
          <w:p>
            <w:pPr>
              <w:spacing w:after="0"/>
              <w:rPr>
                <w:sz w:val="1"/>
                <w:szCs w:val="1"/>
                <w:color w:val="auto"/>
              </w:rPr>
            </w:pPr>
          </w:p>
        </w:tc>
      </w:tr>
      <w:tr>
        <w:trPr>
          <w:trHeight w:val="197"/>
        </w:trPr>
        <w:tc>
          <w:tcPr>
            <w:tcW w:w="26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73"/>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stock for employee benefit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stock-based awards, net</w:t>
            </w: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68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(0.6)</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(40.5)</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73"/>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dividends; $0.18 per</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w:t>
            </w: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6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227"/>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February 26,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1,357.8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(412.4)</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1,209.0</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140" w:type="dxa"/>
            <w:vAlign w:val="bottom"/>
            <w:tcBorders>
              <w:top w:val="single" w:sz="8" w:color="CCEEFF"/>
              <w:bottom w:val="single" w:sz="8" w:color="auto"/>
            </w:tcBorders>
            <w:gridSpan w:val="4"/>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6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Six Months Ended February 25, 2023</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68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0"/>
                <w:szCs w:val="20"/>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860" w:type="dxa"/>
            <w:vAlign w:val="bottom"/>
          </w:tcPr>
          <w:p>
            <w:pPr>
              <w:jc w:val="center"/>
              <w:ind w:right="48"/>
              <w:spacing w:after="0" w:line="148"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68"/>
              <w:spacing w:after="0" w:line="148" w:lineRule="exact"/>
              <w:rPr>
                <w:sz w:val="20"/>
                <w:szCs w:val="20"/>
                <w:color w:val="auto"/>
              </w:rPr>
            </w:pPr>
            <w:r>
              <w:rPr>
                <w:rFonts w:ascii="Arial" w:cs="Arial" w:eastAsia="Arial" w:hAnsi="Arial"/>
                <w:sz w:val="14"/>
                <w:szCs w:val="14"/>
                <w:b w:val="1"/>
                <w:bCs w:val="1"/>
                <w:color w:val="auto"/>
              </w:rPr>
              <w:t>Comprehensive</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27, 2022</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1,537.5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(556.2)</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1,263.0</w:t>
            </w:r>
          </w:p>
        </w:tc>
        <w:tc>
          <w:tcPr>
            <w:tcW w:w="0" w:type="dxa"/>
            <w:vAlign w:val="bottom"/>
          </w:tcPr>
          <w:p>
            <w:pPr>
              <w:spacing w:after="0"/>
              <w:rPr>
                <w:sz w:val="1"/>
                <w:szCs w:val="1"/>
                <w:color w:val="auto"/>
              </w:rPr>
            </w:pPr>
          </w:p>
        </w:tc>
      </w:tr>
      <w:tr>
        <w:trPr>
          <w:trHeight w:val="167"/>
        </w:trPr>
        <w:tc>
          <w:tcPr>
            <w:tcW w:w="2680" w:type="dxa"/>
            <w:vAlign w:val="bottom"/>
          </w:tcPr>
          <w:p>
            <w:pPr>
              <w:ind w:left="140"/>
              <w:spacing w:after="0"/>
              <w:rPr>
                <w:sz w:val="20"/>
                <w:szCs w:val="20"/>
                <w:color w:val="auto"/>
              </w:rPr>
            </w:pPr>
            <w:r>
              <w:rPr>
                <w:rFonts w:ascii="Arial" w:cs="Arial" w:eastAsia="Arial" w:hAnsi="Arial"/>
                <w:sz w:val="14"/>
                <w:szCs w:val="14"/>
                <w:color w:val="auto"/>
              </w:rPr>
              <w:t>Adoption of Accounting Standards</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(62.0)</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29.0</w:t>
            </w: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71"/>
        </w:trPr>
        <w:tc>
          <w:tcPr>
            <w:tcW w:w="2680" w:type="dxa"/>
            <w:vAlign w:val="bottom"/>
          </w:tcPr>
          <w:p>
            <w:pPr>
              <w:ind w:left="140"/>
              <w:spacing w:after="0"/>
              <w:rPr>
                <w:sz w:val="20"/>
                <w:szCs w:val="20"/>
                <w:color w:val="auto"/>
              </w:rPr>
            </w:pPr>
            <w:r>
              <w:rPr>
                <w:rFonts w:ascii="Arial" w:cs="Arial" w:eastAsia="Arial" w:hAnsi="Arial"/>
                <w:sz w:val="14"/>
                <w:szCs w:val="14"/>
                <w:color w:val="auto"/>
              </w:rPr>
              <w:t>Update (ASU) 2020-06</w:t>
            </w: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67"/>
        </w:trPr>
        <w:tc>
          <w:tcPr>
            <w:tcW w:w="2680" w:type="dxa"/>
            <w:vAlign w:val="bottom"/>
          </w:tcPr>
          <w:p>
            <w:pPr>
              <w:ind w:left="140"/>
              <w:spacing w:after="0"/>
              <w:rPr>
                <w:sz w:val="20"/>
                <w:szCs w:val="20"/>
                <w:color w:val="auto"/>
              </w:rPr>
            </w:pPr>
            <w:r>
              <w:rPr>
                <w:rFonts w:ascii="Arial" w:cs="Arial" w:eastAsia="Arial" w:hAnsi="Arial"/>
                <w:sz w:val="14"/>
                <w:szCs w:val="14"/>
                <w:color w:val="auto"/>
              </w:rPr>
              <w:t>Issuance of stock for employee benefit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180" w:type="dxa"/>
            <w:vAlign w:val="bottom"/>
          </w:tcPr>
          <w:p>
            <w:pPr>
              <w:spacing w:after="0"/>
              <w:rPr>
                <w:sz w:val="14"/>
                <w:szCs w:val="14"/>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8.0</w:t>
            </w:r>
          </w:p>
        </w:tc>
        <w:tc>
          <w:tcPr>
            <w:tcW w:w="3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1"/>
        </w:trPr>
        <w:tc>
          <w:tcPr>
            <w:tcW w:w="2680" w:type="dxa"/>
            <w:vAlign w:val="bottom"/>
          </w:tcPr>
          <w:p>
            <w:pPr>
              <w:ind w:left="140"/>
              <w:spacing w:after="0"/>
              <w:rPr>
                <w:sz w:val="20"/>
                <w:szCs w:val="20"/>
                <w:color w:val="auto"/>
              </w:rPr>
            </w:pPr>
            <w:r>
              <w:rPr>
                <w:rFonts w:ascii="Arial" w:cs="Arial" w:eastAsia="Arial" w:hAnsi="Arial"/>
                <w:sz w:val="14"/>
                <w:szCs w:val="14"/>
                <w:color w:val="auto"/>
              </w:rPr>
              <w:t>and stock-based awards, net</w:t>
            </w: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67"/>
        </w:trPr>
        <w:tc>
          <w:tcPr>
            <w:tcW w:w="2680" w:type="dxa"/>
            <w:vAlign w:val="bottom"/>
          </w:tcPr>
          <w:p>
            <w:pPr>
              <w:ind w:left="140"/>
              <w:spacing w:after="0"/>
              <w:rPr>
                <w:sz w:val="20"/>
                <w:szCs w:val="20"/>
                <w:color w:val="auto"/>
              </w:rPr>
            </w:pPr>
            <w:r>
              <w:rPr>
                <w:rFonts w:ascii="Arial" w:cs="Arial" w:eastAsia="Arial" w:hAnsi="Arial"/>
                <w:sz w:val="14"/>
                <w:szCs w:val="14"/>
                <w:color w:val="auto"/>
              </w:rPr>
              <w:t>Common stock dividends: $0.27 per</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71"/>
        </w:trPr>
        <w:tc>
          <w:tcPr>
            <w:tcW w:w="2680" w:type="dxa"/>
            <w:vAlign w:val="bottom"/>
          </w:tcPr>
          <w:p>
            <w:pPr>
              <w:ind w:left="140"/>
              <w:spacing w:after="0"/>
              <w:rPr>
                <w:sz w:val="20"/>
                <w:szCs w:val="20"/>
                <w:color w:val="auto"/>
              </w:rPr>
            </w:pPr>
            <w:r>
              <w:rPr>
                <w:rFonts w:ascii="Arial" w:cs="Arial" w:eastAsia="Arial" w:hAnsi="Arial"/>
                <w:sz w:val="14"/>
                <w:szCs w:val="14"/>
                <w:color w:val="auto"/>
              </w:rPr>
              <w:t>share</w:t>
            </w: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comprehensive income</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7"/>
        </w:trPr>
        <w:tc>
          <w:tcPr>
            <w:tcW w:w="26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113.0</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113.0</w:t>
            </w:r>
          </w:p>
        </w:tc>
        <w:tc>
          <w:tcPr>
            <w:tcW w:w="0" w:type="dxa"/>
            <w:vAlign w:val="bottom"/>
          </w:tcPr>
          <w:p>
            <w:pPr>
              <w:spacing w:after="0"/>
              <w:rPr>
                <w:sz w:val="1"/>
                <w:szCs w:val="1"/>
                <w:color w:val="auto"/>
              </w:rPr>
            </w:pPr>
          </w:p>
        </w:tc>
      </w:tr>
      <w:tr>
        <w:trPr>
          <w:trHeight w:val="227"/>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February 25, 2023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1,671.0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(553.1)</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1,337.3</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Six Months Ended February 26, 2022</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68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0"/>
                <w:szCs w:val="20"/>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860" w:type="dxa"/>
            <w:vAlign w:val="bottom"/>
          </w:tcPr>
          <w:p>
            <w:pPr>
              <w:jc w:val="right"/>
              <w:ind w:right="188"/>
              <w:spacing w:after="0" w:line="148"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68"/>
              <w:spacing w:after="0" w:line="148" w:lineRule="exact"/>
              <w:rPr>
                <w:sz w:val="20"/>
                <w:szCs w:val="20"/>
                <w:color w:val="auto"/>
              </w:rPr>
            </w:pPr>
            <w:r>
              <w:rPr>
                <w:rFonts w:ascii="Arial" w:cs="Arial" w:eastAsia="Arial" w:hAnsi="Arial"/>
                <w:sz w:val="14"/>
                <w:szCs w:val="14"/>
                <w:b w:val="1"/>
                <w:bCs w:val="1"/>
                <w:color w:val="auto"/>
              </w:rPr>
              <w:t>Comprehensive</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28, 2021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ind w:left="980"/>
              <w:spacing w:after="0"/>
              <w:rPr>
                <w:sz w:val="20"/>
                <w:szCs w:val="20"/>
                <w:color w:val="auto"/>
              </w:rPr>
            </w:pPr>
            <w:r>
              <w:rPr>
                <w:rFonts w:ascii="Arial" w:cs="Arial" w:eastAsia="Arial" w:hAnsi="Arial"/>
                <w:sz w:val="14"/>
                <w:szCs w:val="14"/>
                <w:color w:val="auto"/>
              </w:rPr>
              <w:t>(0.5)</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(360.0)</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1,056.9</w:t>
            </w:r>
          </w:p>
        </w:tc>
        <w:tc>
          <w:tcPr>
            <w:tcW w:w="0" w:type="dxa"/>
            <w:vAlign w:val="bottom"/>
          </w:tcPr>
          <w:p>
            <w:pPr>
              <w:spacing w:after="0"/>
              <w:rPr>
                <w:sz w:val="1"/>
                <w:szCs w:val="1"/>
                <w:color w:val="auto"/>
              </w:rPr>
            </w:pPr>
          </w:p>
        </w:tc>
      </w:tr>
      <w:tr>
        <w:trPr>
          <w:trHeight w:val="197"/>
        </w:trPr>
        <w:tc>
          <w:tcPr>
            <w:tcW w:w="26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73"/>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stock for employee benefit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stock-based awards, net</w:t>
            </w: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680" w:type="dxa"/>
            <w:vAlign w:val="bottom"/>
          </w:tcPr>
          <w:p>
            <w:pPr>
              <w:ind w:left="140"/>
              <w:spacing w:after="0"/>
              <w:rPr>
                <w:sz w:val="20"/>
                <w:szCs w:val="20"/>
                <w:color w:val="auto"/>
              </w:rPr>
            </w:pPr>
            <w:r>
              <w:rPr>
                <w:rFonts w:ascii="Arial" w:cs="Arial" w:eastAsia="Arial" w:hAnsi="Arial"/>
                <w:sz w:val="14"/>
                <w:szCs w:val="14"/>
                <w:color w:val="auto"/>
              </w:rPr>
              <w:t>Issuance of stock for acquisition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14.7</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0.4</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7.3</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08"/>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167"/>
        </w:trPr>
        <w:tc>
          <w:tcPr>
            <w:tcW w:w="2680" w:type="dxa"/>
            <w:vAlign w:val="bottom"/>
          </w:tcPr>
          <w:p>
            <w:pPr>
              <w:ind w:left="140"/>
              <w:spacing w:after="0"/>
              <w:rPr>
                <w:sz w:val="20"/>
                <w:szCs w:val="20"/>
                <w:color w:val="auto"/>
              </w:rPr>
            </w:pPr>
            <w:r>
              <w:rPr>
                <w:rFonts w:ascii="Arial" w:cs="Arial" w:eastAsia="Arial" w:hAnsi="Arial"/>
                <w:sz w:val="14"/>
                <w:szCs w:val="14"/>
                <w:color w:val="auto"/>
              </w:rPr>
              <w:t>Common stock dividends; $0.18 per</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140" w:type="dxa"/>
            <w:vAlign w:val="bottom"/>
          </w:tcPr>
          <w:p>
            <w:pPr>
              <w:spacing w:after="0"/>
              <w:rPr>
                <w:sz w:val="14"/>
                <w:szCs w:val="14"/>
                <w:color w:val="auto"/>
              </w:rPr>
            </w:pPr>
          </w:p>
        </w:tc>
        <w:tc>
          <w:tcPr>
            <w:tcW w:w="1300" w:type="dxa"/>
            <w:vAlign w:val="bottom"/>
            <w:vMerge w:val="restart"/>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71"/>
        </w:trPr>
        <w:tc>
          <w:tcPr>
            <w:tcW w:w="2680" w:type="dxa"/>
            <w:vAlign w:val="bottom"/>
          </w:tcPr>
          <w:p>
            <w:pPr>
              <w:ind w:left="140"/>
              <w:spacing w:after="0"/>
              <w:rPr>
                <w:sz w:val="20"/>
                <w:szCs w:val="20"/>
                <w:color w:val="auto"/>
              </w:rPr>
            </w:pPr>
            <w:r>
              <w:rPr>
                <w:rFonts w:ascii="Arial" w:cs="Arial" w:eastAsia="Arial" w:hAnsi="Arial"/>
                <w:sz w:val="14"/>
                <w:szCs w:val="14"/>
                <w:color w:val="auto"/>
              </w:rPr>
              <w:t>share</w:t>
            </w: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7"/>
        </w:trPr>
        <w:tc>
          <w:tcPr>
            <w:tcW w:w="26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190.8</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190.8</w:t>
            </w:r>
          </w:p>
        </w:tc>
        <w:tc>
          <w:tcPr>
            <w:tcW w:w="0" w:type="dxa"/>
            <w:vAlign w:val="bottom"/>
          </w:tcPr>
          <w:p>
            <w:pPr>
              <w:spacing w:after="0"/>
              <w:rPr>
                <w:sz w:val="1"/>
                <w:szCs w:val="1"/>
                <w:color w:val="auto"/>
              </w:rPr>
            </w:pPr>
          </w:p>
        </w:tc>
      </w:tr>
      <w:tr>
        <w:trPr>
          <w:trHeight w:val="227"/>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February 26,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1,357.8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4"/>
                <w:szCs w:val="14"/>
                <w:color w:val="auto"/>
              </w:rPr>
              <w:t>(0.5)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(412.4)</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1,209.0</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amounts are in millions, except share and per share data, unless otherwise designated)</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1.</w:t>
        <w:tab/>
        <w:t>Basis of Presentation</w:t>
      </w:r>
    </w:p>
    <w:p>
      <w:pPr>
        <w:spacing w:after="0" w:line="268"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The consolidated financial statements include the accounts of Winnebago Industries, Inc. and its wholly owned subsidiaries. Significant intercompany account balances and transactions have been eliminated.</w:t>
      </w:r>
    </w:p>
    <w:p>
      <w:pPr>
        <w:spacing w:after="0" w:line="236"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The use of the terms "Winnebago Industries," "Winnebago," "we," "our," and "us" in this Quarterly Report on Form 10-Q, unless the context otherwise requires, refers to Winnebago Industries, Inc. and its wholly owned subsidiaries.</w:t>
      </w:r>
    </w:p>
    <w:p>
      <w:pPr>
        <w:spacing w:after="0" w:line="236"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The interim unaudited consolidated financial statements included herein are prepared pursuant to the rules and regulations of the United States (“U.S.”) Securities and Exchange Commission (“SEC”). The information furnished in these consolidated financial statements includes normal recurring adjustments, unless noted otherwise in the Notes to Consolidated Financial Statements, and reflects all adjustments that are, in management’s opinion, necessary for a fair presentation of such financial statements. The consolidated financial statements are prepared in accordance with U.S. Generally Accepted Accounting Principles (“GAAP”). GAAP requires us to make estimates and assumptions that affect amounts reported. Certain information and footnote disclosures normally included in financial statements prepared in accordance with GAAP have been condensed or omitted pursuant to SEC rules and regulations.</w:t>
      </w:r>
    </w:p>
    <w:p>
      <w:pPr>
        <w:spacing w:after="0" w:line="245"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The consolidated financial statements included in this Quarterly Report on Form 10-Q should be read in conjunction with the audited consolidated financial statements and notes thereto included in our Annual Report on Form 10-K for the fiscal year ended August 27, 2022 filed with the SEC. Interim results of operations are not necessarily indicative of the results to be expected for the full fiscal year ending August 26, 2023.</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Comprehensive Income</w:t>
      </w:r>
    </w:p>
    <w:p>
      <w:pPr>
        <w:spacing w:after="0" w:line="12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Comprehensive income refers to the change in stockholders’ equity from transactions and other events and circumstances from non-owner sources. As of February 25, 2023 and February 26, 2022, the difference between comprehensive income and net income was not material.</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Presentation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Fiscal 2023, we changed our presentation in tables from thousands to millions, unless otherwise designated. As a result, certain</w:t>
      </w:r>
    </w:p>
    <w:p>
      <w:pPr>
        <w:spacing w:after="0" w:line="220" w:lineRule="auto"/>
        <w:rPr>
          <w:sz w:val="20"/>
          <w:szCs w:val="20"/>
          <w:color w:val="auto"/>
        </w:rPr>
      </w:pPr>
      <w:r>
        <w:rPr>
          <w:rFonts w:ascii="Arial" w:cs="Arial" w:eastAsia="Arial" w:hAnsi="Arial"/>
          <w:sz w:val="16"/>
          <w:szCs w:val="16"/>
          <w:color w:val="auto"/>
        </w:rPr>
        <w:t>rounding adjustments have been made to prior period disclosed amounts in order to conform to the current year presentation. In addition, certain prior period amounts may not recalculate due to rounding. These changes were not significant, and no other updates were made to previously reported financial</w:t>
      </w:r>
    </w:p>
    <w:p>
      <w:pPr>
        <w:spacing w:after="0"/>
        <w:rPr>
          <w:sz w:val="20"/>
          <w:szCs w:val="20"/>
          <w:color w:val="auto"/>
        </w:rPr>
      </w:pPr>
      <w:r>
        <w:rPr>
          <w:rFonts w:ascii="Arial" w:cs="Arial" w:eastAsia="Arial" w:hAnsi="Arial"/>
          <w:sz w:val="16"/>
          <w:szCs w:val="16"/>
          <w:color w:val="auto"/>
        </w:rPr>
        <w:t>information.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133"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In preparing the accompanying unaudited consolidated financial statements, we have evaluated subsequent events for potential recognition and disclosure through the date of this filing noting no material subsequent events.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In August 2020, the Financial Accounting Standards Board ("FASB") issued ASU 2020-06, Debt - Debt with Conversion and Other Options (Subtopic 470-</w:t>
      </w:r>
    </w:p>
    <w:p>
      <w:pPr>
        <w:spacing w:after="0" w:line="5" w:lineRule="exact"/>
        <w:rPr>
          <w:sz w:val="20"/>
          <w:szCs w:val="20"/>
          <w:color w:val="auto"/>
        </w:rPr>
      </w:pPr>
    </w:p>
    <w:p>
      <w:pPr>
        <w:ind w:right="40" w:firstLine="8"/>
        <w:spacing w:after="0" w:line="255" w:lineRule="auto"/>
        <w:tabs>
          <w:tab w:leader="none" w:pos="279" w:val="left"/>
        </w:tabs>
        <w:numPr>
          <w:ilvl w:val="0"/>
          <w:numId w:val="2"/>
        </w:numPr>
        <w:rPr>
          <w:rFonts w:ascii="Arial" w:cs="Arial" w:eastAsia="Arial" w:hAnsi="Arial"/>
          <w:sz w:val="16"/>
          <w:szCs w:val="16"/>
          <w:color w:val="auto"/>
        </w:rPr>
      </w:pPr>
      <w:r>
        <w:rPr>
          <w:rFonts w:ascii="Arial" w:cs="Arial" w:eastAsia="Arial" w:hAnsi="Arial"/>
          <w:sz w:val="16"/>
          <w:szCs w:val="16"/>
          <w:color w:val="auto"/>
        </w:rPr>
        <w:t>and Derivatives and Hedging - Contracts in Entity's Own Equity (Subtopic 815-40) which reduces the number of models used to account for convertible instruments, amends diluted earnings per share ("EPS") calculations for convertible instruments, and amends the requirements for a contract (or embedded derivative) that is potentially settled in an entity's own shares to be classified in equity. Certain disclosure requirements were also added to increase transparency and decision-usefulness regarding a convertible instrument's terms and features. Additionally, the if-converted method must be used for including convertible instruments in diluted EPS as opposed to the treasury stock method. We adopted the new guidance in the first quarter of Fiscal 2023 using the modified retrospective approach, resulting in a decrease to additional paid-in capital of $62.0 million, an increase to long-term debt of $43.8 million, a decrease in the deferred income tax liability of $10.8 million, and an increase to beginning retained earnings of $29.0 million. In addition, the adoption of the amended guidance reduced our non-cash interest expense by $3.7 million (pre-tax) for the three months ended February 25, 2023 and $7.3 million (pre-tax) for the six months ended February 25, 2023. The if-converted method will be used prospectively to calculate the impact of our convertible instruments on diluted EPS. Under the if-converted method, the 4.7 million shares underlying our convertible instruments are assumed to have been outstanding at the beginning of the reporting period, and any interest expense related to these instruments is excluded from the calculation of diluted EPS. Refer to Note 15 in the Notes to Consolidated Financial Statements included in Item 1 of Part I of this Quarterly Report on Form 10-Q for more information on the change from the treasury stock method to the if-converted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Business Combinations</w:t>
      </w:r>
    </w:p>
    <w:p>
      <w:pPr>
        <w:spacing w:after="0" w:line="268" w:lineRule="exact"/>
        <w:rPr>
          <w:sz w:val="20"/>
          <w:szCs w:val="20"/>
          <w:color w:val="auto"/>
        </w:rPr>
      </w:pPr>
    </w:p>
    <w:p>
      <w:pPr>
        <w:ind w:right="860"/>
        <w:spacing w:after="0" w:line="278" w:lineRule="auto"/>
        <w:rPr>
          <w:sz w:val="20"/>
          <w:szCs w:val="20"/>
          <w:color w:val="auto"/>
        </w:rPr>
      </w:pPr>
      <w:r>
        <w:rPr>
          <w:rFonts w:ascii="Arial" w:cs="Arial" w:eastAsia="Arial" w:hAnsi="Arial"/>
          <w:sz w:val="16"/>
          <w:szCs w:val="16"/>
          <w:color w:val="auto"/>
        </w:rPr>
        <w:t>On August 31, 2021, we purchased 100% of the equity interests of Barletta Boat Company, LLC and Three Limes, LLC (collectively, "Barletta"), a manufacturer of high-quality, premium pontoon boats that are sold through a network of independent authorized dealers.</w:t>
      </w:r>
    </w:p>
    <w:p>
      <w:pPr>
        <w:spacing w:after="0" w:line="208"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We acquired Barletta for a purchase price of $286.3 million, including cash payments of $240.1 million, $25.0 million in common stock issued to the sellers (subject to a discount noted below), and contingent consideration from earnout provisions. The common stock fair value included in the purchase price reflects a 12% discount, due to the lack of marketability as these are unregistered shares that have a one-year lockup restriction, which reduced the value of the common stock to $22.0 million. The contingent consideration includes both a potential stock payout as well as a potential cash payment based on achievement of certain financial performance metrics over the next few years. The maximum payout under the earnout is $50.0 million in cash and $15.0 million in stock if all metrics are achieved. The fair value of the earnout as of August 31, 2021 was $24.2 million. As of February 25, 2023 and August 27, 2022, the fair value of the earnout was $41.8 million and $39.8 million, respectively. The portion of the earnout liability that will be settled within a year is included in other current liabilities on the Consolidated Balance Sheets, and the remaining earnout liability is included in other long-term liabilities on the Consolidated Balance Sheets. As of February 25, 2023 and August 27, 2022, $21.9 million and $21.3 million was included in other current liabilities, respectively, and $19.9 million and $18.5 million was included in other long-term liabilities on the Consolidated Balance Sheets, respectively.</w:t>
      </w:r>
    </w:p>
    <w:p>
      <w:pPr>
        <w:spacing w:after="0" w:line="23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total purchase price was allocated to the acquired net tangible and intangible assets of Barletta, based on their preliminary fair values at the date of the acquisition. This resulted in the recognition of goodwill of $136.1 million and other intangible assets of $111.4 million. Goodwill from the Barletta acquisition is recognized in our Marine segment. The other intangible assets acquired include a trade name, dealer network, and backlog. The trade name has an indefinite life, while the dealer network is being amortized on a straight line basis over 12 years. The backlog, which was being amortized over 10 months, was fully amortized as of August 27, 2022. We finalized the allocation of the purchase price in the third quarter of Fiscal 2022.</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Total transaction costs related to the Barletta acquisition were $3.1 million, of which $2.4 million were expensed during the first quarter of Fiscal 2022.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Transaction costs were included in selling, general and administrative expenses in the accompanying Consolidated Statements of Income.</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3.</w:t>
        <w:tab/>
        <w:t>Business Segments</w:t>
      </w:r>
    </w:p>
    <w:p>
      <w:pPr>
        <w:spacing w:after="0" w:line="26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have seven operating segments: 1) Grand Design towables, 2) Winnebago towables, 3) Winnebago motorhomes, 4) Newmar motorhomes, 5) Chris-Craft marine, 6) Barletta marine and 7) Winnebago specialty vehicles. Financial performance is evaluated based on each operating segment's Adjusted Earnings Before Interest, Taxes, Depreciation and Amortization ("EBITDA"), as defined below, which excludes certain corporate administration expenses and non-operating income and expense.</w:t>
      </w:r>
    </w:p>
    <w:p>
      <w:pPr>
        <w:spacing w:after="0" w:line="238" w:lineRule="exact"/>
        <w:rPr>
          <w:sz w:val="20"/>
          <w:szCs w:val="20"/>
          <w:color w:val="auto"/>
        </w:rPr>
      </w:pPr>
    </w:p>
    <w:p>
      <w:pPr>
        <w:jc w:val="both"/>
        <w:ind w:right="80"/>
        <w:spacing w:after="0" w:line="254" w:lineRule="auto"/>
        <w:rPr>
          <w:sz w:val="20"/>
          <w:szCs w:val="20"/>
          <w:color w:val="auto"/>
        </w:rPr>
      </w:pPr>
      <w:r>
        <w:rPr>
          <w:rFonts w:ascii="Arial" w:cs="Arial" w:eastAsia="Arial" w:hAnsi="Arial"/>
          <w:sz w:val="16"/>
          <w:szCs w:val="16"/>
          <w:color w:val="auto"/>
        </w:rPr>
        <w:t>Our three reportable segments are: Towable (an aggregation of the Grand Design towables and the Winnebago towables operating segments); Motorhome (an aggregation of the Winnebago motorhomes and Newmar motorhomes operating segments); and Marine (an aggregation of the Chris-Craft marine and Barletta marine operating segments). Towable is comprised of non-motorized products that are generally towed by another vehicle, along with other related manufactured products and services. Motorhome is comprised of products that include a motorized chassis, along with other related manufactured products and services. Marine is comprised of products that include boats, along with other related manufactured products and services.</w:t>
      </w:r>
    </w:p>
    <w:p>
      <w:pPr>
        <w:spacing w:after="0" w:line="241"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The Corporate / All Other category includes the Winnebago specialty vehicles operating segment as well as certain corporate administration expenses related to the oversight of the enterprise, such as corporate leadership and administration costs.</w:t>
      </w:r>
    </w:p>
    <w:p>
      <w:pPr>
        <w:spacing w:after="0" w:line="236"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22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Chief Executive Officer (the Chief Operating Decision Maker ("CODM")) regularly reviews consolidated financial results in their entirety and operating segment financial information through Adjusted EBITDA and has ultimate responsibility for enterprise decisions. Our CODM is responsible for allocating resources and assessing performance of the consolidated enterprise, reportable segments and between operating segments. Management of each operating segment has responsibility for operating decisions, allocating resources and assessing performance within their respective operating segment. The accounting policies of all reportable segments are the same as those described in Note 1 in the Notes to Consolidated Financial Statements included in Item 8 of Part II of our Annual Report on Form 10-K for the fiscal year ended August 27,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We monitor and evaluate operating performance of our reportable segments based on Adjusted EBITDA. We believe disclosing Adjusted EBITDA is useful to securities analysts, investors and other interested parties when evaluating companies in our industries.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period over period. Examples of items excluded from Adjusted EBITDA include acquisition-related costs, litigation reserves, contingent consideration fair value adjustment, and non-operating income or loss.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20"/>
                <w:szCs w:val="20"/>
                <w:color w:val="auto"/>
              </w:rPr>
            </w:pPr>
            <w:r>
              <w:rPr>
                <w:rFonts w:ascii="Arial" w:cs="Arial" w:eastAsia="Arial" w:hAnsi="Arial"/>
                <w:sz w:val="16"/>
                <w:szCs w:val="16"/>
                <w:color w:val="auto"/>
              </w:rPr>
              <w:t>Financial information by reportable segment is as follows: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46"/>
        </w:trPr>
        <w:tc>
          <w:tcPr>
            <w:tcW w:w="4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2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21"/>
                <w:szCs w:val="21"/>
                <w:color w:val="auto"/>
              </w:rPr>
            </w:pPr>
          </w:p>
        </w:tc>
        <w:tc>
          <w:tcPr>
            <w:tcW w:w="31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44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25,</w:t>
            </w: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259"/>
              <w:spacing w:after="0" w:line="158" w:lineRule="exact"/>
              <w:rPr>
                <w:sz w:val="20"/>
                <w:szCs w:val="20"/>
                <w:color w:val="auto"/>
              </w:rPr>
            </w:pPr>
            <w:r>
              <w:rPr>
                <w:rFonts w:ascii="Arial" w:cs="Arial" w:eastAsia="Arial" w:hAnsi="Arial"/>
                <w:sz w:val="16"/>
                <w:szCs w:val="16"/>
                <w:b w:val="1"/>
                <w:bCs w:val="1"/>
                <w:color w:val="auto"/>
              </w:rPr>
              <w:t>February 26,</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25,</w:t>
            </w: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239"/>
              <w:spacing w:after="0" w:line="158" w:lineRule="exact"/>
              <w:rPr>
                <w:sz w:val="20"/>
                <w:szCs w:val="20"/>
                <w:color w:val="auto"/>
              </w:rPr>
            </w:pPr>
            <w:r>
              <w:rPr>
                <w:rFonts w:ascii="Arial" w:cs="Arial" w:eastAsia="Arial" w:hAnsi="Arial"/>
                <w:sz w:val="16"/>
                <w:szCs w:val="16"/>
                <w:b w:val="1"/>
                <w:bCs w:val="1"/>
                <w:color w:val="auto"/>
              </w:rPr>
              <w:t>February 26,</w:t>
            </w:r>
          </w:p>
        </w:tc>
      </w:tr>
      <w:tr>
        <w:trPr>
          <w:trHeight w:val="215"/>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Towable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342.5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646.6</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689.8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1,297.6</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839.0</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Marine</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176.6</w:t>
            </w: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13"/>
        </w:trPr>
        <w:tc>
          <w:tcPr>
            <w:tcW w:w="4460" w:type="dxa"/>
            <w:vAlign w:val="bottom"/>
          </w:tcPr>
          <w:p>
            <w:pPr>
              <w:ind w:left="140"/>
              <w:spacing w:after="0"/>
              <w:rPr>
                <w:sz w:val="20"/>
                <w:szCs w:val="20"/>
                <w:color w:val="auto"/>
              </w:rPr>
            </w:pPr>
            <w:r>
              <w:rPr>
                <w:rFonts w:ascii="Arial" w:cs="Arial" w:eastAsia="Arial" w:hAnsi="Arial"/>
                <w:sz w:val="16"/>
                <w:szCs w:val="16"/>
                <w:color w:val="auto"/>
              </w:rPr>
              <w:t>Consolidated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1,818.9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2,320.5</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75"/>
        </w:trPr>
        <w:tc>
          <w:tcPr>
            <w:tcW w:w="4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r>
      <w:tr>
        <w:trPr>
          <w:trHeight w:val="215"/>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7"/>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Towable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Motorhome</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96.2</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Marine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1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r>
      <w:tr>
        <w:trPr>
          <w:trHeight w:val="23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318.0</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4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Towable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Marine</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4460" w:type="dxa"/>
            <w:vAlign w:val="bottom"/>
          </w:tcPr>
          <w:p>
            <w:pPr>
              <w:ind w:left="140"/>
              <w:spacing w:after="0"/>
              <w:rPr>
                <w:sz w:val="20"/>
                <w:szCs w:val="20"/>
                <w:color w:val="auto"/>
              </w:rPr>
            </w:pPr>
            <w:r>
              <w:rPr>
                <w:rFonts w:ascii="Arial" w:cs="Arial" w:eastAsia="Arial" w:hAnsi="Arial"/>
                <w:sz w:val="16"/>
                <w:szCs w:val="16"/>
                <w:color w:val="auto"/>
              </w:rPr>
              <w:t>Consolidated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r>
      <w:tr>
        <w:trPr>
          <w:trHeight w:val="20"/>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2"/>
          </w:tcPr>
          <w:p>
            <w:pPr>
              <w:ind w:left="220"/>
              <w:spacing w:after="0"/>
              <w:rPr>
                <w:sz w:val="20"/>
                <w:szCs w:val="20"/>
                <w:color w:val="auto"/>
              </w:rPr>
            </w:pPr>
            <w:r>
              <w:rPr>
                <w:rFonts w:ascii="Arial" w:cs="Arial" w:eastAsia="Arial" w:hAnsi="Arial"/>
                <w:sz w:val="16"/>
                <w:szCs w:val="16"/>
                <w:b w:val="1"/>
                <w:bCs w:val="1"/>
                <w:color w:val="auto"/>
              </w:rPr>
              <w:t>February 25,</w:t>
            </w:r>
          </w:p>
        </w:tc>
        <w:tc>
          <w:tcPr>
            <w:tcW w:w="360" w:type="dxa"/>
            <w:vAlign w:val="bottom"/>
          </w:tcPr>
          <w:p>
            <w:pPr>
              <w:spacing w:after="0"/>
              <w:rPr>
                <w:sz w:val="16"/>
                <w:szCs w:val="16"/>
                <w:color w:val="auto"/>
              </w:rPr>
            </w:pPr>
          </w:p>
        </w:tc>
        <w:tc>
          <w:tcPr>
            <w:tcW w:w="1700" w:type="dxa"/>
            <w:vAlign w:val="bottom"/>
          </w:tcPr>
          <w:p>
            <w:pPr>
              <w:jc w:val="right"/>
              <w:ind w:right="539"/>
              <w:spacing w:after="0"/>
              <w:rPr>
                <w:sz w:val="20"/>
                <w:szCs w:val="20"/>
                <w:color w:val="auto"/>
              </w:rPr>
            </w:pPr>
            <w:r>
              <w:rPr>
                <w:rFonts w:ascii="Arial" w:cs="Arial" w:eastAsia="Arial" w:hAnsi="Arial"/>
                <w:sz w:val="16"/>
                <w:szCs w:val="16"/>
                <w:b w:val="1"/>
                <w:bCs w:val="1"/>
                <w:color w:val="auto"/>
              </w:rPr>
              <w:t>August 27,</w:t>
            </w:r>
          </w:p>
        </w:tc>
      </w:tr>
      <w:tr>
        <w:trPr>
          <w:trHeight w:val="215"/>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2022</w:t>
            </w:r>
          </w:p>
        </w:tc>
      </w:tr>
      <w:tr>
        <w:trPr>
          <w:trHeight w:val="210"/>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Towable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871.4</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874.9</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823.4</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Marine</w:t>
            </w:r>
          </w:p>
        </w:tc>
        <w:tc>
          <w:tcPr>
            <w:tcW w:w="3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443.6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416.1</w:t>
            </w: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3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302.3</w:t>
            </w: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Consolidated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2,445.4</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2,416.7</w:t>
            </w:r>
          </w:p>
        </w:tc>
      </w:tr>
      <w:tr>
        <w:trPr>
          <w:trHeight w:val="20"/>
        </w:trPr>
        <w:tc>
          <w:tcPr>
            <w:tcW w:w="7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Reconciliation of net income to consolidated Adjusted EBITDA is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5"/>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32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r>
      <w:tr>
        <w:trPr>
          <w:trHeight w:val="212"/>
        </w:trPr>
        <w:tc>
          <w:tcPr>
            <w:tcW w:w="44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February 25, 2023</w:t>
            </w: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February 26, 2022</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February 25, 2023</w:t>
            </w: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February 26, 2022</w:t>
            </w:r>
          </w:p>
        </w:tc>
      </w:tr>
      <w:tr>
        <w:trPr>
          <w:trHeight w:val="210"/>
        </w:trPr>
        <w:tc>
          <w:tcPr>
            <w:tcW w:w="4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190.8</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10"/>
        </w:trPr>
        <w:tc>
          <w:tcPr>
            <w:tcW w:w="4460" w:type="dxa"/>
            <w:vAlign w:val="bottom"/>
          </w:tcPr>
          <w:p>
            <w:pPr>
              <w:ind w:left="140"/>
              <w:spacing w:after="0"/>
              <w:rPr>
                <w:sz w:val="20"/>
                <w:szCs w:val="20"/>
                <w:color w:val="auto"/>
              </w:rPr>
            </w:pPr>
            <w:r>
              <w:rPr>
                <w:rFonts w:ascii="Arial" w:cs="Arial" w:eastAsia="Arial" w:hAnsi="Arial"/>
                <w:sz w:val="16"/>
                <w:szCs w:val="16"/>
                <w:color w:val="auto"/>
              </w:rPr>
              <w:t>EBITDA</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297.3</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Litigation reserves</w:t>
            </w:r>
          </w:p>
        </w:tc>
        <w:tc>
          <w:tcPr>
            <w:tcW w:w="12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Non-operating loss</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44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318.0</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4.</w:t>
        <w:tab/>
        <w:t>Investments and Fair Value Measurements</w:t>
      </w:r>
    </w:p>
    <w:p>
      <w:pPr>
        <w:spacing w:after="0" w:line="18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determining the fair value of financial assets and liabilities, we utilize market data or other assumptions that we believe market participants would use in pricing the asset or liability in the principal or most advantageous market and adjust for non-performance and/or other risks associated with us as well as counterparties, as appropriate. Assets and liabilities measured at fair value are classified using the following hierarchy, which is based upon the transparency of inputs to the valuation as of the measurement date: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Unadjusted quoted prices which are available in active markets for identical assets or liabilities accessible at the measurement date.</w:t>
      </w:r>
    </w:p>
    <w:p>
      <w:pPr>
        <w:spacing w:after="0" w:line="248" w:lineRule="exact"/>
        <w:rPr>
          <w:sz w:val="20"/>
          <w:szCs w:val="20"/>
          <w:color w:val="auto"/>
        </w:rPr>
      </w:pPr>
    </w:p>
    <w:p>
      <w:pPr>
        <w:ind w:left="660" w:right="440"/>
        <w:spacing w:after="0" w:line="298"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other than quoted prices included in Level 1 inputs that are observable for the asset or liability, either directly or indirectly, for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the full term of the asset or liability.</w:t>
      </w:r>
    </w:p>
    <w:p>
      <w:pPr>
        <w:spacing w:after="0" w:line="178" w:lineRule="exact"/>
        <w:rPr>
          <w:sz w:val="20"/>
          <w:szCs w:val="20"/>
          <w:color w:val="auto"/>
        </w:rPr>
      </w:pPr>
    </w:p>
    <w:p>
      <w:pPr>
        <w:ind w:left="660" w:right="300"/>
        <w:spacing w:after="0" w:line="298"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for the asset or liability used to measure fair value to the extent that observable inputs are not available, thereby</w:t>
      </w:r>
      <w:r>
        <w:rPr>
          <w:rFonts w:ascii="Arial" w:cs="Arial" w:eastAsia="Arial" w:hAnsi="Arial"/>
          <w:sz w:val="16"/>
          <w:szCs w:val="16"/>
          <w:i w:val="1"/>
          <w:iCs w:val="1"/>
          <w:color w:val="auto"/>
        </w:rPr>
        <w:t xml:space="preserve"> </w:t>
      </w:r>
      <w:r>
        <w:rPr>
          <w:rFonts w:ascii="Arial" w:cs="Arial" w:eastAsia="Arial" w:hAnsi="Arial"/>
          <w:sz w:val="16"/>
          <w:szCs w:val="16"/>
          <w:color w:val="auto"/>
        </w:rPr>
        <w:t>allowing for situations in which there is little, if any, market activity for the asset or liability at the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442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6"/>
        </w:trPr>
        <w:tc>
          <w:tcPr>
            <w:tcW w:w="6160" w:type="dxa"/>
            <w:vAlign w:val="bottom"/>
            <w:gridSpan w:val="8"/>
          </w:tcPr>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00" w:type="dxa"/>
            <w:vAlign w:val="bottom"/>
            <w:gridSpan w:val="9"/>
          </w:tcPr>
          <w:p>
            <w:pPr>
              <w:spacing w:after="0"/>
              <w:rPr>
                <w:sz w:val="20"/>
                <w:szCs w:val="20"/>
                <w:color w:val="auto"/>
              </w:rPr>
            </w:pPr>
            <w:r>
              <w:rPr>
                <w:rFonts w:ascii="Arial" w:cs="Arial" w:eastAsia="Arial" w:hAnsi="Arial"/>
                <w:sz w:val="16"/>
                <w:szCs w:val="16"/>
                <w:color w:val="auto"/>
              </w:rPr>
              <w:t>Financial assets and liabilities measured at fair value on a recurring basis are as follows:</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8"/>
              </w:rPr>
              <w:t>Fair Value at</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3"/>
          </w:tcPr>
          <w:p>
            <w:pPr>
              <w:jc w:val="center"/>
              <w:ind w:right="320"/>
              <w:spacing w:after="0" w:line="148" w:lineRule="exact"/>
              <w:rPr>
                <w:sz w:val="20"/>
                <w:szCs w:val="20"/>
                <w:color w:val="auto"/>
              </w:rPr>
            </w:pPr>
            <w:r>
              <w:rPr>
                <w:rFonts w:ascii="Arial" w:cs="Arial" w:eastAsia="Arial" w:hAnsi="Arial"/>
                <w:sz w:val="16"/>
                <w:szCs w:val="16"/>
                <w:b w:val="1"/>
                <w:bCs w:val="1"/>
                <w:color w:val="auto"/>
              </w:rPr>
              <w:t>February 25,</w:t>
            </w:r>
          </w:p>
        </w:tc>
        <w:tc>
          <w:tcPr>
            <w:tcW w:w="340" w:type="dxa"/>
            <w:vAlign w:val="bottom"/>
          </w:tcPr>
          <w:p>
            <w:pPr>
              <w:spacing w:after="0"/>
              <w:rPr>
                <w:sz w:val="12"/>
                <w:szCs w:val="12"/>
                <w:color w:val="auto"/>
              </w:rPr>
            </w:pPr>
          </w:p>
        </w:tc>
        <w:tc>
          <w:tcPr>
            <w:tcW w:w="1360" w:type="dxa"/>
            <w:vAlign w:val="bottom"/>
            <w:gridSpan w:val="3"/>
            <w:vMerge w:val="restart"/>
          </w:tcPr>
          <w:p>
            <w:pPr>
              <w:ind w:left="180"/>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3"/>
            <w:vMerge w:val="restart"/>
          </w:tcPr>
          <w:p>
            <w:pPr>
              <w:ind w:left="20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2"/>
                <w:szCs w:val="12"/>
                <w:color w:val="auto"/>
              </w:rPr>
            </w:pPr>
          </w:p>
        </w:tc>
        <w:tc>
          <w:tcPr>
            <w:tcW w:w="130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119"/>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shd w:val="clear" w:color="auto" w:fill="CCEEFF"/>
          </w:tcPr>
          <w:p>
            <w:pPr>
              <w:spacing w:after="0"/>
              <w:rPr>
                <w:sz w:val="18"/>
                <w:szCs w:val="18"/>
                <w:color w:val="auto"/>
              </w:rPr>
            </w:pPr>
          </w:p>
        </w:tc>
        <w:tc>
          <w:tcPr>
            <w:tcW w:w="44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Assets that fund deferred compensation</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tcPr>
          <w:p>
            <w:pPr>
              <w:ind w:left="10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4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Fixed income funds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assets at fair value</w:t>
            </w:r>
          </w:p>
        </w:tc>
        <w:tc>
          <w:tcPr>
            <w:tcW w:w="2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Contingent consideration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Earnout liability</w:t>
            </w:r>
          </w:p>
        </w:tc>
        <w:tc>
          <w:tcPr>
            <w:tcW w:w="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liabilities at fair value</w:t>
            </w:r>
          </w:p>
        </w:tc>
        <w:tc>
          <w:tcPr>
            <w:tcW w:w="2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Fair Value at</w:t>
            </w: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3"/>
          </w:tcPr>
          <w:p>
            <w:pPr>
              <w:jc w:val="center"/>
              <w:ind w:right="300"/>
              <w:spacing w:after="0" w:line="148" w:lineRule="exact"/>
              <w:rPr>
                <w:sz w:val="20"/>
                <w:szCs w:val="20"/>
                <w:color w:val="auto"/>
              </w:rPr>
            </w:pPr>
            <w:r>
              <w:rPr>
                <w:rFonts w:ascii="Arial" w:cs="Arial" w:eastAsia="Arial" w:hAnsi="Arial"/>
                <w:sz w:val="16"/>
                <w:szCs w:val="16"/>
                <w:b w:val="1"/>
                <w:bCs w:val="1"/>
                <w:color w:val="auto"/>
              </w:rPr>
              <w:t>August 27,</w:t>
            </w:r>
          </w:p>
        </w:tc>
        <w:tc>
          <w:tcPr>
            <w:tcW w:w="340" w:type="dxa"/>
            <w:vAlign w:val="bottom"/>
          </w:tcPr>
          <w:p>
            <w:pPr>
              <w:spacing w:after="0"/>
              <w:rPr>
                <w:sz w:val="12"/>
                <w:szCs w:val="12"/>
                <w:color w:val="auto"/>
              </w:rPr>
            </w:pPr>
          </w:p>
        </w:tc>
        <w:tc>
          <w:tcPr>
            <w:tcW w:w="1360" w:type="dxa"/>
            <w:vAlign w:val="bottom"/>
            <w:gridSpan w:val="3"/>
            <w:vMerge w:val="restart"/>
          </w:tcPr>
          <w:p>
            <w:pPr>
              <w:ind w:left="200"/>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3"/>
            <w:vMerge w:val="restart"/>
          </w:tcPr>
          <w:p>
            <w:pPr>
              <w:ind w:left="22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2"/>
                <w:szCs w:val="12"/>
                <w:color w:val="auto"/>
              </w:rPr>
            </w:pPr>
          </w:p>
        </w:tc>
        <w:tc>
          <w:tcPr>
            <w:tcW w:w="130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119"/>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gridSpan w:val="2"/>
          </w:tcPr>
          <w:p>
            <w:pPr>
              <w:ind w:left="140"/>
              <w:spacing w:after="0"/>
              <w:rPr>
                <w:sz w:val="20"/>
                <w:szCs w:val="20"/>
                <w:color w:val="auto"/>
              </w:rPr>
            </w:pPr>
            <w:r>
              <w:rPr>
                <w:rFonts w:ascii="Arial" w:cs="Arial" w:eastAsia="Arial" w:hAnsi="Arial"/>
                <w:sz w:val="16"/>
                <w:szCs w:val="16"/>
                <w:color w:val="auto"/>
              </w:rPr>
              <w:t>Domestic equity funds</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400" w:type="dxa"/>
            <w:vAlign w:val="bottom"/>
            <w:gridSpan w:val="3"/>
          </w:tcPr>
          <w:p>
            <w:pPr>
              <w:ind w:left="10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International equity funds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Fixed income funds</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0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assets at fair value</w:t>
            </w:r>
          </w:p>
        </w:tc>
        <w:tc>
          <w:tcPr>
            <w:tcW w:w="2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Contingent consideration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Earnout liability</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gridSpan w:val="2"/>
          </w:tcPr>
          <w:p>
            <w:pPr>
              <w:ind w:left="10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liabilities at fair value</w:t>
            </w:r>
          </w:p>
        </w:tc>
        <w:tc>
          <w:tcPr>
            <w:tcW w:w="2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Assets that Fund Deferred Compensation</w:t>
      </w:r>
    </w:p>
    <w:p>
      <w:pPr>
        <w:spacing w:after="0" w:line="21"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These securities, used to fund the Executive Share Option Plan and the Executive Deferred Compensation Plan, are classified as Level 1 as they are traded in an active market for which closing stock prices are readily available. Refer to Note 11 in the Notes to Consolidated Financial Statements included in Item 8 of Part II of our Annual Report on Form 10-K for the fiscal year ended August 27, 2022 for additional information regarding these plans.</w:t>
      </w:r>
    </w:p>
    <w:p>
      <w:pPr>
        <w:spacing w:after="0" w:line="226"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The proportion of the assets that will fund options which expire within a year are included in prepaid expenses and other current assets on the Consolidated Balance Sheets. The remaining assets are classified as non-current and are included in other assets on the Consolidated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Consideration</w:t>
      </w:r>
    </w:p>
    <w:p>
      <w:pPr>
        <w:spacing w:after="0" w:line="35" w:lineRule="exact"/>
        <w:rPr>
          <w:sz w:val="20"/>
          <w:szCs w:val="20"/>
          <w:color w:val="auto"/>
        </w:rPr>
      </w:pPr>
    </w:p>
    <w:p>
      <w:pPr>
        <w:ind w:right="300"/>
        <w:spacing w:after="0" w:line="257" w:lineRule="auto"/>
        <w:rPr>
          <w:sz w:val="20"/>
          <w:szCs w:val="20"/>
          <w:color w:val="auto"/>
        </w:rPr>
      </w:pPr>
      <w:r>
        <w:rPr>
          <w:rFonts w:ascii="Arial" w:cs="Arial" w:eastAsia="Arial" w:hAnsi="Arial"/>
          <w:sz w:val="16"/>
          <w:szCs w:val="16"/>
          <w:color w:val="auto"/>
        </w:rPr>
        <w:t>Contingent consideration represents the earnout liability related to the Barletta acquisition and is valued using a probability-weighted scenario analysis of projected gross profit results and discounted at a risk-free rate. The contingent consideration is classified as Level 3. Actual gross profit results may differ significantly from those used in the estimate above, which may affect future payments. Changes in future payments will be reflected in future operating results as they occur.</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the beginning and ending balances of the contingent consideration:</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31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44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25,</w:t>
            </w: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259"/>
              <w:spacing w:after="0" w:line="158" w:lineRule="exact"/>
              <w:rPr>
                <w:sz w:val="20"/>
                <w:szCs w:val="20"/>
                <w:color w:val="auto"/>
              </w:rPr>
            </w:pPr>
            <w:r>
              <w:rPr>
                <w:rFonts w:ascii="Arial" w:cs="Arial" w:eastAsia="Arial" w:hAnsi="Arial"/>
                <w:sz w:val="16"/>
                <w:szCs w:val="16"/>
                <w:b w:val="1"/>
                <w:bCs w:val="1"/>
                <w:color w:val="auto"/>
              </w:rPr>
              <w:t>February 26,</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25,</w:t>
            </w: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239"/>
              <w:spacing w:after="0" w:line="158" w:lineRule="exact"/>
              <w:rPr>
                <w:sz w:val="20"/>
                <w:szCs w:val="20"/>
                <w:color w:val="auto"/>
              </w:rPr>
            </w:pPr>
            <w:r>
              <w:rPr>
                <w:rFonts w:ascii="Arial" w:cs="Arial" w:eastAsia="Arial" w:hAnsi="Arial"/>
                <w:sz w:val="16"/>
                <w:szCs w:val="16"/>
                <w:b w:val="1"/>
                <w:bCs w:val="1"/>
                <w:color w:val="auto"/>
              </w:rPr>
              <w:t>February 26,</w:t>
            </w:r>
          </w:p>
        </w:tc>
      </w:tr>
      <w:tr>
        <w:trPr>
          <w:trHeight w:val="215"/>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fair value - contingent consideration</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460" w:type="dxa"/>
            <w:vAlign w:val="bottom"/>
          </w:tcPr>
          <w:p>
            <w:pPr>
              <w:ind w:left="220"/>
              <w:spacing w:after="0"/>
              <w:rPr>
                <w:sz w:val="20"/>
                <w:szCs w:val="20"/>
                <w:color w:val="auto"/>
              </w:rPr>
            </w:pPr>
            <w:r>
              <w:rPr>
                <w:rFonts w:ascii="Arial" w:cs="Arial" w:eastAsia="Arial" w:hAnsi="Arial"/>
                <w:sz w:val="16"/>
                <w:szCs w:val="16"/>
                <w:color w:val="auto"/>
              </w:rPr>
              <w:t>Additions</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Fair value adjustments</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Ending fair value - contingent consideration</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r>
      <w:tr>
        <w:trPr>
          <w:trHeight w:val="20"/>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760"/>
        <w:spacing w:after="0" w:line="260" w:lineRule="auto"/>
        <w:rPr>
          <w:sz w:val="20"/>
          <w:szCs w:val="20"/>
          <w:color w:val="auto"/>
        </w:rPr>
      </w:pPr>
      <w:r>
        <w:rPr>
          <w:rFonts w:ascii="Arial" w:cs="Arial" w:eastAsia="Arial" w:hAnsi="Arial"/>
          <w:sz w:val="16"/>
          <w:szCs w:val="16"/>
          <w:color w:val="auto"/>
        </w:rPr>
        <w:t>The fair value of the earnout liability that will be settled within a year is included in other current liabilities on the Consolidated Balance Sheets. The remaining earnout liability is included in other long-term liabilities on the Consolidated Balance Sheets.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Measured at Fair Value on a Nonrecurring Basis</w:t>
      </w:r>
    </w:p>
    <w:p>
      <w:pPr>
        <w:spacing w:after="0" w:line="13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Certain financial instruments are measured at fair value on a nonrecurring basis. These assets primarily include goodwill, intangible assets, property, plant and equipment, and right-of-use lease assets. These assets were originally recognized at amounts equal to the fair value determined at date of acquisition or purchase. If certain triggering events occur, or if an annual impairment test is required, we will evaluate the non-financial asset for impairment. If an impairment has occurred, the asset will be written down to its current estimated fair value. No impairments were recorded for non-financial assets in the six months ended February 25, 2023 or February 26, 2022.</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Not Measured at Fair Value</w:t>
      </w:r>
    </w:p>
    <w:p>
      <w:pPr>
        <w:spacing w:after="0" w:line="147"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Certain financial instruments are not measured at fair value but are recorded at carrying amounts approximating fair value based on their short-term nature. These financial instruments include cash and cash equivalents, receivables, accounts payable, other payables, and long-term debt. If these instruments were measured at fair value in the financial statements, they would be classified as Level 1 in the fair value hierarchy. The fair value of our long-term debt was determined using current quoted prices in active markets for our publicly traded debt obligations, which is classified as Level 1 in the fair value hierarchy. See Note 9 in the Notes to Consolidated Financial Statements included in Item 1 of Part I of this Quarterly Report on Form 10-Q for the fair value of our long-term debt.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20"/>
                <w:szCs w:val="20"/>
                <w:color w:val="auto"/>
              </w:rPr>
            </w:pPr>
            <w:r>
              <w:rPr>
                <w:rFonts w:ascii="Arial" w:cs="Arial" w:eastAsia="Arial" w:hAnsi="Arial"/>
                <w:sz w:val="16"/>
                <w:szCs w:val="16"/>
                <w:b w:val="1"/>
                <w:bCs w:val="1"/>
                <w:color w:val="auto"/>
              </w:rPr>
              <w:t>Note 5.  Inventories</w:t>
            </w: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00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00" w:type="dxa"/>
            <w:vAlign w:val="bottom"/>
          </w:tcPr>
          <w:p>
            <w:pPr>
              <w:spacing w:after="0"/>
              <w:rPr>
                <w:sz w:val="16"/>
                <w:szCs w:val="16"/>
                <w:color w:val="auto"/>
              </w:rPr>
            </w:pPr>
          </w:p>
        </w:tc>
        <w:tc>
          <w:tcPr>
            <w:tcW w:w="1560" w:type="dxa"/>
            <w:vAlign w:val="bottom"/>
          </w:tcPr>
          <w:p>
            <w:pPr>
              <w:jc w:val="center"/>
              <w:ind w:left="439"/>
              <w:spacing w:after="0"/>
              <w:rPr>
                <w:sz w:val="20"/>
                <w:szCs w:val="20"/>
                <w:color w:val="auto"/>
              </w:rPr>
            </w:pPr>
            <w:r>
              <w:rPr>
                <w:rFonts w:ascii="Arial" w:cs="Arial" w:eastAsia="Arial" w:hAnsi="Arial"/>
                <w:sz w:val="16"/>
                <w:szCs w:val="16"/>
                <w:b w:val="1"/>
                <w:bCs w:val="1"/>
                <w:color w:val="auto"/>
              </w:rPr>
              <w:t>February 25,</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tcPr>
          <w:p>
            <w:pPr>
              <w:jc w:val="center"/>
              <w:ind w:right="279"/>
              <w:spacing w:after="0"/>
              <w:rPr>
                <w:sz w:val="20"/>
                <w:szCs w:val="20"/>
                <w:color w:val="auto"/>
              </w:rPr>
            </w:pPr>
            <w:r>
              <w:rPr>
                <w:rFonts w:ascii="Arial" w:cs="Arial" w:eastAsia="Arial" w:hAnsi="Arial"/>
                <w:sz w:val="16"/>
                <w:szCs w:val="16"/>
                <w:b w:val="1"/>
                <w:bCs w:val="1"/>
                <w:color w:val="auto"/>
              </w:rPr>
              <w:t>August 27,</w:t>
            </w:r>
          </w:p>
        </w:tc>
        <w:tc>
          <w:tcPr>
            <w:tcW w:w="0" w:type="dxa"/>
            <w:vAlign w:val="bottom"/>
          </w:tcPr>
          <w:p>
            <w:pPr>
              <w:spacing w:after="0"/>
              <w:rPr>
                <w:sz w:val="1"/>
                <w:szCs w:val="1"/>
                <w:color w:val="auto"/>
              </w:rPr>
            </w:pPr>
          </w:p>
        </w:tc>
      </w:tr>
      <w:tr>
        <w:trPr>
          <w:trHeight w:val="215"/>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56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156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183.4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198.9</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15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315.0</w:t>
            </w:r>
          </w:p>
        </w:tc>
        <w:tc>
          <w:tcPr>
            <w:tcW w:w="0" w:type="dxa"/>
            <w:vAlign w:val="bottom"/>
          </w:tcPr>
          <w:p>
            <w:pPr>
              <w:spacing w:after="0"/>
              <w:rPr>
                <w:sz w:val="1"/>
                <w:szCs w:val="1"/>
                <w:color w:val="auto"/>
              </w:rPr>
            </w:pPr>
          </w:p>
        </w:tc>
      </w:tr>
      <w:tr>
        <w:trPr>
          <w:trHeight w:val="209"/>
        </w:trPr>
        <w:tc>
          <w:tcPr>
            <w:tcW w:w="7000" w:type="dxa"/>
            <w:vAlign w:val="bottom"/>
          </w:tcPr>
          <w:p>
            <w:pPr>
              <w:ind w:left="140"/>
              <w:spacing w:after="0"/>
              <w:rPr>
                <w:sz w:val="20"/>
                <w:szCs w:val="20"/>
                <w:color w:val="auto"/>
              </w:rPr>
            </w:pPr>
            <w:r>
              <w:rPr>
                <w:rFonts w:ascii="Arial" w:cs="Arial" w:eastAsia="Arial" w:hAnsi="Arial"/>
                <w:sz w:val="16"/>
                <w:szCs w:val="16"/>
                <w:color w:val="auto"/>
              </w:rPr>
              <w:t>Total</w:t>
            </w:r>
          </w:p>
        </w:tc>
        <w:tc>
          <w:tcPr>
            <w:tcW w:w="1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589.5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573.2</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Excess of FIFO over LIFO cost</w:t>
            </w:r>
          </w:p>
        </w:tc>
        <w:tc>
          <w:tcPr>
            <w:tcW w:w="15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15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540.4</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525.8</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6"/>
                <w:szCs w:val="16"/>
                <w:color w:val="auto"/>
              </w:rPr>
              <w:t>Inventory valuation methods consist of the following:</w:t>
            </w:r>
          </w:p>
        </w:tc>
        <w:tc>
          <w:tcPr>
            <w:tcW w:w="1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700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00" w:type="dxa"/>
            <w:vAlign w:val="bottom"/>
          </w:tcPr>
          <w:p>
            <w:pPr>
              <w:spacing w:after="0"/>
              <w:rPr>
                <w:sz w:val="16"/>
                <w:szCs w:val="16"/>
                <w:color w:val="auto"/>
              </w:rPr>
            </w:pPr>
          </w:p>
        </w:tc>
        <w:tc>
          <w:tcPr>
            <w:tcW w:w="1560" w:type="dxa"/>
            <w:vAlign w:val="bottom"/>
          </w:tcPr>
          <w:p>
            <w:pPr>
              <w:jc w:val="center"/>
              <w:ind w:left="439"/>
              <w:spacing w:after="0"/>
              <w:rPr>
                <w:sz w:val="20"/>
                <w:szCs w:val="20"/>
                <w:color w:val="auto"/>
              </w:rPr>
            </w:pPr>
            <w:r>
              <w:rPr>
                <w:rFonts w:ascii="Arial" w:cs="Arial" w:eastAsia="Arial" w:hAnsi="Arial"/>
                <w:sz w:val="16"/>
                <w:szCs w:val="16"/>
                <w:b w:val="1"/>
                <w:bCs w:val="1"/>
                <w:color w:val="auto"/>
              </w:rPr>
              <w:t>February 25,</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tcPr>
          <w:p>
            <w:pPr>
              <w:jc w:val="center"/>
              <w:ind w:right="279"/>
              <w:spacing w:after="0"/>
              <w:rPr>
                <w:sz w:val="20"/>
                <w:szCs w:val="20"/>
                <w:color w:val="auto"/>
              </w:rPr>
            </w:pPr>
            <w:r>
              <w:rPr>
                <w:rFonts w:ascii="Arial" w:cs="Arial" w:eastAsia="Arial" w:hAnsi="Arial"/>
                <w:sz w:val="16"/>
                <w:szCs w:val="16"/>
                <w:b w:val="1"/>
                <w:bCs w:val="1"/>
                <w:color w:val="auto"/>
              </w:rPr>
              <w:t>August 27,</w:t>
            </w:r>
          </w:p>
        </w:tc>
        <w:tc>
          <w:tcPr>
            <w:tcW w:w="0" w:type="dxa"/>
            <w:vAlign w:val="bottom"/>
          </w:tcPr>
          <w:p>
            <w:pPr>
              <w:spacing w:after="0"/>
              <w:rPr>
                <w:sz w:val="1"/>
                <w:szCs w:val="1"/>
                <w:color w:val="auto"/>
              </w:rPr>
            </w:pPr>
          </w:p>
        </w:tc>
      </w:tr>
      <w:tr>
        <w:trPr>
          <w:trHeight w:val="215"/>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56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LIFO basis</w:t>
            </w:r>
          </w:p>
        </w:tc>
        <w:tc>
          <w:tcPr>
            <w:tcW w:w="156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First-in, first-out basis</w:t>
            </w:r>
          </w:p>
        </w:tc>
        <w:tc>
          <w:tcPr>
            <w:tcW w:w="1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360.9</w:t>
            </w:r>
          </w:p>
        </w:tc>
        <w:tc>
          <w:tcPr>
            <w:tcW w:w="0" w:type="dxa"/>
            <w:vAlign w:val="bottom"/>
          </w:tcPr>
          <w:p>
            <w:pPr>
              <w:spacing w:after="0"/>
              <w:rPr>
                <w:sz w:val="1"/>
                <w:szCs w:val="1"/>
                <w:color w:val="auto"/>
              </w:rPr>
            </w:pPr>
          </w:p>
        </w:tc>
      </w:tr>
      <w:tr>
        <w:trPr>
          <w:trHeight w:val="238"/>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573.2</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above inventory value, before reduction for the LIFO reserve, approximates replacement cost at the respective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5"/>
        </w:trPr>
        <w:tc>
          <w:tcPr>
            <w:tcW w:w="6800" w:type="dxa"/>
            <w:vAlign w:val="bottom"/>
          </w:tcPr>
          <w:p>
            <w:pPr>
              <w:spacing w:after="0"/>
              <w:rPr>
                <w:sz w:val="20"/>
                <w:szCs w:val="20"/>
                <w:color w:val="auto"/>
              </w:rPr>
            </w:pPr>
            <w:r>
              <w:rPr>
                <w:rFonts w:ascii="Arial" w:cs="Arial" w:eastAsia="Arial" w:hAnsi="Arial"/>
                <w:sz w:val="16"/>
                <w:szCs w:val="16"/>
                <w:b w:val="1"/>
                <w:bCs w:val="1"/>
                <w:color w:val="auto"/>
              </w:rPr>
              <w:t>Note 6.  Property, Plant, and Equipment</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51"/>
        </w:trPr>
        <w:tc>
          <w:tcPr>
            <w:tcW w:w="8300" w:type="dxa"/>
            <w:vAlign w:val="bottom"/>
            <w:gridSpan w:val="2"/>
          </w:tcPr>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5"/>
        </w:trPr>
        <w:tc>
          <w:tcPr>
            <w:tcW w:w="68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February 25,</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tcPr>
          <w:p>
            <w:pPr>
              <w:jc w:val="right"/>
              <w:ind w:right="499"/>
              <w:spacing w:after="0"/>
              <w:rPr>
                <w:sz w:val="20"/>
                <w:szCs w:val="20"/>
                <w:color w:val="auto"/>
              </w:rPr>
            </w:pPr>
            <w:r>
              <w:rPr>
                <w:rFonts w:ascii="Arial" w:cs="Arial" w:eastAsia="Arial" w:hAnsi="Arial"/>
                <w:sz w:val="16"/>
                <w:szCs w:val="16"/>
                <w:b w:val="1"/>
                <w:bCs w:val="1"/>
                <w:color w:val="auto"/>
              </w:rPr>
              <w:t>August 27,</w:t>
            </w:r>
          </w:p>
        </w:tc>
      </w:tr>
      <w:tr>
        <w:trPr>
          <w:trHeight w:val="215"/>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2022</w:t>
            </w:r>
          </w:p>
        </w:tc>
      </w:tr>
      <w:tr>
        <w:trPr>
          <w:trHeight w:val="210"/>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500" w:type="dxa"/>
            <w:vAlign w:val="bottom"/>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3"/>
        </w:trPr>
        <w:tc>
          <w:tcPr>
            <w:tcW w:w="6800" w:type="dxa"/>
            <w:vAlign w:val="bottom"/>
          </w:tcPr>
          <w:p>
            <w:pPr>
              <w:ind w:left="20"/>
              <w:spacing w:after="0"/>
              <w:rPr>
                <w:sz w:val="20"/>
                <w:szCs w:val="20"/>
                <w:color w:val="auto"/>
              </w:rPr>
            </w:pPr>
            <w:r>
              <w:rPr>
                <w:rFonts w:ascii="Arial" w:cs="Arial" w:eastAsia="Arial" w:hAnsi="Arial"/>
                <w:sz w:val="16"/>
                <w:szCs w:val="16"/>
                <w:color w:val="auto"/>
              </w:rPr>
              <w:t>Buildings and building improvements</w:t>
            </w:r>
          </w:p>
        </w:tc>
        <w:tc>
          <w:tcPr>
            <w:tcW w:w="1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171.0</w:t>
            </w:r>
          </w:p>
        </w:tc>
      </w:tr>
      <w:tr>
        <w:trPr>
          <w:trHeight w:val="219"/>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15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w:t>
            </w:r>
          </w:p>
        </w:tc>
      </w:tr>
      <w:tr>
        <w:trPr>
          <w:trHeight w:val="213"/>
        </w:trPr>
        <w:tc>
          <w:tcPr>
            <w:tcW w:w="6800" w:type="dxa"/>
            <w:vAlign w:val="bottom"/>
          </w:tcPr>
          <w:p>
            <w:pPr>
              <w:ind w:left="20"/>
              <w:spacing w:after="0"/>
              <w:rPr>
                <w:sz w:val="20"/>
                <w:szCs w:val="20"/>
                <w:color w:val="auto"/>
              </w:rPr>
            </w:pPr>
            <w:r>
              <w:rPr>
                <w:rFonts w:ascii="Arial" w:cs="Arial" w:eastAsia="Arial" w:hAnsi="Arial"/>
                <w:sz w:val="16"/>
                <w:szCs w:val="16"/>
                <w:color w:val="auto"/>
              </w:rPr>
              <w:t>Software</w:t>
            </w:r>
          </w:p>
        </w:tc>
        <w:tc>
          <w:tcPr>
            <w:tcW w:w="1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43.8</w:t>
            </w:r>
          </w:p>
        </w:tc>
      </w:tr>
      <w:tr>
        <w:trPr>
          <w:trHeight w:val="219"/>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Transportation</w:t>
            </w:r>
          </w:p>
        </w:tc>
        <w:tc>
          <w:tcPr>
            <w:tcW w:w="15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3"/>
        </w:trPr>
        <w:tc>
          <w:tcPr>
            <w:tcW w:w="6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Construction in progress</w:t>
            </w:r>
          </w:p>
        </w:tc>
        <w:tc>
          <w:tcPr>
            <w:tcW w:w="1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w:t>
            </w:r>
          </w:p>
        </w:tc>
      </w:tr>
      <w:tr>
        <w:trPr>
          <w:trHeight w:val="212"/>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gross</w:t>
            </w: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455.3</w:t>
            </w:r>
          </w:p>
        </w:tc>
      </w:tr>
      <w:tr>
        <w:trPr>
          <w:trHeight w:val="213"/>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1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179.1</w:t>
            </w:r>
          </w:p>
        </w:tc>
      </w:tr>
      <w:tr>
        <w:trPr>
          <w:trHeight w:val="237"/>
        </w:trPr>
        <w:tc>
          <w:tcPr>
            <w:tcW w:w="6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1500" w:type="dxa"/>
            <w:vAlign w:val="bottom"/>
            <w:tcBorders>
              <w:bottom w:val="single" w:sz="8" w:color="auto"/>
            </w:tcBorders>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276.2</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480"/>
        <w:spacing w:after="0" w:line="278" w:lineRule="auto"/>
        <w:rPr>
          <w:sz w:val="20"/>
          <w:szCs w:val="20"/>
          <w:color w:val="auto"/>
        </w:rPr>
      </w:pPr>
      <w:r>
        <w:rPr>
          <w:rFonts w:ascii="Arial" w:cs="Arial" w:eastAsia="Arial" w:hAnsi="Arial"/>
          <w:sz w:val="16"/>
          <w:szCs w:val="16"/>
          <w:color w:val="auto"/>
        </w:rPr>
        <w:t>Depreciation expense was $6.7 million and $5.5 million for the three months ended February 25, 2023 and February 26, 2022, respectively; and $13.3 million and $10.8 million for the six months ended February 25, 2023 and February 26, 2022, respectively.</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7.</w:t>
        <w:tab/>
        <w:t>Goodwill and Intangible Assets</w:t>
      </w:r>
    </w:p>
    <w:p>
      <w:pPr>
        <w:spacing w:after="0" w:line="28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changes in the carrying amount of goodwill by reportable segment, with no accumulated impairment losses, for the six months ended February 25, 2023 and February 26, 2022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Towable</w:t>
            </w:r>
          </w:p>
        </w:tc>
        <w:tc>
          <w:tcPr>
            <w:tcW w:w="22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6"/>
                <w:szCs w:val="16"/>
                <w:b w:val="1"/>
                <w:bCs w:val="1"/>
                <w:color w:val="auto"/>
              </w:rPr>
              <w:t>Motorhome</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Marine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213"/>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at August 28, 2021</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348.1</w:t>
            </w:r>
          </w:p>
        </w:tc>
      </w:tr>
      <w:tr>
        <w:trPr>
          <w:trHeight w:val="216"/>
        </w:trPr>
        <w:tc>
          <w:tcPr>
            <w:tcW w:w="4860" w:type="dxa"/>
            <w:vAlign w:val="bottom"/>
          </w:tcPr>
          <w:p>
            <w:pPr>
              <w:ind w:left="140"/>
              <w:spacing w:after="0" w:line="216" w:lineRule="exact"/>
              <w:rPr>
                <w:sz w:val="20"/>
                <w:szCs w:val="20"/>
                <w:color w:val="auto"/>
              </w:rPr>
            </w:pPr>
            <w:r>
              <w:rPr>
                <w:rFonts w:ascii="Arial" w:cs="Arial" w:eastAsia="Arial" w:hAnsi="Arial"/>
                <w:sz w:val="16"/>
                <w:szCs w:val="16"/>
                <w:color w:val="auto"/>
              </w:rPr>
              <w:t>Acquisition of Barletta</w:t>
            </w:r>
            <w:r>
              <w:rPr>
                <w:rFonts w:ascii="Arial" w:cs="Arial" w:eastAsia="Arial" w:hAnsi="Arial"/>
                <w:sz w:val="21"/>
                <w:szCs w:val="21"/>
                <w:color w:val="auto"/>
                <w:vertAlign w:val="superscript"/>
              </w:rPr>
              <w:t>(1)</w:t>
            </w:r>
          </w:p>
        </w:tc>
        <w:tc>
          <w:tcPr>
            <w:tcW w:w="2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136.1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136.1</w:t>
            </w:r>
          </w:p>
        </w:tc>
      </w:tr>
      <w:tr>
        <w:trPr>
          <w:trHeight w:val="235"/>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February 26, 2022</w:t>
            </w: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166.4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484.2</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1"/>
        </w:trPr>
        <w:tc>
          <w:tcPr>
            <w:tcW w:w="4860" w:type="dxa"/>
            <w:vAlign w:val="bottom"/>
            <w:tcBorders>
              <w:bottom w:val="single" w:sz="8" w:color="CCEEFF"/>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Balances at August 27, 2022 and February 25, 2023</w:t>
            </w:r>
            <w:r>
              <w:rPr>
                <w:rFonts w:ascii="Arial" w:cs="Arial" w:eastAsia="Arial" w:hAnsi="Arial"/>
                <w:sz w:val="21"/>
                <w:szCs w:val="21"/>
                <w:color w:val="auto"/>
                <w:vertAlign w:val="superscript"/>
              </w:rPr>
              <w:t>(2)</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166.4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484.2</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60" w:right="560" w:hanging="252"/>
        <w:spacing w:after="0" w:line="213" w:lineRule="auto"/>
        <w:tabs>
          <w:tab w:leader="none" w:pos="175"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The change in marine activity is related to the acquisition of Barletta that occurred on August 31, 2021. See Note 2 in the Notes to Consolidated Financial Statements included in Item 1 of Part I of this Quarterly Report on Form 10-Q.</w:t>
      </w:r>
    </w:p>
    <w:p>
      <w:pPr>
        <w:spacing w:after="0" w:line="46" w:lineRule="exact"/>
        <w:rPr>
          <w:rFonts w:ascii="Arial" w:cs="Arial" w:eastAsia="Arial" w:hAnsi="Arial"/>
          <w:sz w:val="20"/>
          <w:szCs w:val="20"/>
          <w:color w:val="auto"/>
          <w:vertAlign w:val="superscript"/>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There was no activity in the six months ended February 25, 2023.</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Other intangible assets, net of accumulated amortization, consist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February 25, 2023</w:t>
            </w: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Gross Carrying Amount</w:t>
            </w:r>
          </w:p>
        </w:tc>
        <w:tc>
          <w:tcPr>
            <w:tcW w:w="240" w:type="dxa"/>
            <w:vAlign w:val="bottom"/>
          </w:tcPr>
          <w:p>
            <w:pPr>
              <w:spacing w:after="0"/>
              <w:rPr>
                <w:sz w:val="13"/>
                <w:szCs w:val="13"/>
                <w:color w:val="auto"/>
              </w:rPr>
            </w:pPr>
          </w:p>
        </w:tc>
        <w:tc>
          <w:tcPr>
            <w:tcW w:w="192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3"/>
                <w:szCs w:val="13"/>
                <w:color w:val="auto"/>
              </w:rPr>
            </w:pPr>
          </w:p>
        </w:tc>
        <w:tc>
          <w:tcPr>
            <w:tcW w:w="18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Net Carrying Value</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Dealer networks</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112.1</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Non-compete agreements</w:t>
            </w: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38"/>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464.8</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August 27, 2022</w:t>
            </w: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Gross Carrying Amount</w:t>
            </w:r>
          </w:p>
        </w:tc>
        <w:tc>
          <w:tcPr>
            <w:tcW w:w="260" w:type="dxa"/>
            <w:vAlign w:val="bottom"/>
          </w:tcPr>
          <w:p>
            <w:pPr>
              <w:spacing w:after="0"/>
              <w:rPr>
                <w:sz w:val="13"/>
                <w:szCs w:val="13"/>
                <w:color w:val="auto"/>
              </w:rPr>
            </w:pPr>
          </w:p>
        </w:tc>
        <w:tc>
          <w:tcPr>
            <w:tcW w:w="190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3"/>
                <w:szCs w:val="13"/>
                <w:color w:val="auto"/>
              </w:rPr>
            </w:pPr>
          </w:p>
        </w:tc>
        <w:tc>
          <w:tcPr>
            <w:tcW w:w="18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Net Carrying Value</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Dealer networks</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Non-compete agreements</w:t>
            </w: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8"/>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amortization period for intangible assets as of February 25, 2023 was approximately eight years.</w:t>
      </w: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Estimated future amortization expense related to finite-lived intangible assets is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Amortization</w:t>
            </w:r>
          </w:p>
        </w:tc>
      </w:tr>
      <w:tr>
        <w:trPr>
          <w:trHeight w:val="212"/>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2023</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Fiscal 2024</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2025</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Fiscal 2026</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2027</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Fiscal 2028</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16"/>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w:t>
            </w:r>
          </w:p>
        </w:tc>
      </w:tr>
      <w:tr>
        <w:trPr>
          <w:trHeight w:val="213"/>
        </w:trPr>
        <w:tc>
          <w:tcPr>
            <w:tcW w:w="9600" w:type="dxa"/>
            <w:vAlign w:val="bottom"/>
          </w:tcPr>
          <w:p>
            <w:pPr>
              <w:ind w:left="140"/>
              <w:spacing w:after="0"/>
              <w:rPr>
                <w:sz w:val="20"/>
                <w:szCs w:val="20"/>
                <w:color w:val="auto"/>
              </w:rPr>
            </w:pPr>
            <w:r>
              <w:rPr>
                <w:rFonts w:ascii="Arial" w:cs="Arial" w:eastAsia="Arial" w:hAnsi="Arial"/>
                <w:sz w:val="16"/>
                <w:szCs w:val="16"/>
                <w:color w:val="auto"/>
              </w:rPr>
              <w:t>Total amortization expense remaining</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w:t>
            </w:r>
          </w:p>
        </w:tc>
      </w:tr>
      <w:tr>
        <w:trPr>
          <w:trHeight w:val="21"/>
        </w:trPr>
        <w:tc>
          <w:tcPr>
            <w:tcW w:w="9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8.</w:t>
        <w:tab/>
        <w:t>Product Warranties</w:t>
      </w:r>
    </w:p>
    <w:p>
      <w:pPr>
        <w:spacing w:after="0" w:line="268"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We provide certain service and warranty on our products. From time to time, we also voluntarily incur costs for certain warranty-type expenses occurring after the normal warranty period expires to help protect the reputation of our products and maintain the goodwill of our customers. Estimated costs related to product warranty are accrued at the time of sale and are based upon historical warranty and service claims experience. Adjustments are made to accruals as claim data and cost experience becomes available.</w:t>
      </w:r>
    </w:p>
    <w:p>
      <w:pPr>
        <w:spacing w:after="0" w:line="223" w:lineRule="exact"/>
        <w:rPr>
          <w:sz w:val="20"/>
          <w:szCs w:val="20"/>
          <w:color w:val="auto"/>
        </w:rPr>
      </w:pPr>
    </w:p>
    <w:p>
      <w:pPr>
        <w:ind w:right="320"/>
        <w:spacing w:after="0" w:line="257" w:lineRule="auto"/>
        <w:rPr>
          <w:sz w:val="20"/>
          <w:szCs w:val="20"/>
          <w:color w:val="auto"/>
        </w:rPr>
      </w:pPr>
      <w:r>
        <w:rPr>
          <w:rFonts w:ascii="Arial" w:cs="Arial" w:eastAsia="Arial" w:hAnsi="Arial"/>
          <w:sz w:val="16"/>
          <w:szCs w:val="16"/>
          <w:color w:val="auto"/>
        </w:rPr>
        <w:t>In addition to the costs associated with the contractual warranty coverage provided on products, we also occasionally incur costs as a result of additional service actions not covered by warranties, including product recalls and customer satisfaction actions. Although we estimate and reserve for the cost of these service actions when probable and estimable, there can be no assurance that expense levels will remain at current levels or such reserves will continue to be adequate.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20"/>
                <w:szCs w:val="20"/>
                <w:color w:val="auto"/>
              </w:rPr>
            </w:pPr>
            <w:r>
              <w:rPr>
                <w:rFonts w:ascii="Arial" w:cs="Arial" w:eastAsia="Arial" w:hAnsi="Arial"/>
                <w:sz w:val="16"/>
                <w:szCs w:val="16"/>
                <w:color w:val="auto"/>
              </w:rPr>
              <w:t>Changes in the product warranty liability are as follows: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2"/>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2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20"/>
                <w:szCs w:val="20"/>
                <w:color w:val="auto"/>
              </w:rPr>
            </w:pPr>
          </w:p>
        </w:tc>
        <w:tc>
          <w:tcPr>
            <w:tcW w:w="31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44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25,</w:t>
            </w: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259"/>
              <w:spacing w:after="0" w:line="158" w:lineRule="exact"/>
              <w:rPr>
                <w:sz w:val="20"/>
                <w:szCs w:val="20"/>
                <w:color w:val="auto"/>
              </w:rPr>
            </w:pPr>
            <w:r>
              <w:rPr>
                <w:rFonts w:ascii="Arial" w:cs="Arial" w:eastAsia="Arial" w:hAnsi="Arial"/>
                <w:sz w:val="16"/>
                <w:szCs w:val="16"/>
                <w:b w:val="1"/>
                <w:bCs w:val="1"/>
                <w:color w:val="auto"/>
              </w:rPr>
              <w:t>February 26,</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25,</w:t>
            </w: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239"/>
              <w:spacing w:after="0" w:line="158" w:lineRule="exact"/>
              <w:rPr>
                <w:sz w:val="20"/>
                <w:szCs w:val="20"/>
                <w:color w:val="auto"/>
              </w:rPr>
            </w:pPr>
            <w:r>
              <w:rPr>
                <w:rFonts w:ascii="Arial" w:cs="Arial" w:eastAsia="Arial" w:hAnsi="Arial"/>
                <w:sz w:val="16"/>
                <w:szCs w:val="16"/>
                <w:b w:val="1"/>
                <w:bCs w:val="1"/>
                <w:color w:val="auto"/>
              </w:rPr>
              <w:t>February 26,</w:t>
            </w:r>
          </w:p>
        </w:tc>
      </w:tr>
      <w:tr>
        <w:trPr>
          <w:trHeight w:val="215"/>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r>
      <w:tr>
        <w:trPr>
          <w:trHeight w:val="216"/>
        </w:trPr>
        <w:tc>
          <w:tcPr>
            <w:tcW w:w="4460" w:type="dxa"/>
            <w:vAlign w:val="bottom"/>
          </w:tcPr>
          <w:p>
            <w:pPr>
              <w:ind w:left="140"/>
              <w:spacing w:after="0" w:line="216" w:lineRule="exact"/>
              <w:rPr>
                <w:sz w:val="20"/>
                <w:szCs w:val="20"/>
                <w:color w:val="auto"/>
              </w:rPr>
            </w:pPr>
            <w:r>
              <w:rPr>
                <w:rFonts w:ascii="Arial" w:cs="Arial" w:eastAsia="Arial" w:hAnsi="Arial"/>
                <w:sz w:val="16"/>
                <w:szCs w:val="16"/>
                <w:color w:val="auto"/>
              </w:rPr>
              <w:t>Business acquisition</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r>
      <w:tr>
        <w:trPr>
          <w:trHeight w:val="213"/>
        </w:trPr>
        <w:tc>
          <w:tcPr>
            <w:tcW w:w="4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Claims paid</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w:t>
            </w:r>
          </w:p>
        </w:tc>
      </w:tr>
      <w:tr>
        <w:trPr>
          <w:trHeight w:val="23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60" w:right="80" w:hanging="252"/>
        <w:spacing w:after="0" w:line="199" w:lineRule="auto"/>
        <w:tabs>
          <w:tab w:leader="none" w:pos="305"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Relates to the acquisition of Barletta on August 31, 2021. See Note 2 in the Notes to Consolidated Financial Statements included in Item 1 of Part I of this Quarterly Report on Form 10-Q.</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20"/>
                <w:szCs w:val="20"/>
                <w:color w:val="auto"/>
              </w:rPr>
            </w:pPr>
            <w:r>
              <w:rPr>
                <w:rFonts w:ascii="Arial" w:cs="Arial" w:eastAsia="Arial" w:hAnsi="Arial"/>
                <w:sz w:val="16"/>
                <w:szCs w:val="16"/>
                <w:b w:val="1"/>
                <w:bCs w:val="1"/>
                <w:color w:val="auto"/>
              </w:rPr>
              <w:t>Note 9.  Long-Term Debt</w:t>
            </w: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45"/>
        </w:trPr>
        <w:tc>
          <w:tcPr>
            <w:tcW w:w="7000" w:type="dxa"/>
            <w:vAlign w:val="bottom"/>
          </w:tcPr>
          <w:p>
            <w:pPr>
              <w:spacing w:after="0"/>
              <w:rPr>
                <w:sz w:val="20"/>
                <w:szCs w:val="20"/>
                <w:color w:val="auto"/>
              </w:rPr>
            </w:pPr>
            <w:r>
              <w:rPr>
                <w:rFonts w:ascii="Arial" w:cs="Arial" w:eastAsia="Arial" w:hAnsi="Arial"/>
                <w:sz w:val="16"/>
                <w:szCs w:val="16"/>
                <w:color w:val="auto"/>
              </w:rPr>
              <w:t>Long-term debt consists of the following:</w:t>
            </w: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2"/>
        </w:trPr>
        <w:tc>
          <w:tcPr>
            <w:tcW w:w="7000" w:type="dxa"/>
            <w:vAlign w:val="bottom"/>
          </w:tcPr>
          <w:p>
            <w:pPr>
              <w:spacing w:after="0"/>
              <w:rPr>
                <w:sz w:val="15"/>
                <w:szCs w:val="15"/>
                <w:color w:val="auto"/>
              </w:rPr>
            </w:pPr>
          </w:p>
        </w:tc>
        <w:tc>
          <w:tcPr>
            <w:tcW w:w="15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February 25,</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Pr>
          <w:p>
            <w:pPr>
              <w:jc w:val="right"/>
              <w:ind w:right="539"/>
              <w:spacing w:after="0" w:line="181" w:lineRule="exact"/>
              <w:rPr>
                <w:sz w:val="20"/>
                <w:szCs w:val="20"/>
                <w:color w:val="auto"/>
              </w:rPr>
            </w:pPr>
            <w:r>
              <w:rPr>
                <w:rFonts w:ascii="Arial" w:cs="Arial" w:eastAsia="Arial" w:hAnsi="Arial"/>
                <w:sz w:val="16"/>
                <w:szCs w:val="16"/>
                <w:b w:val="1"/>
                <w:bCs w:val="1"/>
                <w:color w:val="auto"/>
              </w:rPr>
              <w:t>August 27,</w:t>
            </w:r>
          </w:p>
        </w:tc>
      </w:tr>
      <w:tr>
        <w:trPr>
          <w:trHeight w:val="215"/>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2022</w:t>
            </w:r>
          </w:p>
        </w:tc>
      </w:tr>
      <w:tr>
        <w:trPr>
          <w:trHeight w:val="210"/>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Credit Facility</w:t>
            </w:r>
          </w:p>
        </w:tc>
        <w:tc>
          <w:tcPr>
            <w:tcW w:w="156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Senior Secured Notes</w:t>
            </w:r>
          </w:p>
        </w:tc>
        <w:tc>
          <w:tcPr>
            <w:tcW w:w="1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300.0</w:t>
            </w: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15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210"/>
        </w:trPr>
        <w:tc>
          <w:tcPr>
            <w:tcW w:w="7000" w:type="dxa"/>
            <w:vAlign w:val="bottom"/>
          </w:tcPr>
          <w:p>
            <w:pPr>
              <w:ind w:left="140"/>
              <w:spacing w:after="0"/>
              <w:rPr>
                <w:sz w:val="20"/>
                <w:szCs w:val="20"/>
                <w:color w:val="auto"/>
              </w:rPr>
            </w:pPr>
            <w:r>
              <w:rPr>
                <w:rFonts w:ascii="Arial" w:cs="Arial" w:eastAsia="Arial" w:hAnsi="Arial"/>
                <w:sz w:val="16"/>
                <w:szCs w:val="16"/>
                <w:color w:val="auto"/>
              </w:rPr>
              <w:t>Long-term debt, gross</w:t>
            </w:r>
          </w:p>
        </w:tc>
        <w:tc>
          <w:tcPr>
            <w:tcW w:w="1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19"/>
        </w:trPr>
        <w:tc>
          <w:tcPr>
            <w:tcW w:w="70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Convertible Notes unamortized interest discount</w:t>
            </w:r>
            <w:r>
              <w:rPr>
                <w:rFonts w:ascii="Arial" w:cs="Arial" w:eastAsia="Arial" w:hAnsi="Arial"/>
                <w:sz w:val="21"/>
                <w:szCs w:val="21"/>
                <w:color w:val="auto"/>
                <w:vertAlign w:val="superscript"/>
              </w:rPr>
              <w:t>(1)</w:t>
            </w:r>
          </w:p>
        </w:tc>
        <w:tc>
          <w:tcPr>
            <w:tcW w:w="15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Debt issuance costs, net</w:t>
            </w:r>
          </w:p>
        </w:tc>
        <w:tc>
          <w:tcPr>
            <w:tcW w:w="1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r>
      <w:tr>
        <w:trPr>
          <w:trHeight w:val="238"/>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1560" w:type="dxa"/>
            <w:vAlign w:val="bottom"/>
            <w:tcBorders>
              <w:bottom w:val="single" w:sz="8" w:color="auto"/>
            </w:tcBorders>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60" w:right="380" w:hanging="252"/>
        <w:spacing w:after="0" w:line="199" w:lineRule="auto"/>
        <w:tabs>
          <w:tab w:leader="none" w:pos="305"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In connection with the adoption of ASU 2020-06, the unamortized interest discount was derecognized in the first quarter of Fiscal 2023. Refer to Note 1 in the Notes to Consolidated Financial Statements in Item 1 of Part I of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Agreements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On July 15, 2022, we amended and restated our existing asset-backed revolving credit agreement ("ABL Credit Facility") to, among other things, increase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commitments available from $192.5 million to $350.0 million, and extend the maturity date from October 22, 2024 to July 15, 2027 (subject to certain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factors which may accelerate the maturity date). The $350.0 million credit facility is on a revolving basis, subject to availability under a borrowing base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consisting of eligible accounts receivable and eligible inventory. The ABL Credit Facility is available for issuance of letters of credit to a specified limit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$35.0 million. We pay a commitment fee of 0.25% based on the average daily amount of the facility available, but unused during the most recent quarter. We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can elect to base the interest rate on various rates plus specific spreads depending on the borrowing amount outstanding. If drawn, interest on ABL Credit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Facility borrowings is at a floating rate based upon our election, either term SOFR or REVSOFR30 (as defined in the ABL Credit Facility agreement), plus,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each case, a credit spread adjustment of 0.10%, as well as an applicable spread between 1.25% and 1.75%, depending on the usage of the facility during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most recent quarter. Based on current usage, we would pay an applicable spread of 1.25%. In connection with the amendment, we capitalized $1.2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million of issuance costs that will be amortized over the five-year term of the ABL Credit Facility.</w:t>
      </w:r>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On July 8, 2020, we closed our private offering (the “Senior Secured Notes Offering”) of $300.0 million aggregate principal amount of 6.25% Senior Secured Notes due 2028 (the “Senior Secured Notes”). The Senior Secured Notes were issued in accordance with an Indenture dated as of July 8, 2020 (the “Indenture”). The Senior Secured Notes will mature on July 15, 2028 unless earlier redeemed or repurchased. Interest on the Senior Secured Notes accrues starting July 8, 2020 and is payable semi-annually in arrears on January 15 and July 15 of each year, which began on January 15, 2021.</w:t>
      </w:r>
    </w:p>
    <w:p>
      <w:pPr>
        <w:spacing w:after="0" w:line="238"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Debt issuance costs incurred and capitalized are amortized on a straight-line basis over the term of the associated debt agreement. If early principal payments are made on the Senior Secured Notes, a proportional amount of the unamortized debt issuance costs is expensed. As part of the Senior Secured Notes Offering, we capitalized $7.5 million in debt issuance costs that will be amortized over the eight-year term of the agreement.</w:t>
      </w:r>
    </w:p>
    <w:p>
      <w:pPr>
        <w:spacing w:after="0" w:line="221"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Refer to Note 9 in the Notes to Consolidated Financial Statements included in Item 8 of Part II of our Annual Report on Form 10-K for the fiscal year ended August 27, 2022 for additional information regarding these credit agreements.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Convertible Notes</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On November 1, 2019, we issued $300.0 million in aggregate principal amount of 1.5% unsecured convertible senior notes due 2025 (“Convertible Notes”). The net proceeds from the issuance of the Convertible Notes, after deducting the initial purchasers' transaction fees and offering expense payable by us, were approximately $290.2 million. The Convertible Notes bear interest at the annual rate of 1.5%, payable on April 1 and October 1 of each year, beginning on April 1, 2020, and will mature on April 1, 2025, unless earlier converted or repurchased by us.</w:t>
      </w:r>
    </w:p>
    <w:p>
      <w:pPr>
        <w:spacing w:after="0" w:line="23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 Convertible Notes will be convertible into cash, shares of our common stock or a combination thereof, at our election, at an initial conversion rate of 15.6906 shares of common stock per $1 thousand principal amount of Convertible Notes, which is equivalent to an initial conversion price of approximately $63.73 per share, as adjusted pursuant to the terms of the indenture governing the Convertible Notes. The Convertible Notes may be converted at any time on or after October 1, 2024, until the close of business on the second scheduled trading day immediately preceding the maturity date.</w:t>
      </w:r>
    </w:p>
    <w:p>
      <w:pPr>
        <w:spacing w:after="0" w:line="224"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Prior to the close of business on the business day immediately preceding October 1, 2024, the Convertible Notes will be convertible only under the following circumstances:</w:t>
      </w:r>
    </w:p>
    <w:p>
      <w:pPr>
        <w:spacing w:after="0" w:line="316" w:lineRule="exact"/>
        <w:rPr>
          <w:sz w:val="20"/>
          <w:szCs w:val="20"/>
          <w:color w:val="auto"/>
        </w:rPr>
      </w:pPr>
    </w:p>
    <w:p>
      <w:pPr>
        <w:ind w:left="660" w:right="700" w:hanging="328"/>
        <w:spacing w:after="0" w:line="26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during any calendar quarter commencing after December 31, 2019 if the closing sale price of the common stock is more than 130% of the applicable conversion price on each applicable trading day for at least 20 trading days (whether or not consecutive) during a period of 30 consecutive trading days ending on, and including, the last trading day of the immediately preceding calendar quarter;</w:t>
      </w:r>
    </w:p>
    <w:p>
      <w:pPr>
        <w:spacing w:after="0" w:line="85" w:lineRule="exact"/>
        <w:rPr>
          <w:rFonts w:ascii="Arial" w:cs="Arial" w:eastAsia="Arial" w:hAnsi="Arial"/>
          <w:sz w:val="16"/>
          <w:szCs w:val="16"/>
          <w:color w:val="auto"/>
        </w:rPr>
      </w:pPr>
    </w:p>
    <w:p>
      <w:pPr>
        <w:ind w:left="660" w:hanging="328"/>
        <w:spacing w:after="0" w:line="26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during the five consecutive business day period after any five consecutive trading day period (the "measurement period") in which the trading price per $1 thousand principal amount of Convertible Notes for each trading day of the measurement period was less than 98% of the product of the last reported sale price of the common stock and the conversion rate for the Convertible Notes on each such trading day; or</w:t>
      </w:r>
    </w:p>
    <w:p>
      <w:pPr>
        <w:spacing w:after="0" w:line="85"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upon the occurrence of certain specified corporate events set forth in the indenture for the Convertible Notes.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We may not redeem the Convertible Notes at our option prior to the maturity date, and no sinking fund is provided for the Convertible Notes.</w:t>
      </w:r>
    </w:p>
    <w:p>
      <w:pPr>
        <w:spacing w:after="0" w:line="248" w:lineRule="exact"/>
        <w:rPr>
          <w:sz w:val="20"/>
          <w:szCs w:val="20"/>
          <w:color w:val="auto"/>
        </w:rPr>
      </w:pPr>
    </w:p>
    <w:p>
      <w:pPr>
        <w:jc w:val="both"/>
        <w:ind w:right="140"/>
        <w:spacing w:after="0" w:line="262" w:lineRule="auto"/>
        <w:rPr>
          <w:sz w:val="20"/>
          <w:szCs w:val="20"/>
          <w:color w:val="auto"/>
        </w:rPr>
      </w:pPr>
      <w:r>
        <w:rPr>
          <w:rFonts w:ascii="Arial" w:cs="Arial" w:eastAsia="Arial" w:hAnsi="Arial"/>
          <w:sz w:val="16"/>
          <w:szCs w:val="16"/>
          <w:color w:val="auto"/>
        </w:rPr>
        <w:t>The conversion rate of the Convertible Notes may be adjusted in certain circumstances, including in connection with a conversion of the Convertible Notes made following certain fundamental changes and under other circumstances set forth in the indenture. It is our current intent to settle all conversions of the Convertible Notes in cash. Our ability to cash settle may be limited depending on the stock price at the time of conversion.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On October 29, 2019 and October 30, 2019, in connection with the offering of the Convertible Notes, we entered into privately negotiated convertible note hedge transactions (collectively, the “Hedge Transactions”) that cover, subject to customary anti-dilution adjustments, the number of shares of our common stock that initially underlie the Convertible Notes.</w:t>
      </w:r>
    </w:p>
    <w:p>
      <w:pPr>
        <w:spacing w:after="0" w:line="221" w:lineRule="exact"/>
        <w:rPr>
          <w:sz w:val="20"/>
          <w:szCs w:val="20"/>
          <w:color w:val="auto"/>
        </w:rPr>
      </w:pPr>
    </w:p>
    <w:p>
      <w:pPr>
        <w:jc w:val="both"/>
        <w:ind w:right="320"/>
        <w:spacing w:after="0" w:line="262" w:lineRule="auto"/>
        <w:rPr>
          <w:sz w:val="20"/>
          <w:szCs w:val="20"/>
          <w:color w:val="auto"/>
        </w:rPr>
      </w:pPr>
      <w:r>
        <w:rPr>
          <w:rFonts w:ascii="Arial" w:cs="Arial" w:eastAsia="Arial" w:hAnsi="Arial"/>
          <w:sz w:val="16"/>
          <w:szCs w:val="16"/>
          <w:color w:val="auto"/>
        </w:rPr>
        <w:t>On October 29, 2019 and October 30, 2019, we also entered into privately negotiated warrant transactions (collectively, the “Warrant Transactions” and, together with the Hedge Transactions, the “Call Spread Transactions”), whereby we sold warrants at a higher strike price relating to the same number of shares of our common stock that initially underlie the Convertible Notes, subject to customary anti-dilution adjustments.</w:t>
      </w:r>
    </w:p>
    <w:p>
      <w:pPr>
        <w:spacing w:after="0" w:line="180"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The Hedge Transactions and the Warrant Transactions are separate transactions, in each case, and are not part of the terms of the Convertible Notes and will not affect any holder’s rights under the Convertible Notes. Holders of the Convertible Notes will not have any rights with respect to the Call Spread Transactions.</w:t>
      </w:r>
    </w:p>
    <w:p>
      <w:pPr>
        <w:spacing w:after="0" w:line="221"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Refer to Note 9 in the Notes to Consolidated Financial Statements included in Item 8 of Part II of our Annual Report on Form 10-K for the fiscal year ended August 27, 2022 for additional information regarding the Convertible Notes and the Call Spread Transactions.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Treatment of the Convertible Notes and Related Hedge Transactions and Warrant Transactions</w:t>
      </w:r>
    </w:p>
    <w:p>
      <w:pPr>
        <w:spacing w:after="0" w:line="75" w:lineRule="exact"/>
        <w:rPr>
          <w:sz w:val="20"/>
          <w:szCs w:val="20"/>
          <w:color w:val="auto"/>
        </w:rPr>
      </w:pPr>
    </w:p>
    <w:p>
      <w:pPr>
        <w:jc w:val="both"/>
        <w:ind w:right="420"/>
        <w:spacing w:after="0" w:line="262" w:lineRule="auto"/>
        <w:rPr>
          <w:sz w:val="20"/>
          <w:szCs w:val="20"/>
          <w:color w:val="auto"/>
        </w:rPr>
      </w:pPr>
      <w:r>
        <w:rPr>
          <w:rFonts w:ascii="Arial" w:cs="Arial" w:eastAsia="Arial" w:hAnsi="Arial"/>
          <w:sz w:val="16"/>
          <w:szCs w:val="16"/>
          <w:color w:val="auto"/>
        </w:rPr>
        <w:t>In the first quarter of Fiscal 2023, we adopted ASU 2020-06 using the modified retrospective approach. The new guidance simplifies the accounting for convertible instruments by removing certain separation models. As a result, more convertible debt instruments will be accounted for as a single liability measured at amortized cost.</w:t>
      </w:r>
    </w:p>
    <w:p>
      <w:pPr>
        <w:spacing w:after="0" w:line="22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Prior to our adoption of ASU 2020-06, we bifurcated the proceeds from the offering of the Convertible Notes between liability and equity components. On the date of issuance, the liability and equity components were calculated to be approximately $215.0 million and $85.0 million, respectively. The initial $215.0 million liability component was determined based on the fair value of similar debt instruments excluding the conversion feature assuming a hypothetical interest rate of 8%. The initial $85.0 million ($64.1 million net of tax) equity component represented the difference between the fair value of the initial $215.0 million in debt and the $300.0 million of gross proceeds. The initial debt discount of $85.0 million was being amortized over the life of the Convertible Notes as non-cash interest expense using the effective interest method. We recognized $3.7 million and $7.3 million of non-cash interest expense during the three and six months ended February 26, 2022, respectively. In addition, offering-related costs of $9.8 million were allocated to the liability and equity components in proportion to the allocation of proceeds.</w:t>
      </w:r>
    </w:p>
    <w:p>
      <w:pPr>
        <w:spacing w:after="0" w:line="225"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color w:val="auto"/>
        </w:rPr>
        <w:t>In connection with our adoption of ASU 2020-06, we derecognized the remaining unamortized interest discount on the Convertible Notes and therefore recorded no non-cash interest expense related to the amortization of the debt discount during the six months ended February 25, 2023. As a result, the Convertible Notes are now accounted for as a single liability measured at amortized cost. Interest expense, representing the amortization of the debt issuance costs as well as the contractual interest expense is amortized using an effective interest rate of 2.1% over the term of the Convertible Notes. We recorded $1.6 million and $3.1 million of interest expense during the three and six months ended February 25, 2023, respectively.</w:t>
      </w:r>
    </w:p>
    <w:p>
      <w:pPr>
        <w:spacing w:after="0" w:line="226"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Refer to Note 15 in the Notes to Consolidated Financial Statements included in Item 1 of Part I of this Quarterly Report on Form 10-Q for more information related to the earnings per share impact associated with the Convertible Notes and our adoption of ASU-2020-06.</w:t>
      </w:r>
    </w:p>
    <w:p>
      <w:pPr>
        <w:spacing w:after="0" w:line="20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net cost incurred in connection with the Call Spread Transactions was $11.2 million. These transactions are classified as equity and are not remeasured each reporting period.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and Future Maturities</w:t>
      </w:r>
    </w:p>
    <w:p>
      <w:pPr>
        <w:spacing w:after="0" w:line="133"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As of February 25, 2023 and August 27, 2022, the fair value of long-term debt, gross, was $636.3 million and $634.2 million, respectively. The fair value of the Convertible Notes was $351.8 million as of February 25, 2023.</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Aggregate contractual maturities of debt in future fiscal years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6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3"/>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2023</w:t>
            </w:r>
          </w:p>
        </w:tc>
        <w:tc>
          <w:tcPr>
            <w:tcW w:w="1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Fiscal 2024</w:t>
            </w:r>
          </w:p>
        </w:tc>
        <w:tc>
          <w:tcPr>
            <w:tcW w:w="1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2025</w:t>
            </w:r>
          </w:p>
        </w:tc>
        <w:tc>
          <w:tcPr>
            <w:tcW w:w="16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Fiscal 2026</w:t>
            </w:r>
          </w:p>
        </w:tc>
        <w:tc>
          <w:tcPr>
            <w:tcW w:w="1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2027</w:t>
            </w:r>
          </w:p>
        </w:tc>
        <w:tc>
          <w:tcPr>
            <w:tcW w:w="16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Fiscal 2028</w:t>
            </w:r>
          </w:p>
        </w:tc>
        <w:tc>
          <w:tcPr>
            <w:tcW w:w="16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38"/>
        </w:trPr>
        <w:tc>
          <w:tcPr>
            <w:tcW w:w="7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Senior Secured Notes and Convertible Notes</w:t>
            </w:r>
          </w:p>
        </w:tc>
        <w:tc>
          <w:tcPr>
            <w:tcW w:w="16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Note 10.  Employee and Retiree Benefits</w:t>
            </w:r>
          </w:p>
        </w:tc>
        <w:tc>
          <w:tcPr>
            <w:tcW w:w="16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710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100" w:type="dxa"/>
            <w:vAlign w:val="bottom"/>
          </w:tcPr>
          <w:p>
            <w:pPr>
              <w:spacing w:after="0"/>
              <w:rPr>
                <w:sz w:val="20"/>
                <w:szCs w:val="20"/>
                <w:color w:val="auto"/>
              </w:rPr>
            </w:pPr>
            <w:r>
              <w:rPr>
                <w:rFonts w:ascii="Arial" w:cs="Arial" w:eastAsia="Arial" w:hAnsi="Arial"/>
                <w:sz w:val="16"/>
                <w:szCs w:val="16"/>
                <w:color w:val="auto"/>
              </w:rPr>
              <w:t>Deferred compensation liabilities are as follows:</w:t>
            </w: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100" w:type="dxa"/>
            <w:vAlign w:val="bottom"/>
          </w:tcPr>
          <w:p>
            <w:pPr>
              <w:spacing w:after="0"/>
              <w:rPr>
                <w:sz w:val="15"/>
                <w:szCs w:val="15"/>
                <w:color w:val="auto"/>
              </w:rPr>
            </w:pPr>
          </w:p>
        </w:tc>
        <w:tc>
          <w:tcPr>
            <w:tcW w:w="16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February 25,</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tcPr>
          <w:p>
            <w:pPr>
              <w:jc w:val="right"/>
              <w:ind w:right="479"/>
              <w:spacing w:after="0" w:line="181" w:lineRule="exact"/>
              <w:rPr>
                <w:sz w:val="20"/>
                <w:szCs w:val="20"/>
                <w:color w:val="auto"/>
              </w:rPr>
            </w:pPr>
            <w:r>
              <w:rPr>
                <w:rFonts w:ascii="Arial" w:cs="Arial" w:eastAsia="Arial" w:hAnsi="Arial"/>
                <w:sz w:val="16"/>
                <w:szCs w:val="16"/>
                <w:b w:val="1"/>
                <w:bCs w:val="1"/>
                <w:color w:val="auto"/>
              </w:rPr>
              <w:t>August 27,</w:t>
            </w:r>
          </w:p>
        </w:tc>
        <w:tc>
          <w:tcPr>
            <w:tcW w:w="0" w:type="dxa"/>
            <w:vAlign w:val="bottom"/>
          </w:tcPr>
          <w:p>
            <w:pPr>
              <w:spacing w:after="0"/>
              <w:rPr>
                <w:sz w:val="1"/>
                <w:szCs w:val="1"/>
                <w:color w:val="auto"/>
              </w:rPr>
            </w:pPr>
          </w:p>
        </w:tc>
      </w:tr>
      <w:tr>
        <w:trPr>
          <w:trHeight w:val="215"/>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6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Non-qualified deferred compensation</w:t>
            </w:r>
          </w:p>
        </w:tc>
        <w:tc>
          <w:tcPr>
            <w:tcW w:w="1600" w:type="dxa"/>
            <w:vAlign w:val="bottom"/>
            <w:shd w:val="clear" w:color="auto" w:fill="CCEEFF"/>
          </w:tcPr>
          <w:p>
            <w:pPr>
              <w:jc w:val="right"/>
              <w:ind w:right="139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Supplemental executive retirement plan</w:t>
            </w:r>
          </w:p>
        </w:tc>
        <w:tc>
          <w:tcPr>
            <w:tcW w:w="1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deferred compensation plan</w:t>
            </w:r>
          </w:p>
        </w:tc>
        <w:tc>
          <w:tcPr>
            <w:tcW w:w="16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9"/>
        </w:trPr>
        <w:tc>
          <w:tcPr>
            <w:tcW w:w="7100" w:type="dxa"/>
            <w:vAlign w:val="bottom"/>
          </w:tcPr>
          <w:p>
            <w:pPr>
              <w:ind w:left="140"/>
              <w:spacing w:after="0"/>
              <w:rPr>
                <w:sz w:val="20"/>
                <w:szCs w:val="20"/>
                <w:color w:val="auto"/>
              </w:rPr>
            </w:pPr>
            <w:r>
              <w:rPr>
                <w:rFonts w:ascii="Arial" w:cs="Arial" w:eastAsia="Arial" w:hAnsi="Arial"/>
                <w:sz w:val="16"/>
                <w:szCs w:val="16"/>
                <w:color w:val="auto"/>
              </w:rPr>
              <w:t>Total deferred compensation benefits</w:t>
            </w:r>
          </w:p>
        </w:tc>
        <w:tc>
          <w:tcPr>
            <w:tcW w:w="1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Less: current portion</w:t>
            </w:r>
            <w:r>
              <w:rPr>
                <w:rFonts w:ascii="Arial" w:cs="Arial" w:eastAsia="Arial" w:hAnsi="Arial"/>
                <w:sz w:val="21"/>
                <w:szCs w:val="21"/>
                <w:color w:val="auto"/>
                <w:vertAlign w:val="superscript"/>
              </w:rPr>
              <w:t>(1)</w:t>
            </w:r>
          </w:p>
        </w:tc>
        <w:tc>
          <w:tcPr>
            <w:tcW w:w="16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0"/>
        </w:trPr>
        <w:tc>
          <w:tcPr>
            <w:tcW w:w="7100" w:type="dxa"/>
            <w:vAlign w:val="bottom"/>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1600" w:type="dxa"/>
            <w:vAlign w:val="bottom"/>
          </w:tcPr>
          <w:p>
            <w:pPr>
              <w:jc w:val="right"/>
              <w:ind w:right="139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8.2</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 xml:space="preserve"> Included in accrued compensation on the Consolidated Balance Sheets.</w:t>
      </w:r>
    </w:p>
    <w:p>
      <w:pPr>
        <w:spacing w:after="0" w:line="173"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Note 11.</w:t>
        <w:tab/>
        <w:t>Contingent Liabilities and Commitments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133"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Generally, manufacturers in the same industries as us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pacing w:after="0" w:line="221"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 invoice less periodic reductions based on the time since the date of the original invoice. Our liability cannot exceed 100% of the dealer invoice. In certain instances, we also repurchase inventory from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The total contingent liability on all of our repurchase agreements was approximately $2,174.3 million and $1,783.7 million at February 25, 2023 and August 27, 2022, respectively.</w:t>
      </w:r>
    </w:p>
    <w:p>
      <w:pPr>
        <w:spacing w:after="0" w:line="227"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period-end reporting date subject to a repurchase agreement, net of the greater of periodic reductions per the agreement or dealer principal payments. Based on these repurchase agreements and our historical loss experience, an associated loss reserve is established which is included in other current liabilities on the Consolidated Balance Sheets. Our repurchase accrual was $1.4 million and $1.4 million at February 25, 2023 and August 27, 2022, respectively. Repurchase risk is affected by the credit worthiness of our dealer network. We do not believe there is a reasonable likelihood that there will be a material change in the estimates or assumptions used to establish the loss reserve for repurchase commitments.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There was no material activity related to repurchase agreements during the six months ended February 25, 2023 and February 26, 2022.</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147"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We are involved in various legal proceedings which are considered ordinary and routine litigation incidental to the business, some of which are covered in whole or in part by insurance. While we believe the ultimate disposition of litigation will not have a material adverse effect on our financial position, results of operations or liquidity, the possibility exists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our view of these matters may change in the future.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Revenue</w:t>
      </w:r>
    </w:p>
    <w:p>
      <w:pPr>
        <w:spacing w:after="0" w:line="268"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All operating revenue is generated from contracts with customers. Our primary revenue source is generated through the sale of manufactured towable units, motorhome units and marine units to our independent dealer network (our customers). The following table disaggregates revenue by reportable segment and product category: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31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r>
      <w:tr>
        <w:trPr>
          <w:trHeight w:val="159"/>
        </w:trPr>
        <w:tc>
          <w:tcPr>
            <w:tcW w:w="44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25,</w:t>
            </w: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259"/>
              <w:spacing w:after="0" w:line="158" w:lineRule="exact"/>
              <w:rPr>
                <w:sz w:val="20"/>
                <w:szCs w:val="20"/>
                <w:color w:val="auto"/>
              </w:rPr>
            </w:pPr>
            <w:r>
              <w:rPr>
                <w:rFonts w:ascii="Arial" w:cs="Arial" w:eastAsia="Arial" w:hAnsi="Arial"/>
                <w:sz w:val="16"/>
                <w:szCs w:val="16"/>
                <w:b w:val="1"/>
                <w:bCs w:val="1"/>
                <w:color w:val="auto"/>
              </w:rPr>
              <w:t>February 26,</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25,</w:t>
            </w: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239"/>
              <w:spacing w:after="0" w:line="158" w:lineRule="exact"/>
              <w:rPr>
                <w:sz w:val="20"/>
                <w:szCs w:val="20"/>
                <w:color w:val="auto"/>
              </w:rPr>
            </w:pPr>
            <w:r>
              <w:rPr>
                <w:rFonts w:ascii="Arial" w:cs="Arial" w:eastAsia="Arial" w:hAnsi="Arial"/>
                <w:sz w:val="16"/>
                <w:szCs w:val="16"/>
                <w:b w:val="1"/>
                <w:bCs w:val="1"/>
                <w:color w:val="auto"/>
              </w:rPr>
              <w:t>February 26,</w:t>
            </w:r>
          </w:p>
        </w:tc>
      </w:tr>
      <w:tr>
        <w:trPr>
          <w:trHeight w:val="215"/>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Towable</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Fifth Wheel</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606.9</w:t>
            </w:r>
          </w:p>
        </w:tc>
      </w:tr>
      <w:tr>
        <w:trPr>
          <w:trHeight w:val="213"/>
        </w:trPr>
        <w:tc>
          <w:tcPr>
            <w:tcW w:w="4460" w:type="dxa"/>
            <w:vAlign w:val="bottom"/>
          </w:tcPr>
          <w:p>
            <w:pPr>
              <w:ind w:left="140"/>
              <w:spacing w:after="0"/>
              <w:rPr>
                <w:sz w:val="20"/>
                <w:szCs w:val="20"/>
                <w:color w:val="auto"/>
              </w:rPr>
            </w:pPr>
            <w:r>
              <w:rPr>
                <w:rFonts w:ascii="Arial" w:cs="Arial" w:eastAsia="Arial" w:hAnsi="Arial"/>
                <w:sz w:val="16"/>
                <w:szCs w:val="16"/>
                <w:color w:val="auto"/>
              </w:rPr>
              <w:t>Travel Trailer</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672.2</w:t>
            </w:r>
          </w:p>
        </w:tc>
      </w:tr>
      <w:tr>
        <w:trPr>
          <w:trHeight w:val="219"/>
        </w:trPr>
        <w:tc>
          <w:tcPr>
            <w:tcW w:w="446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07"/>
        </w:trPr>
        <w:tc>
          <w:tcPr>
            <w:tcW w:w="4460" w:type="dxa"/>
            <w:vAlign w:val="bottom"/>
          </w:tcPr>
          <w:p>
            <w:pPr>
              <w:ind w:left="220"/>
              <w:spacing w:after="0"/>
              <w:rPr>
                <w:sz w:val="20"/>
                <w:szCs w:val="20"/>
                <w:color w:val="auto"/>
              </w:rPr>
            </w:pPr>
            <w:r>
              <w:rPr>
                <w:rFonts w:ascii="Arial" w:cs="Arial" w:eastAsia="Arial" w:hAnsi="Arial"/>
                <w:sz w:val="16"/>
                <w:szCs w:val="16"/>
                <w:color w:val="auto"/>
              </w:rPr>
              <w:t>Total Towable</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646.6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689.8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1,297.6</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4460" w:type="dxa"/>
            <w:vAlign w:val="bottom"/>
          </w:tcPr>
          <w:p>
            <w:pPr>
              <w:ind w:left="140"/>
              <w:spacing w:after="0"/>
              <w:rPr>
                <w:sz w:val="20"/>
                <w:szCs w:val="20"/>
                <w:color w:val="auto"/>
              </w:rPr>
            </w:pPr>
            <w:r>
              <w:rPr>
                <w:rFonts w:ascii="Arial" w:cs="Arial" w:eastAsia="Arial" w:hAnsi="Arial"/>
                <w:sz w:val="16"/>
                <w:szCs w:val="16"/>
                <w:color w:val="auto"/>
              </w:rPr>
              <w:t>Class A</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360.3</w:t>
            </w:r>
          </w:p>
        </w:tc>
      </w:tr>
      <w:tr>
        <w:trPr>
          <w:trHeight w:val="219"/>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Class B</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312.7</w:t>
            </w:r>
          </w:p>
        </w:tc>
      </w:tr>
      <w:tr>
        <w:trPr>
          <w:trHeight w:val="216"/>
        </w:trPr>
        <w:tc>
          <w:tcPr>
            <w:tcW w:w="446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 xml:space="preserve">Class C and Other </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w:t>
            </w:r>
          </w:p>
        </w:tc>
      </w:tr>
      <w:tr>
        <w:trPr>
          <w:trHeight w:val="210"/>
        </w:trPr>
        <w:tc>
          <w:tcPr>
            <w:tcW w:w="4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Motorhome</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839.0</w:t>
            </w: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Marine</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176.6</w:t>
            </w:r>
          </w:p>
        </w:tc>
      </w:tr>
      <w:tr>
        <w:trPr>
          <w:trHeight w:val="219"/>
        </w:trPr>
        <w:tc>
          <w:tcPr>
            <w:tcW w:w="44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Corporate / All Other</w:t>
            </w:r>
            <w:r>
              <w:rPr>
                <w:rFonts w:ascii="Arial" w:cs="Arial" w:eastAsia="Arial" w:hAnsi="Arial"/>
                <w:sz w:val="21"/>
                <w:szCs w:val="21"/>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09"/>
        </w:trPr>
        <w:tc>
          <w:tcPr>
            <w:tcW w:w="4460" w:type="dxa"/>
            <w:vAlign w:val="bottom"/>
          </w:tcPr>
          <w:p>
            <w:pPr>
              <w:ind w:left="360"/>
              <w:spacing w:after="0"/>
              <w:rPr>
                <w:sz w:val="20"/>
                <w:szCs w:val="20"/>
                <w:color w:val="auto"/>
              </w:rPr>
            </w:pPr>
            <w:r>
              <w:rPr>
                <w:rFonts w:ascii="Arial" w:cs="Arial" w:eastAsia="Arial" w:hAnsi="Arial"/>
                <w:sz w:val="16"/>
                <w:szCs w:val="16"/>
                <w:color w:val="auto"/>
              </w:rPr>
              <w:t>Consolidated Net Revenues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1,818.9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2,320.5</w:t>
            </w:r>
          </w:p>
        </w:tc>
      </w:tr>
      <w:tr>
        <w:trPr>
          <w:trHeight w:val="21"/>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300" w:hanging="292"/>
        <w:spacing w:after="0"/>
        <w:tabs>
          <w:tab w:leader="none" w:pos="300" w:val="left"/>
        </w:tabs>
        <w:numPr>
          <w:ilvl w:val="0"/>
          <w:numId w:val="7"/>
        </w:numPr>
        <w:rPr>
          <w:rFonts w:ascii="Arial" w:cs="Arial" w:eastAsia="Arial" w:hAnsi="Arial"/>
          <w:sz w:val="21"/>
          <w:szCs w:val="21"/>
          <w:color w:val="auto"/>
          <w:vertAlign w:val="superscript"/>
        </w:rPr>
      </w:pPr>
      <w:r>
        <w:rPr>
          <w:rFonts w:ascii="Arial" w:cs="Arial" w:eastAsia="Arial" w:hAnsi="Arial"/>
          <w:sz w:val="14"/>
          <w:szCs w:val="14"/>
          <w:color w:val="auto"/>
        </w:rPr>
        <w:t>Relates to parts, accessories, services, and other miscellaneous revenue.</w:t>
      </w:r>
    </w:p>
    <w:p>
      <w:pPr>
        <w:spacing w:after="0" w:line="3" w:lineRule="exact"/>
        <w:rPr>
          <w:rFonts w:ascii="Arial" w:cs="Arial" w:eastAsia="Arial" w:hAnsi="Arial"/>
          <w:sz w:val="21"/>
          <w:szCs w:val="21"/>
          <w:color w:val="auto"/>
          <w:vertAlign w:val="superscript"/>
        </w:rPr>
      </w:pPr>
    </w:p>
    <w:p>
      <w:pPr>
        <w:ind w:left="300" w:hanging="292"/>
        <w:spacing w:after="0" w:line="189" w:lineRule="auto"/>
        <w:tabs>
          <w:tab w:leader="none" w:pos="300" w:val="left"/>
        </w:tabs>
        <w:numPr>
          <w:ilvl w:val="0"/>
          <w:numId w:val="7"/>
        </w:numPr>
        <w:rPr>
          <w:rFonts w:ascii="Arial" w:cs="Arial" w:eastAsia="Arial" w:hAnsi="Arial"/>
          <w:sz w:val="19"/>
          <w:szCs w:val="19"/>
          <w:color w:val="auto"/>
          <w:vertAlign w:val="superscript"/>
        </w:rPr>
      </w:pPr>
      <w:r>
        <w:rPr>
          <w:rFonts w:ascii="Arial" w:cs="Arial" w:eastAsia="Arial" w:hAnsi="Arial"/>
          <w:sz w:val="13"/>
          <w:szCs w:val="13"/>
          <w:color w:val="auto"/>
        </w:rPr>
        <w:t>Relates to specialty vehicle units, parts, accessories, and services.</w:t>
      </w:r>
    </w:p>
    <w:p>
      <w:pPr>
        <w:spacing w:after="0" w:line="244"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We do not have material contract assets or liabilities. Allowances for uncollectible receivables are established based on historical collection trends, write-off history, consideration of current conditions and expectations for future economic conditions.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No single dealer organization accounted for more than 10% of net revenue for the six months ended February 25, 2023 or February 26, 2022.</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Stock-Based Compensation</w:t>
      </w:r>
    </w:p>
    <w:p>
      <w:pPr>
        <w:spacing w:after="0" w:line="28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On December 11, 2018, our shareholders approved the Winnebago Industries, Inc. 2019 Omnibus Incentive Plan ("2019 Plan") as detailed in our Proxy Statement for the 2018 Annual Meeting of Shareholders. The 2019 Plan allows us to grant or issue non-qualified stock options, incentive stock options, restricted share units, and other equity compensation to key employees and to non-employee directors. The 2019 Plan replaces the 2014 Omnibus Equity, Performance Award, and Incentive Compensation Plan (as amended, the "2014 Plan"). The number of shares of our common stock that may be awarded and issued under the 2019 Plan is 4.1 million shares, plus the shares subject to any awards outstanding under the 2014 Plan and our predecessor plan, the 2004 Incentive Compensation Plan (the “2004 Plan”), on December 11, 2018 that subsequently expire, are forfeited or canceled, or are settled for cash. Until such time, awards under the 2014 Plan and the 2004 Plan, respectively, that were outstanding on December 11, 2018 will continue to be subject to the terms of the 2014 Plan or 2004 Plan, as applicable. Shares remaining available for future awards under the 2014 Plan were not carried over into the 2019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Stock-based compensation expense was $3.5 million and $4.2 million for the three months ended February 25, 2023 and February 26, 2022, respectively; and $6.5 million and $6.9 million for the six months ended February 25, 2023 and February 26, 2022, respectively. Compensation expense is recognized over the requisite service or performance period of the award, unless accelerated by certain retirement eligibility provisions.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Income Taxes</w:t>
      </w:r>
    </w:p>
    <w:p>
      <w:pPr>
        <w:spacing w:after="0" w:line="282"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Our effective tax rate was 24.3% and 24.0% for the three months ended February 25, 2023 and February 26, 2022, respectively, and 24.4% and 23.6% for the six months ended February 25, 2023 and February 26, 2022, respectively. The increase in tax rate for the three months ended February 25, 2023 compared to the three months ended February 26, 2022 was driven primarily by the impact of a favorable reserve release in the prior year. The increase in tax rate for the six months ended February 25, 2023 compared to the six months ended February 26, 2022 was driven primarily by the impact of both a net favorable impact related to stock compensation and a favorable reserve release in the prior year.</w:t>
      </w:r>
    </w:p>
    <w:p>
      <w:pPr>
        <w:spacing w:after="0" w:line="24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On August 16, 2022, the Inflation Reduction Act (“IRA”) was signed into law in the United States. Among other provisions, the IRA includes a 15% corporate minimum tax rate applied to certain large corporations and a 1% excise tax on corporate stock repurchases made after December 31, 2022. We do not expect the IRA to have a material impact on our consolidated financial statements.</w:t>
      </w:r>
    </w:p>
    <w:p>
      <w:pPr>
        <w:spacing w:after="0" w:line="242"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We file a U.S. Federal tax return, as well as returns in various international and state jurisdictions. As of February 25, 2023, our Federal returns from Fiscal 2019 to present are subject to review by the Internal Revenue Service. With limited exceptions, state returns from Fiscal 2018 to present continue to be subject to review by state taxing jurisdictions. We are currently under review by certain U.S. state tax authorities for Fiscal 2019 through Fiscal 2021. We believe we have adequately reserved for our exposure to potential additional payments for uncertain tax positions in our liability for unrecognized tax benefits.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Earnings Per Share</w:t>
      </w:r>
    </w:p>
    <w:p>
      <w:pPr>
        <w:spacing w:after="0" w:line="174"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In the first quarter of Fiscal 2023, we adopted ASU 2020-06. Prior to adoption, we utilized the treasury stock method for calculating the dilutive impact of our Convertible Notes. Upon adoption, we prospectively utilized the if-converted method to calculate the dilutive impact of our Convertible Notes. Under the if-converted method, the Convertible Notes are assumed to be converted into common stock at the beginning of the reporting period, and the resulting shares are included in the denominator of the calculation. In addition, interest charges, net of any income tax effects are added back to the numerator of the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 w:right="41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earnings per share are calculated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31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44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25,</w:t>
            </w: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259"/>
              <w:spacing w:after="0" w:line="158" w:lineRule="exact"/>
              <w:rPr>
                <w:sz w:val="20"/>
                <w:szCs w:val="20"/>
                <w:color w:val="auto"/>
              </w:rPr>
            </w:pPr>
            <w:r>
              <w:rPr>
                <w:rFonts w:ascii="Arial" w:cs="Arial" w:eastAsia="Arial" w:hAnsi="Arial"/>
                <w:sz w:val="16"/>
                <w:szCs w:val="16"/>
                <w:b w:val="1"/>
                <w:bCs w:val="1"/>
                <w:color w:val="auto"/>
              </w:rPr>
              <w:t>February 26,</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25,</w:t>
            </w: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239"/>
              <w:spacing w:after="0" w:line="158" w:lineRule="exact"/>
              <w:rPr>
                <w:sz w:val="20"/>
                <w:szCs w:val="20"/>
                <w:color w:val="auto"/>
              </w:rPr>
            </w:pPr>
            <w:r>
              <w:rPr>
                <w:rFonts w:ascii="Arial" w:cs="Arial" w:eastAsia="Arial" w:hAnsi="Arial"/>
                <w:sz w:val="16"/>
                <w:szCs w:val="16"/>
                <w:b w:val="1"/>
                <w:bCs w:val="1"/>
                <w:color w:val="auto"/>
              </w:rPr>
              <w:t>February 26,</w:t>
            </w:r>
          </w:p>
        </w:tc>
      </w:tr>
      <w:tr>
        <w:trPr>
          <w:trHeight w:val="215"/>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 - basic</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44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91.2</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113.0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190.8</w:t>
            </w:r>
          </w:p>
        </w:tc>
      </w:tr>
      <w:tr>
        <w:trPr>
          <w:trHeight w:val="216"/>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212"/>
        </w:trPr>
        <w:tc>
          <w:tcPr>
            <w:tcW w:w="4460" w:type="dxa"/>
            <w:vAlign w:val="bottom"/>
          </w:tcPr>
          <w:p>
            <w:pPr>
              <w:ind w:left="240"/>
              <w:spacing w:after="0" w:line="213" w:lineRule="exact"/>
              <w:rPr>
                <w:sz w:val="20"/>
                <w:szCs w:val="20"/>
                <w:color w:val="auto"/>
              </w:rPr>
            </w:pPr>
            <w:r>
              <w:rPr>
                <w:rFonts w:ascii="Arial" w:cs="Arial" w:eastAsia="Arial" w:hAnsi="Arial"/>
                <w:sz w:val="16"/>
                <w:szCs w:val="16"/>
                <w:color w:val="auto"/>
              </w:rPr>
              <w:t>Basic earnings per common share</w:t>
            </w:r>
            <w:r>
              <w:rPr>
                <w:rFonts w:ascii="Arial" w:cs="Arial" w:eastAsia="Arial" w:hAnsi="Arial"/>
                <w:sz w:val="21"/>
                <w:szCs w:val="21"/>
                <w:color w:val="auto"/>
                <w:vertAlign w:val="superscript"/>
              </w:rPr>
              <w:t>(1)</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4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5"/>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Earnings per share - diluted</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7"/>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w:t>
            </w:r>
          </w:p>
        </w:tc>
      </w:tr>
      <w:tr>
        <w:trPr>
          <w:trHeight w:val="213"/>
        </w:trPr>
        <w:tc>
          <w:tcPr>
            <w:tcW w:w="4460" w:type="dxa"/>
            <w:vAlign w:val="bottom"/>
          </w:tcPr>
          <w:p>
            <w:pPr>
              <w:ind w:left="140"/>
              <w:spacing w:after="0"/>
              <w:rPr>
                <w:sz w:val="20"/>
                <w:szCs w:val="20"/>
                <w:color w:val="auto"/>
              </w:rPr>
            </w:pPr>
            <w:r>
              <w:rPr>
                <w:rFonts w:ascii="Arial" w:cs="Arial" w:eastAsia="Arial" w:hAnsi="Arial"/>
                <w:sz w:val="16"/>
                <w:szCs w:val="16"/>
                <w:color w:val="auto"/>
              </w:rPr>
              <w:t>Interest expense on convertible notes, net of tax</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4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net income</w:t>
            </w: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190.8</w:t>
            </w:r>
          </w:p>
        </w:tc>
      </w:tr>
      <w:tr>
        <w:trPr>
          <w:trHeight w:val="240"/>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6"/>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213"/>
        </w:trPr>
        <w:tc>
          <w:tcPr>
            <w:tcW w:w="4460" w:type="dxa"/>
            <w:vAlign w:val="bottom"/>
          </w:tcPr>
          <w:p>
            <w:pPr>
              <w:ind w:left="140"/>
              <w:spacing w:after="0"/>
              <w:rPr>
                <w:sz w:val="20"/>
                <w:szCs w:val="20"/>
                <w:color w:val="auto"/>
              </w:rPr>
            </w:pPr>
            <w:r>
              <w:rPr>
                <w:rFonts w:ascii="Arial" w:cs="Arial" w:eastAsia="Arial" w:hAnsi="Arial"/>
                <w:sz w:val="16"/>
                <w:szCs w:val="16"/>
                <w:color w:val="auto"/>
              </w:rPr>
              <w:t>Dilutive impact of stock compensation awards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9"/>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Dilutive impact of convertible notes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157"/>
        </w:trPr>
        <w:tc>
          <w:tcPr>
            <w:tcW w:w="4460" w:type="dxa"/>
            <w:vAlign w:val="bottom"/>
          </w:tcPr>
          <w:p>
            <w:pPr>
              <w:ind w:left="140"/>
              <w:spacing w:after="0" w:line="158" w:lineRule="exact"/>
              <w:rPr>
                <w:sz w:val="20"/>
                <w:szCs w:val="20"/>
                <w:color w:val="auto"/>
              </w:rPr>
            </w:pPr>
            <w:r>
              <w:rPr>
                <w:rFonts w:ascii="Arial" w:cs="Arial" w:eastAsia="Arial" w:hAnsi="Arial"/>
                <w:sz w:val="16"/>
                <w:szCs w:val="16"/>
                <w:color w:val="auto"/>
              </w:rPr>
              <w:t>Weighted average common shares outstanding, assuming</w:t>
            </w: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8"/>
        </w:trPr>
        <w:tc>
          <w:tcPr>
            <w:tcW w:w="4460" w:type="dxa"/>
            <w:vAlign w:val="bottom"/>
          </w:tcPr>
          <w:p>
            <w:pPr>
              <w:ind w:left="140"/>
              <w:spacing w:after="0"/>
              <w:rPr>
                <w:sz w:val="20"/>
                <w:szCs w:val="20"/>
                <w:color w:val="auto"/>
              </w:rPr>
            </w:pPr>
            <w:r>
              <w:rPr>
                <w:rFonts w:ascii="Arial" w:cs="Arial" w:eastAsia="Arial" w:hAnsi="Arial"/>
                <w:sz w:val="16"/>
                <w:szCs w:val="16"/>
                <w:color w:val="auto"/>
              </w:rPr>
              <w:t>dilution</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260"/>
        </w:trPr>
        <w:tc>
          <w:tcPr>
            <w:tcW w:w="4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177"/>
        </w:trPr>
        <w:tc>
          <w:tcPr>
            <w:tcW w:w="4460" w:type="dxa"/>
            <w:vAlign w:val="bottom"/>
          </w:tcPr>
          <w:p>
            <w:pPr>
              <w:ind w:left="140"/>
              <w:spacing w:after="0" w:line="178" w:lineRule="exact"/>
              <w:rPr>
                <w:sz w:val="20"/>
                <w:szCs w:val="20"/>
                <w:color w:val="auto"/>
              </w:rPr>
            </w:pPr>
            <w:r>
              <w:rPr>
                <w:rFonts w:ascii="Arial" w:cs="Arial" w:eastAsia="Arial" w:hAnsi="Arial"/>
                <w:sz w:val="16"/>
                <w:szCs w:val="16"/>
                <w:color w:val="auto"/>
              </w:rPr>
              <w:t>Anti-dilutive securities excluded from weighted average</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8"/>
        </w:trPr>
        <w:tc>
          <w:tcPr>
            <w:tcW w:w="4460" w:type="dxa"/>
            <w:vAlign w:val="bottom"/>
          </w:tcPr>
          <w:p>
            <w:pPr>
              <w:ind w:left="140"/>
              <w:spacing w:after="0"/>
              <w:rPr>
                <w:sz w:val="20"/>
                <w:szCs w:val="20"/>
                <w:color w:val="auto"/>
              </w:rPr>
            </w:pPr>
            <w:r>
              <w:rPr>
                <w:rFonts w:ascii="Arial" w:cs="Arial" w:eastAsia="Arial" w:hAnsi="Arial"/>
                <w:sz w:val="16"/>
                <w:szCs w:val="16"/>
                <w:color w:val="auto"/>
              </w:rPr>
              <w:t>common shares outstanding, assuming dilution</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59"/>
        </w:trPr>
        <w:tc>
          <w:tcPr>
            <w:tcW w:w="44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r>
      <w:tr>
        <w:trPr>
          <w:trHeight w:val="210"/>
        </w:trPr>
        <w:tc>
          <w:tcPr>
            <w:tcW w:w="4460" w:type="dxa"/>
            <w:vAlign w:val="bottom"/>
          </w:tcPr>
          <w:p>
            <w:pPr>
              <w:ind w:left="240"/>
              <w:spacing w:after="0" w:line="210" w:lineRule="exact"/>
              <w:rPr>
                <w:sz w:val="20"/>
                <w:szCs w:val="20"/>
                <w:color w:val="auto"/>
              </w:rPr>
            </w:pPr>
            <w:r>
              <w:rPr>
                <w:rFonts w:ascii="Arial" w:cs="Arial" w:eastAsia="Arial" w:hAnsi="Arial"/>
                <w:sz w:val="16"/>
                <w:szCs w:val="16"/>
                <w:color w:val="auto"/>
              </w:rPr>
              <w:t>Diluted earnings per common share</w:t>
            </w:r>
            <w:r>
              <w:rPr>
                <w:rFonts w:ascii="Arial" w:cs="Arial" w:eastAsia="Arial" w:hAnsi="Arial"/>
                <w:sz w:val="21"/>
                <w:szCs w:val="21"/>
                <w:color w:val="auto"/>
                <w:vertAlign w:val="superscript"/>
              </w:rPr>
              <w:t>(1)</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r>
      <w:tr>
        <w:trPr>
          <w:trHeight w:val="20"/>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300" w:hanging="292"/>
        <w:spacing w:after="0"/>
        <w:tabs>
          <w:tab w:leader="none" w:pos="300"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Earnings per share amounts are calculated based on unrounded numbers and therefore may not recalculate using the rounded numbers provided.</w:t>
      </w:r>
    </w:p>
    <w:p>
      <w:pPr>
        <w:spacing w:after="0" w:line="297" w:lineRule="exact"/>
        <w:rPr>
          <w:sz w:val="20"/>
          <w:szCs w:val="20"/>
          <w:color w:val="auto"/>
        </w:rPr>
      </w:pPr>
    </w:p>
    <w:p>
      <w:pPr>
        <w:ind w:right="380"/>
        <w:spacing w:after="0" w:line="262" w:lineRule="auto"/>
        <w:rPr>
          <w:sz w:val="20"/>
          <w:szCs w:val="20"/>
          <w:color w:val="auto"/>
        </w:rPr>
      </w:pPr>
      <w:r>
        <w:rPr>
          <w:rFonts w:ascii="Arial" w:cs="Arial" w:eastAsia="Arial" w:hAnsi="Arial"/>
          <w:sz w:val="16"/>
          <w:szCs w:val="16"/>
          <w:color w:val="auto"/>
        </w:rPr>
        <w:t>For both periods presented, the dilutive effect of stock compensation awards was determined using the treasury stock method. Under the treasury stock method, shares associated with certain anti-dilutive securities have been excluded from the diluted weighted average shares outstanding calculation because the exercise of those options would lead to a net reduction in common shares outstanding or anti-dilution.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terms "Winnebago," "we," "us," and "our," unless the context otherwise requires, refer to Winnebago Industries, Inc. and its wholly-owned subsidiaries.</w:t>
      </w:r>
    </w:p>
    <w:p>
      <w:pPr>
        <w:spacing w:after="0" w:line="262"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w:t>
      </w:r>
    </w:p>
    <w:p>
      <w:pPr>
        <w:spacing w:after="0" w:line="224"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Our MD&amp;A should be read in conjunction with the Consolidated Financial Statements and related Notes included in Item 1 of Part I of this Quarterly Report on Form 10-Q and our Annual Report on Form 10-K for the fiscal year ended August 27, 2022 (including the information presented therein under Risk Factors), as well as our reports on Forms 10-Q and 8-K and other publicly available information. All amounts herein are unaudited. All amounts are in millions, except share and per share data, unless otherwise noted.</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Winnebago Industries, Inc. is one of the leading North American manufacturers of recreation vehicles ("RV"s) and marine products with a diversified portfolio used primarily in leisure travel and outdoor recreational activities. We produce our motorhome units in Iowa and Indiana; our towable units in Indiana; and our marine units in Indiana and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Macroeconomic Events</w:t>
      </w:r>
    </w:p>
    <w:p>
      <w:pPr>
        <w:spacing w:after="0" w:line="147"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In February 2022, the United States announced targeted economic sanctions on Russia in response to the military conflict in Ukraine. As described in Part I, Item 1A — Risk Factors, in the Annual Report on Form 10-K for the fiscal year ended August 27, 2022, our business may be sensitive to economic conditions such as the adverse impact of global tensions, which could impact input costs, consumer spending, and fuel prices. As our operations are primarily in North America, we have no direct exposure to Russia and Ukraine. However, we are actively monitoring the broader economic impact of the crisis, especially the potential impact of rising commodity and fuel prices, and the potential decreased demand for our products.</w:t>
      </w:r>
    </w:p>
    <w:p>
      <w:pPr>
        <w:spacing w:after="0" w:line="241"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Supply chain disruptions continue to impact the global economy, resulting in increased volatility and inflationary cost pressures. For example, our production has experienced certain supply shortages, particularly within our Motorhome and Marine segments. If these disruptions continue, or if there are additional disruptions in our supply chain, it could materially or adversely impact our operating results and financial condition. Despite certain supply shortages and inflationary cost input pressures, we continue to operate and adapt to these temporary supply chain disruptions.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47" w:lineRule="exact"/>
        <w:rPr>
          <w:sz w:val="20"/>
          <w:szCs w:val="20"/>
          <w:color w:val="auto"/>
        </w:rPr>
      </w:pPr>
    </w:p>
    <w:p>
      <w:pPr>
        <w:ind w:right="320"/>
        <w:spacing w:after="0" w:line="257" w:lineRule="auto"/>
        <w:rPr>
          <w:sz w:val="20"/>
          <w:szCs w:val="20"/>
          <w:color w:val="auto"/>
        </w:rPr>
      </w:pPr>
      <w:r>
        <w:rPr>
          <w:rFonts w:ascii="Arial" w:cs="Arial" w:eastAsia="Arial" w:hAnsi="Arial"/>
          <w:sz w:val="16"/>
          <w:szCs w:val="16"/>
          <w:color w:val="auto"/>
        </w:rPr>
        <w:t>This MD&amp;A includes financial information prepared in accordance with generally accepted accounting principles ("GAAP"), as well as certain adjusted or non-GAAP financial measures such as EBITDA and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w:t>
      </w:r>
    </w:p>
    <w:p>
      <w:pPr>
        <w:spacing w:after="0" w:line="22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spacing w:after="0" w:line="238"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Included in "Results of Operations" below for the three and six months ended February 25, 2023 compared to the comparable prior year period is a reconciliation of EBITDA and Adjusted EBITDA from net income, the nearest GAAP measure. We have included these non-GAAP performance measures as a comparable measure to illustrate the effect of non-recurring transactions that occurred during the reported periods and to improve comparability of our results from period to period. We believe Adjusted EBITDA provides meaningful supplemental information about our operating performance as this measure excludes amounts from net income that we do not consider part of our core operating results when assessing our performance. Examples of items excluded from Adjusted EBITDA include acquisition-related costs, litigation reserves, contingent consideration fair value adjustment, and non-operating income or loss.</w:t>
      </w:r>
    </w:p>
    <w:p>
      <w:pPr>
        <w:spacing w:after="0" w:line="200" w:lineRule="exact"/>
        <w:rPr>
          <w:sz w:val="20"/>
          <w:szCs w:val="20"/>
          <w:color w:val="auto"/>
        </w:rPr>
      </w:pPr>
    </w:p>
    <w:p>
      <w:pPr>
        <w:spacing w:after="0" w:line="220" w:lineRule="exact"/>
        <w:rPr>
          <w:sz w:val="20"/>
          <w:szCs w:val="20"/>
          <w:color w:val="auto"/>
        </w:rPr>
      </w:pPr>
    </w:p>
    <w:p>
      <w:pPr>
        <w:ind w:right="560"/>
        <w:spacing w:after="0" w:line="278"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20" w:firstLine="8"/>
        <w:spacing w:after="0" w:line="258" w:lineRule="auto"/>
        <w:tabs>
          <w:tab w:leader="none" w:pos="234"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presentations to the members of our Board of Directors to enable our Board of Directors to have the same measurement basis of operating performance as used by management in their assessment of performance and in forecasting; (d) to evaluate potential acquisitions; and (e) to ensure compliance with covenants and restricted activities under the terms of our ABL Credit Facility and outstanding notes, as further described in Note 9 in the Notes to Consolidated Financial Statements included in Item 1 of Part I of this Quarterly Report on Form 10-Q. We believe these non-GAAP financial measures are frequently used by securities analysts, investors and other interested parties to evaluate companies in the industry.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 and Uncertainties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Although supply chain disruptions are moderating, the RV and marine industries continue to experience intermittent supply shortages and shipping delays.</w:t>
      </w:r>
    </w:p>
    <w:p>
      <w:pPr>
        <w:spacing w:after="0"/>
        <w:rPr>
          <w:sz w:val="20"/>
          <w:szCs w:val="20"/>
          <w:color w:val="auto"/>
        </w:rPr>
      </w:pPr>
      <w:r>
        <w:rPr>
          <w:rFonts w:ascii="Arial" w:cs="Arial" w:eastAsia="Arial" w:hAnsi="Arial"/>
          <w:sz w:val="16"/>
          <w:szCs w:val="16"/>
          <w:color w:val="auto"/>
        </w:rPr>
        <w:t>We have continued to operate and adapt to these supply chain disruptions in order to meet existing demand in the current fiscal year.</w:t>
      </w:r>
    </w:p>
    <w:p>
      <w:pPr>
        <w:spacing w:after="0" w:line="235" w:lineRule="exact"/>
        <w:rPr>
          <w:sz w:val="20"/>
          <w:szCs w:val="20"/>
          <w:color w:val="auto"/>
        </w:rPr>
      </w:pPr>
    </w:p>
    <w:p>
      <w:pPr>
        <w:ind w:right="60"/>
        <w:spacing w:after="0" w:line="228" w:lineRule="auto"/>
        <w:rPr>
          <w:sz w:val="20"/>
          <w:szCs w:val="20"/>
          <w:color w:val="auto"/>
        </w:rPr>
      </w:pPr>
      <w:r>
        <w:rPr>
          <w:rFonts w:ascii="Arial" w:cs="Arial" w:eastAsia="Arial" w:hAnsi="Arial"/>
          <w:sz w:val="16"/>
          <w:szCs w:val="16"/>
          <w:color w:val="auto"/>
        </w:rPr>
        <w:t>In the first quarter of Fiscal 2023, Mercedes-Benz AG issued a global recall related to an electronic parking brake defect affecting 2019 through 2022 Sprinter chassis. As a result, all retail sales and wholesale shipments of our products built on this chassis were temporarily suspended until a recall remedy</w:t>
      </w:r>
    </w:p>
    <w:p>
      <w:pPr>
        <w:spacing w:after="0" w:line="1" w:lineRule="exact"/>
        <w:rPr>
          <w:sz w:val="20"/>
          <w:szCs w:val="20"/>
          <w:color w:val="auto"/>
        </w:rPr>
      </w:pPr>
    </w:p>
    <w:p>
      <w:pPr>
        <w:ind w:right="560"/>
        <w:spacing w:after="0" w:line="232" w:lineRule="auto"/>
        <w:rPr>
          <w:sz w:val="20"/>
          <w:szCs w:val="20"/>
          <w:color w:val="auto"/>
        </w:rPr>
      </w:pPr>
      <w:r>
        <w:rPr>
          <w:rFonts w:ascii="Arial" w:cs="Arial" w:eastAsia="Arial" w:hAnsi="Arial"/>
          <w:sz w:val="16"/>
          <w:szCs w:val="16"/>
          <w:color w:val="auto"/>
        </w:rPr>
        <w:t>was implemented. During the second quarter of Fiscal 2023, the recall remedy was implemented in cooperation with Mercedes-Benz AG. This recall impacted our Motorhome segment net sales, profitability, and working capital for the six months ended February 25, 2023.</w:t>
      </w:r>
    </w:p>
    <w:p>
      <w:pPr>
        <w:spacing w:after="0" w:line="225"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In our Towable and Motorhome segments, we are working closely with dealer partners to align field inventory levels to meet end consumer demand. We believe field inventory for our Marine segment is at an acceptable level, but we remain opportunistic due to market expansion opportunities and new product offerings. We continue to produce and ship in accordance with dealer demand as evidenced and requested by dealer orders.</w:t>
      </w:r>
    </w:p>
    <w:p>
      <w:pPr>
        <w:spacing w:after="0" w:line="235"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RV industry retail sales remain soft compared to high prior year levels; however, we still believe in the long-term health of consumer demand for RV and marine products. More people are pursuing outdoor activities, household penetration of RVs is increasing, and campers are more diverse than ever. According to statistics published by Kampgrounds of America, Inc., the number of households in North America that own an RV increased by approximately 4.4 million, or 63%, between 2019 and 2021. Despite these developments, current macroeconomic trends such as inflation, rising interest rates, and global political tensions contribute to reduced short-term consumer demand for large discretionary products such as RVs and Marine products, which could in turn impact our future revenue and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 w:right="41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Three Months Ended February 25, 2023 Compared to the Three Months Ended February 26, 2022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147"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The following is an analysis of changes in key items included in the Consolidated Statements of Income for the three months ended February 25, 2023 compared to the three months ended February 26, 2022:</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February 25,</w:t>
            </w:r>
          </w:p>
        </w:tc>
        <w:tc>
          <w:tcPr>
            <w:tcW w:w="15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20" w:type="dxa"/>
            <w:vAlign w:val="bottom"/>
          </w:tcPr>
          <w:p>
            <w:pPr>
              <w:spacing w:after="0"/>
              <w:rPr>
                <w:sz w:val="13"/>
                <w:szCs w:val="13"/>
                <w:color w:val="auto"/>
              </w:rPr>
            </w:pPr>
          </w:p>
        </w:tc>
        <w:tc>
          <w:tcPr>
            <w:tcW w:w="120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February 26,</w:t>
            </w:r>
          </w:p>
        </w:tc>
        <w:tc>
          <w:tcPr>
            <w:tcW w:w="15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13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4"/>
                <w:szCs w:val="14"/>
                <w:color w:val="auto"/>
              </w:rPr>
              <w:t>($ in millions, except per share data)</w:t>
            </w:r>
          </w:p>
        </w:tc>
        <w:tc>
          <w:tcPr>
            <w:tcW w:w="140" w:type="dxa"/>
            <w:vAlign w:val="bottom"/>
          </w:tcPr>
          <w:p>
            <w:pPr>
              <w:spacing w:after="0"/>
              <w:rPr>
                <w:sz w:val="18"/>
                <w:szCs w:val="18"/>
                <w:color w:val="auto"/>
              </w:rPr>
            </w:pPr>
          </w:p>
        </w:tc>
        <w:tc>
          <w:tcPr>
            <w:tcW w:w="1120" w:type="dxa"/>
            <w:vAlign w:val="bottom"/>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866.7</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1,164.7</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(298.0)</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719.9</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948.1</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(228.2)</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146.8</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216.6</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157"/>
        </w:trPr>
        <w:tc>
          <w:tcPr>
            <w:tcW w:w="2860" w:type="dxa"/>
            <w:vAlign w:val="bottom"/>
          </w:tcPr>
          <w:p>
            <w:pPr>
              <w:ind w:left="20"/>
              <w:spacing w:after="0" w:line="158" w:lineRule="exact"/>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860" w:type="dxa"/>
            <w:vAlign w:val="bottom"/>
          </w:tcPr>
          <w:p>
            <w:pPr>
              <w:ind w:left="20"/>
              <w:spacing w:after="0"/>
              <w:rPr>
                <w:sz w:val="20"/>
                <w:szCs w:val="20"/>
                <w:color w:val="auto"/>
              </w:rPr>
            </w:pPr>
            <w:r>
              <w:rPr>
                <w:rFonts w:ascii="Arial" w:cs="Arial" w:eastAsia="Arial" w:hAnsi="Arial"/>
                <w:sz w:val="16"/>
                <w:szCs w:val="16"/>
                <w:color w:val="auto"/>
              </w:rPr>
              <w:t>expenses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66.2</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7.6 %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71.8</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6.2 %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09"/>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69.7</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120.0</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8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8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1.52</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2.69</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180"/>
        </w:trPr>
        <w:tc>
          <w:tcPr>
            <w:tcW w:w="28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Diluted weighted average shares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60" w:right="20" w:hanging="252"/>
        <w:spacing w:after="0" w:line="207" w:lineRule="auto"/>
        <w:tabs>
          <w:tab w:leader="none" w:pos="297" w:val="left"/>
        </w:tabs>
        <w:numPr>
          <w:ilvl w:val="0"/>
          <w:numId w:val="10"/>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 In addition, percentages may not add in total due to rounding.</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Net revenues decreased primarily due to lower unit sales related to retail market conditions, partially offset by carryover price increases in all segments.</w:t>
      </w:r>
    </w:p>
    <w:p>
      <w:pPr>
        <w:spacing w:after="0" w:line="248"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Gross profit as a percentage of revenue decreased primarily from higher material and input costs, deleverage and productivity loss from supply disruption, partially offset by carryover price increases in all segments.</w:t>
      </w:r>
    </w:p>
    <w:p>
      <w:pPr>
        <w:spacing w:after="0" w:line="208"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Operating expenses decreased primarily due to lower incentive-based compensation related to operating performance, and lower amortization related to Barletta intangible assets, partially offset by strategic investments.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Non-operating loss decreased due to a lower contingent consideration fair value adjustment related to the earnout from the acquisition of Barletta.</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Our effective tax rate increased primarily from the impact of a favorable reserve release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133"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The following table reconciles net income to consolidated EBITDA and Adjusted EBITDA for the three months ended February 25, 2023 and February 26,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4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25, 2023</w:t>
            </w:r>
          </w:p>
        </w:tc>
        <w:tc>
          <w:tcPr>
            <w:tcW w:w="180" w:type="dxa"/>
            <w:vAlign w:val="bottom"/>
          </w:tcPr>
          <w:p>
            <w:pPr>
              <w:spacing w:after="0"/>
              <w:rPr>
                <w:sz w:val="18"/>
                <w:szCs w:val="18"/>
                <w:color w:val="auto"/>
              </w:rPr>
            </w:pPr>
          </w:p>
        </w:tc>
        <w:tc>
          <w:tcPr>
            <w:tcW w:w="1660" w:type="dxa"/>
            <w:vAlign w:val="bottom"/>
          </w:tcPr>
          <w:p>
            <w:pPr>
              <w:jc w:val="right"/>
              <w:ind w:right="159"/>
              <w:spacing w:after="0"/>
              <w:rPr>
                <w:sz w:val="20"/>
                <w:szCs w:val="20"/>
                <w:color w:val="auto"/>
              </w:rPr>
            </w:pPr>
            <w:r>
              <w:rPr>
                <w:rFonts w:ascii="Arial" w:cs="Arial" w:eastAsia="Arial" w:hAnsi="Arial"/>
                <w:sz w:val="16"/>
                <w:szCs w:val="16"/>
                <w:b w:val="1"/>
                <w:bCs w:val="1"/>
                <w:color w:val="auto"/>
              </w:rPr>
              <w:t>February 26, 2022</w:t>
            </w:r>
          </w:p>
        </w:tc>
      </w:tr>
      <w:tr>
        <w:trPr>
          <w:trHeight w:val="210"/>
        </w:trPr>
        <w:tc>
          <w:tcPr>
            <w:tcW w:w="7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9"/>
        </w:trPr>
        <w:tc>
          <w:tcPr>
            <w:tcW w:w="7460" w:type="dxa"/>
            <w:vAlign w:val="bottom"/>
          </w:tcPr>
          <w:p>
            <w:pPr>
              <w:ind w:left="140"/>
              <w:spacing w:after="0"/>
              <w:rPr>
                <w:sz w:val="20"/>
                <w:szCs w:val="20"/>
                <w:color w:val="auto"/>
              </w:rPr>
            </w:pPr>
            <w:r>
              <w:rPr>
                <w:rFonts w:ascii="Arial" w:cs="Arial" w:eastAsia="Arial" w:hAnsi="Arial"/>
                <w:sz w:val="16"/>
                <w:szCs w:val="16"/>
                <w:color w:val="auto"/>
              </w:rPr>
              <w:t>EBITDA</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143.8</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46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w:t>
            </w:r>
          </w:p>
        </w:tc>
      </w:tr>
      <w:tr>
        <w:trPr>
          <w:trHeight w:val="21"/>
        </w:trPr>
        <w:tc>
          <w:tcPr>
            <w:tcW w:w="7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segment for the three months ended February 25, 2023 compared to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rPr>
              <w:t>February 25,</w:t>
            </w:r>
          </w:p>
        </w:tc>
        <w:tc>
          <w:tcPr>
            <w:tcW w:w="14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(2)</w:t>
            </w:r>
          </w:p>
        </w:tc>
        <w:tc>
          <w:tcPr>
            <w:tcW w:w="10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22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rPr>
              <w:t>February 26,</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(2)</w:t>
            </w:r>
          </w:p>
        </w:tc>
        <w:tc>
          <w:tcPr>
            <w:tcW w:w="80" w:type="dxa"/>
            <w:vAlign w:val="bottom"/>
            <w:vMerge w:val="restart"/>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(2)</w:t>
            </w:r>
          </w:p>
        </w:tc>
        <w:tc>
          <w:tcPr>
            <w:tcW w:w="100" w:type="dxa"/>
            <w:vAlign w:val="bottom"/>
            <w:vMerge w:val="restart"/>
          </w:tcPr>
          <w:p>
            <w:pPr>
              <w:spacing w:after="0"/>
              <w:rPr>
                <w:sz w:val="13"/>
                <w:szCs w:val="13"/>
                <w:color w:val="auto"/>
              </w:rPr>
            </w:pPr>
          </w:p>
        </w:tc>
        <w:tc>
          <w:tcPr>
            <w:tcW w:w="13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16"/>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ASP and units)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342.5</w:t>
            </w:r>
          </w:p>
        </w:tc>
        <w:tc>
          <w:tcPr>
            <w:tcW w:w="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39.3</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15.6 %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73"/>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2860" w:type="dxa"/>
            <w:vAlign w:val="bottom"/>
          </w:tcPr>
          <w:p>
            <w:pPr>
              <w:ind w:left="20"/>
              <w:spacing w:after="0"/>
              <w:rPr>
                <w:sz w:val="20"/>
                <w:szCs w:val="20"/>
                <w:color w:val="auto"/>
              </w:rPr>
            </w:pPr>
            <w:r>
              <w:rPr>
                <w:rFonts w:ascii="Arial" w:cs="Arial" w:eastAsia="Arial" w:hAnsi="Arial"/>
                <w:sz w:val="16"/>
                <w:szCs w:val="16"/>
                <w:color w:val="auto"/>
              </w:rPr>
              <w:t>Average Selling Price ("ASP")</w:t>
            </w:r>
            <w:r>
              <w:rPr>
                <w:rFonts w:ascii="Arial" w:cs="Arial" w:eastAsia="Arial" w:hAnsi="Arial"/>
                <w:sz w:val="21"/>
                <w:szCs w:val="2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46,218</w:t>
            </w:r>
          </w:p>
        </w:tc>
        <w:tc>
          <w:tcPr>
            <w:tcW w:w="80" w:type="dxa"/>
            <w:vAlign w:val="bottom"/>
          </w:tcPr>
          <w:p>
            <w:pPr>
              <w:spacing w:after="0"/>
              <w:rPr>
                <w:sz w:val="24"/>
                <w:szCs w:val="24"/>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41,917</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4,301</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10.3 %</w:t>
            </w:r>
          </w:p>
        </w:tc>
        <w:tc>
          <w:tcPr>
            <w:tcW w:w="0" w:type="dxa"/>
            <w:vAlign w:val="bottom"/>
          </w:tcPr>
          <w:p>
            <w:pPr>
              <w:spacing w:after="0"/>
              <w:rPr>
                <w:sz w:val="1"/>
                <w:szCs w:val="1"/>
                <w:color w:val="auto"/>
              </w:rPr>
            </w:pPr>
          </w:p>
        </w:tc>
      </w:tr>
      <w:tr>
        <w:trPr>
          <w:trHeight w:val="310"/>
        </w:trPr>
        <w:tc>
          <w:tcPr>
            <w:tcW w:w="2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rPr>
              <w:t>February 25,</w:t>
            </w:r>
          </w:p>
        </w:tc>
        <w:tc>
          <w:tcPr>
            <w:tcW w:w="1620" w:type="dxa"/>
            <w:vAlign w:val="bottom"/>
            <w:gridSpan w:val="3"/>
            <w:vMerge w:val="restart"/>
          </w:tcPr>
          <w:p>
            <w:pPr>
              <w:jc w:val="right"/>
              <w:ind w:right="40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(3)</w:t>
            </w:r>
          </w:p>
        </w:tc>
        <w:tc>
          <w:tcPr>
            <w:tcW w:w="122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rPr>
              <w:t>February 26,</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(3)</w:t>
            </w:r>
          </w:p>
        </w:tc>
        <w:tc>
          <w:tcPr>
            <w:tcW w:w="136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Unit Change</w:t>
            </w:r>
          </w:p>
        </w:tc>
        <w:tc>
          <w:tcPr>
            <w:tcW w:w="13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620" w:type="dxa"/>
            <w:vAlign w:val="bottom"/>
            <w:gridSpan w:val="3"/>
            <w:vMerge w:val="continue"/>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5,023</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10,764</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70.4 %</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(5,741)</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2,413</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4,530</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29.6 %</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(2,117)</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38"/>
        </w:trPr>
        <w:tc>
          <w:tcPr>
            <w:tcW w:w="2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7,436</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15,294</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(7,858)</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21"/>
          <w:szCs w:val="21"/>
          <w:color w:val="auto"/>
          <w:vertAlign w:val="superscript"/>
        </w:rPr>
      </w:pPr>
      <w:r>
        <w:rPr>
          <w:rFonts w:ascii="Arial" w:cs="Arial" w:eastAsia="Arial" w:hAnsi="Arial"/>
          <w:sz w:val="14"/>
          <w:szCs w:val="14"/>
          <w:color w:val="auto"/>
        </w:rPr>
        <w:t>ASP excludes off-invoice dealer incentives.</w:t>
      </w:r>
    </w:p>
    <w:p>
      <w:pPr>
        <w:spacing w:after="0" w:line="3" w:lineRule="exact"/>
        <w:rPr>
          <w:rFonts w:ascii="Arial" w:cs="Arial" w:eastAsia="Arial" w:hAnsi="Arial"/>
          <w:sz w:val="21"/>
          <w:szCs w:val="21"/>
          <w:color w:val="auto"/>
          <w:vertAlign w:val="superscript"/>
        </w:rPr>
      </w:pPr>
    </w:p>
    <w:p>
      <w:pPr>
        <w:ind w:left="280" w:hanging="272"/>
        <w:spacing w:after="0" w:line="189" w:lineRule="auto"/>
        <w:tabs>
          <w:tab w:leader="none" w:pos="280" w:val="left"/>
        </w:tabs>
        <w:numPr>
          <w:ilvl w:val="0"/>
          <w:numId w:val="11"/>
        </w:numPr>
        <w:rPr>
          <w:rFonts w:ascii="Arial" w:cs="Arial" w:eastAsia="Arial" w:hAnsi="Arial"/>
          <w:sz w:val="19"/>
          <w:szCs w:val="19"/>
          <w:color w:val="auto"/>
          <w:vertAlign w:val="superscript"/>
        </w:rPr>
      </w:pPr>
      <w:r>
        <w:rPr>
          <w:rFonts w:ascii="Arial" w:cs="Arial" w:eastAsia="Arial" w:hAnsi="Arial"/>
          <w:sz w:val="13"/>
          <w:szCs w:val="13"/>
          <w:color w:val="auto"/>
        </w:rPr>
        <w:t>Amounts are calculated based on unrounded numbers and therefore may not recalculate using the rounded numbers provided.</w:t>
      </w:r>
    </w:p>
    <w:p>
      <w:pPr>
        <w:spacing w:after="0" w:line="3" w:lineRule="exact"/>
        <w:rPr>
          <w:rFonts w:ascii="Arial" w:cs="Arial" w:eastAsia="Arial" w:hAnsi="Arial"/>
          <w:sz w:val="19"/>
          <w:szCs w:val="19"/>
          <w:color w:val="auto"/>
          <w:vertAlign w:val="superscript"/>
        </w:rPr>
      </w:pPr>
    </w:p>
    <w:p>
      <w:pPr>
        <w:ind w:left="300" w:hanging="292"/>
        <w:spacing w:after="0" w:line="189" w:lineRule="auto"/>
        <w:tabs>
          <w:tab w:leader="none" w:pos="300" w:val="left"/>
        </w:tabs>
        <w:numPr>
          <w:ilvl w:val="0"/>
          <w:numId w:val="11"/>
        </w:numPr>
        <w:rPr>
          <w:rFonts w:ascii="Arial" w:cs="Arial" w:eastAsia="Arial" w:hAnsi="Arial"/>
          <w:sz w:val="19"/>
          <w:szCs w:val="19"/>
          <w:color w:val="auto"/>
          <w:vertAlign w:val="superscript"/>
        </w:rPr>
      </w:pPr>
      <w:r>
        <w:rPr>
          <w:rFonts w:ascii="Arial" w:cs="Arial" w:eastAsia="Arial" w:hAnsi="Arial"/>
          <w:sz w:val="13"/>
          <w:szCs w:val="13"/>
          <w:color w:val="auto"/>
        </w:rPr>
        <w:t>Percentages may not add due to rounding differences.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Net revenues decreased primarily due to a decline in unit volume associated with retail market conditions.</w:t>
      </w:r>
    </w:p>
    <w:p>
      <w:pPr>
        <w:spacing w:after="0" w:line="262"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Adjusted EBITDA decreased primarily due to lower revenues associated with volume declines related to retail market conditions and higher discounts and allowances compared to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Motorhome segment for the three months ended February 25, 2023 compared to the three months ended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rPr>
              <w:t>February 25,</w:t>
            </w:r>
          </w:p>
        </w:tc>
        <w:tc>
          <w:tcPr>
            <w:tcW w:w="14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(2)</w:t>
            </w:r>
          </w:p>
        </w:tc>
        <w:tc>
          <w:tcPr>
            <w:tcW w:w="8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22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rPr>
              <w:t>February 26,</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(2)</w:t>
            </w:r>
          </w:p>
        </w:tc>
        <w:tc>
          <w:tcPr>
            <w:tcW w:w="80" w:type="dxa"/>
            <w:vAlign w:val="bottom"/>
            <w:vMerge w:val="restart"/>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(2)</w:t>
            </w:r>
          </w:p>
        </w:tc>
        <w:tc>
          <w:tcPr>
            <w:tcW w:w="100" w:type="dxa"/>
            <w:vAlign w:val="bottom"/>
            <w:vMerge w:val="restart"/>
          </w:tcPr>
          <w:p>
            <w:pPr>
              <w:spacing w:after="0"/>
              <w:rPr>
                <w:sz w:val="13"/>
                <w:szCs w:val="13"/>
                <w:color w:val="auto"/>
              </w:rPr>
            </w:pPr>
          </w:p>
        </w:tc>
        <w:tc>
          <w:tcPr>
            <w:tcW w:w="13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16"/>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ASP and units)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403.8</w:t>
            </w:r>
          </w:p>
        </w:tc>
        <w:tc>
          <w:tcPr>
            <w:tcW w:w="1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10.5 %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11.0 %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73"/>
        </w:trPr>
        <w:tc>
          <w:tcPr>
            <w:tcW w:w="2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288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186,896</w:t>
            </w:r>
          </w:p>
        </w:tc>
        <w:tc>
          <w:tcPr>
            <w:tcW w:w="10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146,289</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40,607</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27.8 %</w:t>
            </w:r>
          </w:p>
        </w:tc>
        <w:tc>
          <w:tcPr>
            <w:tcW w:w="0" w:type="dxa"/>
            <w:vAlign w:val="bottom"/>
          </w:tcPr>
          <w:p>
            <w:pPr>
              <w:spacing w:after="0"/>
              <w:rPr>
                <w:sz w:val="1"/>
                <w:szCs w:val="1"/>
                <w:color w:val="auto"/>
              </w:rPr>
            </w:pPr>
          </w:p>
        </w:tc>
      </w:tr>
      <w:tr>
        <w:trPr>
          <w:trHeight w:val="310"/>
        </w:trPr>
        <w:tc>
          <w:tcPr>
            <w:tcW w:w="2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8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rPr>
              <w:t>February 25,</w:t>
            </w:r>
          </w:p>
        </w:tc>
        <w:tc>
          <w:tcPr>
            <w:tcW w:w="1600" w:type="dxa"/>
            <w:vAlign w:val="bottom"/>
            <w:gridSpan w:val="3"/>
            <w:vMerge w:val="restart"/>
          </w:tcPr>
          <w:p>
            <w:pPr>
              <w:jc w:val="right"/>
              <w:ind w:right="38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(3)</w:t>
            </w:r>
          </w:p>
        </w:tc>
        <w:tc>
          <w:tcPr>
            <w:tcW w:w="122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rPr>
              <w:t>February 26,</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(3)</w:t>
            </w:r>
          </w:p>
        </w:tc>
        <w:tc>
          <w:tcPr>
            <w:tcW w:w="136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Unit Change</w:t>
            </w:r>
          </w:p>
        </w:tc>
        <w:tc>
          <w:tcPr>
            <w:tcW w:w="13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00" w:type="dxa"/>
            <w:vAlign w:val="bottom"/>
            <w:gridSpan w:val="3"/>
            <w:vMerge w:val="continue"/>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23.9 %</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Class B</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41.2 %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1,641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58.0 %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34.9 %</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21.3 %</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25.4 %</w:t>
            </w:r>
          </w:p>
        </w:tc>
        <w:tc>
          <w:tcPr>
            <w:tcW w:w="0" w:type="dxa"/>
            <w:vAlign w:val="bottom"/>
          </w:tcPr>
          <w:p>
            <w:pPr>
              <w:spacing w:after="0"/>
              <w:rPr>
                <w:sz w:val="1"/>
                <w:szCs w:val="1"/>
                <w:color w:val="auto"/>
              </w:rPr>
            </w:pPr>
          </w:p>
        </w:tc>
      </w:tr>
      <w:tr>
        <w:trPr>
          <w:trHeight w:val="213"/>
        </w:trPr>
        <w:tc>
          <w:tcPr>
            <w:tcW w:w="288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2,165</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2,831</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21"/>
          <w:szCs w:val="21"/>
          <w:color w:val="auto"/>
          <w:vertAlign w:val="superscript"/>
        </w:rPr>
      </w:pPr>
      <w:r>
        <w:rPr>
          <w:rFonts w:ascii="Arial" w:cs="Arial" w:eastAsia="Arial" w:hAnsi="Arial"/>
          <w:sz w:val="14"/>
          <w:szCs w:val="14"/>
          <w:color w:val="auto"/>
        </w:rPr>
        <w:t>ASP excludes off-invoice dealer incentives.</w:t>
      </w:r>
    </w:p>
    <w:p>
      <w:pPr>
        <w:spacing w:after="0" w:line="3" w:lineRule="exact"/>
        <w:rPr>
          <w:rFonts w:ascii="Arial" w:cs="Arial" w:eastAsia="Arial" w:hAnsi="Arial"/>
          <w:sz w:val="21"/>
          <w:szCs w:val="21"/>
          <w:color w:val="auto"/>
          <w:vertAlign w:val="superscript"/>
        </w:rPr>
      </w:pPr>
    </w:p>
    <w:p>
      <w:pPr>
        <w:ind w:left="280" w:hanging="272"/>
        <w:spacing w:after="0" w:line="187" w:lineRule="auto"/>
        <w:tabs>
          <w:tab w:leader="none" w:pos="280" w:val="left"/>
        </w:tabs>
        <w:numPr>
          <w:ilvl w:val="0"/>
          <w:numId w:val="12"/>
        </w:numPr>
        <w:rPr>
          <w:rFonts w:ascii="Arial" w:cs="Arial" w:eastAsia="Arial" w:hAnsi="Arial"/>
          <w:sz w:val="18"/>
          <w:szCs w:val="18"/>
          <w:color w:val="auto"/>
          <w:vertAlign w:val="superscript"/>
        </w:rPr>
      </w:pPr>
      <w:r>
        <w:rPr>
          <w:rFonts w:ascii="Arial" w:cs="Arial" w:eastAsia="Arial" w:hAnsi="Arial"/>
          <w:sz w:val="12"/>
          <w:szCs w:val="12"/>
          <w:color w:val="auto"/>
        </w:rPr>
        <w:t>Amounts are calculated based on unrounded numbers and therefore may not recalculate using the rounded numbers provided.</w:t>
      </w:r>
    </w:p>
    <w:p>
      <w:pPr>
        <w:ind w:left="300" w:hanging="292"/>
        <w:spacing w:after="0" w:line="189" w:lineRule="auto"/>
        <w:tabs>
          <w:tab w:leader="none" w:pos="300" w:val="left"/>
        </w:tabs>
        <w:numPr>
          <w:ilvl w:val="0"/>
          <w:numId w:val="12"/>
        </w:numPr>
        <w:rPr>
          <w:rFonts w:ascii="Arial" w:cs="Arial" w:eastAsia="Arial" w:hAnsi="Arial"/>
          <w:sz w:val="19"/>
          <w:szCs w:val="19"/>
          <w:color w:val="auto"/>
          <w:vertAlign w:val="superscript"/>
        </w:rPr>
      </w:pPr>
      <w:r>
        <w:rPr>
          <w:rFonts w:ascii="Arial" w:cs="Arial" w:eastAsia="Arial" w:hAnsi="Arial"/>
          <w:sz w:val="13"/>
          <w:szCs w:val="13"/>
          <w:color w:val="auto"/>
        </w:rPr>
        <w:t>Percentages may not add due to rounding differences.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Net revenues decreased primarily due to volume decline, partially offset by carryover price increases and favorable product mix.</w:t>
      </w:r>
    </w:p>
    <w:p>
      <w:pPr>
        <w:spacing w:after="0" w:line="248" w:lineRule="exact"/>
        <w:rPr>
          <w:sz w:val="20"/>
          <w:szCs w:val="20"/>
          <w:color w:val="auto"/>
        </w:rPr>
      </w:pPr>
    </w:p>
    <w:p>
      <w:pPr>
        <w:ind w:right="160"/>
        <w:spacing w:after="0" w:line="242" w:lineRule="auto"/>
        <w:rPr>
          <w:sz w:val="20"/>
          <w:szCs w:val="20"/>
          <w:color w:val="auto"/>
        </w:rPr>
      </w:pPr>
      <w:r>
        <w:rPr>
          <w:rFonts w:ascii="Arial" w:cs="Arial" w:eastAsia="Arial" w:hAnsi="Arial"/>
          <w:sz w:val="16"/>
          <w:szCs w:val="16"/>
          <w:color w:val="auto"/>
        </w:rPr>
        <w:t>Adjusted EBITDA decreased primarily due to lower revenues associated with volume declines, higher material and input costs, and productivity and supply chain challenges, partially offset by carryover price increases.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Marine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Marine segment for the three months ended February 25, 2023 compared to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2022:</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February 25,</w:t>
            </w:r>
          </w:p>
        </w:tc>
        <w:tc>
          <w:tcPr>
            <w:tcW w:w="8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(2)</w:t>
            </w:r>
          </w:p>
        </w:tc>
        <w:tc>
          <w:tcPr>
            <w:tcW w:w="10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120" w:type="dxa"/>
            <w:vAlign w:val="bottom"/>
          </w:tcPr>
          <w:p>
            <w:pPr>
              <w:jc w:val="center"/>
              <w:ind w:right="39"/>
              <w:spacing w:after="0" w:line="158" w:lineRule="exact"/>
              <w:rPr>
                <w:sz w:val="20"/>
                <w:szCs w:val="20"/>
                <w:color w:val="auto"/>
              </w:rPr>
            </w:pPr>
            <w:r>
              <w:rPr>
                <w:rFonts w:ascii="Arial" w:cs="Arial" w:eastAsia="Arial" w:hAnsi="Arial"/>
                <w:sz w:val="16"/>
                <w:szCs w:val="16"/>
                <w:b w:val="1"/>
                <w:bCs w:val="1"/>
                <w:color w:val="auto"/>
              </w:rPr>
              <w:t>February 26,</w:t>
            </w:r>
          </w:p>
        </w:tc>
        <w:tc>
          <w:tcPr>
            <w:tcW w:w="10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(2)</w:t>
            </w:r>
          </w:p>
        </w:tc>
        <w:tc>
          <w:tcPr>
            <w:tcW w:w="80" w:type="dxa"/>
            <w:vAlign w:val="bottom"/>
            <w:vMerge w:val="restart"/>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(2)</w:t>
            </w:r>
          </w:p>
        </w:tc>
        <w:tc>
          <w:tcPr>
            <w:tcW w:w="100" w:type="dxa"/>
            <w:vAlign w:val="bottom"/>
            <w:vMerge w:val="restart"/>
          </w:tcPr>
          <w:p>
            <w:pPr>
              <w:spacing w:after="0"/>
              <w:rPr>
                <w:sz w:val="13"/>
                <w:szCs w:val="13"/>
                <w:color w:val="auto"/>
              </w:rPr>
            </w:pPr>
          </w:p>
        </w:tc>
        <w:tc>
          <w:tcPr>
            <w:tcW w:w="13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16"/>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ASP and units)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w:t>
            </w:r>
          </w:p>
        </w:tc>
        <w:tc>
          <w:tcPr>
            <w:tcW w:w="17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16.1 %</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12.8 %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13.3 %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11.4 %</w:t>
            </w:r>
          </w:p>
        </w:tc>
        <w:tc>
          <w:tcPr>
            <w:tcW w:w="0" w:type="dxa"/>
            <w:vAlign w:val="bottom"/>
          </w:tcPr>
          <w:p>
            <w:pPr>
              <w:spacing w:after="0"/>
              <w:rPr>
                <w:sz w:val="1"/>
                <w:szCs w:val="1"/>
                <w:color w:val="auto"/>
              </w:rPr>
            </w:pPr>
          </w:p>
        </w:tc>
      </w:tr>
      <w:tr>
        <w:trPr>
          <w:trHeight w:val="273"/>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86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89,547</w:t>
            </w:r>
          </w:p>
        </w:tc>
        <w:tc>
          <w:tcPr>
            <w:tcW w:w="170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73,492</w:t>
            </w: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16,055</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21.8 %</w:t>
            </w:r>
          </w:p>
        </w:tc>
        <w:tc>
          <w:tcPr>
            <w:tcW w:w="0" w:type="dxa"/>
            <w:vAlign w:val="bottom"/>
          </w:tcPr>
          <w:p>
            <w:pPr>
              <w:spacing w:after="0"/>
              <w:rPr>
                <w:sz w:val="1"/>
                <w:szCs w:val="1"/>
                <w:color w:val="auto"/>
              </w:rPr>
            </w:pPr>
          </w:p>
        </w:tc>
      </w:tr>
      <w:tr>
        <w:trPr>
          <w:trHeight w:val="323"/>
        </w:trPr>
        <w:tc>
          <w:tcPr>
            <w:tcW w:w="2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Pr>
          <w:p>
            <w:pPr>
              <w:spacing w:after="0"/>
              <w:rPr>
                <w:sz w:val="13"/>
                <w:szCs w:val="13"/>
                <w:color w:val="auto"/>
              </w:rPr>
            </w:pPr>
          </w:p>
        </w:tc>
        <w:tc>
          <w:tcPr>
            <w:tcW w:w="114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February 25,</w:t>
            </w: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39"/>
              <w:spacing w:after="0" w:line="158" w:lineRule="exact"/>
              <w:rPr>
                <w:sz w:val="20"/>
                <w:szCs w:val="20"/>
                <w:color w:val="auto"/>
              </w:rPr>
            </w:pPr>
            <w:r>
              <w:rPr>
                <w:rFonts w:ascii="Arial" w:cs="Arial" w:eastAsia="Arial" w:hAnsi="Arial"/>
                <w:sz w:val="16"/>
                <w:szCs w:val="16"/>
                <w:b w:val="1"/>
                <w:bCs w:val="1"/>
                <w:color w:val="auto"/>
              </w:rPr>
              <w:t>February 26,</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Unit Change</w:t>
            </w:r>
          </w:p>
        </w:tc>
        <w:tc>
          <w:tcPr>
            <w:tcW w:w="13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2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ASP excludes off-invoice dealer incentives.</w:t>
      </w:r>
    </w:p>
    <w:p>
      <w:pPr>
        <w:spacing w:after="0" w:line="3" w:lineRule="exact"/>
        <w:rPr>
          <w:rFonts w:ascii="Arial" w:cs="Arial" w:eastAsia="Arial" w:hAnsi="Arial"/>
          <w:sz w:val="21"/>
          <w:szCs w:val="21"/>
          <w:color w:val="auto"/>
          <w:vertAlign w:val="superscript"/>
        </w:rPr>
      </w:pPr>
    </w:p>
    <w:p>
      <w:pPr>
        <w:ind w:left="280" w:hanging="272"/>
        <w:spacing w:after="0" w:line="189" w:lineRule="auto"/>
        <w:tabs>
          <w:tab w:leader="none" w:pos="280" w:val="left"/>
        </w:tabs>
        <w:numPr>
          <w:ilvl w:val="0"/>
          <w:numId w:val="13"/>
        </w:numPr>
        <w:rPr>
          <w:rFonts w:ascii="Arial" w:cs="Arial" w:eastAsia="Arial" w:hAnsi="Arial"/>
          <w:sz w:val="19"/>
          <w:szCs w:val="19"/>
          <w:color w:val="auto"/>
          <w:vertAlign w:val="superscript"/>
        </w:rPr>
      </w:pPr>
      <w:r>
        <w:rPr>
          <w:rFonts w:ascii="Arial" w:cs="Arial" w:eastAsia="Arial" w:hAnsi="Arial"/>
          <w:sz w:val="13"/>
          <w:szCs w:val="13"/>
          <w:color w:val="auto"/>
        </w:rPr>
        <w:t>Amounts are calculated based on unrounded numbers and therefore may not recalculate using the rounded numbers provided.</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primarily due to carryover price increases.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primarily due to increased revenue, partially offset by higher material and input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Six Months Ended February 25, 2023 Compared to the Six Months Ended February 26, 2022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147"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The following is an analysis of changes in key items included in the Consolidated Statements of Income for the six months ended February 25, 2023 compared to the six months ended February 26, 2022:</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February 25,</w:t>
            </w:r>
          </w:p>
        </w:tc>
        <w:tc>
          <w:tcPr>
            <w:tcW w:w="15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20" w:type="dxa"/>
            <w:vAlign w:val="bottom"/>
          </w:tcPr>
          <w:p>
            <w:pPr>
              <w:spacing w:after="0"/>
              <w:rPr>
                <w:sz w:val="13"/>
                <w:szCs w:val="13"/>
                <w:color w:val="auto"/>
              </w:rPr>
            </w:pPr>
          </w:p>
        </w:tc>
        <w:tc>
          <w:tcPr>
            <w:tcW w:w="120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February 26,</w:t>
            </w:r>
          </w:p>
        </w:tc>
        <w:tc>
          <w:tcPr>
            <w:tcW w:w="15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13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4"/>
                <w:szCs w:val="14"/>
                <w:color w:val="auto"/>
              </w:rPr>
              <w:t>($ in millions, except per share data)</w:t>
            </w:r>
          </w:p>
        </w:tc>
        <w:tc>
          <w:tcPr>
            <w:tcW w:w="140" w:type="dxa"/>
            <w:vAlign w:val="bottom"/>
          </w:tcPr>
          <w:p>
            <w:pPr>
              <w:spacing w:after="0"/>
              <w:rPr>
                <w:sz w:val="18"/>
                <w:szCs w:val="18"/>
                <w:color w:val="auto"/>
              </w:rPr>
            </w:pPr>
          </w:p>
        </w:tc>
        <w:tc>
          <w:tcPr>
            <w:tcW w:w="1120" w:type="dxa"/>
            <w:vAlign w:val="bottom"/>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1,818.9</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2,320.5</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(501.5)</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1,511.7</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1,874.5</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(362.7)</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307.2</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446.0</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(138.8)</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157"/>
        </w:trPr>
        <w:tc>
          <w:tcPr>
            <w:tcW w:w="2860" w:type="dxa"/>
            <w:vAlign w:val="bottom"/>
          </w:tcPr>
          <w:p>
            <w:pPr>
              <w:ind w:left="20"/>
              <w:spacing w:after="0" w:line="158" w:lineRule="exact"/>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860" w:type="dxa"/>
            <w:vAlign w:val="bottom"/>
          </w:tcPr>
          <w:p>
            <w:pPr>
              <w:ind w:left="20"/>
              <w:spacing w:after="0"/>
              <w:rPr>
                <w:sz w:val="20"/>
                <w:szCs w:val="20"/>
                <w:color w:val="auto"/>
              </w:rPr>
            </w:pPr>
            <w:r>
              <w:rPr>
                <w:rFonts w:ascii="Arial" w:cs="Arial" w:eastAsia="Arial" w:hAnsi="Arial"/>
                <w:sz w:val="16"/>
                <w:szCs w:val="16"/>
                <w:color w:val="auto"/>
              </w:rPr>
              <w:t>expenses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136.9</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146.7</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09"/>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144.5</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162.9</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162.7</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283.1</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11.2</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20.6</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149.4</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249.7</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(100.3)</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w:t>
            </w:r>
          </w:p>
        </w:tc>
        <w:tc>
          <w:tcPr>
            <w:tcW w:w="8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w:t>
            </w:r>
          </w:p>
        </w:tc>
        <w:tc>
          <w:tcPr>
            <w:tcW w:w="8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3.25</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5.58</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180"/>
        </w:trPr>
        <w:tc>
          <w:tcPr>
            <w:tcW w:w="28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Diluted weighted average shares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60" w:right="20" w:hanging="252"/>
        <w:spacing w:after="0" w:line="207" w:lineRule="auto"/>
        <w:tabs>
          <w:tab w:leader="none" w:pos="297" w:val="left"/>
        </w:tabs>
        <w:numPr>
          <w:ilvl w:val="0"/>
          <w:numId w:val="14"/>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 In addition, percentages may not add in total due to rounding.</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Net revenues decreased primarily due to lower unit sales related to retail market conditions, partially offset by carryover price increases in all segments.</w:t>
      </w:r>
    </w:p>
    <w:p>
      <w:pPr>
        <w:spacing w:after="0" w:line="302"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Gross profit as a percentage of revenue decreased primarily due to higher material and input costs, deleverage and productivity loss from supply disruption, partially offset by carryover price increases in all segments.</w:t>
      </w:r>
    </w:p>
    <w:p>
      <w:pPr>
        <w:spacing w:after="0" w:line="20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Operating expenses decreased primarily due to lower incentive-based compensation related to operating performance, lower amortization related to Barletta intangible assets, and lower legal settlement and transaction costs, partially offset by strategic investments.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Non-operating loss decreased due to a lower contingent consideration fair value adjustment related to the earnout from the acquisition of Barletta.</w:t>
      </w:r>
    </w:p>
    <w:p>
      <w:pPr>
        <w:spacing w:after="0" w:line="23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Our effective tax rate increased primarily from the impact of both a net favorable impact related to stock compensation and a favorable reserve release in the prior year.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133" w:lineRule="exact"/>
        <w:rPr>
          <w:sz w:val="20"/>
          <w:szCs w:val="20"/>
          <w:color w:val="auto"/>
        </w:rPr>
      </w:pPr>
    </w:p>
    <w:p>
      <w:pPr>
        <w:ind w:right="420"/>
        <w:spacing w:after="0" w:line="268" w:lineRule="auto"/>
        <w:rPr>
          <w:sz w:val="20"/>
          <w:szCs w:val="20"/>
          <w:color w:val="auto"/>
        </w:rPr>
      </w:pPr>
      <w:r>
        <w:rPr>
          <w:rFonts w:ascii="Arial" w:cs="Arial" w:eastAsia="Arial" w:hAnsi="Arial"/>
          <w:sz w:val="16"/>
          <w:szCs w:val="16"/>
          <w:color w:val="auto"/>
        </w:rPr>
        <w:t>The following table reconciles net income to consolidated EBITDA and Adjusted EBITDA for the six months ended February 25, 2023 and February 26,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Six Months Ended</w:t>
            </w:r>
          </w:p>
        </w:tc>
      </w:tr>
      <w:tr>
        <w:trPr>
          <w:trHeight w:val="212"/>
        </w:trPr>
        <w:tc>
          <w:tcPr>
            <w:tcW w:w="74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25, 2023</w:t>
            </w:r>
          </w:p>
        </w:tc>
        <w:tc>
          <w:tcPr>
            <w:tcW w:w="180" w:type="dxa"/>
            <w:vAlign w:val="bottom"/>
          </w:tcPr>
          <w:p>
            <w:pPr>
              <w:spacing w:after="0"/>
              <w:rPr>
                <w:sz w:val="18"/>
                <w:szCs w:val="18"/>
                <w:color w:val="auto"/>
              </w:rPr>
            </w:pPr>
          </w:p>
        </w:tc>
        <w:tc>
          <w:tcPr>
            <w:tcW w:w="1660" w:type="dxa"/>
            <w:vAlign w:val="bottom"/>
          </w:tcPr>
          <w:p>
            <w:pPr>
              <w:jc w:val="right"/>
              <w:ind w:right="159"/>
              <w:spacing w:after="0"/>
              <w:rPr>
                <w:sz w:val="20"/>
                <w:szCs w:val="20"/>
                <w:color w:val="auto"/>
              </w:rPr>
            </w:pPr>
            <w:r>
              <w:rPr>
                <w:rFonts w:ascii="Arial" w:cs="Arial" w:eastAsia="Arial" w:hAnsi="Arial"/>
                <w:sz w:val="16"/>
                <w:szCs w:val="16"/>
                <w:b w:val="1"/>
                <w:bCs w:val="1"/>
                <w:color w:val="auto"/>
              </w:rPr>
              <w:t>February 26, 2022</w:t>
            </w:r>
          </w:p>
        </w:tc>
      </w:tr>
      <w:tr>
        <w:trPr>
          <w:trHeight w:val="210"/>
        </w:trPr>
        <w:tc>
          <w:tcPr>
            <w:tcW w:w="7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190.8</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10"/>
        </w:trPr>
        <w:tc>
          <w:tcPr>
            <w:tcW w:w="7460" w:type="dxa"/>
            <w:vAlign w:val="bottom"/>
          </w:tcPr>
          <w:p>
            <w:pPr>
              <w:ind w:left="140"/>
              <w:spacing w:after="0"/>
              <w:rPr>
                <w:sz w:val="20"/>
                <w:szCs w:val="20"/>
                <w:color w:val="auto"/>
              </w:rPr>
            </w:pPr>
            <w:r>
              <w:rPr>
                <w:rFonts w:ascii="Arial" w:cs="Arial" w:eastAsia="Arial" w:hAnsi="Arial"/>
                <w:sz w:val="16"/>
                <w:szCs w:val="16"/>
                <w:color w:val="auto"/>
              </w:rPr>
              <w:t>EBITDA</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181.5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297.3</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Litigation reserves</w:t>
            </w:r>
          </w:p>
        </w:tc>
        <w:tc>
          <w:tcPr>
            <w:tcW w:w="18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13"/>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loss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7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segment for the six months ended February 25, 2023 compared to the six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2022:</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ind w:left="52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February 25,</w:t>
            </w:r>
          </w:p>
        </w:tc>
        <w:tc>
          <w:tcPr>
            <w:tcW w:w="8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(2)</w:t>
            </w:r>
          </w:p>
        </w:tc>
        <w:tc>
          <w:tcPr>
            <w:tcW w:w="10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120" w:type="dxa"/>
            <w:vAlign w:val="bottom"/>
          </w:tcPr>
          <w:p>
            <w:pPr>
              <w:jc w:val="center"/>
              <w:ind w:right="39"/>
              <w:spacing w:after="0" w:line="158" w:lineRule="exact"/>
              <w:rPr>
                <w:sz w:val="20"/>
                <w:szCs w:val="20"/>
                <w:color w:val="auto"/>
              </w:rPr>
            </w:pPr>
            <w:r>
              <w:rPr>
                <w:rFonts w:ascii="Arial" w:cs="Arial" w:eastAsia="Arial" w:hAnsi="Arial"/>
                <w:sz w:val="16"/>
                <w:szCs w:val="16"/>
                <w:b w:val="1"/>
                <w:bCs w:val="1"/>
                <w:color w:val="auto"/>
              </w:rPr>
              <w:t>February 26,</w:t>
            </w:r>
          </w:p>
        </w:tc>
        <w:tc>
          <w:tcPr>
            <w:tcW w:w="8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(2)</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4"/>
              </w:rPr>
              <w:t>$ Change</w:t>
            </w:r>
            <w:r>
              <w:rPr>
                <w:rFonts w:ascii="Arial" w:cs="Arial" w:eastAsia="Arial" w:hAnsi="Arial"/>
                <w:sz w:val="21"/>
                <w:szCs w:val="21"/>
                <w:b w:val="1"/>
                <w:bCs w:val="1"/>
                <w:color w:val="auto"/>
                <w:w w:val="94"/>
                <w:vertAlign w:val="superscript"/>
              </w:rPr>
              <w:t>(2)</w:t>
            </w:r>
          </w:p>
        </w:tc>
        <w:tc>
          <w:tcPr>
            <w:tcW w:w="100" w:type="dxa"/>
            <w:vAlign w:val="bottom"/>
            <w:vMerge w:val="restart"/>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(2)</w:t>
            </w:r>
          </w:p>
        </w:tc>
        <w:tc>
          <w:tcPr>
            <w:tcW w:w="0" w:type="dxa"/>
            <w:vAlign w:val="bottom"/>
          </w:tcPr>
          <w:p>
            <w:pPr>
              <w:spacing w:after="0"/>
              <w:rPr>
                <w:sz w:val="1"/>
                <w:szCs w:val="1"/>
                <w:color w:val="auto"/>
              </w:rPr>
            </w:pPr>
          </w:p>
        </w:tc>
      </w:tr>
      <w:tr>
        <w:trPr>
          <w:trHeight w:val="216"/>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ASP and units)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689.8</w:t>
            </w:r>
          </w:p>
        </w:tc>
        <w:tc>
          <w:tcPr>
            <w:tcW w:w="17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1,297.6</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(607.9)</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11.0 %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212.7</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16.4 %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(137.1)</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73"/>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86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47,179</w:t>
            </w:r>
          </w:p>
        </w:tc>
        <w:tc>
          <w:tcPr>
            <w:tcW w:w="170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40,529</w:t>
            </w: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6,650</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16.4 %</w:t>
            </w:r>
          </w:p>
        </w:tc>
        <w:tc>
          <w:tcPr>
            <w:tcW w:w="0" w:type="dxa"/>
            <w:vAlign w:val="bottom"/>
          </w:tcPr>
          <w:p>
            <w:pPr>
              <w:spacing w:after="0"/>
              <w:rPr>
                <w:sz w:val="1"/>
                <w:szCs w:val="1"/>
                <w:color w:val="auto"/>
              </w:rPr>
            </w:pPr>
          </w:p>
        </w:tc>
      </w:tr>
      <w:tr>
        <w:trPr>
          <w:trHeight w:val="323"/>
        </w:trPr>
        <w:tc>
          <w:tcPr>
            <w:tcW w:w="2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ind w:left="52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Pr>
          <w:p>
            <w:pPr>
              <w:spacing w:after="0"/>
              <w:rPr>
                <w:sz w:val="13"/>
                <w:szCs w:val="13"/>
                <w:color w:val="auto"/>
              </w:rPr>
            </w:pPr>
          </w:p>
        </w:tc>
        <w:tc>
          <w:tcPr>
            <w:tcW w:w="114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February 25,</w:t>
            </w:r>
          </w:p>
        </w:tc>
        <w:tc>
          <w:tcPr>
            <w:tcW w:w="80" w:type="dxa"/>
            <w:vAlign w:val="bottom"/>
          </w:tcPr>
          <w:p>
            <w:pPr>
              <w:spacing w:after="0"/>
              <w:rPr>
                <w:sz w:val="13"/>
                <w:szCs w:val="13"/>
                <w:color w:val="auto"/>
              </w:rPr>
            </w:pPr>
          </w:p>
        </w:tc>
        <w:tc>
          <w:tcPr>
            <w:tcW w:w="14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(3)</w:t>
            </w:r>
          </w:p>
        </w:tc>
        <w:tc>
          <w:tcPr>
            <w:tcW w:w="10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120" w:type="dxa"/>
            <w:vAlign w:val="bottom"/>
          </w:tcPr>
          <w:p>
            <w:pPr>
              <w:jc w:val="center"/>
              <w:ind w:right="39"/>
              <w:spacing w:after="0" w:line="158" w:lineRule="exact"/>
              <w:rPr>
                <w:sz w:val="20"/>
                <w:szCs w:val="20"/>
                <w:color w:val="auto"/>
              </w:rPr>
            </w:pPr>
            <w:r>
              <w:rPr>
                <w:rFonts w:ascii="Arial" w:cs="Arial" w:eastAsia="Arial" w:hAnsi="Arial"/>
                <w:sz w:val="16"/>
                <w:szCs w:val="16"/>
                <w:b w:val="1"/>
                <w:bCs w:val="1"/>
                <w:color w:val="auto"/>
              </w:rPr>
              <w:t>February 26,</w:t>
            </w:r>
          </w:p>
        </w:tc>
        <w:tc>
          <w:tcPr>
            <w:tcW w:w="80" w:type="dxa"/>
            <w:vAlign w:val="bottom"/>
          </w:tcPr>
          <w:p>
            <w:pPr>
              <w:spacing w:after="0"/>
              <w:rPr>
                <w:sz w:val="13"/>
                <w:szCs w:val="13"/>
                <w:color w:val="auto"/>
              </w:rPr>
            </w:pPr>
          </w:p>
        </w:tc>
        <w:tc>
          <w:tcPr>
            <w:tcW w:w="14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(3)</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rPr>
              <w:t>Unit Change</w:t>
            </w:r>
          </w:p>
        </w:tc>
        <w:tc>
          <w:tcPr>
            <w:tcW w:w="100" w:type="dxa"/>
            <w:vAlign w:val="bottom"/>
            <w:vMerge w:val="restart"/>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(12,234)</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4,954</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9,818</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(4,864)</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32"/>
        </w:trPr>
        <w:tc>
          <w:tcPr>
            <w:tcW w:w="2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31,725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(17,098)</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February 25,</w:t>
            </w: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February 26,</w:t>
            </w: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(2)</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(2)</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(4)</w:t>
            </w: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60" w:type="dxa"/>
            <w:vAlign w:val="bottom"/>
          </w:tcPr>
          <w:p>
            <w:pPr>
              <w:ind w:left="140"/>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5,841</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47,438</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(41,597)</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(87.7)%</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w:t>
            </w:r>
          </w:p>
        </w:tc>
        <w:tc>
          <w:tcPr>
            <w:tcW w:w="17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1,873.2</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22,354</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21,738</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21"/>
          <w:szCs w:val="21"/>
          <w:color w:val="auto"/>
          <w:vertAlign w:val="superscript"/>
        </w:rPr>
      </w:pPr>
      <w:r>
        <w:rPr>
          <w:rFonts w:ascii="Arial" w:cs="Arial" w:eastAsia="Arial" w:hAnsi="Arial"/>
          <w:sz w:val="14"/>
          <w:szCs w:val="14"/>
          <w:color w:val="auto"/>
        </w:rPr>
        <w:t>ASP excludes off-invoice dealer incentives.</w:t>
      </w:r>
    </w:p>
    <w:p>
      <w:pPr>
        <w:spacing w:after="0" w:line="3" w:lineRule="exact"/>
        <w:rPr>
          <w:rFonts w:ascii="Arial" w:cs="Arial" w:eastAsia="Arial" w:hAnsi="Arial"/>
          <w:sz w:val="21"/>
          <w:szCs w:val="21"/>
          <w:color w:val="auto"/>
          <w:vertAlign w:val="superscript"/>
        </w:rPr>
      </w:pPr>
    </w:p>
    <w:p>
      <w:pPr>
        <w:ind w:left="280" w:hanging="272"/>
        <w:spacing w:after="0" w:line="189" w:lineRule="auto"/>
        <w:tabs>
          <w:tab w:leader="none" w:pos="280" w:val="left"/>
        </w:tabs>
        <w:numPr>
          <w:ilvl w:val="0"/>
          <w:numId w:val="15"/>
        </w:numPr>
        <w:rPr>
          <w:rFonts w:ascii="Arial" w:cs="Arial" w:eastAsia="Arial" w:hAnsi="Arial"/>
          <w:sz w:val="19"/>
          <w:szCs w:val="19"/>
          <w:color w:val="auto"/>
          <w:vertAlign w:val="superscript"/>
        </w:rPr>
      </w:pPr>
      <w:r>
        <w:rPr>
          <w:rFonts w:ascii="Arial" w:cs="Arial" w:eastAsia="Arial" w:hAnsi="Arial"/>
          <w:sz w:val="13"/>
          <w:szCs w:val="13"/>
          <w:color w:val="auto"/>
        </w:rPr>
        <w:t>Amounts are calculated based on unrounded numbers and therefore may not recalculate using the rounded numbers provided.</w:t>
      </w:r>
    </w:p>
    <w:p>
      <w:pPr>
        <w:spacing w:after="0" w:line="3" w:lineRule="exact"/>
        <w:rPr>
          <w:rFonts w:ascii="Arial" w:cs="Arial" w:eastAsia="Arial" w:hAnsi="Arial"/>
          <w:sz w:val="19"/>
          <w:szCs w:val="19"/>
          <w:color w:val="auto"/>
          <w:vertAlign w:val="superscript"/>
        </w:rPr>
      </w:pPr>
    </w:p>
    <w:p>
      <w:pPr>
        <w:ind w:left="300" w:hanging="292"/>
        <w:spacing w:after="0" w:line="189" w:lineRule="auto"/>
        <w:tabs>
          <w:tab w:leader="none" w:pos="300" w:val="left"/>
        </w:tabs>
        <w:numPr>
          <w:ilvl w:val="0"/>
          <w:numId w:val="15"/>
        </w:numPr>
        <w:rPr>
          <w:rFonts w:ascii="Arial" w:cs="Arial" w:eastAsia="Arial" w:hAnsi="Arial"/>
          <w:sz w:val="19"/>
          <w:szCs w:val="19"/>
          <w:color w:val="auto"/>
          <w:vertAlign w:val="superscript"/>
        </w:rPr>
      </w:pPr>
      <w:r>
        <w:rPr>
          <w:rFonts w:ascii="Arial" w:cs="Arial" w:eastAsia="Arial" w:hAnsi="Arial"/>
          <w:sz w:val="13"/>
          <w:szCs w:val="13"/>
          <w:color w:val="auto"/>
        </w:rPr>
        <w:t>Percentages may not add due to rounding differences.</w:t>
      </w:r>
    </w:p>
    <w:p>
      <w:pPr>
        <w:spacing w:after="0" w:line="3" w:lineRule="exact"/>
        <w:rPr>
          <w:rFonts w:ascii="Arial" w:cs="Arial" w:eastAsia="Arial" w:hAnsi="Arial"/>
          <w:sz w:val="19"/>
          <w:szCs w:val="19"/>
          <w:color w:val="auto"/>
          <w:vertAlign w:val="superscript"/>
        </w:rPr>
      </w:pPr>
    </w:p>
    <w:p>
      <w:pPr>
        <w:ind w:left="260" w:right="180" w:hanging="252"/>
        <w:spacing w:after="0" w:line="199" w:lineRule="auto"/>
        <w:tabs>
          <w:tab w:leader="none" w:pos="305" w:val="left"/>
        </w:tabs>
        <w:numPr>
          <w:ilvl w:val="0"/>
          <w:numId w:val="15"/>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Net revenues decreased primarily due to a decline in unit volume.</w:t>
      </w:r>
    </w:p>
    <w:p>
      <w:pPr>
        <w:spacing w:after="0" w:line="262"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Adjusted EBITDA decreased primarily due to lower revenues associated with volume declines related to retail market conditions and higher material and input costs, partially offset by carryover price increases.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Backlog decreased compared to the prior year when dealers were replenishing inventories.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Motorhome segment for the six months ended February 25, 2023 compared to the six months ended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February 25,</w:t>
            </w:r>
          </w:p>
        </w:tc>
        <w:tc>
          <w:tcPr>
            <w:tcW w:w="1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9"/>
              </w:rPr>
              <w:t>% of Revenues</w:t>
            </w:r>
            <w:r>
              <w:rPr>
                <w:rFonts w:ascii="Arial" w:cs="Arial" w:eastAsia="Arial" w:hAnsi="Arial"/>
                <w:sz w:val="21"/>
                <w:szCs w:val="21"/>
                <w:b w:val="1"/>
                <w:bCs w:val="1"/>
                <w:color w:val="auto"/>
                <w:w w:val="99"/>
                <w:vertAlign w:val="superscript"/>
              </w:rPr>
              <w:t>(2)</w:t>
            </w:r>
          </w:p>
        </w:tc>
        <w:tc>
          <w:tcPr>
            <w:tcW w:w="10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120" w:type="dxa"/>
            <w:vAlign w:val="bottom"/>
          </w:tcPr>
          <w:p>
            <w:pPr>
              <w:jc w:val="center"/>
              <w:ind w:right="39"/>
              <w:spacing w:after="0" w:line="158" w:lineRule="exact"/>
              <w:rPr>
                <w:sz w:val="20"/>
                <w:szCs w:val="20"/>
                <w:color w:val="auto"/>
              </w:rPr>
            </w:pPr>
            <w:r>
              <w:rPr>
                <w:rFonts w:ascii="Arial" w:cs="Arial" w:eastAsia="Arial" w:hAnsi="Arial"/>
                <w:sz w:val="16"/>
                <w:szCs w:val="16"/>
                <w:b w:val="1"/>
                <w:bCs w:val="1"/>
                <w:color w:val="auto"/>
              </w:rPr>
              <w:t>February 26,</w:t>
            </w:r>
          </w:p>
        </w:tc>
        <w:tc>
          <w:tcPr>
            <w:tcW w:w="8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(2)</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4"/>
              </w:rPr>
              <w:t>$ Change</w:t>
            </w:r>
            <w:r>
              <w:rPr>
                <w:rFonts w:ascii="Arial" w:cs="Arial" w:eastAsia="Arial" w:hAnsi="Arial"/>
                <w:sz w:val="21"/>
                <w:szCs w:val="21"/>
                <w:b w:val="1"/>
                <w:bCs w:val="1"/>
                <w:color w:val="auto"/>
                <w:w w:val="94"/>
                <w:vertAlign w:val="superscript"/>
              </w:rPr>
              <w:t>(2)</w:t>
            </w:r>
          </w:p>
        </w:tc>
        <w:tc>
          <w:tcPr>
            <w:tcW w:w="100" w:type="dxa"/>
            <w:vAlign w:val="bottom"/>
            <w:vMerge w:val="restart"/>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(2)</w:t>
            </w:r>
          </w:p>
        </w:tc>
        <w:tc>
          <w:tcPr>
            <w:tcW w:w="0" w:type="dxa"/>
            <w:vAlign w:val="bottom"/>
          </w:tcPr>
          <w:p>
            <w:pPr>
              <w:spacing w:after="0"/>
              <w:rPr>
                <w:sz w:val="1"/>
                <w:szCs w:val="1"/>
                <w:color w:val="auto"/>
              </w:rPr>
            </w:pPr>
          </w:p>
        </w:tc>
      </w:tr>
      <w:tr>
        <w:trPr>
          <w:trHeight w:val="216"/>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ASP and units)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868.0</w:t>
            </w:r>
          </w:p>
        </w:tc>
        <w:tc>
          <w:tcPr>
            <w:tcW w:w="16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839.0</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92.8</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10.7 %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96.2</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11.5 %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73"/>
        </w:trPr>
        <w:tc>
          <w:tcPr>
            <w:tcW w:w="2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73"/>
        </w:trPr>
        <w:tc>
          <w:tcPr>
            <w:tcW w:w="2860" w:type="dxa"/>
            <w:vAlign w:val="bottom"/>
          </w:tcPr>
          <w:p>
            <w:pPr>
              <w:ind w:left="20"/>
              <w:spacing w:after="0"/>
              <w:rPr>
                <w:sz w:val="20"/>
                <w:szCs w:val="20"/>
                <w:color w:val="auto"/>
              </w:rPr>
            </w:pPr>
            <w:r>
              <w:rPr>
                <w:rFonts w:ascii="Arial" w:cs="Arial" w:eastAsia="Arial" w:hAnsi="Arial"/>
                <w:sz w:val="32"/>
                <w:szCs w:val="32"/>
                <w:color w:val="auto"/>
                <w:vertAlign w:val="subscript"/>
              </w:rPr>
              <w:t>ASP</w:t>
            </w:r>
            <w:r>
              <w:rPr>
                <w:rFonts w:ascii="Arial" w:cs="Arial" w:eastAsia="Arial" w:hAnsi="Arial"/>
                <w:sz w:val="11"/>
                <w:szCs w:val="11"/>
                <w:color w:val="auto"/>
              </w:rPr>
              <w:t>(1)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184,476</w:t>
            </w:r>
          </w:p>
        </w:tc>
        <w:tc>
          <w:tcPr>
            <w:tcW w:w="168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149,366</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35,110</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23.5 %</w:t>
            </w:r>
          </w:p>
        </w:tc>
        <w:tc>
          <w:tcPr>
            <w:tcW w:w="0" w:type="dxa"/>
            <w:vAlign w:val="bottom"/>
          </w:tcPr>
          <w:p>
            <w:pPr>
              <w:spacing w:after="0"/>
              <w:rPr>
                <w:sz w:val="1"/>
                <w:szCs w:val="1"/>
                <w:color w:val="auto"/>
              </w:rPr>
            </w:pPr>
          </w:p>
        </w:tc>
      </w:tr>
      <w:tr>
        <w:trPr>
          <w:trHeight w:val="218"/>
        </w:trPr>
        <w:tc>
          <w:tcPr>
            <w:tcW w:w="2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10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February 25,</w:t>
            </w:r>
          </w:p>
        </w:tc>
        <w:tc>
          <w:tcPr>
            <w:tcW w:w="100" w:type="dxa"/>
            <w:vAlign w:val="bottom"/>
          </w:tcPr>
          <w:p>
            <w:pPr>
              <w:spacing w:after="0"/>
              <w:rPr>
                <w:sz w:val="13"/>
                <w:szCs w:val="13"/>
                <w:color w:val="auto"/>
              </w:rPr>
            </w:pPr>
          </w:p>
        </w:tc>
        <w:tc>
          <w:tcPr>
            <w:tcW w:w="13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(3)</w:t>
            </w:r>
          </w:p>
        </w:tc>
        <w:tc>
          <w:tcPr>
            <w:tcW w:w="10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120" w:type="dxa"/>
            <w:vAlign w:val="bottom"/>
          </w:tcPr>
          <w:p>
            <w:pPr>
              <w:jc w:val="center"/>
              <w:ind w:right="39"/>
              <w:spacing w:after="0" w:line="158" w:lineRule="exact"/>
              <w:rPr>
                <w:sz w:val="20"/>
                <w:szCs w:val="20"/>
                <w:color w:val="auto"/>
              </w:rPr>
            </w:pPr>
            <w:r>
              <w:rPr>
                <w:rFonts w:ascii="Arial" w:cs="Arial" w:eastAsia="Arial" w:hAnsi="Arial"/>
                <w:sz w:val="16"/>
                <w:szCs w:val="16"/>
                <w:b w:val="1"/>
                <w:bCs w:val="1"/>
                <w:color w:val="auto"/>
              </w:rPr>
              <w:t>February 26,</w:t>
            </w:r>
          </w:p>
        </w:tc>
        <w:tc>
          <w:tcPr>
            <w:tcW w:w="80" w:type="dxa"/>
            <w:vAlign w:val="bottom"/>
          </w:tcPr>
          <w:p>
            <w:pPr>
              <w:spacing w:after="0"/>
              <w:rPr>
                <w:sz w:val="13"/>
                <w:szCs w:val="13"/>
                <w:color w:val="auto"/>
              </w:rPr>
            </w:pPr>
          </w:p>
        </w:tc>
        <w:tc>
          <w:tcPr>
            <w:tcW w:w="13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(3)</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rPr>
              <w:t>Unit Change</w:t>
            </w:r>
          </w:p>
        </w:tc>
        <w:tc>
          <w:tcPr>
            <w:tcW w:w="100" w:type="dxa"/>
            <w:vAlign w:val="bottom"/>
            <w:vMerge w:val="restart"/>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8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25.9 %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Class B</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2,215</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47.4 %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3,088</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55.5 %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(873)</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1,248</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w:t>
            </w:r>
          </w:p>
        </w:tc>
        <w:tc>
          <w:tcPr>
            <w:tcW w:w="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13"/>
        </w:trPr>
        <w:tc>
          <w:tcPr>
            <w:tcW w:w="286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4,673</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5,566</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(893)</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rPr>
              <w:t>February 25,</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February 26,</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(2)</w:t>
            </w: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(2)</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(4)</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60" w:type="dxa"/>
            <w:vAlign w:val="bottom"/>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5,341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17,255</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(11,914)</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872.7</w:t>
            </w:r>
          </w:p>
        </w:tc>
        <w:tc>
          <w:tcPr>
            <w:tcW w:w="16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2,214.5</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54.9 %</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21"/>
          <w:szCs w:val="21"/>
          <w:color w:val="auto"/>
          <w:vertAlign w:val="superscript"/>
        </w:rPr>
      </w:pPr>
      <w:r>
        <w:rPr>
          <w:rFonts w:ascii="Arial" w:cs="Arial" w:eastAsia="Arial" w:hAnsi="Arial"/>
          <w:sz w:val="14"/>
          <w:szCs w:val="14"/>
          <w:color w:val="auto"/>
        </w:rPr>
        <w:t>ASP excludes off-invoice dealer incentives.</w:t>
      </w:r>
    </w:p>
    <w:p>
      <w:pPr>
        <w:spacing w:after="0" w:line="3" w:lineRule="exact"/>
        <w:rPr>
          <w:rFonts w:ascii="Arial" w:cs="Arial" w:eastAsia="Arial" w:hAnsi="Arial"/>
          <w:sz w:val="21"/>
          <w:szCs w:val="21"/>
          <w:color w:val="auto"/>
          <w:vertAlign w:val="superscript"/>
        </w:rPr>
      </w:pPr>
    </w:p>
    <w:p>
      <w:pPr>
        <w:ind w:left="280" w:hanging="272"/>
        <w:spacing w:after="0" w:line="187" w:lineRule="auto"/>
        <w:tabs>
          <w:tab w:leader="none" w:pos="280" w:val="left"/>
        </w:tabs>
        <w:numPr>
          <w:ilvl w:val="0"/>
          <w:numId w:val="16"/>
        </w:numPr>
        <w:rPr>
          <w:rFonts w:ascii="Arial" w:cs="Arial" w:eastAsia="Arial" w:hAnsi="Arial"/>
          <w:sz w:val="18"/>
          <w:szCs w:val="18"/>
          <w:color w:val="auto"/>
          <w:vertAlign w:val="superscript"/>
        </w:rPr>
      </w:pPr>
      <w:r>
        <w:rPr>
          <w:rFonts w:ascii="Arial" w:cs="Arial" w:eastAsia="Arial" w:hAnsi="Arial"/>
          <w:sz w:val="12"/>
          <w:szCs w:val="12"/>
          <w:color w:val="auto"/>
        </w:rPr>
        <w:t>Amounts are calculated based on unrounded numbers and therefore may not recalculate using the rounded numbers provided.</w:t>
      </w:r>
    </w:p>
    <w:p>
      <w:pPr>
        <w:ind w:left="300" w:hanging="292"/>
        <w:spacing w:after="0" w:line="189" w:lineRule="auto"/>
        <w:tabs>
          <w:tab w:leader="none" w:pos="300" w:val="left"/>
        </w:tabs>
        <w:numPr>
          <w:ilvl w:val="0"/>
          <w:numId w:val="16"/>
        </w:numPr>
        <w:rPr>
          <w:rFonts w:ascii="Arial" w:cs="Arial" w:eastAsia="Arial" w:hAnsi="Arial"/>
          <w:sz w:val="19"/>
          <w:szCs w:val="19"/>
          <w:color w:val="auto"/>
          <w:vertAlign w:val="superscript"/>
        </w:rPr>
      </w:pPr>
      <w:r>
        <w:rPr>
          <w:rFonts w:ascii="Arial" w:cs="Arial" w:eastAsia="Arial" w:hAnsi="Arial"/>
          <w:sz w:val="13"/>
          <w:szCs w:val="13"/>
          <w:color w:val="auto"/>
        </w:rPr>
        <w:t>Percentages may not add due to rounding differences.</w:t>
      </w:r>
    </w:p>
    <w:p>
      <w:pPr>
        <w:spacing w:after="0" w:line="3" w:lineRule="exact"/>
        <w:rPr>
          <w:rFonts w:ascii="Arial" w:cs="Arial" w:eastAsia="Arial" w:hAnsi="Arial"/>
          <w:sz w:val="19"/>
          <w:szCs w:val="19"/>
          <w:color w:val="auto"/>
          <w:vertAlign w:val="superscript"/>
        </w:rPr>
      </w:pPr>
    </w:p>
    <w:p>
      <w:pPr>
        <w:ind w:left="260" w:right="100" w:hanging="252"/>
        <w:spacing w:after="0" w:line="207" w:lineRule="auto"/>
        <w:tabs>
          <w:tab w:leader="none" w:pos="305" w:val="left"/>
        </w:tabs>
        <w:numPr>
          <w:ilvl w:val="0"/>
          <w:numId w:val="16"/>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primarily due to carryover price increases, partially offset by unit volume decline.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due to higher material and input costs, productivity and supply chain challenges, partially offset by higher revenues.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Backlog decreased due to normalizing levels of dealer inventories.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 w:right="41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Marine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Marine segment for the six months ended February 25, 2023 compared to the six months ended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39"/>
              <w:spacing w:after="0" w:line="158" w:lineRule="exact"/>
              <w:rPr>
                <w:sz w:val="20"/>
                <w:szCs w:val="20"/>
                <w:color w:val="auto"/>
              </w:rPr>
            </w:pPr>
            <w:r>
              <w:rPr>
                <w:rFonts w:ascii="Arial" w:cs="Arial" w:eastAsia="Arial" w:hAnsi="Arial"/>
                <w:sz w:val="16"/>
                <w:szCs w:val="16"/>
                <w:b w:val="1"/>
                <w:bCs w:val="1"/>
                <w:color w:val="auto"/>
              </w:rPr>
              <w:t>February 25,</w:t>
            </w:r>
          </w:p>
        </w:tc>
        <w:tc>
          <w:tcPr>
            <w:tcW w:w="1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9"/>
              </w:rPr>
              <w:t>% of Revenues</w:t>
            </w:r>
            <w:r>
              <w:rPr>
                <w:rFonts w:ascii="Arial" w:cs="Arial" w:eastAsia="Arial" w:hAnsi="Arial"/>
                <w:sz w:val="21"/>
                <w:szCs w:val="21"/>
                <w:b w:val="1"/>
                <w:bCs w:val="1"/>
                <w:color w:val="auto"/>
                <w:w w:val="99"/>
                <w:vertAlign w:val="superscript"/>
              </w:rPr>
              <w:t>(2)</w:t>
            </w:r>
          </w:p>
        </w:tc>
        <w:tc>
          <w:tcPr>
            <w:tcW w:w="10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14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February 26,</w:t>
            </w:r>
          </w:p>
        </w:tc>
        <w:tc>
          <w:tcPr>
            <w:tcW w:w="8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(2)</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4"/>
              </w:rPr>
              <w:t>$ Change</w:t>
            </w:r>
            <w:r>
              <w:rPr>
                <w:rFonts w:ascii="Arial" w:cs="Arial" w:eastAsia="Arial" w:hAnsi="Arial"/>
                <w:sz w:val="21"/>
                <w:szCs w:val="21"/>
                <w:b w:val="1"/>
                <w:bCs w:val="1"/>
                <w:color w:val="auto"/>
                <w:w w:val="94"/>
                <w:vertAlign w:val="superscript"/>
              </w:rPr>
              <w:t>(2)</w:t>
            </w:r>
          </w:p>
        </w:tc>
        <w:tc>
          <w:tcPr>
            <w:tcW w:w="100" w:type="dxa"/>
            <w:vAlign w:val="bottom"/>
            <w:vMerge w:val="restart"/>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(2)</w:t>
            </w:r>
          </w:p>
        </w:tc>
        <w:tc>
          <w:tcPr>
            <w:tcW w:w="0" w:type="dxa"/>
            <w:vAlign w:val="bottom"/>
          </w:tcPr>
          <w:p>
            <w:pPr>
              <w:spacing w:after="0"/>
              <w:rPr>
                <w:sz w:val="1"/>
                <w:szCs w:val="1"/>
                <w:color w:val="auto"/>
              </w:rPr>
            </w:pPr>
          </w:p>
        </w:tc>
      </w:tr>
      <w:tr>
        <w:trPr>
          <w:trHeight w:val="216"/>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ASP and units)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244.3</w:t>
            </w:r>
          </w:p>
        </w:tc>
        <w:tc>
          <w:tcPr>
            <w:tcW w:w="17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38.3 %</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32.9</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13.5 %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23.5</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13.3 %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39.9 %</w:t>
            </w:r>
          </w:p>
        </w:tc>
        <w:tc>
          <w:tcPr>
            <w:tcW w:w="0" w:type="dxa"/>
            <w:vAlign w:val="bottom"/>
          </w:tcPr>
          <w:p>
            <w:pPr>
              <w:spacing w:after="0"/>
              <w:rPr>
                <w:sz w:val="1"/>
                <w:szCs w:val="1"/>
                <w:color w:val="auto"/>
              </w:rPr>
            </w:pPr>
          </w:p>
        </w:tc>
      </w:tr>
      <w:tr>
        <w:trPr>
          <w:trHeight w:val="273"/>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73"/>
        </w:trPr>
        <w:tc>
          <w:tcPr>
            <w:tcW w:w="2860" w:type="dxa"/>
            <w:vAlign w:val="bottom"/>
          </w:tcPr>
          <w:p>
            <w:pPr>
              <w:ind w:left="20"/>
              <w:spacing w:after="0"/>
              <w:rPr>
                <w:sz w:val="20"/>
                <w:szCs w:val="20"/>
                <w:color w:val="auto"/>
              </w:rPr>
            </w:pPr>
            <w:r>
              <w:rPr>
                <w:rFonts w:ascii="Arial" w:cs="Arial" w:eastAsia="Arial" w:hAnsi="Arial"/>
                <w:sz w:val="32"/>
                <w:szCs w:val="32"/>
                <w:color w:val="auto"/>
                <w:vertAlign w:val="subscript"/>
              </w:rPr>
              <w:t>ASP</w:t>
            </w:r>
            <w:r>
              <w:rPr>
                <w:rFonts w:ascii="Arial" w:cs="Arial" w:eastAsia="Arial" w:hAnsi="Arial"/>
                <w:sz w:val="11"/>
                <w:szCs w:val="11"/>
                <w:color w:val="auto"/>
              </w:rPr>
              <w:t>(1)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83,478</w:t>
            </w:r>
          </w:p>
        </w:tc>
        <w:tc>
          <w:tcPr>
            <w:tcW w:w="170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71,849</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11,629</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16.2 %</w:t>
            </w:r>
          </w:p>
        </w:tc>
        <w:tc>
          <w:tcPr>
            <w:tcW w:w="0" w:type="dxa"/>
            <w:vAlign w:val="bottom"/>
          </w:tcPr>
          <w:p>
            <w:pPr>
              <w:spacing w:after="0"/>
              <w:rPr>
                <w:sz w:val="1"/>
                <w:szCs w:val="1"/>
                <w:color w:val="auto"/>
              </w:rPr>
            </w:pPr>
          </w:p>
        </w:tc>
      </w:tr>
      <w:tr>
        <w:trPr>
          <w:trHeight w:val="218"/>
        </w:trPr>
        <w:tc>
          <w:tcPr>
            <w:tcW w:w="2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Pr>
          <w:p>
            <w:pPr>
              <w:spacing w:after="0"/>
              <w:rPr>
                <w:sz w:val="13"/>
                <w:szCs w:val="13"/>
                <w:color w:val="auto"/>
              </w:rPr>
            </w:pPr>
          </w:p>
        </w:tc>
        <w:tc>
          <w:tcPr>
            <w:tcW w:w="1120" w:type="dxa"/>
            <w:vAlign w:val="bottom"/>
          </w:tcPr>
          <w:p>
            <w:pPr>
              <w:jc w:val="center"/>
              <w:ind w:right="39"/>
              <w:spacing w:after="0" w:line="158" w:lineRule="exact"/>
              <w:rPr>
                <w:sz w:val="20"/>
                <w:szCs w:val="20"/>
                <w:color w:val="auto"/>
              </w:rPr>
            </w:pPr>
            <w:r>
              <w:rPr>
                <w:rFonts w:ascii="Arial" w:cs="Arial" w:eastAsia="Arial" w:hAnsi="Arial"/>
                <w:sz w:val="16"/>
                <w:szCs w:val="16"/>
                <w:b w:val="1"/>
                <w:bCs w:val="1"/>
                <w:color w:val="auto"/>
              </w:rPr>
              <w:t>February 25,</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February 26,</w:t>
            </w: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Unit Change</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2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20.7 %</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February 25,</w:t>
            </w: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February 26,</w:t>
            </w: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(2)</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(2)</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60" w:type="dxa"/>
            <w:vAlign w:val="bottom"/>
          </w:tcPr>
          <w:p>
            <w:pPr>
              <w:ind w:left="140"/>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2,511</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3,059</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w:t>
            </w:r>
          </w:p>
        </w:tc>
        <w:tc>
          <w:tcPr>
            <w:tcW w:w="17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277.9</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94.8 %</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21"/>
          <w:szCs w:val="21"/>
          <w:color w:val="auto"/>
          <w:vertAlign w:val="superscript"/>
        </w:rPr>
      </w:pPr>
      <w:r>
        <w:rPr>
          <w:rFonts w:ascii="Arial" w:cs="Arial" w:eastAsia="Arial" w:hAnsi="Arial"/>
          <w:sz w:val="14"/>
          <w:szCs w:val="14"/>
          <w:color w:val="auto"/>
        </w:rPr>
        <w:t>ASP excludes off-invoice dealer incentives.</w:t>
      </w:r>
    </w:p>
    <w:p>
      <w:pPr>
        <w:spacing w:after="0" w:line="3" w:lineRule="exact"/>
        <w:rPr>
          <w:rFonts w:ascii="Arial" w:cs="Arial" w:eastAsia="Arial" w:hAnsi="Arial"/>
          <w:sz w:val="21"/>
          <w:szCs w:val="21"/>
          <w:color w:val="auto"/>
          <w:vertAlign w:val="superscript"/>
        </w:rPr>
      </w:pPr>
    </w:p>
    <w:p>
      <w:pPr>
        <w:ind w:left="280" w:hanging="272"/>
        <w:spacing w:after="0" w:line="187" w:lineRule="auto"/>
        <w:tabs>
          <w:tab w:leader="none" w:pos="280" w:val="left"/>
        </w:tabs>
        <w:numPr>
          <w:ilvl w:val="0"/>
          <w:numId w:val="17"/>
        </w:numPr>
        <w:rPr>
          <w:rFonts w:ascii="Arial" w:cs="Arial" w:eastAsia="Arial" w:hAnsi="Arial"/>
          <w:sz w:val="18"/>
          <w:szCs w:val="18"/>
          <w:color w:val="auto"/>
          <w:vertAlign w:val="superscript"/>
        </w:rPr>
      </w:pPr>
      <w:r>
        <w:rPr>
          <w:rFonts w:ascii="Arial" w:cs="Arial" w:eastAsia="Arial" w:hAnsi="Arial"/>
          <w:sz w:val="12"/>
          <w:szCs w:val="12"/>
          <w:color w:val="auto"/>
        </w:rPr>
        <w:t>Amounts are calculated based on unrounded numbers and therefore may not recalculate using the rounded numbers provided.</w:t>
      </w:r>
    </w:p>
    <w:p>
      <w:pPr>
        <w:ind w:left="300" w:hanging="292"/>
        <w:spacing w:after="0" w:line="189" w:lineRule="auto"/>
        <w:tabs>
          <w:tab w:leader="none" w:pos="300" w:val="left"/>
        </w:tabs>
        <w:numPr>
          <w:ilvl w:val="0"/>
          <w:numId w:val="17"/>
        </w:numPr>
        <w:rPr>
          <w:rFonts w:ascii="Arial" w:cs="Arial" w:eastAsia="Arial" w:hAnsi="Arial"/>
          <w:sz w:val="19"/>
          <w:szCs w:val="19"/>
          <w:color w:val="auto"/>
          <w:vertAlign w:val="superscript"/>
        </w:rPr>
      </w:pPr>
      <w:r>
        <w:rPr>
          <w:rFonts w:ascii="Arial" w:cs="Arial" w:eastAsia="Arial" w:hAnsi="Arial"/>
          <w:sz w:val="13"/>
          <w:szCs w:val="13"/>
          <w:color w:val="auto"/>
        </w:rPr>
        <w:t>Our backlog includes all accepted orders from dealers which generally have been requested to be shipped within the next six months. Orders in backlog generally can be</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cancelled or postponed at the option of the dealer at any time without penalty; therefore, backlog may not necessarily be an accurate measure of future sales.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primarily due to unit growth and carryover price increases.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primarily due to increased revenue, partially offset by higher material and input costs.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sz w:val="20"/>
                <w:szCs w:val="20"/>
                <w:color w:val="auto"/>
              </w:rPr>
            </w:pPr>
            <w:r>
              <w:rPr>
                <w:rFonts w:ascii="Arial" w:cs="Arial" w:eastAsia="Arial" w:hAnsi="Arial"/>
                <w:sz w:val="16"/>
                <w:szCs w:val="16"/>
                <w:color w:val="auto"/>
              </w:rPr>
              <w:t>Backlog decreased due to continued replenishment of dealer inventories.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432"/>
        </w:trPr>
        <w:tc>
          <w:tcPr>
            <w:tcW w:w="7860" w:type="dxa"/>
            <w:vAlign w:val="bottom"/>
          </w:tcPr>
          <w:p>
            <w:pPr>
              <w:spacing w:after="0"/>
              <w:rPr>
                <w:sz w:val="20"/>
                <w:szCs w:val="20"/>
                <w:color w:val="auto"/>
              </w:rPr>
            </w:pPr>
            <w:r>
              <w:rPr>
                <w:rFonts w:ascii="Arial" w:cs="Arial" w:eastAsia="Arial" w:hAnsi="Arial"/>
                <w:sz w:val="16"/>
                <w:szCs w:val="16"/>
                <w:b w:val="1"/>
                <w:bCs w:val="1"/>
                <w:color w:val="auto"/>
              </w:rPr>
              <w:t>Analysis of Financial Condition, Liquidity, and Resources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5"/>
        </w:trPr>
        <w:tc>
          <w:tcPr>
            <w:tcW w:w="786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97"/>
        </w:trPr>
        <w:tc>
          <w:tcPr>
            <w:tcW w:w="7860" w:type="dxa"/>
            <w:vAlign w:val="bottom"/>
          </w:tcPr>
          <w:p>
            <w:pPr>
              <w:spacing w:after="0"/>
              <w:rPr>
                <w:sz w:val="20"/>
                <w:szCs w:val="20"/>
                <w:color w:val="auto"/>
              </w:rPr>
            </w:pPr>
            <w:r>
              <w:rPr>
                <w:rFonts w:ascii="Arial" w:cs="Arial" w:eastAsia="Arial" w:hAnsi="Arial"/>
                <w:sz w:val="16"/>
                <w:szCs w:val="16"/>
                <w:color w:val="auto"/>
              </w:rPr>
              <w:t>The following table summarizes our cash flows from operations: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2"/>
        </w:trPr>
        <w:tc>
          <w:tcPr>
            <w:tcW w:w="7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Six Months Ended</w:t>
            </w:r>
          </w:p>
        </w:tc>
      </w:tr>
      <w:tr>
        <w:trPr>
          <w:trHeight w:val="159"/>
        </w:trPr>
        <w:tc>
          <w:tcPr>
            <w:tcW w:w="7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rPr>
              <w:t>February 25,</w:t>
            </w:r>
          </w:p>
        </w:tc>
        <w:tc>
          <w:tcPr>
            <w:tcW w:w="220" w:type="dxa"/>
            <w:vAlign w:val="bottom"/>
          </w:tcPr>
          <w:p>
            <w:pPr>
              <w:spacing w:after="0"/>
              <w:rPr>
                <w:sz w:val="13"/>
                <w:szCs w:val="13"/>
                <w:color w:val="auto"/>
              </w:rPr>
            </w:pPr>
          </w:p>
        </w:tc>
        <w:tc>
          <w:tcPr>
            <w:tcW w:w="1420" w:type="dxa"/>
            <w:vAlign w:val="bottom"/>
          </w:tcPr>
          <w:p>
            <w:pPr>
              <w:jc w:val="right"/>
              <w:ind w:right="259"/>
              <w:spacing w:after="0" w:line="158" w:lineRule="exact"/>
              <w:rPr>
                <w:sz w:val="20"/>
                <w:szCs w:val="20"/>
                <w:color w:val="auto"/>
              </w:rPr>
            </w:pPr>
            <w:r>
              <w:rPr>
                <w:rFonts w:ascii="Arial" w:cs="Arial" w:eastAsia="Arial" w:hAnsi="Arial"/>
                <w:sz w:val="16"/>
                <w:szCs w:val="16"/>
                <w:b w:val="1"/>
                <w:bCs w:val="1"/>
                <w:color w:val="auto"/>
              </w:rPr>
              <w:t>February 26,</w:t>
            </w:r>
          </w:p>
        </w:tc>
      </w:tr>
      <w:tr>
        <w:trPr>
          <w:trHeight w:val="215"/>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cash provided by (used in):</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Operating activities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center"/>
              <w:ind w:left="879"/>
              <w:spacing w:after="0"/>
              <w:rPr>
                <w:sz w:val="20"/>
                <w:szCs w:val="20"/>
                <w:color w:val="auto"/>
              </w:rPr>
            </w:pPr>
            <w:r>
              <w:rPr>
                <w:rFonts w:ascii="Arial" w:cs="Arial" w:eastAsia="Arial" w:hAnsi="Arial"/>
                <w:sz w:val="16"/>
                <w:szCs w:val="16"/>
                <w:color w:val="auto"/>
                <w:w w:val="96"/>
              </w:rPr>
              <w:t>16.8</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46.1</w:t>
            </w: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Investing activities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859"/>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(271.8)</w:t>
            </w:r>
          </w:p>
        </w:tc>
      </w:tr>
      <w:tr>
        <w:trPr>
          <w:trHeight w:val="213"/>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Financing activities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left="859"/>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w:t>
            </w:r>
          </w:p>
        </w:tc>
      </w:tr>
      <w:tr>
        <w:trPr>
          <w:trHeight w:val="238"/>
        </w:trPr>
        <w:tc>
          <w:tcPr>
            <w:tcW w:w="7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decrease in cash and cash equivalents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center"/>
              <w:ind w:left="859"/>
              <w:spacing w:after="0"/>
              <w:rPr>
                <w:sz w:val="20"/>
                <w:szCs w:val="20"/>
                <w:color w:val="auto"/>
              </w:rPr>
            </w:pPr>
            <w:r>
              <w:rPr>
                <w:rFonts w:ascii="Arial" w:cs="Arial" w:eastAsia="Arial" w:hAnsi="Arial"/>
                <w:sz w:val="16"/>
                <w:szCs w:val="16"/>
                <w:color w:val="auto"/>
              </w:rPr>
              <w:t>(52.9)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29"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During the six months ended February 25, 2023, cash provided by operating activities was $16.8 million compared to $46.1 million in the same period last year. The decrease is primarily driven by lower profitability, partially offset by favorable changes in operating assets and liabilities. The favorable impact of operating assets and liabilities is primarily due to changes in accounts receivable due to timing of invoicing/collections and changes in inventory due to elevated purchases in Fiscal 2022 to support customer demand, partially offset by a decrease in accounts payable due to timing of payments and supply chain production slowdowns. Working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60"/>
        <w:spacing w:after="0" w:line="260" w:lineRule="auto"/>
        <w:rPr>
          <w:sz w:val="20"/>
          <w:szCs w:val="20"/>
          <w:color w:val="auto"/>
        </w:rPr>
      </w:pPr>
      <w:r>
        <w:rPr>
          <w:rFonts w:ascii="Arial" w:cs="Arial" w:eastAsia="Arial" w:hAnsi="Arial"/>
          <w:sz w:val="16"/>
          <w:szCs w:val="16"/>
          <w:color w:val="auto"/>
        </w:rPr>
        <w:t>capital and cash provided by operating activities were negatively impacted by the Mercedes-Benz AG chassis recall as well as broader supply chain constraints.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Cash used in investing activities decreased primarily due to our acquisition of Barletta during the first quarter of Fiscal 2022.</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2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Cash used in financing activities decreased primarily due to $4.9 million of stock repurchases in the first six months of Fiscal 2023 compared to $64.2 million in the first six months of Fiscal 2022.</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and Capital</w:t>
      </w:r>
    </w:p>
    <w:p>
      <w:pPr>
        <w:spacing w:after="0" w:line="133"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We maintain a $350.0 million asset-based revolving credit facility ("ABL Credit Facility") with a maturity date of July 15, 2027 subject to certain factors which may accelerate the maturity date. As of February 25, 2023, we had no borrowings against the ABL Credit Facility.</w:t>
      </w:r>
    </w:p>
    <w:p>
      <w:pPr>
        <w:spacing w:after="0" w:line="20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of February 25, 2023, we had $229.3 million in cash and cash equivalents and $350.0 million in unused ABL Credit Facility. Our cash and cash equivalent balances consist of high quality, short-term money market instruments.</w:t>
      </w:r>
    </w:p>
    <w:p>
      <w:pPr>
        <w:spacing w:after="0" w:line="23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believe cash flow from operations, existing lines of credit, and access to debt and capital markets will be sufficient to meet our current liquidity needs, and we have committed liquidity and cash reserves in excess of our anticipated funding requirements. We evaluate the financial stability of the counterparties for the Convertible Notes, the Senior Secured Notes, and the ABL Credit Facility, and will continue to monitor counterparty risk on an on-going basis.</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Financial Measures</w:t>
      </w:r>
    </w:p>
    <w:p>
      <w:pPr>
        <w:spacing w:after="0" w:line="147"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Working capital at February 25, 2023 and August 27, 2022 was $654.4 million and $571.7 million, respectively. We currently expect cash on hand, funds generated from operations, and the borrowing available under our ABL Credit Facility to be sufficient to cover both short-term and long-term operating requirements.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w:t>
      </w:r>
    </w:p>
    <w:p>
      <w:pPr>
        <w:spacing w:after="0" w:line="133"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We repurchase our common stock and pay dividends pursuant to programs approved by our Board of Directors. Our long-term capital allocation strategy is to first fund operations and investments in growth, maintain a debt leverage ratio within our targeted zone, maintain reasonable liquidity, and then return excess cash over time to shareholders through dividends and share repurchases.</w:t>
      </w:r>
    </w:p>
    <w:p>
      <w:pPr>
        <w:spacing w:after="0" w:line="22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On August 17, 2022, our Board of Directors authorized a new share repurchase program in the amount of $350.0 million with no time restriction on the authorization, which took effect immediately and replaced the prior program. In the six months ended February 25, 2023, we repurchased 86,727 shares at a cost of $4.9 million to satisfy tax obligations on employee equity awards vested. We continually evaluate if share repurchases reflect a prudent use of our capital and, subject to compliance with our ABL Credit Facility and Senior Secured Notes, we may purchase shares in the future. As of February 25, 2023, we have $350.0 million remaining on our Board approved repurchase authorization.</w:t>
      </w:r>
    </w:p>
    <w:p>
      <w:pPr>
        <w:spacing w:after="0" w:line="226" w:lineRule="exact"/>
        <w:rPr>
          <w:sz w:val="20"/>
          <w:szCs w:val="20"/>
          <w:color w:val="auto"/>
        </w:rPr>
      </w:pPr>
    </w:p>
    <w:p>
      <w:pPr>
        <w:ind w:right="340"/>
        <w:spacing w:after="0" w:line="278" w:lineRule="auto"/>
        <w:rPr>
          <w:sz w:val="20"/>
          <w:szCs w:val="20"/>
          <w:color w:val="auto"/>
        </w:rPr>
      </w:pPr>
      <w:r>
        <w:rPr>
          <w:rFonts w:ascii="Arial" w:cs="Arial" w:eastAsia="Arial" w:hAnsi="Arial"/>
          <w:sz w:val="16"/>
          <w:szCs w:val="16"/>
          <w:color w:val="auto"/>
        </w:rPr>
        <w:t>On March 15, 2023, our Board of Directors approved a quarterly cash dividend of $0.27 per share payable on April 26, 2023, to common stockholders of record at the close of business on April 12, 2023.</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47"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There has been no material change in our contractual obligations since the end of Fiscal 2022. See our Annual Report on Form 10-K for the fiscal year ended August 27, 2022 for additional information regarding our contractual obligations and commercial commitments.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147" w:lineRule="exact"/>
        <w:rPr>
          <w:sz w:val="20"/>
          <w:szCs w:val="20"/>
          <w:color w:val="auto"/>
        </w:rPr>
      </w:pPr>
    </w:p>
    <w:p>
      <w:pPr>
        <w:jc w:val="both"/>
        <w:ind w:right="60"/>
        <w:spacing w:after="0" w:line="257" w:lineRule="auto"/>
        <w:rPr>
          <w:sz w:val="20"/>
          <w:szCs w:val="20"/>
          <w:color w:val="auto"/>
        </w:rPr>
      </w:pPr>
      <w:r>
        <w:rPr>
          <w:rFonts w:ascii="Arial" w:cs="Arial" w:eastAsia="Arial" w:hAnsi="Arial"/>
          <w:sz w:val="16"/>
          <w:szCs w:val="16"/>
          <w:color w:val="auto"/>
        </w:rPr>
        <w:t>We describe our critical accounting policies in Note 1 in the Notes to Consolidated Financial Statements included in Item 8 of Part II of our Annual Report on Form 10-K for the fiscal year ended August 27, 2022. We discuss our critical accounting estimates in Item 7 of Part II of our Annual Report on Form 10-K for the fiscal year ended August 27, 2022. There have been no material changes to our critical accounting policies or critical accounting estimates since the end of Fiscal 2022.</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47" w:lineRule="exact"/>
        <w:rPr>
          <w:sz w:val="20"/>
          <w:szCs w:val="20"/>
          <w:color w:val="auto"/>
        </w:rPr>
      </w:pPr>
    </w:p>
    <w:p>
      <w:pPr>
        <w:ind w:right="860"/>
        <w:spacing w:after="0" w:line="260" w:lineRule="auto"/>
        <w:rPr>
          <w:sz w:val="20"/>
          <w:szCs w:val="20"/>
          <w:color w:val="auto"/>
        </w:rPr>
      </w:pPr>
      <w:r>
        <w:rPr>
          <w:rFonts w:ascii="Arial" w:cs="Arial" w:eastAsia="Arial" w:hAnsi="Arial"/>
          <w:sz w:val="16"/>
          <w:szCs w:val="16"/>
          <w:color w:val="auto"/>
        </w:rPr>
        <w:t>There have been no new accounting pronouncements issued but not yet adopted or effective that we believe will have a significant impact on our consolidated financial statements.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Under the Private Securities Litigation Reform Act</w:t>
      </w:r>
    </w:p>
    <w:p>
      <w:pPr>
        <w:spacing w:after="0" w:line="13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Section 27A of the Securities Act of 1933, as amended (“Securities Act”), and Section 21E of the Securities Exchange Act of 1934, as amended (“Exchange Act”), provide a “safe harbor” for forward-looking statements to encourage companies to provide prospective information about their companies. With the exception of historical information, the matters discussed in this Quarterly Report on Form 10-Q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of Part I of our Annual Report on Form 10-K for the fiscal year ended August 27, 2022, and Item 1A of Part II of this Quarterly Report on Form 10-Q, for a description of important factors that could cause our actual results to differ materially from those contemplated by the forward-looking statements made in this Quarterly Report on Form 10-Q. Among the factors that could cause actual results and outcomes to differ materially from those contained in such forward-looking statements are the following:</w:t>
      </w:r>
    </w:p>
    <w:p>
      <w:pPr>
        <w:spacing w:after="0" w:line="5"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General economic uncertainty in key markets and a worsening of domestic and global economic conditions or low levels of economic growth.</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Uncertainty surrounding the COVID-19 pandemic.</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Availability of financing for RV and marine dealers.</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Ability to innovate and commercialize new products.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Ability to manage our inventory to meet demand.</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Competition and new product introductions by competitors.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 related to cyclicality and seasonality of our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 related to independent dealers.</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Significant increase in repurchase obligations.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Business or production disruptions.</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Inadequate inventory and distribution channel management.</w:t>
      </w: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Ability to retain relationships with our suppliers and obtain components.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Increased material and component costs, including availability and price of fuel and other raw materials.</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Ability to integrate mergers and acquisitions.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Ability to attract and retain qualified personnel and changes in market compensation rates.</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Exposure to warranty claims.</w:t>
      </w:r>
    </w:p>
    <w:p>
      <w:pPr>
        <w:spacing w:after="0" w:line="5" w:lineRule="exact"/>
        <w:rPr>
          <w:rFonts w:ascii="Arial" w:cs="Arial" w:eastAsia="Arial" w:hAnsi="Arial"/>
          <w:sz w:val="16"/>
          <w:szCs w:val="16"/>
          <w:color w:val="auto"/>
        </w:rPr>
      </w:pPr>
    </w:p>
    <w:p>
      <w:pPr>
        <w:ind w:left="660" w:right="280" w:hanging="328"/>
        <w:spacing w:after="0" w:line="255"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Ability to protect our information technology systems from data security, cyberattacks, and network disruption risks and the ability to successfully upgrade and evolve our information technology systems.</w:t>
      </w: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Ability to retain brand reputation and related exposure to product liability claims.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Governmental regulation, including for climate change.</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Impairment of goodwill and trade names.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Risks related to our Convertible and Senior Secured Notes, including our ability to satisfy our obligations under these notes.</w:t>
      </w:r>
    </w:p>
    <w:p>
      <w:pPr>
        <w:spacing w:after="0" w:line="5" w:lineRule="exact"/>
        <w:rPr>
          <w:sz w:val="20"/>
          <w:szCs w:val="20"/>
          <w:color w:val="auto"/>
        </w:rPr>
      </w:pPr>
    </w:p>
    <w:p>
      <w:pPr>
        <w:ind w:right="420"/>
        <w:spacing w:after="0" w:line="278" w:lineRule="auto"/>
        <w:rPr>
          <w:sz w:val="20"/>
          <w:szCs w:val="20"/>
          <w:color w:val="auto"/>
        </w:rPr>
      </w:pPr>
      <w:r>
        <w:rPr>
          <w:rFonts w:ascii="Arial" w:cs="Arial" w:eastAsia="Arial" w:hAnsi="Arial"/>
          <w:sz w:val="16"/>
          <w:szCs w:val="16"/>
          <w:color w:val="auto"/>
        </w:rPr>
        <w:t>We caution that the foregoing list of important factors is not complete. Any forward-looking statements speak only as of the date they are made, and we assume no obligation to update any forward-looking statement that we may make.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47"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ABL Credit Facility, which is our only floating rate debt instrument, remains undrawn as of February 25, 2023.</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43" w:lineRule="exact"/>
        <w:rPr>
          <w:sz w:val="20"/>
          <w:szCs w:val="20"/>
          <w:color w:val="auto"/>
        </w:rPr>
      </w:pPr>
    </w:p>
    <w:p>
      <w:pPr>
        <w:jc w:val="both"/>
        <w:ind w:right="180"/>
        <w:spacing w:after="0" w:line="257"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evaluated the effectiveness of the design and operation of our disclosure controls and procedures (as defined in Rule 13a-15(e) under the Securities Exchange Act of 1934, as amended (the "Exchange Act")), as of the end of the period covered by this report (the "Evaluation Date"). Based on this evaluation, the Chief Executive Officer and Chief Financial Officer concluded that our disclosure controls and procedures were effective as of the Evaluation Date.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7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There were no changes in our internal control over financial reporting that occurred during the second quarter of Fiscal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4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For a description of our legal proceedings, see Note 11 in the Notes to Consolidated Financial Statements included in Item 1 of Part I of this Quarterly Report on Form 10-Q.</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17"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 xml:space="preserve">There have been no material changes from the risk factors previously disclosed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of our Annual Report on Form 10-K for the fiscal year ended August 27, 2022, except for the risk factor updated below:</w:t>
      </w:r>
    </w:p>
    <w:p>
      <w:pPr>
        <w:spacing w:after="0" w:line="186" w:lineRule="exact"/>
        <w:rPr>
          <w:sz w:val="20"/>
          <w:szCs w:val="20"/>
          <w:color w:val="auto"/>
        </w:rPr>
      </w:pPr>
    </w:p>
    <w:p>
      <w:pPr>
        <w:jc w:val="both"/>
        <w:ind w:right="60"/>
        <w:spacing w:after="0" w:line="268" w:lineRule="auto"/>
        <w:rPr>
          <w:sz w:val="20"/>
          <w:szCs w:val="20"/>
          <w:color w:val="auto"/>
        </w:rPr>
      </w:pPr>
      <w:r>
        <w:rPr>
          <w:rFonts w:ascii="Arial" w:cs="Arial" w:eastAsia="Arial" w:hAnsi="Arial"/>
          <w:sz w:val="16"/>
          <w:szCs w:val="16"/>
          <w:b w:val="1"/>
          <w:bCs w:val="1"/>
          <w:color w:val="auto"/>
        </w:rPr>
        <w:t>For some of the components used in production, we depend on a small group of suppliers and the loss of any of these suppliers could affect our ability to obtain components timely or at competitive prices, which would decrease our results of operations, financial condition, and cash flows.</w:t>
      </w:r>
    </w:p>
    <w:p>
      <w:pPr>
        <w:spacing w:after="0" w:line="190" w:lineRule="exact"/>
        <w:rPr>
          <w:sz w:val="20"/>
          <w:szCs w:val="20"/>
          <w:color w:val="auto"/>
        </w:rPr>
      </w:pPr>
    </w:p>
    <w:p>
      <w:pPr>
        <w:ind w:right="60"/>
        <w:spacing w:after="0" w:line="228" w:lineRule="auto"/>
        <w:rPr>
          <w:sz w:val="20"/>
          <w:szCs w:val="20"/>
          <w:color w:val="auto"/>
        </w:rPr>
      </w:pPr>
      <w:r>
        <w:rPr>
          <w:rFonts w:ascii="Arial" w:cs="Arial" w:eastAsia="Arial" w:hAnsi="Arial"/>
          <w:sz w:val="16"/>
          <w:szCs w:val="16"/>
          <w:color w:val="auto"/>
        </w:rPr>
        <w:t>Most of our RV and marine components are readily available from numerous sources. However, a few of our components are produced by a small group of suppliers. In the case of motorhome chassis, Mercedes-Benz (USA and Canada), Stellantis N.V., Freightliner Trucks, Ford Motor Company, and Spartan RV Chassis are our major suppliers. Our relationship with our chassis suppliers is similar to our other supplier relationships in that no specific contractual commitments are engaged in by either party. This means that we do not have minimum purchase requirements, and our chassis suppliers do not have minimum supply requirements. Our chassis suppliers also supply to our competitors. Historically, chassis suppliers resort to an industry-wide allocation</w:t>
      </w:r>
    </w:p>
    <w:p>
      <w:pPr>
        <w:spacing w:after="0" w:line="4" w:lineRule="exact"/>
        <w:rPr>
          <w:sz w:val="20"/>
          <w:szCs w:val="20"/>
          <w:color w:val="auto"/>
        </w:rPr>
      </w:pPr>
    </w:p>
    <w:p>
      <w:pPr>
        <w:ind w:right="120"/>
        <w:spacing w:after="0" w:line="220" w:lineRule="auto"/>
        <w:rPr>
          <w:sz w:val="20"/>
          <w:szCs w:val="20"/>
          <w:color w:val="auto"/>
        </w:rPr>
      </w:pPr>
      <w:r>
        <w:rPr>
          <w:rFonts w:ascii="Arial" w:cs="Arial" w:eastAsia="Arial" w:hAnsi="Arial"/>
          <w:sz w:val="16"/>
          <w:szCs w:val="16"/>
          <w:color w:val="auto"/>
        </w:rPr>
        <w:t>system during periods when supply is restricted. These allocations have been based on the volume of chassis previously purchased, which could mean our larger competitors could receive more chassis in a time of scarcity. Sales of motorhomes rely on chassis supply and are affected by shortages or instability</w:t>
      </w:r>
    </w:p>
    <w:p>
      <w:pPr>
        <w:ind w:right="180"/>
        <w:spacing w:after="0" w:line="228" w:lineRule="auto"/>
        <w:rPr>
          <w:sz w:val="20"/>
          <w:szCs w:val="20"/>
          <w:color w:val="auto"/>
        </w:rPr>
      </w:pPr>
      <w:r>
        <w:rPr>
          <w:rFonts w:ascii="Arial" w:cs="Arial" w:eastAsia="Arial" w:hAnsi="Arial"/>
          <w:sz w:val="16"/>
          <w:szCs w:val="16"/>
          <w:color w:val="auto"/>
        </w:rPr>
        <w:t>from time to time. For example, in the first quarter of Fiscal 2023, the Mercedes-Benz Sprinter chassis became subject to a recall notice, which temporarily suspended all retail sales and wholesale shipments of our products built on this chassis until a recall remedy was implemented. While the remedy was implemented in the second quarter of Fiscal 2023 in cooperation with Mercedes-Benz AG, we believe the recall materially adversely affected our net revenues and earnings for the six months ended February 25, 2023. Furthermore, decisions by our suppliers to decrease production, production delays or</w:t>
      </w:r>
    </w:p>
    <w:p>
      <w:pPr>
        <w:spacing w:after="0" w:line="3" w:lineRule="exact"/>
        <w:rPr>
          <w:sz w:val="20"/>
          <w:szCs w:val="20"/>
          <w:color w:val="auto"/>
        </w:rPr>
      </w:pPr>
    </w:p>
    <w:p>
      <w:pPr>
        <w:ind w:right="60"/>
        <w:spacing w:after="0" w:line="220" w:lineRule="auto"/>
        <w:rPr>
          <w:sz w:val="20"/>
          <w:szCs w:val="20"/>
          <w:color w:val="auto"/>
        </w:rPr>
      </w:pPr>
      <w:r>
        <w:rPr>
          <w:rFonts w:ascii="Arial" w:cs="Arial" w:eastAsia="Arial" w:hAnsi="Arial"/>
          <w:sz w:val="16"/>
          <w:szCs w:val="16"/>
          <w:color w:val="auto"/>
        </w:rPr>
        <w:t>work stoppages by the employees of such suppliers, or price increases could have a material adverse effect on our ability to produce motorhomes and ultimately, on our results of operations, financial condition, and cash flows. In Fiscal 2022, one of our suppliers individually accounted for approximately 11%</w:t>
      </w:r>
    </w:p>
    <w:p>
      <w:pPr>
        <w:spacing w:after="0"/>
        <w:rPr>
          <w:sz w:val="20"/>
          <w:szCs w:val="20"/>
          <w:color w:val="auto"/>
        </w:rPr>
      </w:pPr>
      <w:r>
        <w:rPr>
          <w:rFonts w:ascii="Arial" w:cs="Arial" w:eastAsia="Arial" w:hAnsi="Arial"/>
          <w:sz w:val="16"/>
          <w:szCs w:val="16"/>
          <w:color w:val="auto"/>
        </w:rPr>
        <w:t>of our consolidated raw material purchases.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(c) Stock Repurchases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second quarter of Fiscal 2023 are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15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 of</w:t>
            </w: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7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 of Shares Purchased as</w:t>
            </w:r>
          </w:p>
        </w:tc>
        <w:tc>
          <w:tcPr>
            <w:tcW w:w="320" w:type="dxa"/>
            <w:vAlign w:val="bottom"/>
          </w:tcPr>
          <w:p>
            <w:pPr>
              <w:spacing w:after="0"/>
              <w:rPr>
                <w:sz w:val="16"/>
                <w:szCs w:val="16"/>
                <w:color w:val="auto"/>
              </w:rPr>
            </w:pPr>
          </w:p>
        </w:tc>
        <w:tc>
          <w:tcPr>
            <w:tcW w:w="2560" w:type="dxa"/>
            <w:vAlign w:val="bottom"/>
          </w:tcPr>
          <w:p>
            <w:pPr>
              <w:jc w:val="center"/>
              <w:ind w:right="121"/>
              <w:spacing w:after="0"/>
              <w:rPr>
                <w:sz w:val="20"/>
                <w:szCs w:val="20"/>
                <w:color w:val="auto"/>
              </w:rPr>
            </w:pPr>
            <w:r>
              <w:rPr>
                <w:rFonts w:ascii="Arial" w:cs="Arial" w:eastAsia="Arial" w:hAnsi="Arial"/>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400" w:type="dxa"/>
            <w:vAlign w:val="bottom"/>
            <w:gridSpan w:val="2"/>
            <w:vMerge w:val="restart"/>
          </w:tcPr>
          <w:p>
            <w:pPr>
              <w:jc w:val="right"/>
              <w:ind w:right="79"/>
              <w:spacing w:after="0"/>
              <w:rPr>
                <w:sz w:val="20"/>
                <w:szCs w:val="20"/>
                <w:color w:val="auto"/>
              </w:rPr>
            </w:pPr>
            <w:r>
              <w:rPr>
                <w:rFonts w:ascii="Arial" w:cs="Arial" w:eastAsia="Arial" w:hAnsi="Arial"/>
                <w:sz w:val="16"/>
                <w:szCs w:val="16"/>
                <w:b w:val="1"/>
                <w:bCs w:val="1"/>
                <w:color w:val="auto"/>
              </w:rPr>
              <w:t>Average Price</w:t>
            </w:r>
          </w:p>
        </w:tc>
        <w:tc>
          <w:tcPr>
            <w:tcW w:w="2760" w:type="dxa"/>
            <w:vAlign w:val="bottom"/>
            <w:vMerge w:val="continue"/>
          </w:tcPr>
          <w:p>
            <w:pPr>
              <w:spacing w:after="0"/>
              <w:rPr>
                <w:sz w:val="14"/>
                <w:szCs w:val="14"/>
                <w:color w:val="auto"/>
              </w:rPr>
            </w:pPr>
          </w:p>
        </w:tc>
        <w:tc>
          <w:tcPr>
            <w:tcW w:w="2880" w:type="dxa"/>
            <w:vAlign w:val="bottom"/>
            <w:gridSpan w:val="2"/>
          </w:tcPr>
          <w:p>
            <w:pPr>
              <w:jc w:val="center"/>
              <w:ind w:left="22"/>
              <w:spacing w:after="0" w:line="162" w:lineRule="exact"/>
              <w:rPr>
                <w:sz w:val="20"/>
                <w:szCs w:val="20"/>
                <w:color w:val="auto"/>
              </w:rPr>
            </w:pPr>
            <w:r>
              <w:rPr>
                <w:rFonts w:ascii="Arial" w:cs="Arial" w:eastAsia="Arial" w:hAnsi="Arial"/>
                <w:sz w:val="16"/>
                <w:szCs w:val="16"/>
                <w:b w:val="1"/>
                <w:bCs w:val="1"/>
                <w:color w:val="auto"/>
              </w:rPr>
              <w:t>Shares That May Yet Be Purchased</w:t>
            </w:r>
          </w:p>
        </w:tc>
        <w:tc>
          <w:tcPr>
            <w:tcW w:w="0" w:type="dxa"/>
            <w:vAlign w:val="bottom"/>
          </w:tcPr>
          <w:p>
            <w:pPr>
              <w:spacing w:after="0"/>
              <w:rPr>
                <w:sz w:val="1"/>
                <w:szCs w:val="1"/>
                <w:color w:val="auto"/>
              </w:rPr>
            </w:pPr>
          </w:p>
        </w:tc>
      </w:tr>
      <w:tr>
        <w:trPr>
          <w:trHeight w:val="162"/>
        </w:trPr>
        <w:tc>
          <w:tcPr>
            <w:tcW w:w="2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w:t>
            </w:r>
          </w:p>
        </w:tc>
        <w:tc>
          <w:tcPr>
            <w:tcW w:w="1400" w:type="dxa"/>
            <w:vAlign w:val="bottom"/>
            <w:gridSpan w:val="2"/>
            <w:vMerge w:val="continue"/>
          </w:tcPr>
          <w:p>
            <w:pPr>
              <w:spacing w:after="0"/>
              <w:rPr>
                <w:sz w:val="14"/>
                <w:szCs w:val="14"/>
                <w:color w:val="auto"/>
              </w:rPr>
            </w:pPr>
          </w:p>
        </w:tc>
        <w:tc>
          <w:tcPr>
            <w:tcW w:w="2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Part of Publicly Announced Plans</w:t>
            </w:r>
          </w:p>
        </w:tc>
        <w:tc>
          <w:tcPr>
            <w:tcW w:w="2880" w:type="dxa"/>
            <w:vAlign w:val="bottom"/>
            <w:gridSpan w:val="2"/>
          </w:tcPr>
          <w:p>
            <w:pPr>
              <w:jc w:val="center"/>
              <w:ind w:left="42"/>
              <w:spacing w:after="0" w:line="162" w:lineRule="exact"/>
              <w:rPr>
                <w:sz w:val="20"/>
                <w:szCs w:val="20"/>
                <w:color w:val="auto"/>
              </w:rPr>
            </w:pPr>
            <w:r>
              <w:rPr>
                <w:rFonts w:ascii="Arial" w:cs="Arial" w:eastAsia="Arial" w:hAnsi="Arial"/>
                <w:sz w:val="14"/>
                <w:szCs w:val="14"/>
                <w:b w:val="1"/>
                <w:bCs w:val="1"/>
                <w:color w:val="auto"/>
              </w:rPr>
              <w:t>Under the Plans or Programs</w:t>
            </w:r>
            <w:r>
              <w:rPr>
                <w:rFonts w:ascii="Arial" w:cs="Arial" w:eastAsia="Arial" w:hAnsi="Arial"/>
                <w:sz w:val="18"/>
                <w:szCs w:val="18"/>
                <w:b w:val="1"/>
                <w:bCs w:val="1"/>
                <w:color w:val="auto"/>
                <w:vertAlign w:val="superscript"/>
              </w:rPr>
              <w:t>(3)</w:t>
            </w:r>
            <w:r>
              <w:rPr>
                <w:rFonts w:ascii="Arial" w:cs="Arial" w:eastAsia="Arial" w:hAnsi="Arial"/>
                <w:sz w:val="14"/>
                <w:szCs w:val="14"/>
                <w:b w:val="1"/>
                <w:bCs w:val="1"/>
                <w:color w:val="auto"/>
              </w:rPr>
              <w:t xml:space="preserve"> </w:t>
            </w:r>
            <w:r>
              <w:rPr>
                <w:rFonts w:ascii="Arial" w:cs="Arial" w:eastAsia="Arial" w:hAnsi="Arial"/>
                <w:sz w:val="12"/>
                <w:szCs w:val="12"/>
                <w:color w:val="auto"/>
              </w:rPr>
              <w:t>(in</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auto"/>
            </w:tcBorders>
            <w:vMerge w:val="continue"/>
          </w:tcPr>
          <w:p>
            <w:pPr>
              <w:spacing w:after="0"/>
              <w:rPr>
                <w:sz w:val="17"/>
                <w:szCs w:val="17"/>
                <w:color w:val="auto"/>
              </w:rPr>
            </w:pPr>
          </w:p>
        </w:tc>
        <w:tc>
          <w:tcPr>
            <w:tcW w:w="15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6"/>
                <w:szCs w:val="16"/>
                <w:b w:val="1"/>
                <w:bCs w:val="1"/>
                <w:color w:val="auto"/>
                <w:w w:val="93"/>
              </w:rPr>
              <w:t>Purchased</w:t>
            </w:r>
            <w:r>
              <w:rPr>
                <w:rFonts w:ascii="Arial" w:cs="Arial" w:eastAsia="Arial" w:hAnsi="Arial"/>
                <w:sz w:val="21"/>
                <w:szCs w:val="21"/>
                <w:b w:val="1"/>
                <w:bCs w:val="1"/>
                <w:color w:val="auto"/>
                <w:w w:val="93"/>
                <w:vertAlign w:val="superscript"/>
              </w:rPr>
              <w:t>(1,2)</w:t>
            </w: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Paid per Share</w:t>
            </w:r>
          </w:p>
        </w:tc>
        <w:tc>
          <w:tcPr>
            <w:tcW w:w="27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6"/>
                <w:szCs w:val="16"/>
                <w:b w:val="1"/>
                <w:bCs w:val="1"/>
                <w:color w:val="auto"/>
                <w:w w:val="95"/>
              </w:rPr>
              <w:t>or Programs</w:t>
            </w:r>
            <w:r>
              <w:rPr>
                <w:rFonts w:ascii="Arial" w:cs="Arial" w:eastAsia="Arial" w:hAnsi="Arial"/>
                <w:sz w:val="21"/>
                <w:szCs w:val="21"/>
                <w:b w:val="1"/>
                <w:bCs w:val="1"/>
                <w:color w:val="auto"/>
                <w:w w:val="95"/>
                <w:vertAlign w:val="superscript"/>
              </w:rPr>
              <w:t>(1,2)</w:t>
            </w:r>
          </w:p>
        </w:tc>
        <w:tc>
          <w:tcPr>
            <w:tcW w:w="3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millions)</w:t>
            </w:r>
          </w:p>
        </w:tc>
        <w:tc>
          <w:tcPr>
            <w:tcW w:w="0" w:type="dxa"/>
            <w:vAlign w:val="bottom"/>
          </w:tcPr>
          <w:p>
            <w:pPr>
              <w:spacing w:after="0"/>
              <w:rPr>
                <w:sz w:val="1"/>
                <w:szCs w:val="1"/>
                <w:color w:val="auto"/>
              </w:rPr>
            </w:pPr>
          </w:p>
        </w:tc>
      </w:tr>
      <w:tr>
        <w:trPr>
          <w:trHeight w:val="209"/>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11/27/22 - 12/31/22</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7,104</w:t>
            </w: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53.11</w:t>
            </w:r>
          </w:p>
        </w:tc>
        <w:tc>
          <w:tcPr>
            <w:tcW w:w="2760" w:type="dxa"/>
            <w:vAlign w:val="bottom"/>
            <w:shd w:val="clear" w:color="auto" w:fill="CCEEFF"/>
          </w:tcPr>
          <w:p>
            <w:pPr>
              <w:ind w:left="25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Arial" w:cs="Arial" w:eastAsia="Arial" w:hAnsi="Arial"/>
                <w:sz w:val="16"/>
                <w:szCs w:val="16"/>
                <w:color w:val="auto"/>
              </w:rPr>
              <w:t>1/1/23 - 1/28/23</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760" w:type="dxa"/>
            <w:vAlign w:val="bottom"/>
          </w:tcPr>
          <w:p>
            <w:pPr>
              <w:ind w:left="25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560" w:type="dxa"/>
            <w:vAlign w:val="bottom"/>
          </w:tcPr>
          <w:p>
            <w:pPr>
              <w:jc w:val="right"/>
              <w:ind w:right="1"/>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1/29/23 - 2/25/23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66.70</w:t>
            </w:r>
          </w:p>
        </w:tc>
        <w:tc>
          <w:tcPr>
            <w:tcW w:w="2760" w:type="dxa"/>
            <w:vAlign w:val="bottom"/>
            <w:tcBorders>
              <w:bottom w:val="single" w:sz="8" w:color="auto"/>
            </w:tcBorders>
            <w:shd w:val="clear" w:color="auto" w:fill="CCEEFF"/>
          </w:tcPr>
          <w:p>
            <w:pPr>
              <w:ind w:left="25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2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3"/>
        </w:trPr>
        <w:tc>
          <w:tcPr>
            <w:tcW w:w="2600" w:type="dxa"/>
            <w:vAlign w:val="bottom"/>
          </w:tcPr>
          <w:p>
            <w:pPr>
              <w:ind w:left="14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7,340</w:t>
            </w:r>
          </w:p>
        </w:tc>
        <w:tc>
          <w:tcPr>
            <w:tcW w:w="520" w:type="dxa"/>
            <w:vAlign w:val="bottom"/>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53.55</w:t>
            </w:r>
          </w:p>
        </w:tc>
        <w:tc>
          <w:tcPr>
            <w:tcW w:w="2760" w:type="dxa"/>
            <w:vAlign w:val="bottom"/>
            <w:tcBorders>
              <w:bottom w:val="single" w:sz="8" w:color="auto"/>
            </w:tcBorders>
          </w:tcPr>
          <w:p>
            <w:pPr>
              <w:ind w:left="25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560" w:type="dxa"/>
            <w:vAlign w:val="bottom"/>
          </w:tcPr>
          <w:p>
            <w:pPr>
              <w:jc w:val="right"/>
              <w:ind w:right="1"/>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21"/>
          <w:szCs w:val="21"/>
          <w:color w:val="auto"/>
          <w:vertAlign w:val="superscript"/>
        </w:rPr>
      </w:pPr>
      <w:r>
        <w:rPr>
          <w:rFonts w:ascii="Arial" w:cs="Arial" w:eastAsia="Arial" w:hAnsi="Arial"/>
          <w:sz w:val="14"/>
          <w:szCs w:val="14"/>
          <w:color w:val="auto"/>
        </w:rPr>
        <w:t>Number of shares in the table are shown in whole numbers.</w:t>
      </w:r>
    </w:p>
    <w:p>
      <w:pPr>
        <w:spacing w:after="0" w:line="3" w:lineRule="exact"/>
        <w:rPr>
          <w:rFonts w:ascii="Arial" w:cs="Arial" w:eastAsia="Arial" w:hAnsi="Arial"/>
          <w:sz w:val="21"/>
          <w:szCs w:val="21"/>
          <w:color w:val="auto"/>
          <w:vertAlign w:val="superscript"/>
        </w:rPr>
      </w:pPr>
    </w:p>
    <w:p>
      <w:pPr>
        <w:ind w:left="260" w:right="220" w:hanging="252"/>
        <w:spacing w:after="0" w:line="199" w:lineRule="auto"/>
        <w:tabs>
          <w:tab w:leader="none" w:pos="263" w:val="left"/>
        </w:tabs>
        <w:numPr>
          <w:ilvl w:val="0"/>
          <w:numId w:val="19"/>
        </w:numPr>
        <w:rPr>
          <w:rFonts w:ascii="Arial" w:cs="Arial" w:eastAsia="Arial" w:hAnsi="Arial"/>
          <w:sz w:val="21"/>
          <w:szCs w:val="21"/>
          <w:color w:val="auto"/>
          <w:vertAlign w:val="superscript"/>
        </w:rPr>
      </w:pPr>
      <w:r>
        <w:rPr>
          <w:rFonts w:ascii="Arial" w:cs="Arial" w:eastAsia="Arial" w:hAnsi="Arial"/>
          <w:sz w:val="14"/>
          <w:szCs w:val="14"/>
          <w:color w:val="auto"/>
        </w:rPr>
        <w:t>Shares not purchased as part of a publicly announced program were repurchased from employees who vested in Company shares and elected to pay their payroll tax via the value of shares delivered as opposed to cash.</w:t>
      </w:r>
    </w:p>
    <w:p>
      <w:pPr>
        <w:ind w:left="260" w:hanging="252"/>
        <w:spacing w:after="0" w:line="183" w:lineRule="auto"/>
        <w:tabs>
          <w:tab w:leader="none" w:pos="260" w:val="left"/>
        </w:tabs>
        <w:numPr>
          <w:ilvl w:val="0"/>
          <w:numId w:val="19"/>
        </w:numPr>
        <w:rPr>
          <w:rFonts w:ascii="Arial" w:cs="Arial" w:eastAsia="Arial" w:hAnsi="Arial"/>
          <w:sz w:val="20"/>
          <w:szCs w:val="20"/>
          <w:color w:val="auto"/>
          <w:vertAlign w:val="superscript"/>
        </w:rPr>
      </w:pPr>
      <w:r>
        <w:rPr>
          <w:rFonts w:ascii="Arial" w:cs="Arial" w:eastAsia="Arial" w:hAnsi="Arial"/>
          <w:sz w:val="14"/>
          <w:szCs w:val="14"/>
          <w:color w:val="auto"/>
        </w:rPr>
        <w:t>Pursuant to a $350.0 million share repurchase program authorized by our Board of Directors on August 17, 2022. There is no time restriction on the authorization.</w:t>
      </w:r>
    </w:p>
    <w:p>
      <w:pPr>
        <w:spacing w:after="0" w:line="24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Senior Secured Notes, as defined in Note 9 in the Notes to Consolidated Financial Statements included in Item 1 of Part I of this Quarterly Report on Form 10-Q, contains occurrence based restrictions that may limit our ability to make distributions or payments with respect to purchases of our common stock without consent of the lenders, except for limited purchases of our common stock from employees, in the event of a significant reduction in our EBITDA or in the event of a significant borrowing on our ABL Credit Facility.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5" w:name="page36"/>
    <w:bookmarkEnd w:id="35"/>
    <w:p>
      <w:pPr>
        <w:ind w:left="100"/>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6"/>
                <w:szCs w:val="16"/>
                <w:b w:val="1"/>
                <w:bCs w:val="1"/>
                <w:color w:val="auto"/>
              </w:rPr>
              <w:t>Item 6.</w:t>
            </w:r>
          </w:p>
        </w:tc>
        <w:tc>
          <w:tcPr>
            <w:tcW w:w="9680" w:type="dxa"/>
            <w:vAlign w:val="bottom"/>
            <w:gridSpan w:val="16"/>
          </w:tcPr>
          <w:p>
            <w:pPr>
              <w:ind w:left="80"/>
              <w:spacing w:after="0"/>
              <w:rPr>
                <w:sz w:val="20"/>
                <w:szCs w:val="20"/>
                <w:color w:val="auto"/>
              </w:rPr>
            </w:pPr>
            <w:r>
              <w:rPr>
                <w:rFonts w:ascii="Arial" w:cs="Arial" w:eastAsia="Arial" w:hAnsi="Arial"/>
                <w:sz w:val="16"/>
                <w:szCs w:val="16"/>
                <w:b w:val="1"/>
                <w:bCs w:val="1"/>
                <w:color w:val="auto"/>
              </w:rPr>
              <w:t>Exhibits</w:t>
            </w:r>
          </w:p>
        </w:tc>
      </w:tr>
      <w:tr>
        <w:trPr>
          <w:trHeight w:val="181"/>
        </w:trPr>
        <w:tc>
          <w:tcPr>
            <w:tcW w:w="18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100" w:type="dxa"/>
            <w:vAlign w:val="bottom"/>
          </w:tcPr>
          <w:p>
            <w:pPr>
              <w:spacing w:after="0"/>
              <w:rPr>
                <w:rFonts w:ascii="Arial" w:cs="Arial" w:eastAsia="Arial" w:hAnsi="Arial"/>
                <w:sz w:val="13"/>
                <w:szCs w:val="13"/>
                <w:color w:val="0000FF"/>
                <w:w w:val="73"/>
              </w:rPr>
            </w:pPr>
            <w:hyperlink r:id="rId45">
              <w:r>
                <w:rPr>
                  <w:rFonts w:ascii="Arial" w:cs="Arial" w:eastAsia="Arial" w:hAnsi="Arial"/>
                  <w:sz w:val="13"/>
                  <w:szCs w:val="13"/>
                  <w:color w:val="0000FF"/>
                  <w:w w:val="73"/>
                </w:rPr>
                <w:t>3.</w:t>
              </w:r>
            </w:hyperlink>
          </w:p>
        </w:tc>
        <w:tc>
          <w:tcPr>
            <w:tcW w:w="80" w:type="dxa"/>
            <w:vAlign w:val="bottom"/>
            <w:shd w:val="clear" w:color="auto" w:fill="CCEEFF"/>
          </w:tcPr>
          <w:p>
            <w:pPr>
              <w:spacing w:after="0"/>
              <w:rPr>
                <w:rFonts w:ascii="Arial" w:cs="Arial" w:eastAsia="Arial" w:hAnsi="Arial"/>
                <w:sz w:val="10"/>
                <w:szCs w:val="10"/>
                <w:u w:val="single" w:color="auto"/>
                <w:color w:val="0000FF"/>
                <w:w w:val="70"/>
              </w:rPr>
            </w:pPr>
            <w:hyperlink r:id="rId45">
              <w:r>
                <w:rPr>
                  <w:rFonts w:ascii="Arial" w:cs="Arial" w:eastAsia="Arial" w:hAnsi="Arial"/>
                  <w:sz w:val="10"/>
                  <w:szCs w:val="10"/>
                  <w:u w:val="single" w:color="auto"/>
                  <w:color w:val="0000FF"/>
                  <w:w w:val="70"/>
                </w:rPr>
                <w:t>1</w:t>
              </w:r>
            </w:hyperlink>
          </w:p>
        </w:tc>
        <w:tc>
          <w:tcPr>
            <w:tcW w:w="540" w:type="dxa"/>
            <w:vAlign w:val="bottom"/>
            <w:tcBorders>
              <w:left w:val="single" w:sz="8" w:color="CCEEFF"/>
            </w:tcBorders>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9340" w:type="dxa"/>
            <w:vAlign w:val="bottom"/>
            <w:gridSpan w:val="15"/>
            <w:shd w:val="clear" w:color="auto" w:fill="CCEEFF"/>
          </w:tcPr>
          <w:p>
            <w:pPr>
              <w:spacing w:after="0" w:line="175" w:lineRule="exact"/>
              <w:rPr>
                <w:rFonts w:ascii="Arial" w:cs="Arial" w:eastAsia="Arial" w:hAnsi="Arial"/>
                <w:sz w:val="16"/>
                <w:szCs w:val="16"/>
                <w:color w:val="0000FF"/>
              </w:rPr>
            </w:pPr>
            <w:hyperlink r:id="rId45">
              <w:r>
                <w:rPr>
                  <w:rFonts w:ascii="Arial" w:cs="Arial" w:eastAsia="Arial" w:hAnsi="Arial"/>
                  <w:sz w:val="16"/>
                  <w:szCs w:val="16"/>
                  <w:color w:val="0000FF"/>
                </w:rPr>
                <w:t>Articles of Incorporation of Winnebago Industries, Inc., effective January 1, 2022 (incorporated by reference from Exhibit 3.1 to the</w:t>
              </w:r>
            </w:hyperlink>
          </w:p>
        </w:tc>
      </w:tr>
      <w:tr>
        <w:trPr>
          <w:trHeight w:val="142"/>
        </w:trPr>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540" w:type="dxa"/>
            <w:vAlign w:val="bottom"/>
            <w:tcBorders>
              <w:top w:val="single" w:sz="8" w:color="CCEEFF"/>
              <w:left w:val="single" w:sz="8" w:color="CCEEFF"/>
            </w:tcBorders>
            <w:shd w:val="clear" w:color="auto" w:fill="CCEEFF"/>
          </w:tcPr>
          <w:p>
            <w:pPr>
              <w:spacing w:after="0"/>
              <w:rPr>
                <w:sz w:val="12"/>
                <w:szCs w:val="12"/>
                <w:color w:val="auto"/>
              </w:rPr>
            </w:pPr>
          </w:p>
        </w:tc>
        <w:tc>
          <w:tcPr>
            <w:tcW w:w="340" w:type="dxa"/>
            <w:vAlign w:val="bottom"/>
            <w:tcBorders>
              <w:top w:val="single" w:sz="8" w:color="CCEEFF"/>
              <w:right w:val="single" w:sz="8" w:color="CCEEFF"/>
            </w:tcBorders>
            <w:shd w:val="clear" w:color="auto" w:fill="CCEEFF"/>
          </w:tcPr>
          <w:p>
            <w:pPr>
              <w:spacing w:after="0"/>
              <w:rPr>
                <w:sz w:val="12"/>
                <w:szCs w:val="12"/>
                <w:color w:val="auto"/>
              </w:rPr>
            </w:pPr>
          </w:p>
        </w:tc>
        <w:tc>
          <w:tcPr>
            <w:tcW w:w="9280" w:type="dxa"/>
            <w:vAlign w:val="bottom"/>
            <w:tcBorders>
              <w:top w:val="single" w:sz="8" w:color="0000FF"/>
            </w:tcBorders>
            <w:gridSpan w:val="14"/>
            <w:shd w:val="clear" w:color="auto" w:fill="CCEEFF"/>
          </w:tcPr>
          <w:p>
            <w:pPr>
              <w:spacing w:after="0" w:line="142" w:lineRule="exact"/>
              <w:rPr>
                <w:rFonts w:ascii="Arial" w:cs="Arial" w:eastAsia="Arial" w:hAnsi="Arial"/>
                <w:sz w:val="16"/>
                <w:szCs w:val="16"/>
                <w:color w:val="0000FF"/>
              </w:rPr>
            </w:pPr>
            <w:hyperlink r:id="rId45">
              <w:r>
                <w:rPr>
                  <w:rFonts w:ascii="Arial" w:cs="Arial" w:eastAsia="Arial" w:hAnsi="Arial"/>
                  <w:sz w:val="16"/>
                  <w:szCs w:val="16"/>
                  <w:color w:val="0000FF"/>
                </w:rPr>
                <w:t>Registrant’s Current Report on Form 8-K dated January 1, 2022).</w:t>
              </w:r>
            </w:hyperlink>
          </w:p>
        </w:tc>
        <w:tc>
          <w:tcPr>
            <w:tcW w:w="60" w:type="dxa"/>
            <w:vAlign w:val="bottom"/>
            <w:tcBorders>
              <w:top w:val="single" w:sz="8" w:color="CCEEFF"/>
            </w:tcBorders>
            <w:shd w:val="clear" w:color="auto" w:fill="CCEEFF"/>
          </w:tcPr>
          <w:p>
            <w:pPr>
              <w:spacing w:after="0"/>
              <w:rPr>
                <w:sz w:val="12"/>
                <w:szCs w:val="12"/>
                <w:color w:val="auto"/>
              </w:rPr>
            </w:pPr>
          </w:p>
        </w:tc>
      </w:tr>
      <w:tr>
        <w:trPr>
          <w:trHeight w:val="21"/>
        </w:trPr>
        <w:tc>
          <w:tcPr>
            <w:tcW w:w="100" w:type="dxa"/>
            <w:vAlign w:val="bottom"/>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7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gridSpan w:val="2"/>
          </w:tcPr>
          <w:p>
            <w:pPr>
              <w:spacing w:after="0"/>
              <w:rPr>
                <w:rFonts w:ascii="Arial" w:cs="Arial" w:eastAsia="Arial" w:hAnsi="Arial"/>
                <w:sz w:val="14"/>
                <w:szCs w:val="14"/>
                <w:color w:val="0000FF"/>
                <w:w w:val="71"/>
              </w:rPr>
            </w:pPr>
            <w:hyperlink r:id="rId46">
              <w:r>
                <w:rPr>
                  <w:rFonts w:ascii="Arial" w:cs="Arial" w:eastAsia="Arial" w:hAnsi="Arial"/>
                  <w:sz w:val="14"/>
                  <w:szCs w:val="14"/>
                  <w:color w:val="0000FF"/>
                  <w:w w:val="71"/>
                </w:rPr>
                <w:t>3.</w:t>
              </w:r>
              <w:r>
                <w:rPr>
                  <w:rFonts w:ascii="Arial" w:cs="Arial" w:eastAsia="Arial" w:hAnsi="Arial"/>
                  <w:sz w:val="14"/>
                  <w:szCs w:val="14"/>
                  <w:u w:val="single" w:color="auto"/>
                  <w:color w:val="0000FF"/>
                  <w:w w:val="71"/>
                </w:rPr>
                <w:t>2</w:t>
              </w:r>
            </w:hyperlink>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40" w:type="dxa"/>
            <w:vAlign w:val="bottom"/>
            <w:gridSpan w:val="15"/>
          </w:tcPr>
          <w:p>
            <w:pPr>
              <w:spacing w:after="0" w:line="175" w:lineRule="exact"/>
              <w:rPr>
                <w:rFonts w:ascii="Arial" w:cs="Arial" w:eastAsia="Arial" w:hAnsi="Arial"/>
                <w:sz w:val="16"/>
                <w:szCs w:val="16"/>
                <w:color w:val="0000FF"/>
              </w:rPr>
            </w:pPr>
            <w:hyperlink r:id="rId46">
              <w:r>
                <w:rPr>
                  <w:rFonts w:ascii="Arial" w:cs="Arial" w:eastAsia="Arial" w:hAnsi="Arial"/>
                  <w:sz w:val="16"/>
                  <w:szCs w:val="16"/>
                  <w:color w:val="0000FF"/>
                </w:rPr>
                <w:t>By-Laws of the Registrant effective January 1, 2022 (incorporated by reference from Exhibit 3.2 to the Registrant’s Current Report</w:t>
              </w:r>
            </w:hyperlink>
          </w:p>
        </w:tc>
      </w:tr>
      <w:tr>
        <w:trPr>
          <w:trHeight w:val="142"/>
        </w:trPr>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6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46">
              <w:r>
                <w:rPr>
                  <w:rFonts w:ascii="Arial" w:cs="Arial" w:eastAsia="Arial" w:hAnsi="Arial"/>
                  <w:sz w:val="16"/>
                  <w:szCs w:val="16"/>
                  <w:color w:val="0000FF"/>
                </w:rPr>
                <w:t>on Form 8-K dated January 1, 2022).</w:t>
              </w:r>
            </w:hyperlink>
          </w:p>
        </w:tc>
        <w:tc>
          <w:tcPr>
            <w:tcW w:w="80" w:type="dxa"/>
            <w:vAlign w:val="bottom"/>
            <w:gridSpan w:val="2"/>
          </w:tcPr>
          <w:p>
            <w:pPr>
              <w:spacing w:after="0"/>
              <w:rPr>
                <w:sz w:val="12"/>
                <w:szCs w:val="12"/>
                <w:color w:val="auto"/>
              </w:rPr>
            </w:pPr>
          </w:p>
        </w:tc>
      </w:tr>
      <w:tr>
        <w:trPr>
          <w:trHeight w:val="21"/>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7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00" w:type="dxa"/>
            <w:vAlign w:val="bottom"/>
          </w:tcPr>
          <w:p>
            <w:pPr>
              <w:spacing w:after="0"/>
              <w:rPr>
                <w:rFonts w:ascii="Arial" w:cs="Arial" w:eastAsia="Arial" w:hAnsi="Arial"/>
                <w:sz w:val="13"/>
                <w:szCs w:val="13"/>
                <w:color w:val="0000FF"/>
                <w:w w:val="73"/>
              </w:rPr>
            </w:pPr>
            <w:hyperlink r:id="rId47">
              <w:r>
                <w:rPr>
                  <w:rFonts w:ascii="Arial" w:cs="Arial" w:eastAsia="Arial" w:hAnsi="Arial"/>
                  <w:sz w:val="13"/>
                  <w:szCs w:val="13"/>
                  <w:color w:val="0000FF"/>
                  <w:w w:val="73"/>
                </w:rPr>
                <w:t>4.</w:t>
              </w:r>
            </w:hyperlink>
          </w:p>
        </w:tc>
        <w:tc>
          <w:tcPr>
            <w:tcW w:w="80" w:type="dxa"/>
            <w:vAlign w:val="bottom"/>
            <w:shd w:val="clear" w:color="auto" w:fill="CCEEFF"/>
          </w:tcPr>
          <w:p>
            <w:pPr>
              <w:spacing w:after="0"/>
              <w:rPr>
                <w:rFonts w:ascii="Arial" w:cs="Arial" w:eastAsia="Arial" w:hAnsi="Arial"/>
                <w:sz w:val="10"/>
                <w:szCs w:val="10"/>
                <w:u w:val="single" w:color="auto"/>
                <w:color w:val="0000FF"/>
                <w:w w:val="70"/>
              </w:rPr>
            </w:pPr>
            <w:hyperlink r:id="rId47">
              <w:r>
                <w:rPr>
                  <w:rFonts w:ascii="Arial" w:cs="Arial" w:eastAsia="Arial" w:hAnsi="Arial"/>
                  <w:sz w:val="10"/>
                  <w:szCs w:val="10"/>
                  <w:u w:val="single" w:color="auto"/>
                  <w:color w:val="0000FF"/>
                  <w:w w:val="70"/>
                </w:rPr>
                <w:t>1</w:t>
              </w:r>
            </w:hyperlink>
          </w:p>
        </w:tc>
        <w:tc>
          <w:tcPr>
            <w:tcW w:w="540" w:type="dxa"/>
            <w:vAlign w:val="bottom"/>
            <w:tcBorders>
              <w:left w:val="single" w:sz="8" w:color="CCEEFF"/>
            </w:tcBorders>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9340" w:type="dxa"/>
            <w:vAlign w:val="bottom"/>
            <w:gridSpan w:val="15"/>
            <w:shd w:val="clear" w:color="auto" w:fill="CCEEFF"/>
          </w:tcPr>
          <w:p>
            <w:pPr>
              <w:spacing w:after="0" w:line="175" w:lineRule="exact"/>
              <w:rPr>
                <w:rFonts w:ascii="Arial" w:cs="Arial" w:eastAsia="Arial" w:hAnsi="Arial"/>
                <w:sz w:val="16"/>
                <w:szCs w:val="16"/>
                <w:color w:val="0000FF"/>
              </w:rPr>
            </w:pPr>
            <w:hyperlink r:id="rId47">
              <w:r>
                <w:rPr>
                  <w:rFonts w:ascii="Arial" w:cs="Arial" w:eastAsia="Arial" w:hAnsi="Arial"/>
                  <w:sz w:val="16"/>
                  <w:szCs w:val="16"/>
                  <w:color w:val="0000FF"/>
                </w:rPr>
                <w:t>Indenture, dated November 1, 2019, by and between Winnebago Industries, Inc. and U.S. Bank National Association</w:t>
              </w:r>
            </w:hyperlink>
          </w:p>
        </w:tc>
      </w:tr>
      <w:tr>
        <w:trPr>
          <w:trHeight w:val="163"/>
        </w:trPr>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540" w:type="dxa"/>
            <w:vAlign w:val="bottom"/>
            <w:tcBorders>
              <w:top w:val="single" w:sz="8" w:color="CCEEFF"/>
              <w:left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8300" w:type="dxa"/>
            <w:vAlign w:val="bottom"/>
            <w:tcBorders>
              <w:top w:val="single" w:sz="8" w:color="0000FF"/>
              <w:bottom w:val="single" w:sz="8" w:color="0000FF"/>
            </w:tcBorders>
            <w:gridSpan w:val="7"/>
            <w:shd w:val="clear" w:color="auto" w:fill="CCEEFF"/>
          </w:tcPr>
          <w:p>
            <w:pPr>
              <w:spacing w:after="0" w:line="142" w:lineRule="exact"/>
              <w:rPr>
                <w:rFonts w:ascii="Arial" w:cs="Arial" w:eastAsia="Arial" w:hAnsi="Arial"/>
                <w:sz w:val="16"/>
                <w:szCs w:val="16"/>
                <w:color w:val="0000FF"/>
              </w:rPr>
            </w:pPr>
            <w:hyperlink r:id="rId47">
              <w:r>
                <w:rPr>
                  <w:rFonts w:ascii="Arial" w:cs="Arial" w:eastAsia="Arial" w:hAnsi="Arial"/>
                  <w:sz w:val="16"/>
                  <w:szCs w:val="16"/>
                  <w:color w:val="0000FF"/>
                </w:rPr>
                <w:t>(incorporated by reference from Exhibit 4.1 to the Registrant’s Current Report on Form 8-K dated October 29, 2019).</w:t>
              </w:r>
            </w:hyperlink>
          </w:p>
        </w:tc>
        <w:tc>
          <w:tcPr>
            <w:tcW w:w="80" w:type="dxa"/>
            <w:vAlign w:val="bottom"/>
            <w:tcBorders>
              <w:top w:val="single" w:sz="8" w:color="0000FF"/>
              <w:bottom w:val="single" w:sz="8" w:color="CCEEFF"/>
              <w:right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3"/>
            <w:shd w:val="clear" w:color="auto" w:fill="CCEEFF"/>
          </w:tcPr>
          <w:p>
            <w:pPr>
              <w:spacing w:after="0"/>
              <w:rPr>
                <w:sz w:val="14"/>
                <w:szCs w:val="14"/>
                <w:color w:val="auto"/>
              </w:rPr>
            </w:pPr>
          </w:p>
        </w:tc>
      </w:tr>
      <w:tr>
        <w:trPr>
          <w:trHeight w:val="175"/>
        </w:trPr>
        <w:tc>
          <w:tcPr>
            <w:tcW w:w="180" w:type="dxa"/>
            <w:vAlign w:val="bottom"/>
            <w:gridSpan w:val="2"/>
          </w:tcPr>
          <w:p>
            <w:pPr>
              <w:spacing w:after="0"/>
              <w:rPr>
                <w:rFonts w:ascii="Arial" w:cs="Arial" w:eastAsia="Arial" w:hAnsi="Arial"/>
                <w:sz w:val="14"/>
                <w:szCs w:val="14"/>
                <w:color w:val="0000FF"/>
                <w:w w:val="71"/>
              </w:rPr>
            </w:pPr>
            <w:hyperlink r:id="rId47">
              <w:r>
                <w:rPr>
                  <w:rFonts w:ascii="Arial" w:cs="Arial" w:eastAsia="Arial" w:hAnsi="Arial"/>
                  <w:sz w:val="14"/>
                  <w:szCs w:val="14"/>
                  <w:color w:val="0000FF"/>
                  <w:w w:val="71"/>
                </w:rPr>
                <w:t>4.</w:t>
              </w:r>
              <w:r>
                <w:rPr>
                  <w:rFonts w:ascii="Arial" w:cs="Arial" w:eastAsia="Arial" w:hAnsi="Arial"/>
                  <w:sz w:val="14"/>
                  <w:szCs w:val="14"/>
                  <w:u w:val="single" w:color="auto"/>
                  <w:color w:val="0000FF"/>
                  <w:w w:val="71"/>
                </w:rPr>
                <w:t>2</w:t>
              </w:r>
            </w:hyperlink>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40" w:type="dxa"/>
            <w:vAlign w:val="bottom"/>
            <w:gridSpan w:val="15"/>
          </w:tcPr>
          <w:p>
            <w:pPr>
              <w:spacing w:after="0" w:line="175" w:lineRule="exact"/>
              <w:rPr>
                <w:rFonts w:ascii="Arial" w:cs="Arial" w:eastAsia="Arial" w:hAnsi="Arial"/>
                <w:sz w:val="16"/>
                <w:szCs w:val="16"/>
                <w:color w:val="0000FF"/>
              </w:rPr>
            </w:pPr>
            <w:hyperlink r:id="rId47">
              <w:r>
                <w:rPr>
                  <w:rFonts w:ascii="Arial" w:cs="Arial" w:eastAsia="Arial" w:hAnsi="Arial"/>
                  <w:sz w:val="16"/>
                  <w:szCs w:val="16"/>
                  <w:color w:val="0000FF"/>
                </w:rPr>
                <w:t>Form of 1.50% Convertible Senior Note due 2025 (included in Exhibit 4.1).</w:t>
              </w:r>
            </w:hyperlink>
          </w:p>
        </w:tc>
      </w:tr>
      <w:tr>
        <w:trPr>
          <w:trHeight w:val="183"/>
        </w:trPr>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Borders>
              <w:top w:val="single" w:sz="8" w:color="0000FF"/>
            </w:tcBorders>
          </w:tcPr>
          <w:p>
            <w:pPr>
              <w:spacing w:after="0"/>
              <w:rPr>
                <w:sz w:val="15"/>
                <w:szCs w:val="15"/>
                <w:color w:val="auto"/>
              </w:rPr>
            </w:pPr>
          </w:p>
        </w:tc>
        <w:tc>
          <w:tcPr>
            <w:tcW w:w="1720" w:type="dxa"/>
            <w:vAlign w:val="bottom"/>
            <w:tcBorders>
              <w:top w:val="single" w:sz="8" w:color="0000FF"/>
            </w:tcBorders>
          </w:tcPr>
          <w:p>
            <w:pPr>
              <w:spacing w:after="0"/>
              <w:rPr>
                <w:sz w:val="15"/>
                <w:szCs w:val="15"/>
                <w:color w:val="auto"/>
              </w:rPr>
            </w:pPr>
          </w:p>
        </w:tc>
        <w:tc>
          <w:tcPr>
            <w:tcW w:w="90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100" w:type="dxa"/>
            <w:vAlign w:val="bottom"/>
          </w:tcPr>
          <w:p>
            <w:pPr>
              <w:spacing w:after="0"/>
              <w:rPr>
                <w:rFonts w:ascii="Arial" w:cs="Arial" w:eastAsia="Arial" w:hAnsi="Arial"/>
                <w:sz w:val="13"/>
                <w:szCs w:val="13"/>
                <w:color w:val="0000FF"/>
                <w:w w:val="73"/>
              </w:rPr>
            </w:pPr>
            <w:hyperlink r:id="rId48">
              <w:r>
                <w:rPr>
                  <w:rFonts w:ascii="Arial" w:cs="Arial" w:eastAsia="Arial" w:hAnsi="Arial"/>
                  <w:sz w:val="13"/>
                  <w:szCs w:val="13"/>
                  <w:color w:val="0000FF"/>
                  <w:w w:val="73"/>
                </w:rPr>
                <w:t>4.</w:t>
              </w:r>
            </w:hyperlink>
          </w:p>
        </w:tc>
        <w:tc>
          <w:tcPr>
            <w:tcW w:w="80" w:type="dxa"/>
            <w:vAlign w:val="bottom"/>
            <w:shd w:val="clear" w:color="auto" w:fill="CCEEFF"/>
          </w:tcPr>
          <w:p>
            <w:pPr>
              <w:spacing w:after="0"/>
              <w:rPr>
                <w:rFonts w:ascii="Arial" w:cs="Arial" w:eastAsia="Arial" w:hAnsi="Arial"/>
                <w:sz w:val="10"/>
                <w:szCs w:val="10"/>
                <w:u w:val="single" w:color="auto"/>
                <w:color w:val="0000FF"/>
                <w:w w:val="70"/>
              </w:rPr>
            </w:pPr>
            <w:hyperlink r:id="rId48">
              <w:r>
                <w:rPr>
                  <w:rFonts w:ascii="Arial" w:cs="Arial" w:eastAsia="Arial" w:hAnsi="Arial"/>
                  <w:sz w:val="10"/>
                  <w:szCs w:val="10"/>
                  <w:u w:val="single" w:color="auto"/>
                  <w:color w:val="0000FF"/>
                  <w:w w:val="70"/>
                </w:rPr>
                <w:t>3</w:t>
              </w:r>
            </w:hyperlink>
          </w:p>
        </w:tc>
        <w:tc>
          <w:tcPr>
            <w:tcW w:w="540" w:type="dxa"/>
            <w:vAlign w:val="bottom"/>
            <w:tcBorders>
              <w:left w:val="single" w:sz="8" w:color="CCEEFF"/>
            </w:tcBorders>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9340" w:type="dxa"/>
            <w:vAlign w:val="bottom"/>
            <w:gridSpan w:val="15"/>
            <w:shd w:val="clear" w:color="auto" w:fill="CCEEFF"/>
          </w:tcPr>
          <w:p>
            <w:pPr>
              <w:spacing w:after="0" w:line="175" w:lineRule="exact"/>
              <w:rPr>
                <w:rFonts w:ascii="Arial" w:cs="Arial" w:eastAsia="Arial" w:hAnsi="Arial"/>
                <w:sz w:val="16"/>
                <w:szCs w:val="16"/>
                <w:color w:val="0000FF"/>
              </w:rPr>
            </w:pPr>
            <w:hyperlink r:id="rId48">
              <w:r>
                <w:rPr>
                  <w:rFonts w:ascii="Arial" w:cs="Arial" w:eastAsia="Arial" w:hAnsi="Arial"/>
                  <w:sz w:val="16"/>
                  <w:szCs w:val="16"/>
                  <w:color w:val="0000FF"/>
                </w:rPr>
                <w:t>Indenture, dated as of July 8, 2020, by and among Winnebago Industries, Inc., the guarantors named therein and U.S. Bank</w:t>
              </w:r>
            </w:hyperlink>
          </w:p>
        </w:tc>
      </w:tr>
      <w:tr>
        <w:trPr>
          <w:trHeight w:val="20"/>
        </w:trPr>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32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left w:val="single" w:sz="8" w:color="CCEEFF"/>
              <w:bottom w:val="single" w:sz="8" w:color="CCEEFF"/>
            </w:tcBorders>
            <w:shd w:val="clear" w:color="auto" w:fill="CCEEFF"/>
          </w:tcPr>
          <w:p>
            <w:pPr>
              <w:spacing w:after="0"/>
              <w:rPr>
                <w:sz w:val="14"/>
                <w:szCs w:val="14"/>
                <w:color w:val="auto"/>
              </w:rPr>
            </w:pPr>
          </w:p>
        </w:tc>
        <w:tc>
          <w:tcPr>
            <w:tcW w:w="340" w:type="dxa"/>
            <w:vAlign w:val="bottom"/>
            <w:tcBorders>
              <w:bottom w:val="single" w:sz="8" w:color="CCEEFF"/>
              <w:right w:val="single" w:sz="8" w:color="CCEEFF"/>
            </w:tcBorders>
            <w:shd w:val="clear" w:color="auto" w:fill="CCEEFF"/>
          </w:tcPr>
          <w:p>
            <w:pPr>
              <w:spacing w:after="0"/>
              <w:rPr>
                <w:sz w:val="14"/>
                <w:szCs w:val="14"/>
                <w:color w:val="auto"/>
              </w:rPr>
            </w:pPr>
          </w:p>
        </w:tc>
        <w:tc>
          <w:tcPr>
            <w:tcW w:w="9220" w:type="dxa"/>
            <w:vAlign w:val="bottom"/>
            <w:tcBorders>
              <w:bottom w:val="single" w:sz="8" w:color="0000FF"/>
            </w:tcBorders>
            <w:gridSpan w:val="12"/>
            <w:shd w:val="clear" w:color="auto" w:fill="CCEEFF"/>
          </w:tcPr>
          <w:p>
            <w:pPr>
              <w:spacing w:after="0" w:line="169" w:lineRule="exact"/>
              <w:rPr>
                <w:rFonts w:ascii="Arial" w:cs="Arial" w:eastAsia="Arial" w:hAnsi="Arial"/>
                <w:sz w:val="16"/>
                <w:szCs w:val="16"/>
                <w:color w:val="0000FF"/>
              </w:rPr>
            </w:pPr>
            <w:hyperlink r:id="rId48">
              <w:r>
                <w:rPr>
                  <w:rFonts w:ascii="Arial" w:cs="Arial" w:eastAsia="Arial" w:hAnsi="Arial"/>
                  <w:sz w:val="16"/>
                  <w:szCs w:val="16"/>
                  <w:color w:val="0000FF"/>
                </w:rPr>
                <w:t>National Association, as trustee (incorporated by reference from Exhibit 4.1 to the Registrant’s Current Report on Form 8-K dated</w:t>
              </w:r>
            </w:hyperlink>
          </w:p>
        </w:tc>
        <w:tc>
          <w:tcPr>
            <w:tcW w:w="120" w:type="dxa"/>
            <w:vAlign w:val="bottom"/>
            <w:tcBorders>
              <w:bottom w:val="single" w:sz="8" w:color="CCEEFF"/>
            </w:tcBorders>
            <w:gridSpan w:val="3"/>
            <w:shd w:val="clear" w:color="auto" w:fill="CCEEFF"/>
          </w:tcPr>
          <w:p>
            <w:pPr>
              <w:spacing w:after="0"/>
              <w:rPr>
                <w:sz w:val="14"/>
                <w:szCs w:val="14"/>
                <w:color w:val="auto"/>
              </w:rPr>
            </w:pPr>
          </w:p>
        </w:tc>
      </w:tr>
      <w:tr>
        <w:trPr>
          <w:trHeight w:val="155"/>
        </w:trPr>
        <w:tc>
          <w:tcPr>
            <w:tcW w:w="10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tcBorders>
              <w:left w:val="single" w:sz="8" w:color="CCEEFF"/>
            </w:tcBorders>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9340" w:type="dxa"/>
            <w:vAlign w:val="bottom"/>
            <w:gridSpan w:val="15"/>
            <w:shd w:val="clear" w:color="auto" w:fill="CCEEFF"/>
          </w:tcPr>
          <w:p>
            <w:pPr>
              <w:spacing w:after="0" w:line="155" w:lineRule="exact"/>
              <w:rPr>
                <w:rFonts w:ascii="Arial" w:cs="Arial" w:eastAsia="Arial" w:hAnsi="Arial"/>
                <w:sz w:val="16"/>
                <w:szCs w:val="16"/>
                <w:color w:val="0000FF"/>
              </w:rPr>
            </w:pPr>
            <w:hyperlink r:id="rId48">
              <w:r>
                <w:rPr>
                  <w:rFonts w:ascii="Arial" w:cs="Arial" w:eastAsia="Arial" w:hAnsi="Arial"/>
                  <w:sz w:val="16"/>
                  <w:szCs w:val="16"/>
                  <w:color w:val="0000FF"/>
                </w:rPr>
                <w:t>July 8, 2020)</w:t>
              </w:r>
            </w:hyperlink>
          </w:p>
        </w:tc>
      </w:tr>
      <w:tr>
        <w:trPr>
          <w:trHeight w:val="34"/>
        </w:trPr>
        <w:tc>
          <w:tcPr>
            <w:tcW w:w="100" w:type="dxa"/>
            <w:vAlign w:val="bottom"/>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left w:val="single" w:sz="8" w:color="CCEEFF"/>
            </w:tcBorders>
            <w:shd w:val="clear" w:color="auto" w:fill="CCEEFF"/>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900" w:type="dxa"/>
            <w:vAlign w:val="bottom"/>
            <w:tcBorders>
              <w:top w:val="single" w:sz="8" w:color="0000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75"/>
        </w:trPr>
        <w:tc>
          <w:tcPr>
            <w:tcW w:w="180" w:type="dxa"/>
            <w:vAlign w:val="bottom"/>
            <w:gridSpan w:val="2"/>
          </w:tcPr>
          <w:p>
            <w:pPr>
              <w:spacing w:after="0"/>
              <w:rPr>
                <w:rFonts w:ascii="Arial" w:cs="Arial" w:eastAsia="Arial" w:hAnsi="Arial"/>
                <w:sz w:val="14"/>
                <w:szCs w:val="14"/>
                <w:color w:val="0000FF"/>
                <w:w w:val="71"/>
              </w:rPr>
            </w:pPr>
            <w:hyperlink r:id="rId49">
              <w:r>
                <w:rPr>
                  <w:rFonts w:ascii="Arial" w:cs="Arial" w:eastAsia="Arial" w:hAnsi="Arial"/>
                  <w:sz w:val="14"/>
                  <w:szCs w:val="14"/>
                  <w:color w:val="0000FF"/>
                  <w:w w:val="71"/>
                </w:rPr>
                <w:t>4.</w:t>
              </w:r>
              <w:r>
                <w:rPr>
                  <w:rFonts w:ascii="Arial" w:cs="Arial" w:eastAsia="Arial" w:hAnsi="Arial"/>
                  <w:sz w:val="14"/>
                  <w:szCs w:val="14"/>
                  <w:u w:val="single" w:color="auto"/>
                  <w:color w:val="0000FF"/>
                  <w:w w:val="71"/>
                </w:rPr>
                <w:t>4</w:t>
              </w:r>
            </w:hyperlink>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40" w:type="dxa"/>
            <w:vAlign w:val="bottom"/>
            <w:gridSpan w:val="15"/>
          </w:tcPr>
          <w:p>
            <w:pPr>
              <w:spacing w:after="0" w:line="175" w:lineRule="exact"/>
              <w:rPr>
                <w:rFonts w:ascii="Arial" w:cs="Arial" w:eastAsia="Arial" w:hAnsi="Arial"/>
                <w:sz w:val="16"/>
                <w:szCs w:val="16"/>
                <w:color w:val="0000FF"/>
              </w:rPr>
            </w:pPr>
            <w:hyperlink r:id="rId49">
              <w:r>
                <w:rPr>
                  <w:rFonts w:ascii="Arial" w:cs="Arial" w:eastAsia="Arial" w:hAnsi="Arial"/>
                  <w:sz w:val="16"/>
                  <w:szCs w:val="16"/>
                  <w:color w:val="0000FF"/>
                </w:rPr>
                <w:t>Form of 6.250% Senior Secured Note due 2028 (included in Exhibit 4.3)</w:t>
              </w:r>
            </w:hyperlink>
          </w:p>
        </w:tc>
      </w:tr>
      <w:tr>
        <w:trPr>
          <w:trHeight w:val="20"/>
        </w:trPr>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80" w:type="dxa"/>
            <w:vAlign w:val="bottom"/>
            <w:gridSpan w:val="2"/>
          </w:tcPr>
          <w:p>
            <w:pPr>
              <w:spacing w:after="0"/>
              <w:rPr>
                <w:sz w:val="20"/>
                <w:szCs w:val="20"/>
                <w:color w:val="auto"/>
              </w:rPr>
            </w:pPr>
            <w:r>
              <w:rPr>
                <w:rFonts w:ascii="Arial" w:cs="Arial" w:eastAsia="Arial" w:hAnsi="Arial"/>
                <w:sz w:val="14"/>
                <w:szCs w:val="14"/>
                <w:color w:val="0000FF"/>
                <w:w w:val="71"/>
              </w:rPr>
              <w:t>1.</w:t>
            </w:r>
            <w:r>
              <w:rPr>
                <w:rFonts w:ascii="Arial" w:cs="Arial" w:eastAsia="Arial" w:hAnsi="Arial"/>
                <w:sz w:val="14"/>
                <w:szCs w:val="14"/>
                <w:u w:val="single" w:color="auto"/>
                <w:color w:val="0000FF"/>
                <w:w w:val="71"/>
              </w:rPr>
              <w:t>1</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gridSpan w:val="15"/>
          </w:tcPr>
          <w:p>
            <w:pPr>
              <w:spacing w:after="0"/>
              <w:rPr>
                <w:sz w:val="20"/>
                <w:szCs w:val="20"/>
                <w:color w:val="auto"/>
              </w:rPr>
            </w:pPr>
            <w:r>
              <w:rPr>
                <w:rFonts w:ascii="Arial" w:cs="Arial" w:eastAsia="Arial" w:hAnsi="Arial"/>
                <w:sz w:val="16"/>
                <w:szCs w:val="16"/>
                <w:color w:val="0000FF"/>
              </w:rPr>
              <w:t>Certification by the Chief Executive Officer pursuant to Section 302 of the Sarbanes-Oxley Act of 2002 (filed herewith)</w:t>
            </w:r>
            <w:r>
              <w:rPr>
                <w:rFonts w:ascii="Arial" w:cs="Arial" w:eastAsia="Arial" w:hAnsi="Arial"/>
                <w:sz w:val="16"/>
                <w:szCs w:val="16"/>
                <w:color w:val="000000"/>
              </w:rPr>
              <w:t>.</w:t>
            </w:r>
          </w:p>
        </w:tc>
      </w:tr>
      <w:tr>
        <w:trPr>
          <w:trHeight w:val="20"/>
        </w:trPr>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80" w:type="dxa"/>
            <w:vAlign w:val="bottom"/>
            <w:gridSpan w:val="2"/>
          </w:tcPr>
          <w:p>
            <w:pPr>
              <w:spacing w:after="0"/>
              <w:rPr>
                <w:sz w:val="20"/>
                <w:szCs w:val="20"/>
                <w:color w:val="auto"/>
              </w:rPr>
            </w:pPr>
            <w:r>
              <w:rPr>
                <w:rFonts w:ascii="Arial" w:cs="Arial" w:eastAsia="Arial" w:hAnsi="Arial"/>
                <w:sz w:val="14"/>
                <w:szCs w:val="14"/>
                <w:color w:val="0000FF"/>
                <w:w w:val="71"/>
              </w:rPr>
              <w:t>1.</w:t>
            </w:r>
            <w:r>
              <w:rPr>
                <w:rFonts w:ascii="Arial" w:cs="Arial" w:eastAsia="Arial" w:hAnsi="Arial"/>
                <w:sz w:val="14"/>
                <w:szCs w:val="14"/>
                <w:u w:val="single" w:color="auto"/>
                <w:color w:val="0000FF"/>
                <w:w w:val="71"/>
              </w:rPr>
              <w:t>2</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gridSpan w:val="15"/>
          </w:tcPr>
          <w:p>
            <w:pPr>
              <w:spacing w:after="0"/>
              <w:rPr>
                <w:sz w:val="20"/>
                <w:szCs w:val="20"/>
                <w:color w:val="auto"/>
              </w:rPr>
            </w:pPr>
            <w:r>
              <w:rPr>
                <w:rFonts w:ascii="Arial" w:cs="Arial" w:eastAsia="Arial" w:hAnsi="Arial"/>
                <w:sz w:val="16"/>
                <w:szCs w:val="16"/>
                <w:color w:val="0000FF"/>
              </w:rPr>
              <w:t>Certification by the Chief Financial Officer pursuant to Section 302 of the Sarbanes-Oxley Act of 2002 (filed herewith).</w:t>
            </w:r>
          </w:p>
        </w:tc>
      </w:tr>
      <w:tr>
        <w:trPr>
          <w:trHeight w:val="20"/>
        </w:trPr>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80" w:type="dxa"/>
            <w:vAlign w:val="bottom"/>
            <w:gridSpan w:val="2"/>
          </w:tcPr>
          <w:p>
            <w:pPr>
              <w:spacing w:after="0"/>
              <w:rPr>
                <w:sz w:val="20"/>
                <w:szCs w:val="20"/>
                <w:color w:val="auto"/>
              </w:rPr>
            </w:pPr>
            <w:r>
              <w:rPr>
                <w:rFonts w:ascii="Arial" w:cs="Arial" w:eastAsia="Arial" w:hAnsi="Arial"/>
                <w:sz w:val="14"/>
                <w:szCs w:val="14"/>
                <w:color w:val="0000FF"/>
                <w:w w:val="71"/>
              </w:rPr>
              <w:t>2.</w:t>
            </w:r>
            <w:r>
              <w:rPr>
                <w:rFonts w:ascii="Arial" w:cs="Arial" w:eastAsia="Arial" w:hAnsi="Arial"/>
                <w:sz w:val="14"/>
                <w:szCs w:val="14"/>
                <w:u w:val="single" w:color="auto"/>
                <w:color w:val="0000FF"/>
                <w:w w:val="71"/>
              </w:rPr>
              <w:t>1</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gridSpan w:val="15"/>
          </w:tcPr>
          <w:p>
            <w:pPr>
              <w:spacing w:after="0"/>
              <w:rPr>
                <w:sz w:val="20"/>
                <w:szCs w:val="20"/>
                <w:color w:val="auto"/>
              </w:rPr>
            </w:pPr>
            <w:r>
              <w:rPr>
                <w:rFonts w:ascii="Arial" w:cs="Arial" w:eastAsia="Arial" w:hAnsi="Arial"/>
                <w:sz w:val="16"/>
                <w:szCs w:val="16"/>
                <w:color w:val="0000FF"/>
              </w:rPr>
              <w:t>Certification by the Chief Executive Officer pursuant to 18 U.S.C. Section 1350, as adopted pursuant to Section 906 of the</w:t>
            </w:r>
          </w:p>
        </w:tc>
      </w:tr>
      <w:tr>
        <w:trPr>
          <w:trHeight w:val="142"/>
        </w:trPr>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52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w w:val="99"/>
              </w:rPr>
              <w:t>Sarbanes-Oxley Act of 2002 (furnished herewith).</w:t>
            </w:r>
          </w:p>
        </w:tc>
        <w:tc>
          <w:tcPr>
            <w:tcW w:w="5180" w:type="dxa"/>
            <w:vAlign w:val="bottom"/>
            <w:tcBorders>
              <w:top w:val="single" w:sz="8" w:color="0000FF"/>
            </w:tcBorders>
            <w:gridSpan w:val="7"/>
          </w:tcPr>
          <w:p>
            <w:pPr>
              <w:spacing w:after="0"/>
              <w:rPr>
                <w:sz w:val="12"/>
                <w:szCs w:val="12"/>
                <w:color w:val="auto"/>
              </w:rPr>
            </w:pPr>
          </w:p>
        </w:tc>
        <w:tc>
          <w:tcPr>
            <w:tcW w:w="640" w:type="dxa"/>
            <w:vAlign w:val="bottom"/>
            <w:gridSpan w:val="5"/>
          </w:tcPr>
          <w:p>
            <w:pPr>
              <w:spacing w:after="0"/>
              <w:rPr>
                <w:sz w:val="12"/>
                <w:szCs w:val="12"/>
                <w:color w:val="auto"/>
              </w:rPr>
            </w:pPr>
          </w:p>
        </w:tc>
      </w:tr>
      <w:tr>
        <w:trPr>
          <w:trHeight w:val="196"/>
        </w:trPr>
        <w:tc>
          <w:tcPr>
            <w:tcW w:w="720" w:type="dxa"/>
            <w:vAlign w:val="bottom"/>
            <w:gridSpan w:val="3"/>
          </w:tcPr>
          <w:p>
            <w:pPr>
              <w:spacing w:after="0"/>
              <w:rPr>
                <w:sz w:val="20"/>
                <w:szCs w:val="20"/>
                <w:color w:val="auto"/>
              </w:rPr>
            </w:pPr>
            <w:r>
              <w:rPr>
                <w:rFonts w:ascii="Arial" w:cs="Arial" w:eastAsia="Arial" w:hAnsi="Arial"/>
                <w:sz w:val="16"/>
                <w:szCs w:val="16"/>
                <w:color w:val="0000FF"/>
              </w:rPr>
              <w:t>2.</w:t>
            </w:r>
            <w:r>
              <w:rPr>
                <w:rFonts w:ascii="Arial" w:cs="Arial" w:eastAsia="Arial" w:hAnsi="Arial"/>
                <w:sz w:val="16"/>
                <w:szCs w:val="16"/>
                <w:u w:val="single" w:color="auto"/>
                <w:color w:val="0000FF"/>
              </w:rPr>
              <w:t>2</w:t>
            </w:r>
          </w:p>
        </w:tc>
        <w:tc>
          <w:tcPr>
            <w:tcW w:w="340" w:type="dxa"/>
            <w:vAlign w:val="bottom"/>
          </w:tcPr>
          <w:p>
            <w:pPr>
              <w:spacing w:after="0"/>
              <w:rPr>
                <w:sz w:val="17"/>
                <w:szCs w:val="17"/>
                <w:color w:val="auto"/>
              </w:rPr>
            </w:pPr>
          </w:p>
        </w:tc>
        <w:tc>
          <w:tcPr>
            <w:tcW w:w="9340" w:type="dxa"/>
            <w:vAlign w:val="bottom"/>
            <w:gridSpan w:val="15"/>
          </w:tcPr>
          <w:p>
            <w:pPr>
              <w:spacing w:after="0"/>
              <w:rPr>
                <w:sz w:val="20"/>
                <w:szCs w:val="20"/>
                <w:color w:val="auto"/>
              </w:rPr>
            </w:pPr>
            <w:r>
              <w:rPr>
                <w:rFonts w:ascii="Arial" w:cs="Arial" w:eastAsia="Arial" w:hAnsi="Arial"/>
                <w:sz w:val="16"/>
                <w:szCs w:val="16"/>
                <w:color w:val="0000FF"/>
              </w:rPr>
              <w:t>Certification by the Chief Financial Officer pursuant to 18 U.S.C. Section 1350, as adopted pursuant to Section 906 of the</w:t>
            </w:r>
          </w:p>
        </w:tc>
      </w:tr>
      <w:tr>
        <w:trPr>
          <w:trHeight w:val="142"/>
        </w:trPr>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4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Sarbanes-Oxley Act of 2002 (furnished herewith).</w:t>
            </w:r>
          </w:p>
        </w:tc>
        <w:tc>
          <w:tcPr>
            <w:tcW w:w="700" w:type="dxa"/>
            <w:vAlign w:val="bottom"/>
            <w:gridSpan w:val="6"/>
          </w:tcPr>
          <w:p>
            <w:pPr>
              <w:spacing w:after="0"/>
              <w:rPr>
                <w:sz w:val="12"/>
                <w:szCs w:val="12"/>
                <w:color w:val="auto"/>
              </w:rPr>
            </w:pPr>
          </w:p>
        </w:tc>
      </w:tr>
      <w:tr>
        <w:trPr>
          <w:trHeight w:val="21"/>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7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7"/>
        </w:trPr>
        <w:tc>
          <w:tcPr>
            <w:tcW w:w="100" w:type="dxa"/>
            <w:vAlign w:val="bottom"/>
          </w:tcPr>
          <w:p>
            <w:pPr>
              <w:spacing w:after="0"/>
              <w:rPr>
                <w:sz w:val="20"/>
                <w:szCs w:val="20"/>
                <w:color w:val="auto"/>
              </w:rPr>
            </w:pPr>
            <w:r>
              <w:rPr>
                <w:rFonts w:ascii="Arial" w:cs="Arial" w:eastAsia="Arial" w:hAnsi="Arial"/>
                <w:sz w:val="13"/>
                <w:szCs w:val="13"/>
                <w:color w:val="auto"/>
                <w:w w:val="73"/>
              </w:rPr>
              <w:t>1.</w:t>
            </w:r>
          </w:p>
        </w:tc>
        <w:tc>
          <w:tcPr>
            <w:tcW w:w="62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INS</w:t>
            </w:r>
          </w:p>
        </w:tc>
        <w:tc>
          <w:tcPr>
            <w:tcW w:w="340" w:type="dxa"/>
            <w:vAlign w:val="bottom"/>
            <w:tcBorders>
              <w:right w:val="single" w:sz="8" w:color="CCEEFF"/>
            </w:tcBorders>
            <w:shd w:val="clear" w:color="auto" w:fill="CCEEFF"/>
          </w:tcPr>
          <w:p>
            <w:pPr>
              <w:spacing w:after="0"/>
              <w:rPr>
                <w:sz w:val="15"/>
                <w:szCs w:val="15"/>
                <w:color w:val="auto"/>
              </w:rPr>
            </w:pPr>
          </w:p>
        </w:tc>
        <w:tc>
          <w:tcPr>
            <w:tcW w:w="9340" w:type="dxa"/>
            <w:vAlign w:val="bottom"/>
            <w:gridSpan w:val="15"/>
            <w:shd w:val="clear" w:color="auto" w:fill="CCEEFF"/>
          </w:tcPr>
          <w:p>
            <w:pPr>
              <w:spacing w:after="0" w:line="178"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w:t>
            </w:r>
          </w:p>
        </w:tc>
      </w:tr>
      <w:tr>
        <w:trPr>
          <w:trHeight w:val="201"/>
        </w:trPr>
        <w:tc>
          <w:tcPr>
            <w:tcW w:w="10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tcBorders>
              <w:left w:val="single" w:sz="8" w:color="CCEEFF"/>
            </w:tcBorders>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9340" w:type="dxa"/>
            <w:vAlign w:val="bottom"/>
            <w:gridSpan w:val="15"/>
            <w:shd w:val="clear" w:color="auto" w:fill="CCEEFF"/>
          </w:tcPr>
          <w:p>
            <w:pPr>
              <w:spacing w:after="0"/>
              <w:rPr>
                <w:sz w:val="20"/>
                <w:szCs w:val="20"/>
                <w:color w:val="auto"/>
              </w:rPr>
            </w:pPr>
            <w:r>
              <w:rPr>
                <w:rFonts w:ascii="Arial" w:cs="Arial" w:eastAsia="Arial" w:hAnsi="Arial"/>
                <w:sz w:val="16"/>
                <w:szCs w:val="16"/>
                <w:color w:val="auto"/>
              </w:rPr>
              <w:t>embedded within the Inline XBRL document (furnished herewith).</w:t>
            </w:r>
          </w:p>
        </w:tc>
      </w:tr>
      <w:tr>
        <w:trPr>
          <w:trHeight w:val="213"/>
        </w:trPr>
        <w:tc>
          <w:tcPr>
            <w:tcW w:w="720" w:type="dxa"/>
            <w:vAlign w:val="bottom"/>
            <w:gridSpan w:val="3"/>
          </w:tcPr>
          <w:p>
            <w:pPr>
              <w:ind w:left="20"/>
              <w:spacing w:after="0"/>
              <w:rPr>
                <w:sz w:val="20"/>
                <w:szCs w:val="20"/>
                <w:color w:val="auto"/>
              </w:rPr>
            </w:pPr>
            <w:r>
              <w:rPr>
                <w:rFonts w:ascii="Arial" w:cs="Arial" w:eastAsia="Arial" w:hAnsi="Arial"/>
                <w:sz w:val="16"/>
                <w:szCs w:val="16"/>
                <w:color w:val="auto"/>
              </w:rPr>
              <w:t>.SCH</w:t>
            </w:r>
          </w:p>
        </w:tc>
        <w:tc>
          <w:tcPr>
            <w:tcW w:w="340" w:type="dxa"/>
            <w:vAlign w:val="bottom"/>
          </w:tcPr>
          <w:p>
            <w:pPr>
              <w:spacing w:after="0"/>
              <w:rPr>
                <w:sz w:val="18"/>
                <w:szCs w:val="18"/>
                <w:color w:val="auto"/>
              </w:rPr>
            </w:pPr>
          </w:p>
        </w:tc>
        <w:tc>
          <w:tcPr>
            <w:tcW w:w="9340" w:type="dxa"/>
            <w:vAlign w:val="bottom"/>
            <w:gridSpan w:val="15"/>
          </w:tcPr>
          <w:p>
            <w:pPr>
              <w:spacing w:after="0"/>
              <w:rPr>
                <w:sz w:val="20"/>
                <w:szCs w:val="20"/>
                <w:color w:val="auto"/>
              </w:rPr>
            </w:pPr>
            <w:r>
              <w:rPr>
                <w:rFonts w:ascii="Arial" w:cs="Arial" w:eastAsia="Arial" w:hAnsi="Arial"/>
                <w:sz w:val="16"/>
                <w:szCs w:val="16"/>
                <w:color w:val="auto"/>
              </w:rPr>
              <w:t>Inline XBRL Taxonomy Extension Schema Document (furnished herewith).</w:t>
            </w:r>
          </w:p>
        </w:tc>
      </w:tr>
      <w:tr>
        <w:trPr>
          <w:trHeight w:val="219"/>
        </w:trPr>
        <w:tc>
          <w:tcPr>
            <w:tcW w:w="100" w:type="dxa"/>
            <w:vAlign w:val="bottom"/>
          </w:tcPr>
          <w:p>
            <w:pPr>
              <w:spacing w:after="0"/>
              <w:rPr>
                <w:sz w:val="19"/>
                <w:szCs w:val="19"/>
                <w:color w:val="auto"/>
              </w:rPr>
            </w:pPr>
          </w:p>
        </w:tc>
        <w:tc>
          <w:tcPr>
            <w:tcW w:w="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.CAL</w:t>
            </w:r>
          </w:p>
        </w:tc>
        <w:tc>
          <w:tcPr>
            <w:tcW w:w="340" w:type="dxa"/>
            <w:vAlign w:val="bottom"/>
            <w:tcBorders>
              <w:right w:val="single" w:sz="8" w:color="CCEEFF"/>
            </w:tcBorders>
            <w:shd w:val="clear" w:color="auto" w:fill="CCEEFF"/>
          </w:tcPr>
          <w:p>
            <w:pPr>
              <w:spacing w:after="0"/>
              <w:rPr>
                <w:sz w:val="19"/>
                <w:szCs w:val="19"/>
                <w:color w:val="auto"/>
              </w:rPr>
            </w:pPr>
          </w:p>
        </w:tc>
        <w:tc>
          <w:tcPr>
            <w:tcW w:w="9340" w:type="dxa"/>
            <w:vAlign w:val="bottom"/>
            <w:gridSpan w:val="15"/>
            <w:shd w:val="clear" w:color="auto" w:fill="CCEEFF"/>
          </w:tcPr>
          <w:p>
            <w:pPr>
              <w:spacing w:after="0"/>
              <w:rPr>
                <w:sz w:val="20"/>
                <w:szCs w:val="20"/>
                <w:color w:val="auto"/>
              </w:rPr>
            </w:pPr>
            <w:r>
              <w:rPr>
                <w:rFonts w:ascii="Arial" w:cs="Arial" w:eastAsia="Arial" w:hAnsi="Arial"/>
                <w:sz w:val="16"/>
                <w:szCs w:val="16"/>
                <w:color w:val="auto"/>
              </w:rPr>
              <w:t>Inline XBRL Taxonomy Calculation Linkbase Document (furnished herewith).</w:t>
            </w:r>
          </w:p>
        </w:tc>
      </w:tr>
      <w:tr>
        <w:trPr>
          <w:trHeight w:val="213"/>
        </w:trPr>
        <w:tc>
          <w:tcPr>
            <w:tcW w:w="720" w:type="dxa"/>
            <w:vAlign w:val="bottom"/>
            <w:gridSpan w:val="3"/>
          </w:tcPr>
          <w:p>
            <w:pPr>
              <w:ind w:left="20"/>
              <w:spacing w:after="0"/>
              <w:rPr>
                <w:sz w:val="20"/>
                <w:szCs w:val="20"/>
                <w:color w:val="auto"/>
              </w:rPr>
            </w:pPr>
            <w:r>
              <w:rPr>
                <w:rFonts w:ascii="Arial" w:cs="Arial" w:eastAsia="Arial" w:hAnsi="Arial"/>
                <w:sz w:val="16"/>
                <w:szCs w:val="16"/>
                <w:color w:val="auto"/>
              </w:rPr>
              <w:t>.DEF</w:t>
            </w:r>
          </w:p>
        </w:tc>
        <w:tc>
          <w:tcPr>
            <w:tcW w:w="340" w:type="dxa"/>
            <w:vAlign w:val="bottom"/>
          </w:tcPr>
          <w:p>
            <w:pPr>
              <w:spacing w:after="0"/>
              <w:rPr>
                <w:sz w:val="18"/>
                <w:szCs w:val="18"/>
                <w:color w:val="auto"/>
              </w:rPr>
            </w:pPr>
          </w:p>
        </w:tc>
        <w:tc>
          <w:tcPr>
            <w:tcW w:w="9340" w:type="dxa"/>
            <w:vAlign w:val="bottom"/>
            <w:gridSpan w:val="15"/>
          </w:tcPr>
          <w:p>
            <w:pPr>
              <w:spacing w:after="0"/>
              <w:rPr>
                <w:sz w:val="20"/>
                <w:szCs w:val="20"/>
                <w:color w:val="auto"/>
              </w:rPr>
            </w:pPr>
            <w:r>
              <w:rPr>
                <w:rFonts w:ascii="Arial" w:cs="Arial" w:eastAsia="Arial" w:hAnsi="Arial"/>
                <w:sz w:val="16"/>
                <w:szCs w:val="16"/>
                <w:color w:val="auto"/>
              </w:rPr>
              <w:t>Inline XBRL Taxonomy Extension Definition Linkbase Document (furnished herewith).</w:t>
            </w:r>
          </w:p>
        </w:tc>
      </w:tr>
      <w:tr>
        <w:trPr>
          <w:trHeight w:val="219"/>
        </w:trPr>
        <w:tc>
          <w:tcPr>
            <w:tcW w:w="100" w:type="dxa"/>
            <w:vAlign w:val="bottom"/>
          </w:tcPr>
          <w:p>
            <w:pPr>
              <w:spacing w:after="0"/>
              <w:rPr>
                <w:sz w:val="19"/>
                <w:szCs w:val="19"/>
                <w:color w:val="auto"/>
              </w:rPr>
            </w:pPr>
          </w:p>
        </w:tc>
        <w:tc>
          <w:tcPr>
            <w:tcW w:w="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.LAB</w:t>
            </w:r>
          </w:p>
        </w:tc>
        <w:tc>
          <w:tcPr>
            <w:tcW w:w="340" w:type="dxa"/>
            <w:vAlign w:val="bottom"/>
            <w:tcBorders>
              <w:right w:val="single" w:sz="8" w:color="CCEEFF"/>
            </w:tcBorders>
            <w:shd w:val="clear" w:color="auto" w:fill="CCEEFF"/>
          </w:tcPr>
          <w:p>
            <w:pPr>
              <w:spacing w:after="0"/>
              <w:rPr>
                <w:sz w:val="19"/>
                <w:szCs w:val="19"/>
                <w:color w:val="auto"/>
              </w:rPr>
            </w:pPr>
          </w:p>
        </w:tc>
        <w:tc>
          <w:tcPr>
            <w:tcW w:w="9340" w:type="dxa"/>
            <w:vAlign w:val="bottom"/>
            <w:gridSpan w:val="15"/>
            <w:shd w:val="clear" w:color="auto" w:fill="CCEEFF"/>
          </w:tcPr>
          <w:p>
            <w:pPr>
              <w:spacing w:after="0"/>
              <w:rPr>
                <w:sz w:val="20"/>
                <w:szCs w:val="20"/>
                <w:color w:val="auto"/>
              </w:rPr>
            </w:pPr>
            <w:r>
              <w:rPr>
                <w:rFonts w:ascii="Arial" w:cs="Arial" w:eastAsia="Arial" w:hAnsi="Arial"/>
                <w:sz w:val="16"/>
                <w:szCs w:val="16"/>
                <w:color w:val="auto"/>
              </w:rPr>
              <w:t>Inline XBRL Taxonomy Label Linkbase Document (furnished herewith).</w:t>
            </w:r>
          </w:p>
        </w:tc>
      </w:tr>
      <w:tr>
        <w:trPr>
          <w:trHeight w:val="210"/>
        </w:trPr>
        <w:tc>
          <w:tcPr>
            <w:tcW w:w="720" w:type="dxa"/>
            <w:vAlign w:val="bottom"/>
            <w:gridSpan w:val="3"/>
          </w:tcPr>
          <w:p>
            <w:pPr>
              <w:ind w:left="20"/>
              <w:spacing w:after="0"/>
              <w:rPr>
                <w:sz w:val="20"/>
                <w:szCs w:val="20"/>
                <w:color w:val="auto"/>
              </w:rPr>
            </w:pPr>
            <w:r>
              <w:rPr>
                <w:rFonts w:ascii="Arial" w:cs="Arial" w:eastAsia="Arial" w:hAnsi="Arial"/>
                <w:sz w:val="16"/>
                <w:szCs w:val="16"/>
                <w:color w:val="auto"/>
              </w:rPr>
              <w:t>.PRE</w:t>
            </w:r>
          </w:p>
        </w:tc>
        <w:tc>
          <w:tcPr>
            <w:tcW w:w="340" w:type="dxa"/>
            <w:vAlign w:val="bottom"/>
          </w:tcPr>
          <w:p>
            <w:pPr>
              <w:spacing w:after="0"/>
              <w:rPr>
                <w:sz w:val="18"/>
                <w:szCs w:val="18"/>
                <w:color w:val="auto"/>
              </w:rPr>
            </w:pPr>
          </w:p>
        </w:tc>
        <w:tc>
          <w:tcPr>
            <w:tcW w:w="9340" w:type="dxa"/>
            <w:vAlign w:val="bottom"/>
            <w:gridSpan w:val="15"/>
          </w:tcPr>
          <w:p>
            <w:pPr>
              <w:spacing w:after="0"/>
              <w:rPr>
                <w:sz w:val="20"/>
                <w:szCs w:val="20"/>
                <w:color w:val="auto"/>
              </w:rPr>
            </w:pPr>
            <w:r>
              <w:rPr>
                <w:rFonts w:ascii="Arial" w:cs="Arial" w:eastAsia="Arial" w:hAnsi="Arial"/>
                <w:sz w:val="16"/>
                <w:szCs w:val="16"/>
                <w:color w:val="auto"/>
              </w:rPr>
              <w:t>Inline XBRL Taxonomy Presentation Linkbase Document (furnished herewith).</w:t>
            </w:r>
          </w:p>
        </w:tc>
      </w:tr>
      <w:tr>
        <w:trPr>
          <w:trHeight w:val="216"/>
        </w:trPr>
        <w:tc>
          <w:tcPr>
            <w:tcW w:w="180" w:type="dxa"/>
            <w:vAlign w:val="bottom"/>
            <w:gridSpan w:val="2"/>
          </w:tcPr>
          <w:p>
            <w:pPr>
              <w:ind w:left="20"/>
              <w:spacing w:after="0"/>
              <w:rPr>
                <w:sz w:val="20"/>
                <w:szCs w:val="20"/>
                <w:color w:val="auto"/>
              </w:rPr>
            </w:pPr>
            <w:r>
              <w:rPr>
                <w:rFonts w:ascii="Arial" w:cs="Arial" w:eastAsia="Arial" w:hAnsi="Arial"/>
                <w:sz w:val="15"/>
                <w:szCs w:val="15"/>
                <w:color w:val="auto"/>
                <w:w w:val="71"/>
              </w:rPr>
              <w:t>04</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340" w:type="dxa"/>
            <w:vAlign w:val="bottom"/>
            <w:gridSpan w:val="15"/>
          </w:tcPr>
          <w:p>
            <w:pPr>
              <w:spacing w:after="0"/>
              <w:rPr>
                <w:sz w:val="20"/>
                <w:szCs w:val="20"/>
                <w:color w:val="auto"/>
              </w:rPr>
            </w:pPr>
            <w:r>
              <w:rPr>
                <w:rFonts w:ascii="Arial" w:cs="Arial" w:eastAsia="Arial" w:hAnsi="Arial"/>
                <w:sz w:val="16"/>
                <w:szCs w:val="16"/>
                <w:color w:val="auto"/>
              </w:rPr>
              <w:t>Cover Page Interactive Data File (formatted in Inline XBRL and contained in Exhibit 101) (furnished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-2018665</wp:posOffset>
            </wp:positionV>
            <wp:extent cx="6532245"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6532245" cy="24003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-1538605</wp:posOffset>
            </wp:positionV>
            <wp:extent cx="6532245"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6532245" cy="24003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-132715</wp:posOffset>
            </wp:positionV>
            <wp:extent cx="6532245"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653224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57785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220" w:top="141" w:right="127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660"/>
        <w:spacing w:after="0" w:line="27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7400" w:type="dxa"/>
            <w:vAlign w:val="bottom"/>
            <w:gridSpan w:val="2"/>
          </w:tcPr>
          <w:p>
            <w:pPr>
              <w:ind w:left="1720"/>
              <w:spacing w:after="0"/>
              <w:rPr>
                <w:sz w:val="20"/>
                <w:szCs w:val="20"/>
                <w:color w:val="auto"/>
              </w:rPr>
            </w:pPr>
            <w:r>
              <w:rPr>
                <w:rFonts w:ascii="Arial" w:cs="Arial" w:eastAsia="Arial" w:hAnsi="Arial"/>
                <w:sz w:val="16"/>
                <w:szCs w:val="16"/>
                <w:color w:val="auto"/>
              </w:rPr>
              <w:t>WINNEBAGO INDUSTRIES, INC.</w:t>
            </w:r>
          </w:p>
        </w:tc>
      </w:tr>
      <w:tr>
        <w:trPr>
          <w:trHeight w:val="435"/>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980" w:type="dxa"/>
            <w:vAlign w:val="bottom"/>
          </w:tcPr>
          <w:p>
            <w:pPr>
              <w:ind w:left="160"/>
              <w:spacing w:after="0"/>
              <w:rPr>
                <w:sz w:val="20"/>
                <w:szCs w:val="20"/>
                <w:color w:val="auto"/>
              </w:rPr>
            </w:pPr>
            <w:r>
              <w:rPr>
                <w:rFonts w:ascii="Arial" w:cs="Arial" w:eastAsia="Arial" w:hAnsi="Arial"/>
                <w:sz w:val="16"/>
                <w:szCs w:val="16"/>
                <w:color w:val="auto"/>
              </w:rPr>
              <w:t>March 22, 2023</w:t>
            </w:r>
          </w:p>
        </w:tc>
        <w:tc>
          <w:tcPr>
            <w:tcW w:w="7400" w:type="dxa"/>
            <w:vAlign w:val="bottom"/>
            <w:gridSpan w:val="2"/>
          </w:tcPr>
          <w:p>
            <w:pPr>
              <w:ind w:left="17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J. Happe</w:t>
            </w:r>
          </w:p>
        </w:tc>
      </w:tr>
      <w:tr>
        <w:trPr>
          <w:trHeight w:val="261"/>
        </w:trPr>
        <w:tc>
          <w:tcPr>
            <w:tcW w:w="54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5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Michael J. Happe</w:t>
            </w:r>
          </w:p>
        </w:tc>
      </w:tr>
      <w:tr>
        <w:trPr>
          <w:trHeight w:val="283"/>
        </w:trPr>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Chief Executive Officer, President</w:t>
            </w:r>
          </w:p>
        </w:tc>
      </w:tr>
      <w:tr>
        <w:trPr>
          <w:trHeight w:val="216"/>
        </w:trPr>
        <w:tc>
          <w:tcPr>
            <w:tcW w:w="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435"/>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980" w:type="dxa"/>
            <w:vAlign w:val="bottom"/>
          </w:tcPr>
          <w:p>
            <w:pPr>
              <w:ind w:left="160"/>
              <w:spacing w:after="0"/>
              <w:rPr>
                <w:sz w:val="20"/>
                <w:szCs w:val="20"/>
                <w:color w:val="auto"/>
              </w:rPr>
            </w:pPr>
            <w:r>
              <w:rPr>
                <w:rFonts w:ascii="Arial" w:cs="Arial" w:eastAsia="Arial" w:hAnsi="Arial"/>
                <w:sz w:val="16"/>
                <w:szCs w:val="16"/>
                <w:color w:val="auto"/>
              </w:rPr>
              <w:t>March 22, 2023</w:t>
            </w:r>
          </w:p>
        </w:tc>
        <w:tc>
          <w:tcPr>
            <w:tcW w:w="7400" w:type="dxa"/>
            <w:vAlign w:val="bottom"/>
            <w:gridSpan w:val="2"/>
          </w:tcPr>
          <w:p>
            <w:pPr>
              <w:ind w:left="17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Bryan L. Hughes</w:t>
            </w:r>
          </w:p>
        </w:tc>
      </w:tr>
      <w:tr>
        <w:trPr>
          <w:trHeight w:val="207"/>
        </w:trPr>
        <w:tc>
          <w:tcPr>
            <w:tcW w:w="5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Bryan L. Hughes</w:t>
            </w:r>
          </w:p>
        </w:tc>
      </w:tr>
      <w:tr>
        <w:trPr>
          <w:trHeight w:val="216"/>
        </w:trPr>
        <w:tc>
          <w:tcPr>
            <w:tcW w:w="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Chief Financial Officer and Senior Vice President</w:t>
            </w:r>
          </w:p>
        </w:tc>
      </w:tr>
      <w:tr>
        <w:trPr>
          <w:trHeight w:val="216"/>
        </w:trPr>
        <w:tc>
          <w:tcPr>
            <w:tcW w:w="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0940"/>
          </w:cols>
          <w:pgMar w:left="320" w:top="141" w:right="6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31"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AS ADOPTED PURSUANT TO SECTION 302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Chief Executive Officer of Winnebago Industries, Inc., certify that:</w:t>
      </w:r>
    </w:p>
    <w:p>
      <w:pPr>
        <w:spacing w:after="0" w:line="248"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6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4"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left="340" w:right="180" w:hanging="332"/>
        <w:spacing w:after="0" w:line="26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0" w:lineRule="exact"/>
        <w:rPr>
          <w:rFonts w:ascii="Arial" w:cs="Arial" w:eastAsia="Arial" w:hAnsi="Arial"/>
          <w:sz w:val="16"/>
          <w:szCs w:val="16"/>
          <w:color w:val="auto"/>
        </w:rPr>
      </w:pPr>
    </w:p>
    <w:p>
      <w:pPr>
        <w:ind w:left="660" w:right="300" w:hanging="328"/>
        <w:spacing w:after="0" w:line="262"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4"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1" w:lineRule="exact"/>
        <w:rPr>
          <w:rFonts w:ascii="Arial" w:cs="Arial" w:eastAsia="Arial" w:hAnsi="Arial"/>
          <w:sz w:val="16"/>
          <w:szCs w:val="16"/>
          <w:color w:val="auto"/>
        </w:rPr>
      </w:pPr>
    </w:p>
    <w:p>
      <w:pPr>
        <w:jc w:val="both"/>
        <w:ind w:left="660" w:right="820" w:hanging="328"/>
        <w:spacing w:after="0" w:line="260" w:lineRule="auto"/>
        <w:tabs>
          <w:tab w:leader="none" w:pos="651"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5"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1" w:lineRule="exact"/>
        <w:rPr>
          <w:rFonts w:ascii="Arial" w:cs="Arial" w:eastAsia="Arial" w:hAnsi="Arial"/>
          <w:sz w:val="16"/>
          <w:szCs w:val="16"/>
          <w:color w:val="auto"/>
        </w:rPr>
      </w:pPr>
    </w:p>
    <w:p>
      <w:pPr>
        <w:ind w:left="340" w:right="440" w:hanging="332"/>
        <w:spacing w:after="0" w:line="260"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35"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360" w:hanging="328"/>
        <w:spacing w:after="0" w:line="278"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p>
      <w:pPr>
        <w:ind w:left="680"/>
        <w:spacing w:after="0"/>
        <w:tabs>
          <w:tab w:leader="none" w:pos="1560" w:val="left"/>
          <w:tab w:leader="none" w:pos="64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22, 2023</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20955</wp:posOffset>
            </wp:positionV>
            <wp:extent cx="25457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96"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Michael J. Happe</w:t>
      </w:r>
    </w:p>
    <w:p>
      <w:pPr>
        <w:spacing w:after="0" w:line="100"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31.2</w:t>
      </w:r>
    </w:p>
    <w:p>
      <w:pPr>
        <w:spacing w:after="0" w:line="25"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11"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AS ADOPTED PURSUANT TO SECTION 302</w:t>
      </w:r>
    </w:p>
    <w:p>
      <w:pPr>
        <w:spacing w:after="0" w:line="13"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OF THE SARBANES-OXLEY ACT OF 2002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 Bryan L. Hughes, Chief Financial Officer of Winnebago Industries, Inc., certify that:</w:t>
      </w:r>
    </w:p>
    <w:p>
      <w:pPr>
        <w:spacing w:after="0" w:line="248"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6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4"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left="340" w:right="180" w:hanging="332"/>
        <w:spacing w:after="0" w:line="26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0" w:lineRule="exact"/>
        <w:rPr>
          <w:rFonts w:ascii="Arial" w:cs="Arial" w:eastAsia="Arial" w:hAnsi="Arial"/>
          <w:sz w:val="16"/>
          <w:szCs w:val="16"/>
          <w:color w:val="auto"/>
        </w:rPr>
      </w:pPr>
    </w:p>
    <w:p>
      <w:pPr>
        <w:ind w:left="660" w:right="300" w:hanging="328"/>
        <w:spacing w:after="0" w:line="262"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4"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1" w:lineRule="exact"/>
        <w:rPr>
          <w:rFonts w:ascii="Arial" w:cs="Arial" w:eastAsia="Arial" w:hAnsi="Arial"/>
          <w:sz w:val="16"/>
          <w:szCs w:val="16"/>
          <w:color w:val="auto"/>
        </w:rPr>
      </w:pPr>
    </w:p>
    <w:p>
      <w:pPr>
        <w:jc w:val="both"/>
        <w:ind w:left="660" w:right="820" w:hanging="328"/>
        <w:spacing w:after="0" w:line="260" w:lineRule="auto"/>
        <w:tabs>
          <w:tab w:leader="none" w:pos="651"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5"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1" w:lineRule="exact"/>
        <w:rPr>
          <w:rFonts w:ascii="Arial" w:cs="Arial" w:eastAsia="Arial" w:hAnsi="Arial"/>
          <w:sz w:val="16"/>
          <w:szCs w:val="16"/>
          <w:color w:val="auto"/>
        </w:rPr>
      </w:pPr>
    </w:p>
    <w:p>
      <w:pPr>
        <w:ind w:left="340" w:right="440" w:hanging="332"/>
        <w:spacing w:after="0" w:line="260"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35"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360" w:hanging="328"/>
        <w:spacing w:after="0" w:line="278"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p>
      <w:pPr>
        <w:ind w:left="1140"/>
        <w:spacing w:after="0"/>
        <w:tabs>
          <w:tab w:leader="none" w:pos="1760" w:val="left"/>
          <w:tab w:leader="none" w:pos="6480" w:val="left"/>
        </w:tabs>
        <w:rPr>
          <w:sz w:val="20"/>
          <w:szCs w:val="20"/>
          <w:color w:val="auto"/>
        </w:rPr>
      </w:pPr>
      <w:r>
        <w:rPr>
          <w:rFonts w:ascii="Arial" w:cs="Arial" w:eastAsia="Arial" w:hAnsi="Arial"/>
          <w:sz w:val="16"/>
          <w:szCs w:val="16"/>
          <w:color w:val="auto"/>
        </w:rPr>
        <w:t>Date:</w:t>
        <w:tab/>
        <w:t>March 22, 2023</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20955</wp:posOffset>
            </wp:positionV>
            <wp:extent cx="24599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4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Senior Vice President, Chief Financial Officer</w:t>
      </w:r>
    </w:p>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5"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Michael J. Happe, Chief Executive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62" w:lineRule="exact"/>
        <w:rPr>
          <w:sz w:val="20"/>
          <w:szCs w:val="20"/>
          <w:color w:val="auto"/>
        </w:rPr>
      </w:pPr>
    </w:p>
    <w:p>
      <w:pPr>
        <w:ind w:left="660" w:right="800" w:hanging="328"/>
        <w:spacing w:after="0" w:line="260"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February 25, 2023 (the "Report") of the Company, fully complies with the requirements of Section 13(a) or 15(d) of the Securities Exchange Act of 1934,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86" w:lineRule="exact"/>
        <w:rPr>
          <w:sz w:val="20"/>
          <w:szCs w:val="20"/>
          <w:color w:val="auto"/>
        </w:rPr>
      </w:pPr>
    </w:p>
    <w:p>
      <w:pPr>
        <w:ind w:left="720"/>
        <w:spacing w:after="0"/>
        <w:tabs>
          <w:tab w:leader="none" w:pos="1540" w:val="left"/>
          <w:tab w:leader="none" w:pos="67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22, 2023</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20955</wp:posOffset>
            </wp:positionV>
            <wp:extent cx="27006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2700655" cy="8890"/>
                    </a:xfrm>
                    <a:prstGeom prst="rect">
                      <a:avLst/>
                    </a:prstGeom>
                    <a:noFill/>
                  </pic:spPr>
                </pic:pic>
              </a:graphicData>
            </a:graphic>
          </wp:anchor>
        </w:drawing>
      </w:r>
    </w:p>
    <w:p>
      <w:pPr>
        <w:spacing w:after="0" w:line="96"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Michael J. Happe</w:t>
      </w:r>
    </w:p>
    <w:p>
      <w:pPr>
        <w:spacing w:after="0" w:line="100"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auto"/>
        </w:rPr>
        <w:t>Exhibit 32.2</w:t>
      </w:r>
    </w:p>
    <w:p>
      <w:pPr>
        <w:spacing w:after="0" w:line="208"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25"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Bryan L. Hughes, Chief Financial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62" w:lineRule="exact"/>
        <w:rPr>
          <w:sz w:val="20"/>
          <w:szCs w:val="20"/>
          <w:color w:val="auto"/>
        </w:rPr>
      </w:pPr>
    </w:p>
    <w:p>
      <w:pPr>
        <w:ind w:left="660" w:right="800" w:hanging="328"/>
        <w:spacing w:after="0" w:line="260"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February 25, 2023 (the "Report") of the Company, fully complies with the requirements of Section 13(a) or 15(d) of the Securities Exchange Act of 1934,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86" w:lineRule="exact"/>
        <w:rPr>
          <w:sz w:val="20"/>
          <w:szCs w:val="20"/>
          <w:color w:val="auto"/>
        </w:rPr>
      </w:pPr>
    </w:p>
    <w:p>
      <w:pPr>
        <w:ind w:left="700"/>
        <w:spacing w:after="0"/>
        <w:tabs>
          <w:tab w:leader="none" w:pos="1400" w:val="left"/>
          <w:tab w:leader="none" w:pos="65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22, 2023</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20955</wp:posOffset>
            </wp:positionV>
            <wp:extent cx="26917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Senior Vice President,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20"/>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lowerLetter"/>
      <w:start w:val="3"/>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45" Type="http://schemas.openxmlformats.org/officeDocument/2006/relationships/hyperlink" Target="https://www.sec.gov/Archives/edgar/data/107687/000010768722000004/wgo-mnarticlesreincorporat.htm" TargetMode="External"/><Relationship Id="rId46" Type="http://schemas.openxmlformats.org/officeDocument/2006/relationships/hyperlink" Target="https://www.sec.gov/Archives/edgar/data/107687/000010768722000004/wgo-mnbylawsreincorporatio.htm" TargetMode="External"/><Relationship Id="rId47" Type="http://schemas.openxmlformats.org/officeDocument/2006/relationships/hyperlink" Target="http://www.sec.gov/Archives/edgar/data/107687/000110465919059604/a19-21005_2ex4d1.htm" TargetMode="External"/><Relationship Id="rId48" Type="http://schemas.openxmlformats.org/officeDocument/2006/relationships/hyperlink" Target="https://www.sec.gov/Archives/edgar/data/0000107687/000110465920082433/tm2024371d1_ex4-1.htm" TargetMode="External"/><Relationship Id="rId49" Type="http://schemas.openxmlformats.org/officeDocument/2006/relationships/hyperlink" Target="https://www.sec.gov/Archives/edgar/data/107687/000110465920082433/tm2024371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2023-03-22T16:24:41Z</dcterms:created>
  <dcterms:modified xsi:type="dcterms:W3CDTF">2023-03-22T16:24:41Z</dcterms:modified>
</cp:coreProperties>
</file>