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92075</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1"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45085</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x</w:t>
      </w:r>
    </w:p>
    <w:p>
      <w:pPr>
        <w:spacing w:after="0" w:line="7"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0"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For the quarterly period ended May 25, 2019</w:t>
      </w:r>
    </w:p>
    <w:p>
      <w:pPr>
        <w:spacing w:after="0" w:line="181"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2960" w:right="2740" w:hanging="2925"/>
        <w:spacing w:after="0" w:line="509" w:lineRule="auto"/>
        <w:tabs>
          <w:tab w:leader="none" w:pos="387"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Times New Roman" w:cs="Times New Roman" w:eastAsia="Times New Roman" w:hAnsi="Times New Roman"/>
          <w:sz w:val="16"/>
          <w:szCs w:val="16"/>
          <w:color w:val="auto"/>
        </w:rPr>
      </w:pPr>
    </w:p>
    <w:p>
      <w:pPr>
        <w:ind w:left="43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144780</wp:posOffset>
            </wp:positionV>
            <wp:extent cx="302704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20"/>
                <w:szCs w:val="20"/>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79"/>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8"/>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33020</wp:posOffset>
            </wp:positionV>
            <wp:extent cx="2418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1" w:lineRule="exact"/>
        <w:rPr>
          <w:sz w:val="24"/>
          <w:szCs w:val="24"/>
          <w:color w:val="auto"/>
        </w:rPr>
      </w:pPr>
    </w:p>
    <w:p>
      <w:pPr>
        <w:jc w:val="both"/>
        <w:ind w:right="160"/>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139" w:lineRule="exact"/>
        <w:rPr>
          <w:sz w:val="24"/>
          <w:szCs w:val="24"/>
          <w:color w:val="auto"/>
        </w:rPr>
      </w:pPr>
    </w:p>
    <w:p>
      <w:pPr>
        <w:ind w:right="60"/>
        <w:spacing w:after="0" w:line="268"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 w:cs="Times New Roman" w:eastAsia="Times New Roman" w:hAnsi="Times New Roman"/>
          <w:sz w:val="16"/>
          <w:szCs w:val="16"/>
          <w:color w:val="auto"/>
        </w:rPr>
        <w:t xml:space="preserve">x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o</w:t>
      </w:r>
    </w:p>
    <w:p>
      <w:pPr>
        <w:spacing w:after="0" w:line="138" w:lineRule="exact"/>
        <w:rPr>
          <w:sz w:val="24"/>
          <w:szCs w:val="24"/>
          <w:color w:val="auto"/>
        </w:rPr>
      </w:pPr>
    </w:p>
    <w:p>
      <w:pPr>
        <w:ind w:right="2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927" w:right="219" w:bottom="1440" w:gutter="0" w:footer="0" w:header="0"/>
        </w:sectPr>
      </w:pPr>
    </w:p>
    <w:p>
      <w:pPr>
        <w:spacing w:after="0" w:line="111" w:lineRule="exact"/>
        <w:rPr>
          <w:sz w:val="24"/>
          <w:szCs w:val="24"/>
          <w:color w:val="auto"/>
        </w:rPr>
      </w:pPr>
    </w:p>
    <w:p>
      <w:pPr>
        <w:ind w:left="40"/>
        <w:spacing w:after="0"/>
        <w:rPr>
          <w:sz w:val="20"/>
          <w:szCs w:val="20"/>
          <w:color w:val="auto"/>
        </w:rPr>
      </w:pPr>
      <w:r>
        <w:rPr>
          <w:rFonts w:ascii="Arial" w:cs="Arial" w:eastAsia="Arial" w:hAnsi="Arial"/>
          <w:sz w:val="16"/>
          <w:szCs w:val="16"/>
          <w:color w:val="auto"/>
        </w:rPr>
        <w:t xml:space="preserve">Large accelerated filer </w:t>
      </w: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Non-accelerated filer </w:t>
      </w:r>
      <w:r>
        <w:rPr>
          <w:rFonts w:ascii="Times New Roman" w:cs="Times New Roman" w:eastAsia="Times New Roman" w:hAnsi="Times New Roman"/>
          <w:sz w:val="16"/>
          <w:szCs w:val="16"/>
          <w:color w:val="auto"/>
        </w:rPr>
        <w:t>o</w:t>
      </w:r>
    </w:p>
    <w:p>
      <w:pPr>
        <w:spacing w:after="0" w:line="85" w:lineRule="exact"/>
        <w:rPr>
          <w:sz w:val="24"/>
          <w:szCs w:val="24"/>
          <w:color w:val="auto"/>
        </w:rPr>
      </w:pPr>
    </w:p>
    <w:p>
      <w:pPr>
        <w:sectPr>
          <w:pgSz w:w="11900" w:h="16838" w:orient="portrait"/>
          <w:cols w:equalWidth="0" w:num="4">
            <w:col w:w="2520" w:space="720"/>
            <w:col w:w="1160" w:space="80"/>
            <w:col w:w="1560" w:space="720"/>
            <w:col w:w="4680"/>
          </w:cols>
          <w:pgMar w:left="240" w:top="927"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xml:space="preserve">Smaller reporting company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Emerging growth company </w:t>
      </w:r>
      <w:r>
        <w:rPr>
          <w:rFonts w:ascii="Times New Roman" w:cs="Times New Roman" w:eastAsia="Times New Roman" w:hAnsi="Times New Roman"/>
          <w:sz w:val="16"/>
          <w:szCs w:val="16"/>
          <w:color w:val="auto"/>
        </w:rPr>
        <w:t>o</w:t>
      </w:r>
    </w:p>
    <w:p>
      <w:pPr>
        <w:spacing w:after="0" w:line="200" w:lineRule="exact"/>
        <w:rPr>
          <w:sz w:val="24"/>
          <w:szCs w:val="24"/>
          <w:color w:val="auto"/>
        </w:rPr>
      </w:pPr>
    </w:p>
    <w:p>
      <w:pPr>
        <w:sectPr>
          <w:pgSz w:w="11900" w:h="16838" w:orient="portrait"/>
          <w:cols w:equalWidth="0" w:num="2">
            <w:col w:w="2520" w:space="720"/>
            <w:col w:w="8200"/>
          </w:cols>
          <w:pgMar w:left="240" w:top="927" w:right="219" w:bottom="1440" w:gutter="0" w:footer="0" w:header="0"/>
          <w:type w:val="continuous"/>
        </w:sectPr>
      </w:pPr>
    </w:p>
    <w:p>
      <w:pPr>
        <w:spacing w:after="0" w:line="47" w:lineRule="exact"/>
        <w:rPr>
          <w:sz w:val="24"/>
          <w:szCs w:val="24"/>
          <w:color w:val="auto"/>
        </w:rPr>
      </w:pPr>
    </w:p>
    <w:p>
      <w:pPr>
        <w:ind w:right="32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par value $0.50 per share, outstanding on June 14, 2019 was 31,618,011.</w:t>
      </w:r>
    </w:p>
    <w:p>
      <w:pPr>
        <w:sectPr>
          <w:pgSz w:w="11900" w:h="16838" w:orient="portrait"/>
          <w:cols w:equalWidth="0" w:num="1">
            <w:col w:w="11440"/>
          </w:cols>
          <w:pgMar w:left="240" w:top="927"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rFonts w:ascii="Arial" w:cs="Arial" w:eastAsia="Arial" w:hAnsi="Arial"/>
                <w:sz w:val="16"/>
                <w:szCs w:val="16"/>
                <w:b w:val="1"/>
                <w:bCs w:val="1"/>
                <w:color w:val="0000EE"/>
                <w:w w:val="80"/>
              </w:rPr>
            </w:pPr>
            <w:hyperlink w:anchor="page3">
              <w:r>
                <w:rPr>
                  <w:rFonts w:ascii="Arial" w:cs="Arial" w:eastAsia="Arial" w:hAnsi="Arial"/>
                  <w:sz w:val="16"/>
                  <w:szCs w:val="16"/>
                  <w:b w:val="1"/>
                  <w:bCs w:val="1"/>
                  <w:color w:val="0000EE"/>
                  <w:w w:val="80"/>
                </w:rPr>
                <w:t>PART I.</w:t>
              </w:r>
            </w:hyperlink>
          </w:p>
        </w:tc>
        <w:tc>
          <w:tcPr>
            <w:tcW w:w="260" w:type="dxa"/>
            <w:vAlign w:val="bottom"/>
            <w:gridSpan w:val="2"/>
          </w:tcPr>
          <w:p>
            <w:pPr>
              <w:spacing w:after="0"/>
              <w:rPr>
                <w:sz w:val="16"/>
                <w:szCs w:val="16"/>
                <w:color w:val="auto"/>
              </w:rPr>
            </w:pPr>
          </w:p>
        </w:tc>
        <w:tc>
          <w:tcPr>
            <w:tcW w:w="6580" w:type="dxa"/>
            <w:vAlign w:val="bottom"/>
            <w:gridSpan w:val="17"/>
          </w:tcPr>
          <w:p>
            <w:pPr>
              <w:ind w:left="160"/>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40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
              <w:r>
                <w:rPr>
                  <w:rFonts w:ascii="Arial" w:cs="Arial" w:eastAsia="Arial" w:hAnsi="Arial"/>
                  <w:sz w:val="16"/>
                  <w:szCs w:val="16"/>
                  <w:color w:val="0000EE"/>
                  <w:w w:val="93"/>
                </w:rPr>
                <w:t>Item 1.</w:t>
              </w:r>
            </w:hyperlink>
          </w:p>
        </w:tc>
        <w:tc>
          <w:tcPr>
            <w:tcW w:w="260" w:type="dxa"/>
            <w:vAlign w:val="bottom"/>
            <w:gridSpan w:val="2"/>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Financial Statements.</w:t>
              </w:r>
            </w:hyperlink>
          </w:p>
        </w:tc>
        <w:tc>
          <w:tcPr>
            <w:tcW w:w="40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gridSpan w:val="1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Statements of Income and Comprehensive Income</w:t>
              </w:r>
            </w:hyperlink>
          </w:p>
        </w:tc>
        <w:tc>
          <w:tcPr>
            <w:tcW w:w="40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r>
      <w:tr>
        <w:trPr>
          <w:trHeight w:val="250"/>
        </w:trPr>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0" w:type="dxa"/>
            <w:vAlign w:val="bottom"/>
            <w:tcBorders>
              <w:top w:val="single" w:sz="8" w:color="0000EE"/>
              <w:bottom w:val="single" w:sz="8" w:color="0000EE"/>
            </w:tcBorders>
            <w:gridSpan w:val="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2500" w:type="dxa"/>
            <w:vAlign w:val="bottom"/>
            <w:tcBorders>
              <w:top w:val="single" w:sz="8" w:color="0000EE"/>
            </w:tcBorders>
            <w:gridSpan w:val="7"/>
          </w:tcPr>
          <w:p>
            <w:pPr>
              <w:spacing w:after="0"/>
              <w:rPr>
                <w:sz w:val="21"/>
                <w:szCs w:val="21"/>
                <w:color w:val="auto"/>
              </w:rPr>
            </w:pPr>
          </w:p>
        </w:tc>
        <w:tc>
          <w:tcPr>
            <w:tcW w:w="680" w:type="dxa"/>
            <w:vAlign w:val="bottom"/>
          </w:tcPr>
          <w:p>
            <w:pPr>
              <w:spacing w:after="0"/>
              <w:rPr>
                <w:sz w:val="21"/>
                <w:szCs w:val="21"/>
                <w:color w:val="auto"/>
              </w:rPr>
            </w:pPr>
          </w:p>
        </w:tc>
        <w:tc>
          <w:tcPr>
            <w:tcW w:w="39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50"/>
        </w:trPr>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60" w:type="dxa"/>
            <w:vAlign w:val="bottom"/>
            <w:tcBorders>
              <w:bottom w:val="single" w:sz="8" w:color="0000EE"/>
            </w:tcBorders>
            <w:gridSpan w:val="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2420" w:type="dxa"/>
            <w:vAlign w:val="bottom"/>
            <w:gridSpan w:val="6"/>
          </w:tcPr>
          <w:p>
            <w:pPr>
              <w:spacing w:after="0"/>
              <w:rPr>
                <w:sz w:val="21"/>
                <w:szCs w:val="21"/>
                <w:color w:val="auto"/>
              </w:rPr>
            </w:pPr>
          </w:p>
        </w:tc>
        <w:tc>
          <w:tcPr>
            <w:tcW w:w="39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5</w:t>
              </w:r>
            </w:hyperlink>
          </w:p>
        </w:tc>
      </w:tr>
      <w:tr>
        <w:trPr>
          <w:trHeight w:val="250"/>
        </w:trPr>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40" w:type="dxa"/>
            <w:vAlign w:val="bottom"/>
            <w:tcBorders>
              <w:bottom w:val="single" w:sz="8" w:color="0000EE"/>
            </w:tcBorders>
            <w:gridSpan w:val="12"/>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Changes in Stockholders' Equity</w:t>
              </w:r>
            </w:hyperlink>
          </w:p>
        </w:tc>
        <w:tc>
          <w:tcPr>
            <w:tcW w:w="940" w:type="dxa"/>
            <w:vAlign w:val="bottom"/>
            <w:gridSpan w:val="2"/>
          </w:tcPr>
          <w:p>
            <w:pPr>
              <w:spacing w:after="0"/>
              <w:rPr>
                <w:sz w:val="21"/>
                <w:szCs w:val="21"/>
                <w:color w:val="auto"/>
              </w:rPr>
            </w:pPr>
          </w:p>
        </w:tc>
        <w:tc>
          <w:tcPr>
            <w:tcW w:w="39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6</w:t>
              </w:r>
            </w:hyperlink>
          </w:p>
        </w:tc>
      </w:tr>
      <w:tr>
        <w:trPr>
          <w:trHeight w:val="250"/>
        </w:trPr>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gridSpan w:val="14"/>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402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8</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8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6"/>
                <w:szCs w:val="16"/>
                <w:color w:val="0000EE"/>
                <w:w w:val="93"/>
              </w:rPr>
            </w:pPr>
            <w:hyperlink w:anchor="page21">
              <w:r>
                <w:rPr>
                  <w:rFonts w:ascii="Arial" w:cs="Arial" w:eastAsia="Arial" w:hAnsi="Arial"/>
                  <w:sz w:val="16"/>
                  <w:szCs w:val="16"/>
                  <w:color w:val="0000EE"/>
                  <w:w w:val="93"/>
                </w:rPr>
                <w:t>Item 2.</w:t>
              </w:r>
            </w:hyperlink>
          </w:p>
        </w:tc>
        <w:tc>
          <w:tcPr>
            <w:tcW w:w="260" w:type="dxa"/>
            <w:vAlign w:val="bottom"/>
            <w:gridSpan w:val="2"/>
          </w:tcPr>
          <w:p>
            <w:pPr>
              <w:spacing w:after="0"/>
              <w:rPr>
                <w:sz w:val="21"/>
                <w:szCs w:val="21"/>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40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0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3.</w:t>
              </w:r>
            </w:hyperlink>
          </w:p>
        </w:tc>
        <w:tc>
          <w:tcPr>
            <w:tcW w:w="260" w:type="dxa"/>
            <w:vAlign w:val="bottom"/>
            <w:gridSpan w:val="2"/>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1">
              <w:r>
                <w:rPr>
                  <w:rFonts w:ascii="Arial" w:cs="Arial" w:eastAsia="Arial" w:hAnsi="Arial"/>
                  <w:sz w:val="16"/>
                  <w:szCs w:val="16"/>
                  <w:color w:val="0000EE"/>
                </w:rPr>
                <w:t>Quantitative and Qualitative Disclosures About Market Risk.</w:t>
              </w:r>
            </w:hyperlink>
          </w:p>
        </w:tc>
        <w:tc>
          <w:tcPr>
            <w:tcW w:w="40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0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4.</w:t>
              </w:r>
            </w:hyperlink>
          </w:p>
        </w:tc>
        <w:tc>
          <w:tcPr>
            <w:tcW w:w="260" w:type="dxa"/>
            <w:vAlign w:val="bottom"/>
            <w:gridSpan w:val="2"/>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2">
              <w:r>
                <w:rPr>
                  <w:rFonts w:ascii="Arial" w:cs="Arial" w:eastAsia="Arial" w:hAnsi="Arial"/>
                  <w:sz w:val="16"/>
                  <w:szCs w:val="16"/>
                  <w:color w:val="0000EE"/>
                </w:rPr>
                <w:t>Controls and Procedures.</w:t>
              </w:r>
            </w:hyperlink>
          </w:p>
        </w:tc>
        <w:tc>
          <w:tcPr>
            <w:tcW w:w="402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00" w:type="dxa"/>
            <w:vAlign w:val="bottom"/>
            <w:gridSpan w:val="2"/>
          </w:tcPr>
          <w:p>
            <w:pPr>
              <w:spacing w:after="0"/>
              <w:rPr>
                <w:rFonts w:ascii="Arial" w:cs="Arial" w:eastAsia="Arial" w:hAnsi="Arial"/>
                <w:sz w:val="16"/>
                <w:szCs w:val="16"/>
                <w:b w:val="1"/>
                <w:bCs w:val="1"/>
                <w:color w:val="0000EE"/>
                <w:w w:val="91"/>
              </w:rPr>
            </w:pPr>
            <w:hyperlink w:anchor="page33">
              <w:r>
                <w:rPr>
                  <w:rFonts w:ascii="Arial" w:cs="Arial" w:eastAsia="Arial" w:hAnsi="Arial"/>
                  <w:sz w:val="16"/>
                  <w:szCs w:val="16"/>
                  <w:b w:val="1"/>
                  <w:bCs w:val="1"/>
                  <w:color w:val="0000EE"/>
                  <w:w w:val="91"/>
                </w:rPr>
                <w:t>PART II.</w:t>
              </w:r>
            </w:hyperlink>
          </w:p>
        </w:tc>
        <w:tc>
          <w:tcPr>
            <w:tcW w:w="160" w:type="dxa"/>
            <w:vAlign w:val="bottom"/>
          </w:tcPr>
          <w:p>
            <w:pPr>
              <w:spacing w:after="0"/>
              <w:rPr>
                <w:sz w:val="24"/>
                <w:szCs w:val="24"/>
                <w:color w:val="auto"/>
              </w:rPr>
            </w:pPr>
          </w:p>
        </w:tc>
        <w:tc>
          <w:tcPr>
            <w:tcW w:w="6580" w:type="dxa"/>
            <w:vAlign w:val="bottom"/>
            <w:gridSpan w:val="17"/>
          </w:tcPr>
          <w:p>
            <w:pPr>
              <w:ind w:left="160"/>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OTHER INFORMATION.</w:t>
              </w:r>
            </w:hyperlink>
          </w:p>
        </w:tc>
        <w:tc>
          <w:tcPr>
            <w:tcW w:w="402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1.</w:t>
              </w:r>
            </w:hyperlink>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3">
              <w:r>
                <w:rPr>
                  <w:rFonts w:ascii="Arial" w:cs="Arial" w:eastAsia="Arial" w:hAnsi="Arial"/>
                  <w:sz w:val="16"/>
                  <w:szCs w:val="16"/>
                  <w:color w:val="0000EE"/>
                </w:rPr>
                <w:t>Legal Proceedings.</w:t>
              </w:r>
            </w:hyperlink>
          </w:p>
        </w:tc>
        <w:tc>
          <w:tcPr>
            <w:tcW w:w="402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600" w:type="dxa"/>
            <w:vAlign w:val="bottom"/>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1A.</w:t>
              </w:r>
            </w:hyperlink>
          </w:p>
        </w:tc>
        <w:tc>
          <w:tcPr>
            <w:tcW w:w="160" w:type="dxa"/>
            <w:vAlign w:val="bottom"/>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3">
              <w:r>
                <w:rPr>
                  <w:rFonts w:ascii="Arial" w:cs="Arial" w:eastAsia="Arial" w:hAnsi="Arial"/>
                  <w:sz w:val="16"/>
                  <w:szCs w:val="16"/>
                  <w:color w:val="0000EE"/>
                </w:rPr>
                <w:t>Risk Factors.</w:t>
              </w:r>
            </w:hyperlink>
          </w:p>
        </w:tc>
        <w:tc>
          <w:tcPr>
            <w:tcW w:w="402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2.</w:t>
              </w:r>
            </w:hyperlink>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3">
              <w:r>
                <w:rPr>
                  <w:rFonts w:ascii="Arial" w:cs="Arial" w:eastAsia="Arial" w:hAnsi="Arial"/>
                  <w:sz w:val="16"/>
                  <w:szCs w:val="16"/>
                  <w:color w:val="0000EE"/>
                </w:rPr>
                <w:t>Unregistered Sales of Equity Securities and Use of Proceeds.</w:t>
              </w:r>
            </w:hyperlink>
          </w:p>
        </w:tc>
        <w:tc>
          <w:tcPr>
            <w:tcW w:w="402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0" w:type="dxa"/>
            <w:vAlign w:val="bottom"/>
            <w:gridSpan w:val="10"/>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4">
              <w:r>
                <w:rPr>
                  <w:rFonts w:ascii="Arial" w:cs="Arial" w:eastAsia="Arial" w:hAnsi="Arial"/>
                  <w:sz w:val="16"/>
                  <w:szCs w:val="16"/>
                  <w:color w:val="0000EE"/>
                  <w:w w:val="93"/>
                </w:rPr>
                <w:t>Item 6.</w:t>
              </w:r>
            </w:hyperlink>
          </w:p>
        </w:tc>
        <w:tc>
          <w:tcPr>
            <w:tcW w:w="260" w:type="dxa"/>
            <w:vAlign w:val="bottom"/>
            <w:gridSpan w:val="2"/>
          </w:tcPr>
          <w:p>
            <w:pPr>
              <w:spacing w:after="0"/>
              <w:rPr>
                <w:sz w:val="19"/>
                <w:szCs w:val="19"/>
                <w:color w:val="auto"/>
              </w:rPr>
            </w:pPr>
          </w:p>
        </w:tc>
        <w:tc>
          <w:tcPr>
            <w:tcW w:w="6580" w:type="dxa"/>
            <w:vAlign w:val="bottom"/>
            <w:gridSpan w:val="17"/>
          </w:tcPr>
          <w:p>
            <w:pPr>
              <w:ind w:left="160"/>
              <w:spacing w:after="0"/>
              <w:rPr>
                <w:rFonts w:ascii="Arial" w:cs="Arial" w:eastAsia="Arial" w:hAnsi="Arial"/>
                <w:sz w:val="16"/>
                <w:szCs w:val="16"/>
                <w:color w:val="0000EE"/>
              </w:rPr>
            </w:pPr>
            <w:hyperlink w:anchor="page34">
              <w:r>
                <w:rPr>
                  <w:rFonts w:ascii="Arial" w:cs="Arial" w:eastAsia="Arial" w:hAnsi="Arial"/>
                  <w:sz w:val="16"/>
                  <w:szCs w:val="16"/>
                  <w:color w:val="0000EE"/>
                </w:rPr>
                <w:t>Exhibits.</w:t>
              </w:r>
            </w:hyperlink>
          </w:p>
        </w:tc>
        <w:tc>
          <w:tcPr>
            <w:tcW w:w="402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20" w:type="dxa"/>
            <w:vAlign w:val="bottom"/>
            <w:gridSpan w:val="1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7340" w:type="dxa"/>
            <w:vAlign w:val="bottom"/>
            <w:gridSpan w:val="20"/>
          </w:tcPr>
          <w:p>
            <w:pPr>
              <w:spacing w:after="0"/>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SIGNATURES</w:t>
              </w:r>
            </w:hyperlink>
          </w:p>
        </w:tc>
        <w:tc>
          <w:tcPr>
            <w:tcW w:w="402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69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gridSpan w:val="2"/>
          </w:tcPr>
          <w:p>
            <w:pPr>
              <w:spacing w:after="0"/>
              <w:rPr>
                <w:sz w:val="24"/>
                <w:szCs w:val="24"/>
                <w:color w:val="auto"/>
              </w:rPr>
            </w:pPr>
          </w:p>
        </w:tc>
        <w:tc>
          <w:tcPr>
            <w:tcW w:w="5360" w:type="dxa"/>
            <w:vAlign w:val="bottom"/>
            <w:gridSpan w:val="13"/>
          </w:tcPr>
          <w:p>
            <w:pPr>
              <w:jc w:val="right"/>
              <w:ind w:right="68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360"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ind w:right="5520"/>
        <w:spacing w:after="0" w:line="276"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528,940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562,261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1,455,278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1,480,641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442,356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476,747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1,231,269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1,264,635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86,584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85,514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224,009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216,006</w:t>
            </w: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95,381</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37,237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113,507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101,302</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110,502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114,704</w:t>
            </w: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13,871</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44,205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101,045</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28,478</w:t>
            </w:r>
          </w:p>
        </w:tc>
        <w:tc>
          <w:tcPr>
            <w:tcW w:w="0" w:type="dxa"/>
            <w:vAlign w:val="bottom"/>
          </w:tcPr>
          <w:p>
            <w:pPr>
              <w:spacing w:after="0"/>
              <w:rPr>
                <w:sz w:val="1"/>
                <w:szCs w:val="1"/>
                <w:color w:val="auto"/>
              </w:rPr>
            </w:pPr>
          </w:p>
        </w:tc>
      </w:tr>
      <w:tr>
        <w:trPr>
          <w:trHeight w:val="28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36,171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79,930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72,567</w:t>
            </w:r>
          </w:p>
        </w:tc>
        <w:tc>
          <w:tcPr>
            <w:tcW w:w="0" w:type="dxa"/>
            <w:vAlign w:val="bottom"/>
          </w:tcPr>
          <w:p>
            <w:pPr>
              <w:spacing w:after="0"/>
              <w:rPr>
                <w:sz w:val="1"/>
                <w:szCs w:val="1"/>
                <w:color w:val="auto"/>
              </w:rPr>
            </w:pPr>
          </w:p>
        </w:tc>
      </w:tr>
      <w:tr>
        <w:trPr>
          <w:trHeight w:val="279"/>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31,617</w:t>
            </w:r>
          </w:p>
        </w:tc>
        <w:tc>
          <w:tcPr>
            <w:tcW w:w="0" w:type="dxa"/>
            <w:vAlign w:val="bottom"/>
          </w:tcPr>
          <w:p>
            <w:pPr>
              <w:spacing w:after="0"/>
              <w:rPr>
                <w:sz w:val="1"/>
                <w:szCs w:val="1"/>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31,644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31,753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31,722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31,825</w:t>
            </w: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79,930</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72,567</w:t>
            </w: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80"/>
              <w:spacing w:after="0"/>
              <w:rPr>
                <w:sz w:val="20"/>
                <w:szCs w:val="20"/>
                <w:color w:val="auto"/>
              </w:rPr>
            </w:pPr>
            <w:r>
              <w:rPr>
                <w:rFonts w:ascii="Arial" w:cs="Arial" w:eastAsia="Arial" w:hAnsi="Arial"/>
                <w:sz w:val="16"/>
                <w:szCs w:val="16"/>
                <w:color w:val="auto"/>
              </w:rPr>
              <w:t>Amortization of net actuarial loss (net of tax of $3, $3, $8,</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80"/>
              <w:spacing w:after="0"/>
              <w:rPr>
                <w:sz w:val="20"/>
                <w:szCs w:val="20"/>
                <w:color w:val="auto"/>
              </w:rPr>
            </w:pPr>
            <w:r>
              <w:rPr>
                <w:rFonts w:ascii="Arial" w:cs="Arial" w:eastAsia="Arial" w:hAnsi="Arial"/>
                <w:sz w:val="16"/>
                <w:szCs w:val="16"/>
                <w:color w:val="auto"/>
              </w:rPr>
              <w:t>and $9)</w:t>
            </w:r>
          </w:p>
        </w:tc>
        <w:tc>
          <w:tcPr>
            <w:tcW w:w="3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 (net of tax of $114,</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$42, $327, and $877)</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comprehensive income (loss)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74,633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Receivables, less allowance for doubtful accounts ($163 and $197, respectively)</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185,546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164,585</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190,883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9,883</w:t>
            </w:r>
          </w:p>
        </w:tc>
        <w:tc>
          <w:tcPr>
            <w:tcW w:w="0" w:type="dxa"/>
            <w:vAlign w:val="bottom"/>
          </w:tcPr>
          <w:p>
            <w:pPr>
              <w:spacing w:after="0"/>
              <w:rPr>
                <w:sz w:val="1"/>
                <w:szCs w:val="1"/>
                <w:color w:val="auto"/>
              </w:rPr>
            </w:pPr>
          </w:p>
        </w:tc>
      </w:tr>
      <w:tr>
        <w:trPr>
          <w:trHeight w:val="250"/>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391,085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371,938</w:t>
            </w:r>
          </w:p>
        </w:tc>
        <w:tc>
          <w:tcPr>
            <w:tcW w:w="0" w:type="dxa"/>
            <w:vAlign w:val="bottom"/>
          </w:tcPr>
          <w:p>
            <w:pPr>
              <w:spacing w:after="0"/>
              <w:rPr>
                <w:sz w:val="1"/>
                <w:szCs w:val="1"/>
                <w:color w:val="auto"/>
              </w:rPr>
            </w:pPr>
          </w:p>
        </w:tc>
      </w:tr>
      <w:tr>
        <w:trPr>
          <w:trHeight w:val="249"/>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275,657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274,370</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258,513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71"/>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1,083,203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65"/>
        </w:trPr>
        <w:tc>
          <w:tcPr>
            <w:tcW w:w="1260" w:type="dxa"/>
            <w:vAlign w:val="bottom"/>
            <w:shd w:val="clear" w:color="auto" w:fill="CCEEFF"/>
          </w:tcPr>
          <w:p>
            <w:pPr>
              <w:spacing w:after="0"/>
              <w:rPr>
                <w:sz w:val="23"/>
                <w:szCs w:val="23"/>
                <w:color w:val="auto"/>
              </w:rPr>
            </w:pPr>
          </w:p>
        </w:tc>
        <w:tc>
          <w:tcPr>
            <w:tcW w:w="6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84,304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81,039</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15,655</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29,350</w:t>
            </w:r>
          </w:p>
        </w:tc>
        <w:tc>
          <w:tcPr>
            <w:tcW w:w="0" w:type="dxa"/>
            <w:vAlign w:val="bottom"/>
          </w:tcPr>
          <w:p>
            <w:pPr>
              <w:spacing w:after="0"/>
              <w:rPr>
                <w:sz w:val="1"/>
                <w:szCs w:val="1"/>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Product warranties</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43,624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40,498</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12,262</w:t>
            </w:r>
          </w:p>
        </w:tc>
        <w:tc>
          <w:tcPr>
            <w:tcW w:w="0" w:type="dxa"/>
            <w:vAlign w:val="bottom"/>
          </w:tcPr>
          <w:p>
            <w:pPr>
              <w:spacing w:after="0"/>
              <w:rPr>
                <w:sz w:val="1"/>
                <w:szCs w:val="1"/>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15,046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11,017</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10,810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11,269</w:t>
            </w:r>
          </w:p>
        </w:tc>
        <w:tc>
          <w:tcPr>
            <w:tcW w:w="0" w:type="dxa"/>
            <w:vAlign w:val="bottom"/>
          </w:tcPr>
          <w:p>
            <w:pPr>
              <w:spacing w:after="0"/>
              <w:rPr>
                <w:sz w:val="1"/>
                <w:szCs w:val="1"/>
                <w:color w:val="auto"/>
              </w:rPr>
            </w:pPr>
          </w:p>
        </w:tc>
      </w:tr>
      <w:tr>
        <w:trPr>
          <w:trHeight w:val="271"/>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204,851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253,071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291,441</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7"/>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275,359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313,175</w:t>
            </w:r>
          </w:p>
        </w:tc>
        <w:tc>
          <w:tcPr>
            <w:tcW w:w="0" w:type="dxa"/>
            <w:vAlign w:val="bottom"/>
          </w:tcPr>
          <w:p>
            <w:pPr>
              <w:spacing w:after="0"/>
              <w:rPr>
                <w:sz w:val="1"/>
                <w:szCs w:val="1"/>
                <w:color w:val="auto"/>
              </w:rPr>
            </w:pPr>
          </w:p>
        </w:tc>
      </w:tr>
      <w:tr>
        <w:trPr>
          <w:trHeight w:val="256"/>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Contingent liabilities and commitments (Note 11)</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Preferred stock, par value $0.01: Authorized-10,000 shares; Issued-none</w:t>
            </w:r>
          </w:p>
        </w:tc>
        <w:tc>
          <w:tcPr>
            <w:tcW w:w="3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25,888</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89,896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86,223</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838,506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768,816</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71"/>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Treasury stock, at cost: 20,271 and 20,243 shares, respectively</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(351,195)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(347,374)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602,993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534,445</w:t>
            </w: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1,083,203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82"/>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12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r>
      <w:tr>
        <w:trPr>
          <w:trHeight w:val="23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79,930</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72,567</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6,679</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5,921</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1,222</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Last in, first-out expense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4,983</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4,807</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194</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(24,595)</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(36,351)</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3,320</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9,617</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71"/>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4,692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12,491</w:t>
            </w:r>
          </w:p>
        </w:tc>
      </w:tr>
      <w:tr>
        <w:trPr>
          <w:trHeight w:val="250"/>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82,849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61,012</w:t>
            </w:r>
          </w:p>
        </w:tc>
      </w:tr>
      <w:tr>
        <w:trPr>
          <w:trHeight w:val="230"/>
        </w:trPr>
        <w:tc>
          <w:tcPr>
            <w:tcW w:w="12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(18,123)</w:t>
            </w: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(17,890)</w:t>
            </w:r>
          </w:p>
        </w:tc>
      </w:tr>
      <w:tr>
        <w:trPr>
          <w:trHeight w:val="230"/>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Borrowings on credit agreement</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342,549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19,700</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(43,700)</w:t>
            </w: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(9,557)</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(6,481)</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(40,038)</w:t>
            </w:r>
          </w:p>
        </w:tc>
      </w:tr>
      <w:tr>
        <w:trPr>
          <w:trHeight w:val="230"/>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3,084</w:t>
            </w:r>
          </w:p>
        </w:tc>
      </w:tr>
      <w:tr>
        <w:trPr>
          <w:trHeight w:val="26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35,945</w:t>
            </w:r>
          </w:p>
        </w:tc>
      </w:tr>
      <w:tr>
        <w:trPr>
          <w:trHeight w:val="242"/>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39,029</w:t>
            </w: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1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Income taxes paid, net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33,852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24,833</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11,935</w:t>
            </w:r>
          </w:p>
        </w:tc>
      </w:tr>
      <w:tr>
        <w:trPr>
          <w:trHeight w:val="266"/>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55"/>
        </w:trPr>
        <w:tc>
          <w:tcPr>
            <w:tcW w:w="8120" w:type="dxa"/>
            <w:vAlign w:val="bottom"/>
            <w:gridSpan w:val="2"/>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Three Months Ended May 25, 2019</w:t>
            </w: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6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40" w:type="dxa"/>
            <w:vAlign w:val="bottom"/>
            <w:vMerge w:val="restart"/>
          </w:tcPr>
          <w:p>
            <w:pPr>
              <w:ind w:left="40"/>
              <w:spacing w:after="0" w:line="133"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right"/>
              <w:ind w:right="12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gridSpan w:val="2"/>
            <w:vMerge w:val="restart"/>
          </w:tcPr>
          <w:p>
            <w:pPr>
              <w:jc w:val="center"/>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February 23, 2019</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89,682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805,851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(351,007)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570,666</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1,118</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dividends; $0.11 per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Actuarial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interest rate</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swap,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36,171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36,171</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May 25, 2019</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89,896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838,506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(351,195)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602,993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Nine Months Ended May 25, 2019</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6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40" w:type="dxa"/>
            <w:vAlign w:val="bottom"/>
            <w:vMerge w:val="restart"/>
          </w:tcPr>
          <w:p>
            <w:pPr>
              <w:ind w:left="40"/>
              <w:spacing w:after="0" w:line="133"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right"/>
              <w:ind w:right="12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gridSpan w:val="2"/>
            <w:vMerge w:val="restart"/>
          </w:tcPr>
          <w:p>
            <w:pPr>
              <w:jc w:val="center"/>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2740" w:type="dxa"/>
            <w:vAlign w:val="bottom"/>
          </w:tcPr>
          <w:p>
            <w:pPr>
              <w:ind w:left="40"/>
              <w:spacing w:after="0"/>
              <w:rPr>
                <w:sz w:val="20"/>
                <w:szCs w:val="20"/>
                <w:color w:val="auto"/>
              </w:rPr>
            </w:pPr>
            <w:r>
              <w:rPr>
                <w:rFonts w:ascii="Arial" w:cs="Arial" w:eastAsia="Arial" w:hAnsi="Arial"/>
                <w:sz w:val="14"/>
                <w:szCs w:val="14"/>
                <w:color w:val="auto"/>
              </w:rPr>
              <w:t>Balances at August 25, 2018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86,223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768,816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(347,374)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534,445</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5,752</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Issuance of restricted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(2,056)</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3,584</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stock under ESPP</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(7,724)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(7,724)</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dividends; $0.32 per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(10,240)</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Actuarial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interest rate</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swap,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79,930</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79,930</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May 25, 2019</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89,896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838,506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(351,195)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602,993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Three Months Ended May 26, 2018</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6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40" w:type="dxa"/>
            <w:vAlign w:val="bottom"/>
            <w:vMerge w:val="restart"/>
          </w:tcPr>
          <w:p>
            <w:pPr>
              <w:ind w:left="40"/>
              <w:spacing w:after="0" w:line="133"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right"/>
              <w:ind w:right="12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gridSpan w:val="2"/>
            <w:vMerge w:val="restart"/>
          </w:tcPr>
          <w:p>
            <w:pPr>
              <w:jc w:val="center"/>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2740" w:type="dxa"/>
            <w:vAlign w:val="bottom"/>
          </w:tcPr>
          <w:p>
            <w:pPr>
              <w:ind w:left="40"/>
              <w:spacing w:after="0"/>
              <w:rPr>
                <w:sz w:val="20"/>
                <w:szCs w:val="20"/>
                <w:color w:val="auto"/>
              </w:rPr>
            </w:pPr>
            <w:r>
              <w:rPr>
                <w:rFonts w:ascii="Arial" w:cs="Arial" w:eastAsia="Arial" w:hAnsi="Arial"/>
                <w:sz w:val="14"/>
                <w:szCs w:val="14"/>
                <w:color w:val="auto"/>
              </w:rPr>
              <w:t>Balances at February 24, 2018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80,721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712,809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(342,516)</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477,809</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3,515</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Issuance of restricted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Common stock dividends; $0.10 per</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4"/>
                <w:szCs w:val="14"/>
                <w:color w:val="auto"/>
              </w:rPr>
              <w:t>share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(3,182)</w:t>
            </w:r>
          </w:p>
        </w:tc>
        <w:tc>
          <w:tcPr>
            <w:tcW w:w="16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(3,182)</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loss,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Change in fair value of interest rate</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4"/>
                <w:szCs w:val="14"/>
                <w:color w:val="auto"/>
              </w:rPr>
              <w:t>swap,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32,521</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32,521</w:t>
            </w: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Arial" w:cs="Arial" w:eastAsia="Arial" w:hAnsi="Arial"/>
                <w:sz w:val="14"/>
                <w:szCs w:val="14"/>
                <w:color w:val="auto"/>
              </w:rPr>
              <w:t>Balances at May 26, 2018</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84,179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742,148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(347,437)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505,821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 (continued)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Nine Months Ended May 26, 2018</w:t>
            </w: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18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6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33"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ind w:right="188"/>
              <w:spacing w:after="0" w:line="133"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4"/>
                <w:szCs w:val="4"/>
                <w:color w:val="auto"/>
              </w:rPr>
            </w:pPr>
          </w:p>
        </w:tc>
        <w:tc>
          <w:tcPr>
            <w:tcW w:w="840" w:type="dxa"/>
            <w:vAlign w:val="bottom"/>
            <w:vMerge w:val="restart"/>
          </w:tcPr>
          <w:p>
            <w:pPr>
              <w:jc w:val="right"/>
              <w:ind w:right="10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right"/>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26, 2017</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679,138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(342,730)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441,674</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5,403</w:t>
            </w:r>
          </w:p>
        </w:tc>
        <w:tc>
          <w:tcPr>
            <w:tcW w:w="1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4"/>
                <w:szCs w:val="14"/>
                <w:color w:val="auto"/>
              </w:rPr>
              <w:t>Repurchase of common stock</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(6,481)</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(6,481)</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dividends; $0.30 per</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(9,557)</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(9,557)</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4"/>
                <w:szCs w:val="14"/>
                <w:color w:val="auto"/>
              </w:rPr>
              <w:t>Actuarial loss, net of tax</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fair value of interest rate</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swap, net of tax</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72,567</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72,567</w:t>
            </w:r>
          </w:p>
        </w:tc>
        <w:tc>
          <w:tcPr>
            <w:tcW w:w="0" w:type="dxa"/>
            <w:vAlign w:val="bottom"/>
          </w:tcPr>
          <w:p>
            <w:pPr>
              <w:spacing w:after="0"/>
              <w:rPr>
                <w:sz w:val="1"/>
                <w:szCs w:val="1"/>
                <w:color w:val="auto"/>
              </w:rPr>
            </w:pPr>
          </w:p>
        </w:tc>
      </w:tr>
      <w:tr>
        <w:trPr>
          <w:trHeight w:val="214"/>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26, 2018</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84,179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742,148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1,043</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(347,437)</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505,821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Unless the context otherwise requires, the use of the terms "Winnebago Industries," "WGO," "we," "us," and "our" in these Notes to Condensed Consolidated Financial Statements refers to Winnebago Industries, Inc. and its wholly-owned subsidiaries.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Interim results are not necessarily indicative of the results to be expected for the full year. The interim Condensed Consolidated Financial Statements included in this Quarterly Report on Form 10-Q should be read in conjunction with the audited Consolidated Financial Statements included in our Annual Report on Form 10-K for the fiscal year ended August 25, 2018.</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follow a 52-/53-week fiscal year, ending the last Saturday in August. Fiscal 2019 is a 53-week year, while Fiscal 2018 was a 52-week year. The extra (53rd) week in Fiscal 2019 will be recognized in our fourth quarter.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96"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In preparing the accompanying unaudited Condensed Consolidated Financial Statements, we evaluated subsequent events for potential recognition and disclosure through the date of this filing. There were no material 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This ASU and the related amendments must be adopted on a modified retrospective basis to either each prior reporting period presented or as of the beginning of the period of adoption. Based on the effective dates, we expect to adopt the new guidance in the first quarter of Fiscal 2020 using the modified retrospective basis as of the beginning of the period of adoption. We have established an implementation plan and have made progress on this plan including surveying our businesses, assessing our lease population, and compiling information on our active leases. In addition, we are determining needed changes to our policies, business processes, internal controls, and disclosures. Based on our analysis, we do not expect a material impact to our consolidated financial statements.</w:t>
      </w:r>
    </w:p>
    <w:p>
      <w:pPr>
        <w:spacing w:after="0" w:line="34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expect to adopt the new guidance in the first quarter of Fiscal 2020, and we do not expect a material impact to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the first quarter of Fiscal 2019,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five-step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We elected the modified retrospective method of adoption, which we applied to contracts not completed as of the initial date of adoption. Application of the transition requirements had no material impact on operations or beginning retained earnings. While certain control processes and procedures were updated for this adoption, the changes did not have a material impact on our internal control over financial reporting framework.</w:t>
      </w:r>
    </w:p>
    <w:p>
      <w:pPr>
        <w:spacing w:after="0" w:line="15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Also in the first quarter of Fiscal 2019, we retrospectively adopted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The adoption of this standard did not materially impact our statements of cash flows, and no cash flow reclassifications were required for the prior period.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Segments</w:t>
      </w:r>
    </w:p>
    <w:p>
      <w:pPr>
        <w:spacing w:after="0" w:line="196" w:lineRule="exact"/>
        <w:rPr>
          <w:sz w:val="20"/>
          <w:szCs w:val="20"/>
          <w:color w:val="auto"/>
        </w:rPr>
      </w:pPr>
    </w:p>
    <w:p>
      <w:pPr>
        <w:ind w:right="500"/>
        <w:spacing w:after="0" w:line="269" w:lineRule="auto"/>
        <w:rPr>
          <w:sz w:val="20"/>
          <w:szCs w:val="20"/>
          <w:color w:val="auto"/>
        </w:rPr>
      </w:pPr>
      <w:r>
        <w:rPr>
          <w:rFonts w:ascii="Arial" w:cs="Arial" w:eastAsia="Arial" w:hAnsi="Arial"/>
          <w:sz w:val="16"/>
          <w:szCs w:val="16"/>
          <w:color w:val="auto"/>
        </w:rPr>
        <w:t>In the fourth quarter of Fiscal 2018, we revised our segment presentation. We have five operating segments: 1) Winnebago motorhomes, 2) Winnebago towables, 3) Grand Design towables, 4) Winnebago specialty vehicles, and 5) Chris-Craft marine. We evaluate performance based on each operating segment's Adjusted EBITDA, as defined below, which excludes certain corporate administration expenses and non-operating income and expense.</w:t>
      </w:r>
    </w:p>
    <w:p>
      <w:pPr>
        <w:spacing w:after="0" w:line="13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3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3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Prior period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began to dedicate leadership and focus on these operations separately from our Winnebago motorhomes operations.</w:t>
      </w:r>
    </w:p>
    <w:p>
      <w:pPr>
        <w:spacing w:after="0" w:line="138"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 xml:space="preserve">Our chief operating decision maker ("CODM") is our Chief Executive Officer. Our CODM relies on internal management reporting that analyzes consolidated results to the net earnings level and operating segment's Adjusted EBITDA. Our CODM has ultimate responsibility for enterprise decisions. Our CODM determines, in particular, resource allocation for, and monitors the performance of, the consolidated enterprise, the Motorhome segment, and the Towable segment. The operating segments'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of the Notes to Consolidated Financial Statements included in our Annual Report on Form 10-K for the fiscal year ended August 25, 2018.</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evaluate the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costs, restructuring expenses, and non-operating income.</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60"/>
          </w:cols>
          <w:pgMar w:left="240" w:top="12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700" w:type="dxa"/>
            <w:vAlign w:val="bottom"/>
            <w:gridSpan w:val="2"/>
          </w:tcPr>
          <w:p>
            <w:pPr>
              <w:spacing w:after="0"/>
              <w:rPr>
                <w:sz w:val="20"/>
                <w:szCs w:val="20"/>
                <w:color w:val="auto"/>
              </w:rPr>
            </w:pPr>
            <w:r>
              <w:rPr>
                <w:rFonts w:ascii="Arial" w:cs="Arial" w:eastAsia="Arial" w:hAnsi="Arial"/>
                <w:sz w:val="16"/>
                <w:szCs w:val="16"/>
                <w:color w:val="auto"/>
              </w:rPr>
              <w:t>The following table shows information by reportable segment: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25,</w:t>
            </w:r>
          </w:p>
        </w:tc>
        <w:tc>
          <w:tcPr>
            <w:tcW w:w="22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26,</w:t>
            </w:r>
          </w:p>
        </w:tc>
        <w:tc>
          <w:tcPr>
            <w:tcW w:w="22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25,</w:t>
            </w:r>
          </w:p>
        </w:tc>
        <w:tc>
          <w:tcPr>
            <w:tcW w:w="220" w:type="dxa"/>
            <w:vAlign w:val="bottom"/>
          </w:tcPr>
          <w:p>
            <w:pPr>
              <w:spacing w:after="0"/>
              <w:rPr>
                <w:sz w:val="16"/>
                <w:szCs w:val="16"/>
                <w:color w:val="auto"/>
              </w:rPr>
            </w:pPr>
          </w:p>
        </w:tc>
        <w:tc>
          <w:tcPr>
            <w:tcW w:w="138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26,</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160,239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244,870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506,229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632,148</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346,811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313,016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890,335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839,039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21,890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9,454</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528,940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562,261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1,455,278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1,480,641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11,677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16,716</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22,264</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45,378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121,638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115,066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(9,176)</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128,154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2,643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10,740</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Corporate / All Other</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25,</w:t>
            </w:r>
          </w:p>
        </w:tc>
        <w:tc>
          <w:tcPr>
            <w:tcW w:w="220" w:type="dxa"/>
            <w:vAlign w:val="bottom"/>
          </w:tcPr>
          <w:p>
            <w:pPr>
              <w:spacing w:after="0"/>
              <w:rPr>
                <w:sz w:val="24"/>
                <w:szCs w:val="24"/>
                <w:color w:val="auto"/>
              </w:rPr>
            </w:pPr>
          </w:p>
        </w:tc>
        <w:tc>
          <w:tcPr>
            <w:tcW w:w="138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336,334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322,048</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637,371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626,588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109,498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103,169</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1,083,203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25, 2019</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May 26, 2018</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May 25, 2019</w:t>
            </w:r>
          </w:p>
        </w:tc>
        <w:tc>
          <w:tcPr>
            <w:tcW w:w="220" w:type="dxa"/>
            <w:vAlign w:val="bottom"/>
          </w:tcPr>
          <w:p>
            <w:pPr>
              <w:spacing w:after="0"/>
              <w:rPr>
                <w:sz w:val="22"/>
                <w:szCs w:val="22"/>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May 26, 2018</w:t>
            </w:r>
          </w:p>
        </w:tc>
        <w:tc>
          <w:tcPr>
            <w:tcW w:w="0" w:type="dxa"/>
            <w:vAlign w:val="bottom"/>
          </w:tcPr>
          <w:p>
            <w:pPr>
              <w:spacing w:after="0"/>
              <w:rPr>
                <w:sz w:val="1"/>
                <w:szCs w:val="1"/>
                <w:color w:val="auto"/>
              </w:rPr>
            </w:pPr>
          </w:p>
        </w:tc>
      </w:tr>
      <w:tr>
        <w:trPr>
          <w:trHeight w:val="254"/>
        </w:trPr>
        <w:tc>
          <w:tcPr>
            <w:tcW w:w="47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36,171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79,930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72,567</w:t>
            </w:r>
          </w:p>
        </w:tc>
        <w:tc>
          <w:tcPr>
            <w:tcW w:w="0" w:type="dxa"/>
            <w:vAlign w:val="bottom"/>
          </w:tcPr>
          <w:p>
            <w:pPr>
              <w:spacing w:after="0"/>
              <w:rPr>
                <w:sz w:val="1"/>
                <w:szCs w:val="1"/>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13,871</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28,478</w:t>
            </w:r>
          </w:p>
        </w:tc>
        <w:tc>
          <w:tcPr>
            <w:tcW w:w="0" w:type="dxa"/>
            <w:vAlign w:val="bottom"/>
          </w:tcPr>
          <w:p>
            <w:pPr>
              <w:spacing w:after="0"/>
              <w:rPr>
                <w:sz w:val="1"/>
                <w:szCs w:val="1"/>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9,788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5,921</w:t>
            </w:r>
          </w:p>
        </w:tc>
        <w:tc>
          <w:tcPr>
            <w:tcW w:w="0" w:type="dxa"/>
            <w:vAlign w:val="bottom"/>
          </w:tcPr>
          <w:p>
            <w:pPr>
              <w:spacing w:after="0"/>
              <w:rPr>
                <w:sz w:val="1"/>
                <w:szCs w:val="1"/>
                <w:color w:val="auto"/>
              </w:rPr>
            </w:pPr>
          </w:p>
        </w:tc>
      </w:tr>
      <w:tr>
        <w:trPr>
          <w:trHeight w:val="249"/>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55,132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128,824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127,516</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55,874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53,361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128,815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128,154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w:t>
      </w:r>
      <w:r>
        <w:rPr>
          <w:rFonts w:ascii="Times New Roman" w:cs="Times New Roman" w:eastAsia="Times New Roman" w:hAnsi="Times New Roman"/>
          <w:sz w:val="18"/>
          <w:szCs w:val="18"/>
          <w:b w:val="1"/>
          <w:bCs w:val="1"/>
          <w:color w:val="auto"/>
        </w:rPr>
        <w:t>:</w:t>
      </w:r>
      <w:r>
        <w:rPr>
          <w:rFonts w:ascii="Arial" w:cs="Arial" w:eastAsia="Arial" w:hAnsi="Arial"/>
          <w:sz w:val="16"/>
          <w:szCs w:val="16"/>
          <w:b w:val="1"/>
          <w:bCs w:val="1"/>
          <w:color w:val="auto"/>
        </w:rPr>
        <w:t xml:space="preserve"> 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disaggregates revenue by reportable segment and product category: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Motorhome:</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148,816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241,680</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Class B</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41,363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49,715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162,343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112,292</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C</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67,674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109,092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176,059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258,552</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6,064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5,970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19,011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19,624</w:t>
            </w:r>
          </w:p>
        </w:tc>
      </w:tr>
      <w:tr>
        <w:trPr>
          <w:trHeight w:val="25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Motorhome</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160,239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244,870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506,229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632,148</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Towable:</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201,561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179,046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519,093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474,075</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140,709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130,286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358,497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355,681</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12,745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9,283</w:t>
            </w:r>
          </w:p>
        </w:tc>
      </w:tr>
      <w:tr>
        <w:trPr>
          <w:trHeight w:val="242"/>
        </w:trPr>
        <w:tc>
          <w:tcPr>
            <w:tcW w:w="4700" w:type="dxa"/>
            <w:vAlign w:val="bottom"/>
          </w:tcPr>
          <w:p>
            <w:pPr>
              <w:ind w:left="280"/>
              <w:spacing w:after="0"/>
              <w:rPr>
                <w:sz w:val="20"/>
                <w:szCs w:val="20"/>
                <w:color w:val="auto"/>
              </w:rPr>
            </w:pPr>
            <w:r>
              <w:rPr>
                <w:rFonts w:ascii="Arial" w:cs="Arial" w:eastAsia="Arial" w:hAnsi="Arial"/>
                <w:sz w:val="16"/>
                <w:szCs w:val="16"/>
                <w:color w:val="auto"/>
              </w:rPr>
              <w:t>Total Towable</w:t>
            </w:r>
          </w:p>
        </w:tc>
        <w:tc>
          <w:tcPr>
            <w:tcW w:w="30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346,811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313,016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890,335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839,039</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 All Other:</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21,890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58,714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9,454</w:t>
            </w:r>
          </w:p>
        </w:tc>
      </w:tr>
      <w:tr>
        <w:trPr>
          <w:trHeight w:val="244"/>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Corporate / All Other</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21,890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9,454</w:t>
            </w:r>
          </w:p>
        </w:tc>
      </w:tr>
      <w:tr>
        <w:trPr>
          <w:trHeight w:val="242"/>
        </w:trPr>
        <w:tc>
          <w:tcPr>
            <w:tcW w:w="4700" w:type="dxa"/>
            <w:vAlign w:val="bottom"/>
          </w:tcPr>
          <w:p>
            <w:pPr>
              <w:ind w:left="38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528,940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562,261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1,455,278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1,480,641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Relates to marine and specialty vehicle units, parts, accessories, and services.</w:t>
      </w:r>
    </w:p>
    <w:p>
      <w:pPr>
        <w:spacing w:after="0" w:line="167"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We generate all of our operating revenue from contracts with customers. Our primary source of revenue is generated through the sale of manufactured motorized units, non-motorized towable units, and marine units to our independent dealer network (our customers). We also generate income through the sale of certain parts and services, acting as the principal in these arrangements. We apply the new revenue standard requirements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 Revenue is recognized when control of the promised goods or services is transferred to our customers, in an amount that reflects the transaction price consideration that we expect to receive in exchange for those goods or services. Control refers to the ability of the customer to direct the use of, and obtain substantially all of, the remaining benefits from the goods or services. Our transaction price consideration is fixed, unless otherwise disclosed below as variable consideration. We made an accounting policy election so that our revenue excludes sales and usage-based taxes collected.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 revenue</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Unit revenue is recognized at a point-in-time when control passes, which generally occurs when the unit is shipped to or picked-up from our manufacturing facilities by the customer, which is consistent with our past practice. Our payment terms are typically before or on delivery, and do not include a significant financing component. The amount of consideration received and recorded to revenue varies with changes in marketing incentives and offers to our customers. These marketing incentives and offers to our customers are considered variable consideration. We adjust the estimate of revenue at the earlier of when the most likely amount of consideration we expect to receive changes or when the consideration becomes fixed.</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We have made an accounting policy to account for any shipping and handling costs that occur after the transfer of control as a fulfillment cost that is accrued when control is transferred.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15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do not have material contract assets or liabilities. We establish allowances for uncollectible receivables based on historical collection trends and write-off history.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96"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None of our dealer organizations accounted for more than 10% of our net revenue for the third quarter of Fiscal 2019 or for the third quarter of Fiscal 2018. In addition, none of our dealer organizations accounted for more than 10% of our net revenue for the first nine months of Fiscal 2019 or the first nine months of Fiscal 2018.</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9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We account for fair value measurements in accordance with 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1"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that are available in active markets for the identical assets or liabilities at the measurement 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17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May 25, 2019 and August 25, 2018 according to the valuation techniques we used to determine their fair values: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ind w:left="260"/>
              <w:spacing w:after="0" w:line="183" w:lineRule="exact"/>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2"/>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67"/>
        </w:trPr>
        <w:tc>
          <w:tcPr>
            <w:tcW w:w="4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2"/>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ind w:left="140"/>
              <w:spacing w:after="0" w:line="183" w:lineRule="exact"/>
              <w:rPr>
                <w:sz w:val="20"/>
                <w:szCs w:val="20"/>
                <w:color w:val="auto"/>
              </w:rPr>
            </w:pPr>
            <w:r>
              <w:rPr>
                <w:rFonts w:ascii="Arial" w:cs="Arial" w:eastAsia="Arial" w:hAnsi="Arial"/>
                <w:sz w:val="16"/>
                <w:szCs w:val="16"/>
                <w:b w:val="1"/>
                <w:bCs w:val="1"/>
                <w:color w:val="auto"/>
              </w:rPr>
              <w:t>August 25,</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2"/>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67"/>
        </w:trPr>
        <w:tc>
          <w:tcPr>
            <w:tcW w:w="4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2"/>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3,464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87"/>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19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Our assets that fund deferred compensation are marketable equity securities measured at fair value using quoted market prices and primarily consist of equity-based mutual funds. These securities are primarily classified as Level 1 as they are traded in an active market for which closing stock prices are readily available. These securities fund the Executive Share Option Plan and the Executive Deferred Compensation Plan. Refer to Note 10, </w:t>
      </w:r>
      <w:r>
        <w:rPr>
          <w:rFonts w:ascii="Arial" w:cs="Arial" w:eastAsia="Arial" w:hAnsi="Arial"/>
          <w:sz w:val="16"/>
          <w:szCs w:val="16"/>
          <w:i w:val="1"/>
          <w:iCs w:val="1"/>
          <w:color w:val="auto"/>
        </w:rPr>
        <w:t>Employee and Retiree</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w:t>
      </w:r>
      <w:r>
        <w:rPr>
          <w:rFonts w:ascii="Arial" w:cs="Arial" w:eastAsia="Arial" w:hAnsi="Arial"/>
          <w:sz w:val="16"/>
          <w:szCs w:val="16"/>
          <w:color w:val="auto"/>
        </w:rPr>
        <w:t>, of the Notes to Consolidated Financial Statements included in our Annual Report on Form 10-K for the fiscal year ended August 25, 2018 for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information regarding these plans.</w:t>
      </w:r>
    </w:p>
    <w:p>
      <w:pPr>
        <w:spacing w:after="0" w:line="149" w:lineRule="exact"/>
        <w:rPr>
          <w:sz w:val="20"/>
          <w:szCs w:val="20"/>
          <w:color w:val="auto"/>
        </w:rPr>
      </w:pPr>
    </w:p>
    <w:p>
      <w:pPr>
        <w:ind w:right="760"/>
        <w:spacing w:after="0" w:line="291"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in the accompanying Condensed Consolidated Balance Sheets. The remaining assets are classified as non-current and are included in Other assets.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19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January 23, 2017, we entered into an interest rate swap contract, which effectively fixed our interest rate on our $300.0 million term loan agreement ("Term Loan") for a notional amount that reduces each December during the swap contract. As of May 25, 2019, we had $120.0 million of our Term Loan fixed at an interest rate of 5.32%. As of August 25, 2018, we had $170.0 million of our Term Loan fixed at an interest rate of 5.32%. The swap contract expires on December 8, 2020.</w:t>
      </w:r>
    </w:p>
    <w:p>
      <w:pPr>
        <w:spacing w:after="0" w:line="14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fair value of the interest rate swap is classified as Level 2 as it is determined based on observable market data. The asset is included in Other assets on the Condensed Consolidated Balance Sheets. The change in value is recorded to Accumulated other comprehensive (loss) income on the Condensed Consolidated Balance Sheets since the interest rate swap has been designated for hedge accounting.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19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has occurred, the asset is required to be recorded at the estimated fair value. No impairments were recorded for non-financial assets in the third quarter of Fiscal 2019 or the third quarter of Fiscal 2018.</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96"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 xml:space="preserve">Our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our long-term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41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26,513</w:t>
            </w:r>
          </w:p>
        </w:tc>
        <w:tc>
          <w:tcPr>
            <w:tcW w:w="0" w:type="dxa"/>
            <w:vAlign w:val="bottom"/>
          </w:tcPr>
          <w:p>
            <w:pPr>
              <w:spacing w:after="0"/>
              <w:rPr>
                <w:sz w:val="1"/>
                <w:szCs w:val="1"/>
                <w:color w:val="auto"/>
              </w:rPr>
            </w:pPr>
          </w:p>
        </w:tc>
      </w:tr>
      <w:tr>
        <w:trPr>
          <w:trHeight w:val="262"/>
        </w:trPr>
        <w:tc>
          <w:tcPr>
            <w:tcW w:w="41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93,949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68,339</w:t>
            </w:r>
          </w:p>
        </w:tc>
        <w:tc>
          <w:tcPr>
            <w:tcW w:w="0" w:type="dxa"/>
            <w:vAlign w:val="bottom"/>
          </w:tcPr>
          <w:p>
            <w:pPr>
              <w:spacing w:after="0"/>
              <w:rPr>
                <w:sz w:val="1"/>
                <w:szCs w:val="1"/>
                <w:color w:val="auto"/>
              </w:rPr>
            </w:pPr>
          </w:p>
        </w:tc>
      </w:tr>
      <w:tr>
        <w:trPr>
          <w:trHeight w:val="271"/>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9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94,365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139,039</w:t>
            </w:r>
          </w:p>
        </w:tc>
        <w:tc>
          <w:tcPr>
            <w:tcW w:w="0" w:type="dxa"/>
            <w:vAlign w:val="bottom"/>
          </w:tcPr>
          <w:p>
            <w:pPr>
              <w:spacing w:after="0"/>
              <w:rPr>
                <w:sz w:val="1"/>
                <w:szCs w:val="1"/>
                <w:color w:val="auto"/>
              </w:rPr>
            </w:pPr>
          </w:p>
        </w:tc>
      </w:tr>
      <w:tr>
        <w:trPr>
          <w:trHeight w:val="249"/>
        </w:trPr>
        <w:tc>
          <w:tcPr>
            <w:tcW w:w="4160" w:type="dxa"/>
            <w:vAlign w:val="bottom"/>
          </w:tcPr>
          <w:p>
            <w:pPr>
              <w:ind w:left="18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231,190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233,891</w:t>
            </w:r>
          </w:p>
        </w:tc>
        <w:tc>
          <w:tcPr>
            <w:tcW w:w="0" w:type="dxa"/>
            <w:vAlign w:val="bottom"/>
          </w:tcPr>
          <w:p>
            <w:pPr>
              <w:spacing w:after="0"/>
              <w:rPr>
                <w:sz w:val="1"/>
                <w:szCs w:val="1"/>
                <w:color w:val="auto"/>
              </w:rPr>
            </w:pPr>
          </w:p>
        </w:tc>
      </w:tr>
      <w:tr>
        <w:trPr>
          <w:trHeight w:val="271"/>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last-in, first-out ("LIFO") reserve</w:t>
            </w:r>
          </w:p>
        </w:tc>
        <w:tc>
          <w:tcPr>
            <w:tcW w:w="39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40,307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38,763</w:t>
            </w:r>
          </w:p>
        </w:tc>
        <w:tc>
          <w:tcPr>
            <w:tcW w:w="0" w:type="dxa"/>
            <w:vAlign w:val="bottom"/>
          </w:tcPr>
          <w:p>
            <w:pPr>
              <w:spacing w:after="0"/>
              <w:rPr>
                <w:sz w:val="1"/>
                <w:szCs w:val="1"/>
                <w:color w:val="auto"/>
              </w:rPr>
            </w:pPr>
          </w:p>
        </w:tc>
      </w:tr>
      <w:tr>
        <w:trPr>
          <w:trHeight w:val="241"/>
        </w:trPr>
        <w:tc>
          <w:tcPr>
            <w:tcW w:w="41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4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190,883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960" w:type="dxa"/>
            <w:vAlign w:val="bottom"/>
            <w:vMerge w:val="restart"/>
          </w:tcPr>
          <w:p>
            <w:pPr>
              <w:jc w:val="right"/>
              <w:ind w:right="2239"/>
              <w:spacing w:after="0"/>
              <w:rPr>
                <w:sz w:val="20"/>
                <w:szCs w:val="20"/>
                <w:color w:val="auto"/>
              </w:rPr>
            </w:pPr>
            <w:r>
              <w:rPr>
                <w:rFonts w:ascii="Arial" w:cs="Arial" w:eastAsia="Arial" w:hAnsi="Arial"/>
                <w:sz w:val="16"/>
                <w:szCs w:val="16"/>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1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1"/>
        </w:trPr>
        <w:tc>
          <w:tcPr>
            <w:tcW w:w="8120" w:type="dxa"/>
            <w:vAlign w:val="bottom"/>
            <w:gridSpan w:val="2"/>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3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basis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184,516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176,215</w:t>
            </w:r>
          </w:p>
        </w:tc>
      </w:tr>
      <w:tr>
        <w:trPr>
          <w:trHeight w:val="26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First-in, first-out basis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57,676</w:t>
            </w:r>
          </w:p>
        </w:tc>
      </w:tr>
      <w:tr>
        <w:trPr>
          <w:trHeight w:val="242"/>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233,891</w:t>
            </w: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43"/>
        </w:trPr>
        <w:tc>
          <w:tcPr>
            <w:tcW w:w="8120" w:type="dxa"/>
            <w:vAlign w:val="bottom"/>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6,747</w:t>
            </w: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112,898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94,622</w:t>
            </w: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105,663</w:t>
            </w: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Software</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28,152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23,388</w:t>
            </w: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8,837</w:t>
            </w:r>
          </w:p>
        </w:tc>
      </w:tr>
      <w:tr>
        <w:trPr>
          <w:trHeight w:val="249"/>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262,158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239,257</w:t>
            </w: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140,181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138,064</w:t>
            </w:r>
          </w:p>
        </w:tc>
      </w:tr>
      <w:tr>
        <w:trPr>
          <w:trHeight w:val="242"/>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121,977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101,193</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Depreciation expense was $3.5 million and $2.4 million during the third quarters of Fiscal 2019 and 2018, respectively, and $9.8 million and $6.7 million during the first nine months of Fiscal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196" w:lineRule="exact"/>
        <w:rPr>
          <w:sz w:val="20"/>
          <w:szCs w:val="20"/>
          <w:color w:val="auto"/>
        </w:rPr>
      </w:pPr>
    </w:p>
    <w:p>
      <w:pPr>
        <w:ind w:right="860"/>
        <w:spacing w:after="0" w:line="291" w:lineRule="auto"/>
        <w:rPr>
          <w:sz w:val="20"/>
          <w:szCs w:val="20"/>
          <w:color w:val="auto"/>
        </w:rPr>
      </w:pPr>
      <w:r>
        <w:rPr>
          <w:rFonts w:ascii="Arial" w:cs="Arial" w:eastAsia="Arial" w:hAnsi="Arial"/>
          <w:sz w:val="16"/>
          <w:szCs w:val="16"/>
          <w:color w:val="auto"/>
        </w:rPr>
        <w:t>The changes in the carrying amount of goodwill by segment were as follows for the first nine months of Fiscal 2019 and 2018, of which there are no accumulated impairment losses: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August 26, 2017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242,728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242,728</w:t>
            </w: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Grand Design purchase price adjustment</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1,956</w:t>
            </w:r>
          </w:p>
        </w:tc>
      </w:tr>
      <w:tr>
        <w:trPr>
          <w:trHeight w:val="23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May 26,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244,684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August 25,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29,686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274,370</w:t>
            </w:r>
          </w:p>
        </w:tc>
      </w:tr>
      <w:tr>
        <w:trPr>
          <w:trHeight w:val="270"/>
        </w:trPr>
        <w:tc>
          <w:tcPr>
            <w:tcW w:w="6400" w:type="dxa"/>
            <w:vAlign w:val="bottom"/>
          </w:tcPr>
          <w:p>
            <w:pPr>
              <w:ind w:left="180"/>
              <w:spacing w:after="0"/>
              <w:rPr>
                <w:sz w:val="20"/>
                <w:szCs w:val="20"/>
                <w:color w:val="auto"/>
              </w:rPr>
            </w:pPr>
            <w:r>
              <w:rPr>
                <w:rFonts w:ascii="Arial" w:cs="Arial" w:eastAsia="Arial" w:hAnsi="Arial"/>
                <w:sz w:val="16"/>
                <w:szCs w:val="16"/>
                <w:color w:val="auto"/>
              </w:rPr>
              <w:t>Chris-Craft purchase price adjustment</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1,287</w:t>
            </w: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May 25, 2019</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275,657</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right="160" w:hanging="252"/>
        <w:spacing w:after="0" w:line="28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of the Notes to Consolidated Financial Statements included in our Annual Report on Form 10-K for the fiscal year ended August 25, 2018 for additional information.</w:t>
      </w:r>
    </w:p>
    <w:p>
      <w:pPr>
        <w:spacing w:after="0" w:line="1" w:lineRule="exact"/>
        <w:rPr>
          <w:rFonts w:ascii="Arial" w:cs="Arial" w:eastAsia="Arial" w:hAnsi="Arial"/>
          <w:sz w:val="14"/>
          <w:szCs w:val="14"/>
          <w:color w:val="auto"/>
        </w:rPr>
      </w:pPr>
    </w:p>
    <w:p>
      <w:pPr>
        <w:ind w:left="260" w:right="140" w:hanging="252"/>
        <w:spacing w:after="0" w:line="266"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Purchase price adjustments of $0.7 million made for a working capital payment made in the first quarter of Fiscal 2019 and of $0.6 million for an adjustment to taxes recorded in the third quarter of Fiscal 2019. For additional information related to the acquisition of Chris-Craft USA, Inc., 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of the Notes to Consolidated Financial Statements included in our Annual Report on Form 10-K for the fiscal year ended August 25,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31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1"/>
        </w:trPr>
        <w:tc>
          <w:tcPr>
            <w:tcW w:w="6420" w:type="dxa"/>
            <w:vAlign w:val="bottom"/>
            <w:gridSpan w:val="7"/>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800"/>
              <w:spacing w:after="0"/>
              <w:rPr>
                <w:sz w:val="20"/>
                <w:szCs w:val="20"/>
                <w:color w:val="auto"/>
              </w:rPr>
            </w:pPr>
            <w:r>
              <w:rPr>
                <w:rFonts w:ascii="Arial" w:cs="Arial" w:eastAsia="Arial" w:hAnsi="Arial"/>
                <w:sz w:val="16"/>
                <w:szCs w:val="16"/>
                <w:b w:val="1"/>
                <w:bCs w:val="1"/>
                <w:color w:val="auto"/>
              </w:rPr>
              <w:t>May 25, 2019</w:t>
            </w:r>
          </w:p>
        </w:tc>
        <w:tc>
          <w:tcPr>
            <w:tcW w:w="380" w:type="dxa"/>
            <w:vAlign w:val="bottom"/>
          </w:tcPr>
          <w:p>
            <w:pPr>
              <w:spacing w:after="0"/>
              <w:rPr>
                <w:sz w:val="24"/>
                <w:szCs w:val="24"/>
                <w:color w:val="auto"/>
              </w:rPr>
            </w:pPr>
          </w:p>
        </w:tc>
        <w:tc>
          <w:tcPr>
            <w:tcW w:w="292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August 25, 2018</w:t>
            </w:r>
          </w:p>
        </w:tc>
      </w:tr>
      <w:tr>
        <w:trPr>
          <w:trHeight w:val="180"/>
        </w:trPr>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0" w:type="dxa"/>
            <w:vAlign w:val="bottom"/>
          </w:tcPr>
          <w:p>
            <w:pPr>
              <w:jc w:val="center"/>
              <w:ind w:left="179"/>
              <w:spacing w:after="0" w:line="180" w:lineRule="exact"/>
              <w:rPr>
                <w:sz w:val="20"/>
                <w:szCs w:val="20"/>
                <w:color w:val="auto"/>
              </w:rPr>
            </w:pPr>
            <w:r>
              <w:rPr>
                <w:rFonts w:ascii="Arial" w:cs="Arial" w:eastAsia="Arial" w:hAnsi="Arial"/>
                <w:sz w:val="16"/>
                <w:szCs w:val="16"/>
                <w:b w:val="1"/>
                <w:bCs w:val="1"/>
                <w:color w:val="auto"/>
              </w:rPr>
              <w:t>Weighted</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189"/>
        </w:trPr>
        <w:tc>
          <w:tcPr>
            <w:tcW w:w="1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Average Life-</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Accumulated</w:t>
            </w:r>
          </w:p>
        </w:tc>
      </w:tr>
      <w:tr>
        <w:trPr>
          <w:trHeight w:val="232"/>
        </w:trPr>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6"/>
              </w:rPr>
              <w:t>Years</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Amortization</w:t>
            </w:r>
          </w:p>
        </w:tc>
      </w:tr>
      <w:tr>
        <w:trPr>
          <w:trHeight w:val="267"/>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15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Indefinite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177,250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177,250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2"/>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Dealer networks</w:t>
            </w:r>
          </w:p>
        </w:tc>
        <w:tc>
          <w:tcPr>
            <w:tcW w:w="1400" w:type="dxa"/>
            <w:vAlign w:val="bottom"/>
          </w:tcPr>
          <w:p>
            <w:pPr>
              <w:jc w:val="center"/>
              <w:ind w:left="19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95,581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18,216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95,581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12,328</w:t>
            </w:r>
          </w:p>
        </w:tc>
      </w:tr>
      <w:tr>
        <w:trPr>
          <w:trHeight w:val="278"/>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4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19,135</w:t>
            </w:r>
          </w:p>
        </w:tc>
      </w:tr>
      <w:tr>
        <w:trPr>
          <w:trHeight w:val="262"/>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400" w:type="dxa"/>
            <w:vAlign w:val="bottom"/>
          </w:tcPr>
          <w:p>
            <w:pPr>
              <w:jc w:val="center"/>
              <w:ind w:left="179"/>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2,084</w:t>
            </w:r>
          </w:p>
        </w:tc>
      </w:tr>
      <w:tr>
        <w:trPr>
          <w:trHeight w:val="27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4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8.1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r>
      <w:tr>
        <w:trPr>
          <w:trHeight w:val="249"/>
        </w:trPr>
        <w:tc>
          <w:tcPr>
            <w:tcW w:w="3180" w:type="dxa"/>
            <w:vAlign w:val="bottom"/>
            <w:gridSpan w:val="2"/>
          </w:tcPr>
          <w:p>
            <w:pPr>
              <w:ind w:left="180"/>
              <w:spacing w:after="0"/>
              <w:rPr>
                <w:sz w:val="20"/>
                <w:szCs w:val="20"/>
                <w:color w:val="auto"/>
              </w:rPr>
            </w:pPr>
            <w:r>
              <w:rPr>
                <w:rFonts w:ascii="Arial" w:cs="Arial" w:eastAsia="Arial" w:hAnsi="Arial"/>
                <w:sz w:val="16"/>
                <w:szCs w:val="16"/>
                <w:color w:val="auto"/>
              </w:rPr>
              <w:t>Other intangible assets, gross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299,705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41,192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299,705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33,988</w:t>
            </w:r>
          </w:p>
        </w:tc>
      </w:tr>
      <w:tr>
        <w:trPr>
          <w:trHeight w:val="27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41,192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2"/>
        </w:trPr>
        <w:tc>
          <w:tcPr>
            <w:tcW w:w="3180" w:type="dxa"/>
            <w:vAlign w:val="bottom"/>
            <w:gridSpan w:val="2"/>
          </w:tcPr>
          <w:p>
            <w:pPr>
              <w:ind w:left="180"/>
              <w:spacing w:after="0"/>
              <w:rPr>
                <w:sz w:val="20"/>
                <w:szCs w:val="20"/>
                <w:color w:val="auto"/>
              </w:rPr>
            </w:pPr>
            <w:r>
              <w:rPr>
                <w:rFonts w:ascii="Arial" w:cs="Arial" w:eastAsia="Arial" w:hAnsi="Arial"/>
                <w:sz w:val="16"/>
                <w:szCs w:val="16"/>
                <w:color w:val="auto"/>
              </w:rPr>
              <w:t>Other intangible assets, net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71"/>
        </w:trPr>
        <w:tc>
          <w:tcPr>
            <w:tcW w:w="9720" w:type="dxa"/>
            <w:vAlign w:val="bottom"/>
            <w:gridSpan w:val="12"/>
          </w:tcPr>
          <w:p>
            <w:pPr>
              <w:spacing w:after="0"/>
              <w:rPr>
                <w:sz w:val="20"/>
                <w:szCs w:val="20"/>
                <w:color w:val="auto"/>
              </w:rPr>
            </w:pPr>
            <w:r>
              <w:rPr>
                <w:rFonts w:ascii="Arial" w:cs="Arial" w:eastAsia="Arial" w:hAnsi="Arial"/>
                <w:sz w:val="16"/>
                <w:szCs w:val="16"/>
                <w:color w:val="auto"/>
              </w:rPr>
              <w:t>The weighted average remaining amortization period for intangible assets as of May 25, 2019 was approximately 11 years.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6420" w:type="dxa"/>
            <w:vAlign w:val="bottom"/>
            <w:gridSpan w:val="7"/>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6"/>
        </w:trPr>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Amount</w:t>
            </w:r>
          </w:p>
        </w:tc>
      </w:tr>
      <w:tr>
        <w:trPr>
          <w:trHeight w:val="240"/>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2,283</w:t>
            </w:r>
          </w:p>
        </w:tc>
      </w:tr>
      <w:tr>
        <w:trPr>
          <w:trHeight w:val="235"/>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Fiscal 2020</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9,032</w:t>
            </w:r>
          </w:p>
        </w:tc>
      </w:tr>
      <w:tr>
        <w:trPr>
          <w:trHeight w:val="25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2021</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9,032</w:t>
            </w:r>
          </w:p>
        </w:tc>
      </w:tr>
      <w:tr>
        <w:trPr>
          <w:trHeight w:val="235"/>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Fiscal 2022</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8,405</w:t>
            </w:r>
          </w:p>
        </w:tc>
      </w:tr>
      <w:tr>
        <w:trPr>
          <w:trHeight w:val="25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2023</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8,197</w:t>
            </w:r>
          </w:p>
        </w:tc>
      </w:tr>
      <w:tr>
        <w:trPr>
          <w:trHeight w:val="237"/>
        </w:trPr>
        <w:tc>
          <w:tcPr>
            <w:tcW w:w="3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Thereafter</w:t>
            </w:r>
          </w:p>
        </w:tc>
        <w:tc>
          <w:tcPr>
            <w:tcW w:w="1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44,314</w:t>
            </w:r>
          </w:p>
        </w:tc>
      </w:tr>
      <w:tr>
        <w:trPr>
          <w:trHeight w:val="242"/>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amortization expense remaining</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81,263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19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4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03"/>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34,988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30,805</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Provision</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14,139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11,645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34,090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31,881</w:t>
            </w:r>
          </w:p>
        </w:tc>
      </w:tr>
      <w:tr>
        <w:trPr>
          <w:trHeight w:val="271"/>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Claims paid</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(25,242)</w:t>
            </w:r>
          </w:p>
        </w:tc>
      </w:tr>
      <w:tr>
        <w:trPr>
          <w:trHeight w:val="242"/>
        </w:trPr>
        <w:tc>
          <w:tcPr>
            <w:tcW w:w="470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43,624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37,444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43,624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37,444</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Long-Term Debt</w:t>
      </w:r>
    </w:p>
    <w:p>
      <w:pPr>
        <w:spacing w:after="0" w:line="196" w:lineRule="exact"/>
        <w:rPr>
          <w:sz w:val="20"/>
          <w:szCs w:val="20"/>
          <w:color w:val="auto"/>
        </w:rPr>
      </w:pPr>
    </w:p>
    <w:p>
      <w:pPr>
        <w:ind w:right="500"/>
        <w:spacing w:after="0" w:line="269" w:lineRule="auto"/>
        <w:rPr>
          <w:sz w:val="20"/>
          <w:szCs w:val="20"/>
          <w:color w:val="auto"/>
        </w:rPr>
      </w:pPr>
      <w:r>
        <w:rPr>
          <w:rFonts w:ascii="Arial" w:cs="Arial" w:eastAsia="Arial" w:hAnsi="Arial"/>
          <w:sz w:val="16"/>
          <w:szCs w:val="16"/>
          <w:color w:val="auto"/>
        </w:rPr>
        <w:t>On November 8, 2016, we entered into a $125.0 million credit facility ("ABL") and a $300.0 million Term Loan with JPMorgan Chase Bank, N.A. ("Credit Agreement"). On December 8, 2017, we amended our Credit Agreement, which decreased the interest rate spread on the Term Loan and the ABL. As of September 21, 2018, the amount that may be borrowed under the ABL was increased to $165.0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contains certain financial covenants. As of May 25, 2019, we are in compliance with all financial covenants of the Credit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38,532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Term Loan</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excluding debt issuance costs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265,643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298,532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 net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259,571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291,441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maturities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291,441</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As of May 25, 2019, the fair value of long-term debt, excluding debt issuance costs, was $264.3 million. As of August 25, 2018, the fair value of long-term debt, excluding debt issuance costs, approximated the carrying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4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6"/>
                <w:szCs w:val="16"/>
                <w:color w:val="auto"/>
              </w:rPr>
              <w:t>Fiscal 2020</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10,250</w:t>
            </w:r>
          </w:p>
        </w:tc>
        <w:tc>
          <w:tcPr>
            <w:tcW w:w="0" w:type="dxa"/>
            <w:vAlign w:val="bottom"/>
          </w:tcPr>
          <w:p>
            <w:pPr>
              <w:spacing w:after="0"/>
              <w:rPr>
                <w:sz w:val="1"/>
                <w:szCs w:val="1"/>
                <w:color w:val="auto"/>
              </w:rPr>
            </w:pP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2021</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6"/>
                <w:szCs w:val="16"/>
                <w:color w:val="auto"/>
              </w:rPr>
              <w:t>Fiscal 2022</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2023</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219,750</w:t>
            </w:r>
          </w:p>
        </w:tc>
        <w:tc>
          <w:tcPr>
            <w:tcW w:w="0" w:type="dxa"/>
            <w:vAlign w:val="bottom"/>
          </w:tcPr>
          <w:p>
            <w:pPr>
              <w:spacing w:after="0"/>
              <w:rPr>
                <w:sz w:val="1"/>
                <w:szCs w:val="1"/>
                <w:color w:val="auto"/>
              </w:rPr>
            </w:pPr>
          </w:p>
        </w:tc>
      </w:tr>
      <w:tr>
        <w:trPr>
          <w:trHeight w:val="241"/>
        </w:trPr>
        <w:tc>
          <w:tcPr>
            <w:tcW w:w="8120" w:type="dxa"/>
            <w:vAlign w:val="bottom"/>
          </w:tcPr>
          <w:p>
            <w:pPr>
              <w:ind w:left="180"/>
              <w:spacing w:after="0"/>
              <w:rPr>
                <w:sz w:val="20"/>
                <w:szCs w:val="20"/>
                <w:color w:val="auto"/>
              </w:rPr>
            </w:pPr>
            <w:r>
              <w:rPr>
                <w:rFonts w:ascii="Arial" w:cs="Arial" w:eastAsia="Arial" w:hAnsi="Arial"/>
                <w:sz w:val="16"/>
                <w:szCs w:val="16"/>
                <w:color w:val="auto"/>
              </w:rPr>
              <w:t>Total Term Loan</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12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Non-qualified deferred compensation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14,831</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executive retirement plan</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Executive deferred compensation plan</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Officer stock-based compensation</w:t>
            </w: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49"/>
        </w:trPr>
        <w:tc>
          <w:tcPr>
            <w:tcW w:w="8120" w:type="dxa"/>
            <w:vAlign w:val="bottom"/>
          </w:tcPr>
          <w:p>
            <w:pPr>
              <w:ind w:left="180"/>
              <w:spacing w:after="0"/>
              <w:rPr>
                <w:sz w:val="20"/>
                <w:szCs w:val="20"/>
                <w:color w:val="auto"/>
              </w:rPr>
            </w:pPr>
            <w:r>
              <w:rPr>
                <w:rFonts w:ascii="Arial" w:cs="Arial" w:eastAsia="Arial" w:hAnsi="Arial"/>
                <w:sz w:val="16"/>
                <w:szCs w:val="16"/>
                <w:color w:val="auto"/>
              </w:rPr>
              <w:t>Deferred compensation benefits</w:t>
            </w: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16,234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20,024</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36"/>
        </w:trPr>
        <w:tc>
          <w:tcPr>
            <w:tcW w:w="8120" w:type="dxa"/>
            <w:vAlign w:val="bottom"/>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13,161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on the Condensed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9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Generally, manufacturers in our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our dealers due to state law or regulatory requirements that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govern voluntary or involuntary relationship terminations. Although laws vary from state to state, some states have laws in place that require manufacturers of recreational vehicles or boats to repurchase current inventory if a dealership exits the business. Our total contingent liability on all repurchase agreements was approximately $1.0 billion and $879.0 million at May 25, 2019 and August 25, 2018, respectively.</w:t>
      </w:r>
    </w:p>
    <w:p>
      <w:pPr>
        <w:spacing w:after="0" w:line="13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these repurchase agreements and our historical loss experience, we establish an associated loss reserve which is included in Accrued expenses: Other on the Condensed Consolidated Balance Sheets. Our accrued losses on repurchases were $0.9 million and $0.9 million at May 25, 2019 and August 25, 2018, respectively.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and nine months ended May 25, 2019 and May 26, 2018.</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9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a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w:t>
      </w:r>
    </w:p>
    <w:p>
      <w:pPr>
        <w:spacing w:after="0" w:line="19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share awards, and other equity compensation to key employees and to non-employee directors. The 2019 Plan replaces our 2014 Omnibus Equity, Performance Award, and Incentive Compensation Plan (as amended, the "2014 Plan").</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number of shares of our Common Stock that may be the subject of awards and issued under the 2019 Plan is 4.1 million, plus the shares subject to any awards outstanding under the 2014 Plan and our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149"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Beginning with our annual grant of restricted stock units in October 2018, we attach dividend equivalents to our restricted stock units equal to dividends payable on the same number of shares of WGO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1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Stock-based compensation expense was $1.1 million and $1.4 million during the third quarters of Fiscal 2019 and 2018, respectively, and $5.7 million and $5.0 million during the first nine months of Fiscal 2019 and 2018, respectively. Compensation expense is recognized over the requisite service period of the award.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Restructuring</w:t>
      </w:r>
    </w:p>
    <w:p>
      <w:pPr>
        <w:spacing w:after="0" w:line="196"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color w:val="auto"/>
        </w:rPr>
        <w:t>On February 4, 2019, we announced our intent to move our diesel production from Junction City, OR to Forest City, IA to enable more effective product development and improve our cost structure. The following table details the restructuring charges incurred: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Motorhome</w:t>
            </w:r>
          </w:p>
        </w:tc>
      </w:tr>
      <w:tr>
        <w:trPr>
          <w:trHeight w:val="193"/>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Three Months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2"/>
        </w:trPr>
        <w:tc>
          <w:tcPr>
            <w:tcW w:w="8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Ended</w:t>
            </w:r>
          </w:p>
        </w:tc>
        <w:tc>
          <w:tcPr>
            <w:tcW w:w="100" w:type="dxa"/>
            <w:vAlign w:val="bottom"/>
          </w:tcPr>
          <w:p>
            <w:pPr>
              <w:spacing w:after="0"/>
              <w:rPr>
                <w:sz w:val="20"/>
                <w:szCs w:val="20"/>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Nine Months Ended</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May 25, 2019</w:t>
            </w:r>
          </w:p>
        </w:tc>
        <w:tc>
          <w:tcPr>
            <w:tcW w:w="220" w:type="dxa"/>
            <w:vAlign w:val="bottom"/>
          </w:tcPr>
          <w:p>
            <w:pPr>
              <w:spacing w:after="0"/>
              <w:rPr>
                <w:sz w:val="21"/>
                <w:szCs w:val="21"/>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May 25, 2019</w:t>
            </w:r>
          </w:p>
        </w:tc>
      </w:tr>
      <w:tr>
        <w:trPr>
          <w:trHeight w:val="254"/>
        </w:trPr>
        <w:tc>
          <w:tcPr>
            <w:tcW w:w="8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242"/>
        </w:trPr>
        <w:tc>
          <w:tcPr>
            <w:tcW w:w="8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expense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1,321</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These expenses include employee-related costs and accelerated depreciation for assets that will no longer be used. Employee-related costs are expected to be paid in the fourth quarter of Fiscal 2019. We expect additional expenses of approximately $1.0 million in the fourth quarter of Fiscal 2019 and $1.0 million in Fiscal 2020, primarily related to asset-related charges and facility closure costs. We expect these expenses to be partially offset by the corresponding savings generated by the project.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196"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38"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Our effective tax rate decreased to 18.9% for the nine months ended May 25, 2019 from 28.2% for the nine months ended May 26, 2018 due to the enactment of the 2017 Tax Cuts and Jobs Act ("Tax Act") on December 22, 2017 and net favorable discrete items, primarily attributable to R&amp;D-related tax credits, which totaled $3.6 million or 3.7%.</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ASU 2018-05, </w:t>
      </w:r>
      <w:r>
        <w:rPr>
          <w:rFonts w:ascii="Arial" w:cs="Arial" w:eastAsia="Arial" w:hAnsi="Arial"/>
          <w:sz w:val="16"/>
          <w:szCs w:val="16"/>
          <w:i w:val="1"/>
          <w:iCs w:val="1"/>
          <w:color w:val="auto"/>
        </w:rPr>
        <w:t>Income Taxes (Topic 740): Amendments to SEC Paragraphs Pursuant to SEC Staff Accounting Bulletin No. 118</w:t>
      </w:r>
      <w:r>
        <w:rPr>
          <w:rFonts w:ascii="Arial" w:cs="Arial" w:eastAsia="Arial" w:hAnsi="Arial"/>
          <w:sz w:val="16"/>
          <w:szCs w:val="16"/>
          <w:color w:val="auto"/>
        </w:rPr>
        <w:t xml:space="preserve">, provided guidance for companies that allowed for a measurement period of up to one year after the enactment date of the Tax Act to finalize the recording of the related tax impacts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In accordance with this guidance, a company was required to reflect the income tax effect of those aspects of the Tax Act for which the accounting under ASC 740 is complete. To the extent that a company's accounting for certain income tax effects of the Tax Act was incomplete, but it was able to determine a reasonable estimate, the company was required to record a provisional estimate in the financial statements.</w:t>
      </w:r>
    </w:p>
    <w:p>
      <w:pPr>
        <w:spacing w:after="0" w:line="149"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In accordance with ASC 740, we recorded non-cash provisional estimates to income tax expense in Fiscal 2018 as a result of revaluing all deferred tax assets and liabilities at the newly enacted Federal corporate income tax rate. We have not made any measurement period adjustments related to these items during the first nine months of Fiscal 2019 and are complete in analyzing and recording all aspects of the enactment of the Tax Act.</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May 25, 2019, our Federal returns from Fiscal 2015 to present continue to be subject to review by the IRS. With limited exception, our state returns from Fiscal 2014 to present continue to be subject to review by the state taxing jurisdictions. Several years may lapse before an uncertain tax position is audited and finally resolved, and it is difficult to predict the outcome of such audits.</w:t>
      </w:r>
    </w:p>
    <w:p>
      <w:pPr>
        <w:spacing w:after="0" w:line="149"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It is our policy to recognize interest and penalties accrued relative to unrecognized tax benefits in income tax expense. Total reserves for uncertain tax positions were not material.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Income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26,</w:t>
            </w: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36,171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79,930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72,567</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31,546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31,617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impact of stock compensation awards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assuming</w:t>
            </w:r>
          </w:p>
        </w:tc>
        <w:tc>
          <w:tcPr>
            <w:tcW w:w="3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31,644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31,722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31,825</w:t>
            </w:r>
          </w:p>
        </w:tc>
        <w:tc>
          <w:tcPr>
            <w:tcW w:w="0" w:type="dxa"/>
            <w:vAlign w:val="bottom"/>
          </w:tcPr>
          <w:p>
            <w:pPr>
              <w:spacing w:after="0"/>
              <w:rPr>
                <w:sz w:val="1"/>
                <w:szCs w:val="1"/>
                <w:color w:val="auto"/>
              </w:rPr>
            </w:pPr>
          </w:p>
        </w:tc>
      </w:tr>
      <w:tr>
        <w:trPr>
          <w:trHeight w:val="22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dilution</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Anti-dilutive securities excluded from Weighted average</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shares outstanding, assuming dilution</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income per common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6"/>
                <w:szCs w:val="16"/>
                <w:color w:val="auto"/>
              </w:rPr>
              <w:t>Diluted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Anti-dilutive securities were not included in the computation of diluted income per common share because they are considered anti-dilutive under the treasury stock method.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Accumulated Other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64"/>
        </w:trPr>
        <w:tc>
          <w:tcPr>
            <w:tcW w:w="33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May 25, 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May 26, 2018</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93"/>
        </w:trPr>
        <w:tc>
          <w:tcPr>
            <w:tcW w:w="33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Defined Benefit</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Pension Items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20"/>
                <w:szCs w:val="20"/>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4"/>
        </w:trPr>
        <w:tc>
          <w:tcPr>
            <w:tcW w:w="3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r>
      <w:tr>
        <w:trPr>
          <w:trHeight w:val="198"/>
        </w:trPr>
        <w:tc>
          <w:tcPr>
            <w:tcW w:w="3340" w:type="dxa"/>
            <w:vAlign w:val="bottom"/>
          </w:tcPr>
          <w:p>
            <w:pPr>
              <w:ind w:left="180"/>
              <w:spacing w:after="0"/>
              <w:rPr>
                <w:sz w:val="20"/>
                <w:szCs w:val="20"/>
                <w:color w:val="auto"/>
              </w:rPr>
            </w:pPr>
            <w:r>
              <w:rPr>
                <w:rFonts w:ascii="Arial" w:cs="Arial" w:eastAsia="Arial" w:hAnsi="Arial"/>
                <w:sz w:val="16"/>
                <w:szCs w:val="16"/>
                <w:color w:val="auto"/>
              </w:rPr>
              <w:t>Other comprehensive income ("OCI")</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6"/>
        </w:trPr>
        <w:tc>
          <w:tcPr>
            <w:tcW w:w="3340" w:type="dxa"/>
            <w:vAlign w:val="bottom"/>
          </w:tcPr>
          <w:p>
            <w:pPr>
              <w:ind w:left="180"/>
              <w:spacing w:after="0"/>
              <w:rPr>
                <w:sz w:val="20"/>
                <w:szCs w:val="20"/>
                <w:color w:val="auto"/>
              </w:rPr>
            </w:pPr>
            <w:r>
              <w:rPr>
                <w:rFonts w:ascii="Arial" w:cs="Arial" w:eastAsia="Arial" w:hAnsi="Arial"/>
                <w:sz w:val="16"/>
                <w:szCs w:val="16"/>
                <w:color w:val="auto"/>
              </w:rPr>
              <w:t>before reclassifications</w:t>
            </w:r>
          </w:p>
        </w:tc>
        <w:tc>
          <w:tcPr>
            <w:tcW w:w="4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71"/>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50"/>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current-period OCI</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r>
      <w:tr>
        <w:trPr>
          <w:trHeight w:val="24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45"/>
        </w:trPr>
        <w:tc>
          <w:tcPr>
            <w:tcW w:w="3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33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May 25, 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May 26, 2018</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93"/>
        </w:trPr>
        <w:tc>
          <w:tcPr>
            <w:tcW w:w="33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Defined Benefit</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Pension Items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Swap</w:t>
            </w:r>
          </w:p>
        </w:tc>
        <w:tc>
          <w:tcPr>
            <w:tcW w:w="280" w:type="dxa"/>
            <w:vAlign w:val="bottom"/>
          </w:tcPr>
          <w:p>
            <w:pPr>
              <w:spacing w:after="0"/>
              <w:rPr>
                <w:sz w:val="20"/>
                <w:szCs w:val="20"/>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4"/>
        </w:trPr>
        <w:tc>
          <w:tcPr>
            <w:tcW w:w="3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62"/>
        </w:trPr>
        <w:tc>
          <w:tcPr>
            <w:tcW w:w="334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46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2,046</w:t>
            </w:r>
          </w:p>
        </w:tc>
      </w:tr>
      <w:tr>
        <w:trPr>
          <w:trHeight w:val="271"/>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50"/>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current-period OCI</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2,066</w:t>
            </w:r>
          </w:p>
        </w:tc>
      </w:tr>
      <w:tr>
        <w:trPr>
          <w:trHeight w:val="24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41"/>
        </w:trPr>
        <w:tc>
          <w:tcPr>
            <w:tcW w:w="3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1"/>
        </w:trPr>
        <w:tc>
          <w:tcPr>
            <w:tcW w:w="6080" w:type="dxa"/>
            <w:vAlign w:val="bottom"/>
            <w:gridSpan w:val="3"/>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7"/>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4"/>
                <w:szCs w:val="24"/>
                <w:color w:val="auto"/>
              </w:rPr>
            </w:pPr>
          </w:p>
        </w:tc>
        <w:tc>
          <w:tcPr>
            <w:tcW w:w="24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182"/>
        </w:trPr>
        <w:tc>
          <w:tcPr>
            <w:tcW w:w="1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80" w:type="dxa"/>
            <w:vAlign w:val="bottom"/>
          </w:tcPr>
          <w:p>
            <w:pPr>
              <w:jc w:val="center"/>
              <w:ind w:left="319"/>
              <w:spacing w:after="0" w:line="183" w:lineRule="exact"/>
              <w:rPr>
                <w:sz w:val="20"/>
                <w:szCs w:val="20"/>
                <w:color w:val="auto"/>
              </w:rPr>
            </w:pPr>
            <w:r>
              <w:rPr>
                <w:rFonts w:ascii="Arial" w:cs="Arial" w:eastAsia="Arial" w:hAnsi="Arial"/>
                <w:sz w:val="16"/>
                <w:szCs w:val="16"/>
                <w:b w:val="1"/>
                <w:bCs w:val="1"/>
                <w:color w:val="auto"/>
              </w:rPr>
              <w:t>Location on Consolidated</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89"/>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80" w:type="dxa"/>
            <w:vAlign w:val="bottom"/>
          </w:tcPr>
          <w:p>
            <w:pPr>
              <w:jc w:val="center"/>
              <w:ind w:left="319"/>
              <w:spacing w:after="0"/>
              <w:rPr>
                <w:sz w:val="20"/>
                <w:szCs w:val="20"/>
                <w:color w:val="auto"/>
              </w:rPr>
            </w:pPr>
            <w:r>
              <w:rPr>
                <w:rFonts w:ascii="Arial" w:cs="Arial" w:eastAsia="Arial" w:hAnsi="Arial"/>
                <w:sz w:val="16"/>
                <w:szCs w:val="16"/>
                <w:b w:val="1"/>
                <w:bCs w:val="1"/>
                <w:color w:val="auto"/>
              </w:rPr>
              <w:t>Statements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80" w:type="dxa"/>
            <w:vAlign w:val="bottom"/>
          </w:tcPr>
          <w:p>
            <w:pPr>
              <w:jc w:val="center"/>
              <w:ind w:left="319"/>
              <w:spacing w:after="0"/>
              <w:rPr>
                <w:sz w:val="20"/>
                <w:szCs w:val="20"/>
                <w:color w:val="auto"/>
              </w:rPr>
            </w:pPr>
            <w:r>
              <w:rPr>
                <w:rFonts w:ascii="Arial" w:cs="Arial" w:eastAsia="Arial" w:hAnsi="Arial"/>
                <w:sz w:val="16"/>
                <w:szCs w:val="16"/>
                <w:b w:val="1"/>
                <w:bCs w:val="1"/>
                <w:color w:val="auto"/>
              </w:rPr>
              <w:t>of Income and Comprehensive</w:t>
            </w:r>
          </w:p>
        </w:tc>
        <w:tc>
          <w:tcPr>
            <w:tcW w:w="2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25,</w:t>
            </w:r>
          </w:p>
        </w:tc>
        <w:tc>
          <w:tcPr>
            <w:tcW w:w="2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26,</w:t>
            </w:r>
          </w:p>
        </w:tc>
        <w:tc>
          <w:tcPr>
            <w:tcW w:w="2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May 25,</w:t>
            </w:r>
          </w:p>
        </w:tc>
        <w:tc>
          <w:tcPr>
            <w:tcW w:w="220" w:type="dxa"/>
            <w:vAlign w:val="bottom"/>
          </w:tcPr>
          <w:p>
            <w:pPr>
              <w:spacing w:after="0"/>
              <w:rPr>
                <w:sz w:val="16"/>
                <w:szCs w:val="16"/>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26,</w:t>
            </w:r>
          </w:p>
        </w:tc>
      </w:tr>
      <w:tr>
        <w:trPr>
          <w:trHeight w:val="232"/>
        </w:trPr>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54"/>
        </w:trPr>
        <w:tc>
          <w:tcPr>
            <w:tcW w:w="2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3280" w:type="dxa"/>
            <w:vAlign w:val="bottom"/>
            <w:shd w:val="clear" w:color="auto" w:fill="CCEEFF"/>
          </w:tcPr>
          <w:p>
            <w:pPr>
              <w:jc w:val="right"/>
              <w:ind w:right="2319"/>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660"/>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80" w:type="dxa"/>
            <w:vAlign w:val="bottom"/>
          </w:tcPr>
          <w:p>
            <w:pPr>
              <w:jc w:val="right"/>
              <w:ind w:right="19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Unless the context otherwise requires, the use of the terms "Winnebago Industries," "we," "us," and "our" refers to Winnebago Industries, Inc. and its wholly-owned subsidiaries.</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1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MD&amp;A should be read in conjunction with our Annual Report on Form 10-K for the fiscal year ended August 25, 2018, (including the information presented therein under Risk Factors), as well as our reports on Forms 10-Q and 8-K and other publicly available information. All amounts herein are unaudited.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Winnebago Industries, Inc. is one of the leading U.S. manufacturers with a diversified portfolio of recreation vehicles ("RV"s) and marine products used primarily in leisure travel and outdoor recreation activities. We produce our motorhome units in Iowa;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5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Refer to the Results of Operations - Current Quarter Compared to the Comparable Prior Year Quarter and the Results of Operations - First Nine Months of Fiscal 2019 Compared to the First Nine Months of Fiscal 2018 for a detailed reconciliation of items that impacted EBITDA and Adjusted EBITDA. We have included this non-GAAP performance measure as a comparable measure to illustrate the effect of non-recurring transactions occurring during the reported periods and improve comparability of our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acquisition-related costs, restructuring expenses, and non-operating income.</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96" w:lineRule="exact"/>
        <w:rPr>
          <w:sz w:val="20"/>
          <w:szCs w:val="20"/>
          <w:color w:val="auto"/>
        </w:rPr>
      </w:pPr>
    </w:p>
    <w:p>
      <w:pPr>
        <w:ind w:right="480"/>
        <w:spacing w:after="0" w:line="269" w:lineRule="auto"/>
        <w:rPr>
          <w:sz w:val="20"/>
          <w:szCs w:val="20"/>
          <w:color w:val="auto"/>
        </w:rPr>
      </w:pPr>
      <w:r>
        <w:rPr>
          <w:rFonts w:ascii="Arial" w:cs="Arial" w:eastAsia="Arial" w:hAnsi="Arial"/>
          <w:sz w:val="16"/>
          <w:szCs w:val="16"/>
          <w:color w:val="auto"/>
        </w:rPr>
        <w:t>In the fourth quarter of Fiscal 2018, we revised our segment presentation. We have five operating segments: 1) Winnebago motorhomes, 2) Winnebago towables, 3) Grand Design towables, 4) Winnebago specialty vehicles, and 5) Chris-Craft marine. We evaluate performance based on each operating segment's Adjusted EBITDA, as defined above, which excludes certain corporate administration expenses and non-operating income and expense.</w:t>
      </w:r>
    </w:p>
    <w:p>
      <w:pPr>
        <w:spacing w:after="0" w:line="13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auto"/>
        </w:rPr>
        <w:t>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Prior period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began to dedicate leadership and focus on these operations separately from our Winnebago motorhomes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25"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80" w:hanging="24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188" w:lineRule="exact"/>
        <w:rPr>
          <w:sz w:val="20"/>
          <w:szCs w:val="20"/>
          <w:color w:val="auto"/>
        </w:rPr>
      </w:pPr>
    </w:p>
    <w:p>
      <w:pPr>
        <w:ind w:right="120"/>
        <w:spacing w:after="0" w:line="327"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following is an analysis of changes in these key statistics for the rolling 12 months through April as of 2019 and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US and Canada Industry</w:t>
            </w: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60"/>
        </w:trPr>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8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rPr>
              <w:t>Wholesale Unit Shipments per RVIA</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60" w:type="dxa"/>
            <w:vAlign w:val="bottom"/>
            <w:gridSpan w:val="7"/>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74"/>
        </w:trPr>
        <w:tc>
          <w:tcPr>
            <w:tcW w:w="102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Rolling 12 Months through April</w:t>
            </w: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rPr>
              <w:t>Rolling 12 Months through April</w:t>
            </w:r>
          </w:p>
        </w:tc>
        <w:tc>
          <w:tcPr>
            <w:tcW w:w="1260" w:type="dxa"/>
            <w:vAlign w:val="bottom"/>
            <w:tcBorders>
              <w:bottom w:val="single" w:sz="8" w:color="auto"/>
            </w:tcBorders>
          </w:tcPr>
          <w:p>
            <w:pPr>
              <w:spacing w:after="0"/>
              <w:rPr>
                <w:sz w:val="23"/>
                <w:szCs w:val="23"/>
                <w:color w:val="auto"/>
              </w:rPr>
            </w:pPr>
          </w:p>
        </w:tc>
      </w:tr>
      <w:tr>
        <w:trPr>
          <w:trHeight w:val="264"/>
        </w:trPr>
        <w:tc>
          <w:tcPr>
            <w:tcW w:w="10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Motorhome</w:t>
            </w:r>
            <w:r>
              <w:rPr>
                <w:rFonts w:ascii="Arial" w:cs="Arial" w:eastAsia="Arial" w:hAnsi="Arial"/>
                <w:sz w:val="21"/>
                <w:szCs w:val="21"/>
                <w:color w:val="auto"/>
                <w:w w:val="97"/>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51,309</w:t>
            </w:r>
          </w:p>
        </w:tc>
        <w:tc>
          <w:tcPr>
            <w:tcW w:w="1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64,715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54,862</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58,454</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70"/>
        </w:trPr>
        <w:tc>
          <w:tcPr>
            <w:tcW w:w="1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377,171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448,693</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408,782</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407,017</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36"/>
        </w:trPr>
        <w:tc>
          <w:tcPr>
            <w:tcW w:w="1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Combined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428,480</w:t>
            </w:r>
          </w:p>
        </w:tc>
        <w:tc>
          <w:tcPr>
            <w:tcW w:w="1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513,408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463,644</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465,471</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40"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rolling twelve months shipments for 2019 and 2018 reflects a contraction in shipments as dealers rationalize inventory. The rolling twelve months retail information for 2019 and 2018 illustrates that the RV industry is growing at a slower rate than previous quarters, however ahead of wholesale shipments. We believe retail demand is the key driver to continued growth in the industry.</w:t>
      </w:r>
    </w:p>
    <w:p>
      <w:pPr>
        <w:spacing w:after="0" w:line="138"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The most recent RVIA wholesale shipment forecasts for calendar year 2019, as noted in the table below, indicate that industry shipments are most likely expected to decline in 2019. The RV sales outlook for calendar 2019 considers the continuation of dealer inventory realignment that has been occurring over the last 9-12 months and gradually increasing interest rates, partially offset by anticipated growth in wages and employment levels.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Calendar Year</w:t>
            </w:r>
          </w:p>
        </w:tc>
        <w:tc>
          <w:tcPr>
            <w:tcW w:w="1260" w:type="dxa"/>
            <w:vAlign w:val="bottom"/>
            <w:tcBorders>
              <w:bottom w:val="single" w:sz="8" w:color="auto"/>
            </w:tcBorders>
          </w:tcPr>
          <w:p>
            <w:pPr>
              <w:spacing w:after="0"/>
              <w:rPr>
                <w:sz w:val="20"/>
                <w:szCs w:val="20"/>
                <w:color w:val="auto"/>
              </w:rPr>
            </w:pPr>
          </w:p>
        </w:tc>
      </w:tr>
      <w:tr>
        <w:trPr>
          <w:trHeight w:val="193"/>
        </w:trPr>
        <w:tc>
          <w:tcPr>
            <w:tcW w:w="622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622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360" w:type="dxa"/>
            <w:vAlign w:val="bottom"/>
            <w:gridSpan w:val="2"/>
          </w:tcPr>
          <w:p>
            <w:pPr>
              <w:ind w:left="360"/>
              <w:spacing w:after="0"/>
              <w:rPr>
                <w:sz w:val="20"/>
                <w:szCs w:val="20"/>
                <w:color w:val="auto"/>
              </w:rPr>
            </w:pPr>
            <w:r>
              <w:rPr>
                <w:rFonts w:ascii="Arial" w:cs="Arial" w:eastAsia="Arial" w:hAnsi="Arial"/>
                <w:sz w:val="16"/>
                <w:szCs w:val="16"/>
                <w:b w:val="1"/>
                <w:bCs w:val="1"/>
                <w:color w:val="auto"/>
              </w:rPr>
              <w:t>Forecast</w:t>
            </w:r>
          </w:p>
        </w:tc>
        <w:tc>
          <w:tcPr>
            <w:tcW w:w="1340" w:type="dxa"/>
            <w:vAlign w:val="bottom"/>
            <w:gridSpan w:val="2"/>
          </w:tcPr>
          <w:p>
            <w:pPr>
              <w:ind w:left="440"/>
              <w:spacing w:after="0"/>
              <w:rPr>
                <w:sz w:val="20"/>
                <w:szCs w:val="20"/>
                <w:color w:val="auto"/>
              </w:rPr>
            </w:pPr>
            <w:r>
              <w:rPr>
                <w:rFonts w:ascii="Arial" w:cs="Arial" w:eastAsia="Arial" w:hAnsi="Arial"/>
                <w:sz w:val="16"/>
                <w:szCs w:val="16"/>
                <w:b w:val="1"/>
                <w:bCs w:val="1"/>
                <w:color w:val="auto"/>
              </w:rPr>
              <w:t>Actual</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Unit Change</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Aggressive</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430,900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483,700</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(52,800)</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62"/>
        </w:trPr>
        <w:tc>
          <w:tcPr>
            <w:tcW w:w="6220" w:type="dxa"/>
            <w:vAlign w:val="bottom"/>
          </w:tcPr>
          <w:p>
            <w:pPr>
              <w:ind w:left="40"/>
              <w:spacing w:after="0"/>
              <w:rPr>
                <w:sz w:val="20"/>
                <w:szCs w:val="20"/>
                <w:color w:val="auto"/>
              </w:rPr>
            </w:pPr>
            <w:r>
              <w:rPr>
                <w:rFonts w:ascii="Arial" w:cs="Arial" w:eastAsia="Arial" w:hAnsi="Arial"/>
                <w:sz w:val="16"/>
                <w:szCs w:val="16"/>
                <w:color w:val="auto"/>
              </w:rPr>
              <w:t>Most likely</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416,300</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483,700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(67,400)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78"/>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Conservative</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395,500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483,700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(88,200)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bl>
    <w:p>
      <w:pPr>
        <w:spacing w:after="0" w:line="41" w:lineRule="exact"/>
        <w:rPr>
          <w:sz w:val="20"/>
          <w:szCs w:val="20"/>
          <w:color w:val="auto"/>
        </w:rPr>
      </w:pPr>
    </w:p>
    <w:p>
      <w:pPr>
        <w:ind w:left="260" w:right="160" w:hanging="252"/>
        <w:spacing w:after="0" w:line="29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Prepared by Dr. Richard Curtin of the University of Michigan Consumer Survey Research Center for RVIA and reported in the Roadsigns RV Summer 2019 Industry Forecast Issue.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264" w:lineRule="exact"/>
        <w:rPr>
          <w:sz w:val="20"/>
          <w:szCs w:val="20"/>
          <w:color w:val="auto"/>
        </w:rPr>
      </w:pPr>
    </w:p>
    <w:p>
      <w:pPr>
        <w:ind w:right="640"/>
        <w:spacing w:after="0" w:line="327"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2780" w:type="dxa"/>
            <w:vAlign w:val="bottom"/>
            <w:gridSpan w:val="4"/>
          </w:tcPr>
          <w:p>
            <w:pPr>
              <w:ind w:left="120"/>
              <w:spacing w:after="0"/>
              <w:rPr>
                <w:sz w:val="20"/>
                <w:szCs w:val="20"/>
                <w:color w:val="auto"/>
              </w:rPr>
            </w:pPr>
            <w:r>
              <w:rPr>
                <w:rFonts w:ascii="Arial" w:cs="Arial" w:eastAsia="Arial" w:hAnsi="Arial"/>
                <w:sz w:val="16"/>
                <w:szCs w:val="16"/>
                <w:b w:val="1"/>
                <w:bCs w:val="1"/>
                <w:color w:val="auto"/>
              </w:rPr>
              <w:t>Rolling 12 Months through April</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Calendar Year</w:t>
            </w:r>
          </w:p>
        </w:tc>
        <w:tc>
          <w:tcPr>
            <w:tcW w:w="1300" w:type="dxa"/>
            <w:vAlign w:val="bottom"/>
          </w:tcPr>
          <w:p>
            <w:pPr>
              <w:spacing w:after="0"/>
              <w:rPr>
                <w:sz w:val="20"/>
                <w:szCs w:val="20"/>
                <w:color w:val="auto"/>
              </w:rPr>
            </w:pPr>
          </w:p>
        </w:tc>
      </w:tr>
      <w:tr>
        <w:trPr>
          <w:trHeight w:val="26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US and Canada</w:t>
            </w:r>
          </w:p>
        </w:tc>
        <w:tc>
          <w:tcPr>
            <w:tcW w:w="12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(1)</w:t>
            </w:r>
          </w:p>
        </w:tc>
      </w:tr>
      <w:tr>
        <w:trPr>
          <w:trHeight w:val="25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 B, C</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62"/>
        </w:trPr>
        <w:tc>
          <w:tcPr>
            <w:tcW w:w="454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2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8"/>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 share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4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retail unit market share for Grand Design since its acquisition on November 8, 2016.</w:t>
      </w:r>
    </w:p>
    <w:p>
      <w:pPr>
        <w:spacing w:after="0" w:line="239"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19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Due to the rapid growth in our Towable segment, we have implemented facility expansion projects in our Grand Design towables and Winnebago towables operating segments. The Grand Design towables expansion project consisted of three new production facilities--two were completed in Fiscal 2018 and the remaining is expected to be completed mid-Fiscal 2020. The facility expansion in the Winnebago towables division was completed in the third quarter of Fiscal 2019.</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Nine Months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0"/>
        </w:trPr>
        <w:tc>
          <w:tcPr>
            <w:tcW w:w="2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Fiscal Year</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6"/>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25,</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ind w:left="360"/>
              <w:spacing w:after="0"/>
              <w:rPr>
                <w:sz w:val="20"/>
                <w:szCs w:val="20"/>
                <w:color w:val="auto"/>
              </w:rPr>
            </w:pPr>
            <w:r>
              <w:rPr>
                <w:rFonts w:ascii="Arial" w:cs="Arial" w:eastAsia="Arial" w:hAnsi="Arial"/>
                <w:sz w:val="16"/>
                <w:szCs w:val="16"/>
                <w:b w:val="1"/>
                <w:bCs w:val="1"/>
                <w:color w:val="auto"/>
              </w:rPr>
              <w:t>Cumulative</w:t>
            </w:r>
          </w:p>
        </w:tc>
        <w:tc>
          <w:tcPr>
            <w:tcW w:w="640" w:type="dxa"/>
            <w:vAlign w:val="bottom"/>
          </w:tcPr>
          <w:p>
            <w:pPr>
              <w:spacing w:after="0"/>
              <w:rPr>
                <w:sz w:val="17"/>
                <w:szCs w:val="17"/>
                <w:color w:val="auto"/>
              </w:rPr>
            </w:pPr>
          </w:p>
        </w:tc>
      </w:tr>
      <w:tr>
        <w:trPr>
          <w:trHeight w:val="23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Investment</w:t>
            </w:r>
          </w:p>
        </w:tc>
        <w:tc>
          <w:tcPr>
            <w:tcW w:w="640" w:type="dxa"/>
            <w:vAlign w:val="bottom"/>
            <w:tcBorders>
              <w:bottom w:val="single" w:sz="8" w:color="auto"/>
            </w:tcBorders>
          </w:tcPr>
          <w:p>
            <w:pPr>
              <w:spacing w:after="0"/>
              <w:rPr>
                <w:sz w:val="20"/>
                <w:szCs w:val="20"/>
                <w:color w:val="auto"/>
              </w:rPr>
            </w:pPr>
          </w:p>
        </w:tc>
      </w:tr>
      <w:tr>
        <w:trPr>
          <w:trHeight w:val="26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Expensed</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16,238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r>
      <w:tr>
        <w:trPr>
          <w:trHeight w:val="242"/>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w:t>
      </w:r>
    </w:p>
    <w:p>
      <w:pPr>
        <w:spacing w:after="0" w:line="19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 February 4, 2019, we announced our intent to move our diesel production from Junction City, OR to Forest City, IA to enable more effective product development and improve our cost structure. These restructuring activities resulted in pretax charges of $1.1 million for the three months ended May 25, 2019 and $1.3 million for the nine months ended May 25, 2019. These expenses are included in our Motorhome segment and include employee-related costs and accelerated depreciation for assets that will no longer be used. Employee-related costs are expected to be paid in the fourth quarter of Fiscal 2019. We expect additional expenses of approximately $1.0 million in the fourth quarter of Fiscal 2019 and $1.0 million in Fiscal 2020, primarily related to asset-related charges and facility closure costs. We expect these expenses to be partially offset by the corresponding savings generated by the project.</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currently estimate that upon completion of this restructuring plan in Fiscal 2020, these actions will reduce annual costs by approximately $4.0 million, which is primarily due to lower employee-related costs, lower depreciation expense, and other manufacturing and logistics efficiencies. We expect a portion of these savings will be achieved in Fiscal 2019 and 2020, and the full annual benefit of these actions is expected in Fiscal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25, 2019 compared to the three months ended May 26,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182"/>
        </w:trPr>
        <w:tc>
          <w:tcPr>
            <w:tcW w:w="248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(in thousands, except percent</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6"/>
        </w:trPr>
        <w:tc>
          <w:tcPr>
            <w:tcW w:w="248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25, 2019</w:t>
            </w:r>
          </w:p>
        </w:tc>
        <w:tc>
          <w:tcPr>
            <w:tcW w:w="154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26, 2018</w:t>
            </w:r>
          </w:p>
        </w:tc>
        <w:tc>
          <w:tcPr>
            <w:tcW w:w="156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528,940</w:t>
            </w:r>
          </w:p>
        </w:tc>
        <w:tc>
          <w:tcPr>
            <w:tcW w:w="12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562,261</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(33,321)</w:t>
            </w:r>
          </w:p>
        </w:tc>
        <w:tc>
          <w:tcPr>
            <w:tcW w:w="12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r>
      <w:tr>
        <w:trPr>
          <w:trHeight w:val="264"/>
        </w:trPr>
        <w:tc>
          <w:tcPr>
            <w:tcW w:w="2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442,356</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83.6 %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476,747</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84.8 %</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(34,391)</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r>
      <w:tr>
        <w:trPr>
          <w:trHeight w:val="257"/>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86,584</w:t>
            </w:r>
          </w:p>
        </w:tc>
        <w:tc>
          <w:tcPr>
            <w:tcW w:w="12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85,514</w:t>
            </w:r>
          </w:p>
        </w:tc>
        <w:tc>
          <w:tcPr>
            <w:tcW w:w="10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15.2 %</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1.3 %</w:t>
            </w:r>
          </w:p>
        </w:tc>
      </w:tr>
      <w:tr>
        <w:trPr>
          <w:trHeight w:val="178"/>
        </w:trPr>
        <w:tc>
          <w:tcPr>
            <w:tcW w:w="2480" w:type="dxa"/>
            <w:vAlign w:val="bottom"/>
          </w:tcPr>
          <w:p>
            <w:pPr>
              <w:ind w:left="40"/>
              <w:spacing w:after="0" w:line="178" w:lineRule="exact"/>
              <w:rPr>
                <w:sz w:val="20"/>
                <w:szCs w:val="20"/>
                <w:color w:val="auto"/>
              </w:rPr>
            </w:pPr>
            <w:r>
              <w:rPr>
                <w:rFonts w:ascii="Arial" w:cs="Arial" w:eastAsia="Arial" w:hAnsi="Arial"/>
                <w:sz w:val="16"/>
                <w:szCs w:val="16"/>
                <w:color w:val="auto"/>
              </w:rPr>
              <w:t>Selling, general, and</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6"/>
        </w:trPr>
        <w:tc>
          <w:tcPr>
            <w:tcW w:w="2480" w:type="dxa"/>
            <w:vAlign w:val="bottom"/>
          </w:tcPr>
          <w:p>
            <w:pPr>
              <w:ind w:left="40"/>
              <w:spacing w:after="0"/>
              <w:rPr>
                <w:sz w:val="20"/>
                <w:szCs w:val="20"/>
                <w:color w:val="auto"/>
              </w:rPr>
            </w:pPr>
            <w:r>
              <w:rPr>
                <w:rFonts w:ascii="Arial" w:cs="Arial" w:eastAsia="Arial" w:hAnsi="Arial"/>
                <w:sz w:val="16"/>
                <w:szCs w:val="16"/>
                <w:color w:val="auto"/>
              </w:rPr>
              <w:t>administrative expenses</w:t>
            </w:r>
          </w:p>
        </w:tc>
        <w:tc>
          <w:tcPr>
            <w:tcW w:w="18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35,332</w:t>
            </w:r>
          </w:p>
        </w:tc>
        <w:tc>
          <w:tcPr>
            <w:tcW w:w="120" w:type="dxa"/>
            <w:vAlign w:val="bottom"/>
          </w:tcPr>
          <w:p>
            <w:pPr>
              <w:spacing w:after="0"/>
              <w:rPr>
                <w:sz w:val="19"/>
                <w:szCs w:val="19"/>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35,304</w:t>
            </w:r>
          </w:p>
        </w:tc>
        <w:tc>
          <w:tcPr>
            <w:tcW w:w="100" w:type="dxa"/>
            <w:vAlign w:val="bottom"/>
          </w:tcPr>
          <w:p>
            <w:pPr>
              <w:spacing w:after="0"/>
              <w:rPr>
                <w:sz w:val="19"/>
                <w:szCs w:val="19"/>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0.1 %</w:t>
            </w:r>
          </w:p>
        </w:tc>
      </w:tr>
      <w:tr>
        <w:trPr>
          <w:trHeight w:val="271"/>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2,278</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17.8 %</w:t>
            </w:r>
          </w:p>
        </w:tc>
      </w:tr>
      <w:tr>
        <w:trPr>
          <w:trHeight w:val="249"/>
        </w:trPr>
        <w:tc>
          <w:tcPr>
            <w:tcW w:w="24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21"/>
                <w:szCs w:val="21"/>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37,610</w:t>
            </w:r>
          </w:p>
        </w:tc>
        <w:tc>
          <w:tcPr>
            <w:tcW w:w="120" w:type="dxa"/>
            <w:vAlign w:val="bottom"/>
          </w:tcPr>
          <w:p>
            <w:pPr>
              <w:spacing w:after="0"/>
              <w:rPr>
                <w:sz w:val="21"/>
                <w:szCs w:val="21"/>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37,237</w:t>
            </w:r>
          </w:p>
        </w:tc>
        <w:tc>
          <w:tcPr>
            <w:tcW w:w="100" w:type="dxa"/>
            <w:vAlign w:val="bottom"/>
          </w:tcPr>
          <w:p>
            <w:pPr>
              <w:spacing w:after="0"/>
              <w:rPr>
                <w:sz w:val="21"/>
                <w:szCs w:val="21"/>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1"/>
                <w:szCs w:val="21"/>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1.0 %</w:t>
            </w:r>
          </w:p>
        </w:tc>
      </w:tr>
      <w:tr>
        <w:trPr>
          <w:trHeight w:val="278"/>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48,974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48,277</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1.4 %</w:t>
            </w:r>
          </w:p>
        </w:tc>
      </w:tr>
      <w:tr>
        <w:trPr>
          <w:trHeight w:val="262"/>
        </w:trPr>
        <w:tc>
          <w:tcPr>
            <w:tcW w:w="24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4,446</w:t>
            </w:r>
          </w:p>
        </w:tc>
        <w:tc>
          <w:tcPr>
            <w:tcW w:w="12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6.6 %</w:t>
            </w:r>
          </w:p>
        </w:tc>
      </w:tr>
      <w:tr>
        <w:trPr>
          <w:trHeight w:val="271"/>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260.0 %</w:t>
            </w:r>
          </w:p>
        </w:tc>
      </w:tr>
      <w:tr>
        <w:trPr>
          <w:trHeight w:val="249"/>
        </w:trPr>
        <w:tc>
          <w:tcPr>
            <w:tcW w:w="24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44,888</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44,205</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1.5 %</w:t>
            </w:r>
          </w:p>
        </w:tc>
      </w:tr>
      <w:tr>
        <w:trPr>
          <w:trHeight w:val="271"/>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8,717</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11,684</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(2,967)</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(25.4)%</w:t>
            </w:r>
          </w:p>
        </w:tc>
      </w:tr>
      <w:tr>
        <w:trPr>
          <w:trHeight w:val="282"/>
        </w:trPr>
        <w:tc>
          <w:tcPr>
            <w:tcW w:w="2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36,171</w:t>
            </w: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32,521</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3,650</w:t>
            </w: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11.2 %</w:t>
            </w:r>
          </w:p>
        </w:tc>
      </w:tr>
      <w:tr>
        <w:trPr>
          <w:trHeight w:val="279"/>
        </w:trPr>
        <w:tc>
          <w:tcPr>
            <w:tcW w:w="2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2"/>
        </w:trPr>
        <w:tc>
          <w:tcPr>
            <w:tcW w:w="248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11.8 %</w:t>
            </w:r>
          </w:p>
        </w:tc>
      </w:tr>
      <w:tr>
        <w:trPr>
          <w:trHeight w:val="206"/>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4"/>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31,644</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31,753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85"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Net revenues decreased in the third quarter of Fiscal 2019 compared to the third quarter of Fiscal 2018 primarily due to a decline in Motorhome volume, partially offset by an increase in Towable volume and our acquisition of Chris-Craft in the fourth quarter of Fiscal 2018.</w:t>
      </w:r>
    </w:p>
    <w:p>
      <w:pPr>
        <w:spacing w:after="0" w:line="121"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Gross profit as a percentage of revenue increased in the third quarter of Fiscal 2019 compared to the third quarter of Fiscal 2018 driven by an increase in Towable volume and margin expansion driven by pricing and a decline in Motorhome volume providing a favorable mix.</w:t>
      </w:r>
    </w:p>
    <w:p>
      <w:pPr>
        <w:spacing w:after="0" w:line="12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Operating expenses increased in the third quarter of Fiscal 2019 compared to the third quarter of Fiscal 2018 due to Chris-Craft operating expenses, which was acquired in the fourth quarter of Fiscal 2018.</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effective tax rate decreased to 19.4% for the third quarter of Fiscal 2019 compared to 26.4% for the third quarter of Fiscal 2018 due primarily to $1.1 million in net favorable discrete items, primarily attributable to R&amp;D-related tax credits, realized in the current period and the enactment of the 2017 Tax Cuts and Jobs Act ("Tax Act") on December 22, 2017. The reduction related to the enactment of the Tax Act is primarily attributable to the reduction in the Federal tax rate to 21%.</w:t>
      </w:r>
    </w:p>
    <w:p>
      <w:pPr>
        <w:spacing w:after="0" w:line="14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Net income and diluted income per share increased in the third quarter of Fiscal 2019 compared to the third quarter of Fiscal 2018 primarily due to a lower statutory tax rate and a favorable R&amp;D-related discrete item.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three months ended May 25, 2019 and May 26,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Three Months Ended</w:t>
            </w:r>
          </w:p>
        </w:tc>
      </w:tr>
      <w:tr>
        <w:trPr>
          <w:trHeight w:val="193"/>
        </w:trPr>
        <w:tc>
          <w:tcPr>
            <w:tcW w:w="7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ind w:left="260"/>
              <w:spacing w:after="0"/>
              <w:rPr>
                <w:sz w:val="20"/>
                <w:szCs w:val="20"/>
                <w:color w:val="auto"/>
              </w:rPr>
            </w:pPr>
            <w:r>
              <w:rPr>
                <w:rFonts w:ascii="Arial" w:cs="Arial" w:eastAsia="Arial" w:hAnsi="Arial"/>
                <w:sz w:val="16"/>
                <w:szCs w:val="16"/>
                <w:b w:val="1"/>
                <w:bCs w:val="1"/>
                <w:color w:val="auto"/>
              </w:rPr>
              <w:t>May 25,</w:t>
            </w:r>
          </w:p>
        </w:tc>
        <w:tc>
          <w:tcPr>
            <w:tcW w:w="380" w:type="dxa"/>
            <w:vAlign w:val="bottom"/>
          </w:tcPr>
          <w:p>
            <w:pPr>
              <w:spacing w:after="0"/>
              <w:rPr>
                <w:sz w:val="16"/>
                <w:szCs w:val="16"/>
                <w:color w:val="auto"/>
              </w:rPr>
            </w:pPr>
          </w:p>
        </w:tc>
        <w:tc>
          <w:tcPr>
            <w:tcW w:w="1500" w:type="dxa"/>
            <w:vAlign w:val="bottom"/>
          </w:tcPr>
          <w:p>
            <w:pPr>
              <w:jc w:val="right"/>
              <w:ind w:right="579"/>
              <w:spacing w:after="0"/>
              <w:rPr>
                <w:sz w:val="20"/>
                <w:szCs w:val="20"/>
                <w:color w:val="auto"/>
              </w:rPr>
            </w:pPr>
            <w:r>
              <w:rPr>
                <w:rFonts w:ascii="Arial" w:cs="Arial" w:eastAsia="Arial" w:hAnsi="Arial"/>
                <w:sz w:val="16"/>
                <w:szCs w:val="16"/>
                <w:b w:val="1"/>
                <w:bCs w:val="1"/>
                <w:color w:val="auto"/>
              </w:rPr>
              <w:t>May 26,</w:t>
            </w:r>
          </w:p>
        </w:tc>
      </w:tr>
      <w:tr>
        <w:trPr>
          <w:trHeight w:val="232"/>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r>
      <w:tr>
        <w:trPr>
          <w:trHeight w:val="254"/>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36,171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32,521</w:t>
            </w:r>
          </w:p>
        </w:tc>
      </w:tr>
      <w:tr>
        <w:trPr>
          <w:trHeight w:val="262"/>
        </w:trPr>
        <w:tc>
          <w:tcPr>
            <w:tcW w:w="75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4,172</w:t>
            </w:r>
          </w:p>
        </w:tc>
      </w:tr>
      <w:tr>
        <w:trPr>
          <w:trHeight w:val="278"/>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11,684</w:t>
            </w:r>
          </w:p>
        </w:tc>
      </w:tr>
      <w:tr>
        <w:trPr>
          <w:trHeight w:val="262"/>
        </w:trPr>
        <w:tc>
          <w:tcPr>
            <w:tcW w:w="756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2"/>
                <w:szCs w:val="22"/>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2,351</w:t>
            </w:r>
          </w:p>
        </w:tc>
      </w:tr>
      <w:tr>
        <w:trPr>
          <w:trHeight w:val="271"/>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1,933</w:t>
            </w:r>
          </w:p>
        </w:tc>
      </w:tr>
      <w:tr>
        <w:trPr>
          <w:trHeight w:val="249"/>
        </w:trPr>
        <w:tc>
          <w:tcPr>
            <w:tcW w:w="7560" w:type="dxa"/>
            <w:vAlign w:val="bottom"/>
          </w:tcPr>
          <w:p>
            <w:pPr>
              <w:ind w:left="180"/>
              <w:spacing w:after="0"/>
              <w:rPr>
                <w:sz w:val="20"/>
                <w:szCs w:val="20"/>
                <w:color w:val="auto"/>
              </w:rPr>
            </w:pPr>
            <w:r>
              <w:rPr>
                <w:rFonts w:ascii="Arial" w:cs="Arial" w:eastAsia="Arial" w:hAnsi="Arial"/>
                <w:sz w:val="16"/>
                <w:szCs w:val="16"/>
                <w:color w:val="auto"/>
              </w:rPr>
              <w:t>EBITDA</w:t>
            </w:r>
          </w:p>
        </w:tc>
        <w:tc>
          <w:tcPr>
            <w:tcW w:w="360" w:type="dxa"/>
            <w:vAlign w:val="bottom"/>
          </w:tcPr>
          <w:p>
            <w:pPr>
              <w:spacing w:after="0"/>
              <w:rPr>
                <w:sz w:val="21"/>
                <w:szCs w:val="21"/>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55,132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52,661</w:t>
            </w:r>
          </w:p>
        </w:tc>
      </w:tr>
      <w:tr>
        <w:trPr>
          <w:trHeight w:val="278"/>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Acquisition-related costs</w:t>
            </w:r>
          </w:p>
        </w:tc>
        <w:tc>
          <w:tcPr>
            <w:tcW w:w="36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800</w:t>
            </w:r>
          </w:p>
        </w:tc>
      </w:tr>
      <w:tr>
        <w:trPr>
          <w:trHeight w:val="262"/>
        </w:trPr>
        <w:tc>
          <w:tcPr>
            <w:tcW w:w="7560" w:type="dxa"/>
            <w:vAlign w:val="bottom"/>
          </w:tcPr>
          <w:p>
            <w:pPr>
              <w:ind w:left="40"/>
              <w:spacing w:after="0"/>
              <w:rPr>
                <w:sz w:val="20"/>
                <w:szCs w:val="20"/>
                <w:color w:val="auto"/>
              </w:rPr>
            </w:pPr>
            <w:r>
              <w:rPr>
                <w:rFonts w:ascii="Arial" w:cs="Arial" w:eastAsia="Arial" w:hAnsi="Arial"/>
                <w:sz w:val="16"/>
                <w:szCs w:val="16"/>
                <w:color w:val="auto"/>
              </w:rPr>
              <w:t>Restructuring expenses</w:t>
            </w:r>
          </w:p>
        </w:tc>
        <w:tc>
          <w:tcPr>
            <w:tcW w:w="360" w:type="dxa"/>
            <w:vAlign w:val="bottom"/>
          </w:tcPr>
          <w:p>
            <w:pPr>
              <w:spacing w:after="0"/>
              <w:rPr>
                <w:sz w:val="22"/>
                <w:szCs w:val="22"/>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1"/>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w:t>
            </w:r>
          </w:p>
        </w:tc>
      </w:tr>
      <w:tr>
        <w:trPr>
          <w:trHeight w:val="242"/>
        </w:trPr>
        <w:tc>
          <w:tcPr>
            <w:tcW w:w="756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55,874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53,361</w:t>
            </w: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May 25, 2019 compared to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26,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25,</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26,</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240" w:type="dxa"/>
            <w:vAlign w:val="bottom"/>
          </w:tcPr>
          <w:p>
            <w:pPr>
              <w:spacing w:after="0"/>
              <w:rPr>
                <w:sz w:val="20"/>
                <w:szCs w:val="20"/>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4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3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160,239</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244,870</w:t>
            </w: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(84,631)</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(34.6)%</w:t>
            </w:r>
          </w:p>
        </w:tc>
      </w:tr>
      <w:tr>
        <w:trPr>
          <w:trHeight w:val="262"/>
        </w:trPr>
        <w:tc>
          <w:tcPr>
            <w:tcW w:w="30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11,677</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(11,296)</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(96.7)%</w:t>
            </w:r>
          </w:p>
        </w:tc>
      </w:tr>
      <w:tr>
        <w:trPr>
          <w:trHeight w:val="305"/>
        </w:trPr>
        <w:tc>
          <w:tcPr>
            <w:tcW w:w="3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29"/>
        </w:trPr>
        <w:tc>
          <w:tcPr>
            <w:tcW w:w="3020" w:type="dxa"/>
            <w:vAlign w:val="bottom"/>
          </w:tcPr>
          <w:p>
            <w:pPr>
              <w:ind w:left="4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82,679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85,950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(3,271)</w:t>
            </w:r>
          </w:p>
        </w:tc>
        <w:tc>
          <w:tcPr>
            <w:tcW w:w="120" w:type="dxa"/>
            <w:vAlign w:val="bottom"/>
          </w:tcPr>
          <w:p>
            <w:pPr>
              <w:spacing w:after="0"/>
              <w:rPr>
                <w:sz w:val="24"/>
                <w:szCs w:val="24"/>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w:t>
            </w:r>
          </w:p>
        </w:tc>
      </w:tr>
      <w:tr>
        <w:trPr>
          <w:trHeight w:val="437"/>
        </w:trPr>
        <w:tc>
          <w:tcPr>
            <w:tcW w:w="3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May 25,</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26,</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240" w:type="dxa"/>
            <w:vAlign w:val="bottom"/>
          </w:tcPr>
          <w:p>
            <w:pPr>
              <w:spacing w:after="0"/>
              <w:rPr>
                <w:sz w:val="20"/>
                <w:szCs w:val="20"/>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8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24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0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(47.6)%</w:t>
            </w:r>
          </w:p>
        </w:tc>
      </w:tr>
      <w:tr>
        <w:trPr>
          <w:trHeight w:val="262"/>
        </w:trPr>
        <w:tc>
          <w:tcPr>
            <w:tcW w:w="3020" w:type="dxa"/>
            <w:vAlign w:val="bottom"/>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(15.0)%</w:t>
            </w:r>
          </w:p>
        </w:tc>
      </w:tr>
      <w:tr>
        <w:trPr>
          <w:trHeight w:val="271"/>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(30.0)%</w:t>
            </w:r>
          </w:p>
        </w:tc>
      </w:tr>
      <w:tr>
        <w:trPr>
          <w:trHeight w:val="242"/>
        </w:trPr>
        <w:tc>
          <w:tcPr>
            <w:tcW w:w="302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(31.3)%</w:t>
            </w: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Net revenues decreased in the third quarter of Fiscal 2019 compared to the third quarter of Fiscal 2018 due to a decrease in the number of units sold as well as an unfavorable product mix.</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Adjusted EBITDA decreased in the third quarter of Fiscal 2019 compared to the third quarter of Fiscal 2018 due to reduced sales volume, unfavorable mix of business, and continued competitive pricing and promotional pressures.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Unit deliveries decreased in the third quarter of Fiscal 2019 compared to the third quarter of Fiscal 2018 driven primarily by declines in our Class A and Class C products. Class B were also less than the prior year in the third quarter due to a temporary disruption in the supply of chassis used in two of our most popular Class B models.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9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following is an analysis of key changes in our Towable segment for the three months ended May 25, 2019 compared to the three months ended May 26,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93"/>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25,</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26,</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2"/>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260" w:type="dxa"/>
            <w:vAlign w:val="bottom"/>
          </w:tcPr>
          <w:p>
            <w:pPr>
              <w:spacing w:after="0"/>
              <w:rPr>
                <w:sz w:val="20"/>
                <w:szCs w:val="20"/>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60" w:type="dxa"/>
            <w:vAlign w:val="bottom"/>
          </w:tcPr>
          <w:p>
            <w:pPr>
              <w:spacing w:after="0"/>
              <w:rPr>
                <w:sz w:val="20"/>
                <w:szCs w:val="20"/>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3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346,811</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313,016</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33,795</w:t>
            </w: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r>
      <w:tr>
        <w:trPr>
          <w:trHeight w:val="262"/>
        </w:trPr>
        <w:tc>
          <w:tcPr>
            <w:tcW w:w="30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57,172</w:t>
            </w:r>
          </w:p>
        </w:tc>
        <w:tc>
          <w:tcPr>
            <w:tcW w:w="10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45,378</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11,794</w:t>
            </w:r>
          </w:p>
        </w:tc>
        <w:tc>
          <w:tcPr>
            <w:tcW w:w="12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26.0%</w:t>
            </w:r>
          </w:p>
        </w:tc>
      </w:tr>
      <w:tr>
        <w:trPr>
          <w:trHeight w:val="305"/>
        </w:trPr>
        <w:tc>
          <w:tcPr>
            <w:tcW w:w="3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329"/>
        </w:trPr>
        <w:tc>
          <w:tcPr>
            <w:tcW w:w="3040" w:type="dxa"/>
            <w:vAlign w:val="bottom"/>
          </w:tcPr>
          <w:p>
            <w:pPr>
              <w:ind w:left="4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33,318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31,826</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4"/>
                <w:szCs w:val="24"/>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4.7%</w:t>
            </w:r>
          </w:p>
        </w:tc>
      </w:tr>
      <w:tr>
        <w:trPr>
          <w:trHeight w:val="437"/>
        </w:trPr>
        <w:tc>
          <w:tcPr>
            <w:tcW w:w="3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3"/>
        </w:trPr>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25,</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May 26,</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6"/>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260" w:type="dxa"/>
            <w:vAlign w:val="bottom"/>
          </w:tcPr>
          <w:p>
            <w:pPr>
              <w:spacing w:after="0"/>
              <w:rPr>
                <w:sz w:val="20"/>
                <w:szCs w:val="20"/>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260" w:type="dxa"/>
            <w:vAlign w:val="bottom"/>
          </w:tcPr>
          <w:p>
            <w:pPr>
              <w:spacing w:after="0"/>
              <w:rPr>
                <w:sz w:val="20"/>
                <w:szCs w:val="20"/>
                <w:color w:val="auto"/>
              </w:rPr>
            </w:pPr>
          </w:p>
        </w:tc>
        <w:tc>
          <w:tcPr>
            <w:tcW w:w="11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2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6,185</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6,063</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4,216</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w:t>
            </w:r>
          </w:p>
        </w:tc>
      </w:tr>
      <w:tr>
        <w:trPr>
          <w:trHeight w:val="242"/>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40"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Net revenues increased in the third quarter of Fiscal 2019 compared to the third quarter of Fiscal 2018 due to an increase in the number of units sold and pricing actions taken in the second quarter of Fiscal 2019.</w:t>
      </w:r>
    </w:p>
    <w:p>
      <w:pPr>
        <w:spacing w:after="0" w:line="121"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Adjusted EBITDA increased in the third quarter of Fiscal 2019 compared to the third quarter of Fiscal 2018 due to an increase in sales volume and pricing actions taken during the second quarter of Fiscal 2019.</w:t>
      </w:r>
    </w:p>
    <w:p>
      <w:pPr>
        <w:spacing w:after="0" w:line="12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Unit deliveries increased in the third quarter of Fiscal 2019 compared to the third quarter of Fiscal 2018 primarily due to volume growth in excess of recent industry trends.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First Nine Months of Fiscal 2019 Compared to the First Nine Months of Fiscal 2018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25, 2019 compared to the nine months ended May 26,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6"/>
        </w:trPr>
        <w:tc>
          <w:tcPr>
            <w:tcW w:w="27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26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25,</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26,</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2760" w:type="dxa"/>
            <w:vAlign w:val="bottom"/>
          </w:tcPr>
          <w:p>
            <w:pPr>
              <w:ind w:left="40"/>
              <w:spacing w:after="0"/>
              <w:rPr>
                <w:sz w:val="20"/>
                <w:szCs w:val="20"/>
                <w:color w:val="auto"/>
              </w:rPr>
            </w:pPr>
            <w:r>
              <w:rPr>
                <w:rFonts w:ascii="Arial" w:cs="Arial" w:eastAsia="Arial" w:hAnsi="Arial"/>
                <w:sz w:val="16"/>
                <w:szCs w:val="16"/>
                <w:b w:val="1"/>
                <w:bCs w:val="1"/>
                <w:color w:val="auto"/>
              </w:rPr>
              <w:t>per share data)</w:t>
            </w:r>
          </w:p>
        </w:tc>
        <w:tc>
          <w:tcPr>
            <w:tcW w:w="260" w:type="dxa"/>
            <w:vAlign w:val="bottom"/>
          </w:tcPr>
          <w:p>
            <w:pPr>
              <w:spacing w:after="0"/>
              <w:rPr>
                <w:sz w:val="20"/>
                <w:szCs w:val="20"/>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56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60" w:type="dxa"/>
            <w:vAlign w:val="bottom"/>
          </w:tcPr>
          <w:p>
            <w:pPr>
              <w:spacing w:after="0"/>
              <w:rPr>
                <w:sz w:val="20"/>
                <w:szCs w:val="20"/>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6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1,455,278</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1,480,641</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(25,363)</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64"/>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1,231,269</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84.6 %</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1,264,635</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85.4 %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(33,366)</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w:t>
            </w: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224,009</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216,006</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8,003</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3.7 %</w:t>
            </w:r>
          </w:p>
        </w:tc>
      </w:tr>
      <w:tr>
        <w:trPr>
          <w:trHeight w:val="178"/>
        </w:trPr>
        <w:tc>
          <w:tcPr>
            <w:tcW w:w="2760" w:type="dxa"/>
            <w:vAlign w:val="bottom"/>
          </w:tcPr>
          <w:p>
            <w:pPr>
              <w:ind w:left="40"/>
              <w:spacing w:after="0" w:line="178" w:lineRule="exact"/>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6"/>
        </w:trPr>
        <w:tc>
          <w:tcPr>
            <w:tcW w:w="2760" w:type="dxa"/>
            <w:vAlign w:val="bottom"/>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106,303</w:t>
            </w:r>
          </w:p>
        </w:tc>
        <w:tc>
          <w:tcPr>
            <w:tcW w:w="10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95,381</w:t>
            </w:r>
          </w:p>
        </w:tc>
        <w:tc>
          <w:tcPr>
            <w:tcW w:w="10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10,922</w:t>
            </w:r>
          </w:p>
        </w:tc>
        <w:tc>
          <w:tcPr>
            <w:tcW w:w="100" w:type="dxa"/>
            <w:vAlign w:val="bottom"/>
          </w:tcPr>
          <w:p>
            <w:pPr>
              <w:spacing w:after="0"/>
              <w:rPr>
                <w:sz w:val="19"/>
                <w:szCs w:val="19"/>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11.5 %</w:t>
            </w:r>
          </w:p>
        </w:tc>
      </w:tr>
      <w:tr>
        <w:trPr>
          <w:trHeight w:val="271"/>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5,921</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21.7 %</w:t>
            </w:r>
          </w:p>
        </w:tc>
      </w:tr>
      <w:tr>
        <w:trPr>
          <w:trHeight w:val="250"/>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113,507</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101,302</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12,205</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12.0 %</w:t>
            </w: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110,502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114,704</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62"/>
        </w:trPr>
        <w:tc>
          <w:tcPr>
            <w:tcW w:w="27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2"/>
                <w:szCs w:val="22"/>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13,871</w:t>
            </w:r>
          </w:p>
        </w:tc>
        <w:tc>
          <w:tcPr>
            <w:tcW w:w="100" w:type="dxa"/>
            <w:vAlign w:val="bottom"/>
          </w:tcPr>
          <w:p>
            <w:pPr>
              <w:spacing w:after="0"/>
              <w:rPr>
                <w:sz w:val="22"/>
                <w:szCs w:val="22"/>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(4.2)%</w:t>
            </w:r>
          </w:p>
        </w:tc>
      </w:tr>
      <w:tr>
        <w:trPr>
          <w:trHeight w:val="271"/>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527.4 %</w:t>
            </w:r>
          </w:p>
        </w:tc>
      </w:tr>
      <w:tr>
        <w:trPr>
          <w:trHeight w:val="249"/>
        </w:trPr>
        <w:tc>
          <w:tcPr>
            <w:tcW w:w="27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98,539</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101,045</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w:t>
            </w:r>
          </w:p>
        </w:tc>
      </w:tr>
      <w:tr>
        <w:trPr>
          <w:trHeight w:val="271"/>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28,478</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(34.7)%</w:t>
            </w:r>
          </w:p>
        </w:tc>
      </w:tr>
      <w:tr>
        <w:trPr>
          <w:trHeight w:val="282"/>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79,930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72,567</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7,363</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10.1 %</w:t>
            </w:r>
          </w:p>
        </w:tc>
      </w:tr>
      <w:tr>
        <w:trPr>
          <w:trHeight w:val="279"/>
        </w:trPr>
        <w:tc>
          <w:tcPr>
            <w:tcW w:w="2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2"/>
        </w:trPr>
        <w:tc>
          <w:tcPr>
            <w:tcW w:w="276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10.5 %</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31,722</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31,825</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Net revenues decreased in the first nine months of Fiscal 2019 compared to the first nine months of Fiscal 2018 primarily due to a decrease in our Motorhome segment sales which is partially offset by our Towable segment sales and the acquisition of Chris-Craft in the fourth quarter of Fiscal 2018.</w:t>
      </w:r>
    </w:p>
    <w:p>
      <w:pPr>
        <w:spacing w:after="0" w:line="12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Gross profit as a percentage of revenue increased in the first nine months of Fiscal 2019 compared to the first nine months of Fiscal 2018 due to an increase in our Towable segment volume and pricing actions taken in the second quarter of Fiscal 2019. This was partially offset by reduced Motorhome sales volume and heightened dealer incentives.</w:t>
      </w:r>
    </w:p>
    <w:p>
      <w:pPr>
        <w:spacing w:after="0" w:line="138"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Operating expenses increased in the first nine months of Fiscal 2019 compared to the first nine months of Fiscal 2018 due to the addition of the Chris-Craft business and increased investments in our business.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Interest expense decreased in the first nine months of Fiscal 2019 compared to the first nine months of Fiscal 2018 due to the unamortized debt issuance costs expensed in Fiscal 2018 related to our voluntary prepayment on our Credit Agreement and our Credit Agreement amendment during the second quarter of Fiscal 2018, which resulted in a decrease to the interest rate spread by 1.0% on the Term Loan and 0.25% on the ABL.</w:t>
      </w:r>
    </w:p>
    <w:p>
      <w:pPr>
        <w:spacing w:after="0" w:line="138"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Non-operating income increased in the first nine months of Fiscal 2019 compared to the first nine months of Fiscal 2018 due to net proceeds received from company-owned life insurance policies.</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effective tax rate decreased to 18.9% for the first nine months of Fiscal 2019 compared to 28.2% for the first nine months of Fiscal 2018 due primarily to the enactment of the Tax Act on December 22, 2017 and to $3.6 million in net favorable discrete items, primarily attributable to R&amp;D-related tax credits, realized in the current period. The reduction related to the enactment of the Tax Act is primarily attributable to the reduction in the Federal statutory tax rate to 21%.</w:t>
      </w:r>
    </w:p>
    <w:p>
      <w:pPr>
        <w:spacing w:after="0" w:line="145" w:lineRule="exact"/>
        <w:rPr>
          <w:sz w:val="20"/>
          <w:szCs w:val="20"/>
          <w:color w:val="auto"/>
        </w:rPr>
      </w:pPr>
    </w:p>
    <w:p>
      <w:pPr>
        <w:jc w:val="both"/>
        <w:ind w:right="320"/>
        <w:spacing w:after="0" w:line="291" w:lineRule="auto"/>
        <w:rPr>
          <w:sz w:val="20"/>
          <w:szCs w:val="20"/>
          <w:color w:val="auto"/>
        </w:rPr>
      </w:pPr>
      <w:r>
        <w:rPr>
          <w:rFonts w:ascii="Arial" w:cs="Arial" w:eastAsia="Arial" w:hAnsi="Arial"/>
          <w:sz w:val="16"/>
          <w:szCs w:val="16"/>
          <w:color w:val="auto"/>
        </w:rPr>
        <w:t>Net income and diluted income per share increased in the first nine months of Fiscal 2019 compared to the first nine months of Fiscal 2018 primarily due to improved profitability in our Towable segment and the lower effective income tax rate, partially offset by a decrease in our Motorhome segment profitability.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first nine months ended May 25, 2019 and May 26,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7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25,</w:t>
            </w:r>
          </w:p>
        </w:tc>
        <w:tc>
          <w:tcPr>
            <w:tcW w:w="32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May 26,</w:t>
            </w:r>
          </w:p>
        </w:tc>
      </w:tr>
      <w:tr>
        <w:trPr>
          <w:trHeight w:val="23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5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79,930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72,567</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13,871</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28,478</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6,679</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5,921</w:t>
            </w:r>
          </w:p>
        </w:tc>
      </w:tr>
      <w:tr>
        <w:trPr>
          <w:trHeight w:val="249"/>
        </w:trPr>
        <w:tc>
          <w:tcPr>
            <w:tcW w:w="7900" w:type="dxa"/>
            <w:vAlign w:val="bottom"/>
          </w:tcPr>
          <w:p>
            <w:pPr>
              <w:ind w:left="180"/>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128,824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127,516</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Acquisition-related costs</w:t>
            </w:r>
          </w:p>
        </w:tc>
        <w:tc>
          <w:tcPr>
            <w:tcW w:w="3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Restructuring expenses</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42"/>
        </w:trPr>
        <w:tc>
          <w:tcPr>
            <w:tcW w:w="790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128,815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128,154</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first nine months ended May 25, 2019 compared to the first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26, 2018 and as of May 25, 2019 compared to May 26,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260" w:type="dxa"/>
            <w:vAlign w:val="bottom"/>
          </w:tcPr>
          <w:p>
            <w:pPr>
              <w:spacing w:after="0"/>
              <w:rPr>
                <w:sz w:val="20"/>
                <w:szCs w:val="20"/>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260" w:type="dxa"/>
            <w:vAlign w:val="bottom"/>
          </w:tcPr>
          <w:p>
            <w:pPr>
              <w:spacing w:after="0"/>
              <w:rPr>
                <w:sz w:val="20"/>
                <w:szCs w:val="20"/>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3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506,229</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632,148</w:t>
            </w: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(125,919)</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(19.9)%</w:t>
            </w:r>
          </w:p>
        </w:tc>
      </w:tr>
      <w:tr>
        <w:trPr>
          <w:trHeight w:val="262"/>
        </w:trPr>
        <w:tc>
          <w:tcPr>
            <w:tcW w:w="30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16,716</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22,264</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(5,548)</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(24.9)%</w:t>
            </w:r>
          </w:p>
        </w:tc>
      </w:tr>
      <w:tr>
        <w:trPr>
          <w:trHeight w:val="305"/>
        </w:trPr>
        <w:tc>
          <w:tcPr>
            <w:tcW w:w="3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439"/>
        </w:trPr>
        <w:tc>
          <w:tcPr>
            <w:tcW w:w="3000" w:type="dxa"/>
            <w:vAlign w:val="bottom"/>
          </w:tcPr>
          <w:p>
            <w:pPr>
              <w:ind w:left="4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2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91,091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88,728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2.7 %</w:t>
            </w:r>
          </w:p>
        </w:tc>
      </w:tr>
      <w:tr>
        <w:trPr>
          <w:trHeight w:val="327"/>
        </w:trPr>
        <w:tc>
          <w:tcPr>
            <w:tcW w:w="3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7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(42.9)%</w:t>
            </w:r>
          </w:p>
        </w:tc>
      </w:tr>
      <w:tr>
        <w:trPr>
          <w:trHeight w:val="262"/>
        </w:trPr>
        <w:tc>
          <w:tcPr>
            <w:tcW w:w="3000" w:type="dxa"/>
            <w:vAlign w:val="bottom"/>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1,847</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1,387</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33.2 %</w:t>
            </w:r>
          </w:p>
        </w:tc>
      </w:tr>
      <w:tr>
        <w:trPr>
          <w:trHeight w:val="271"/>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(27.9)%</w:t>
            </w:r>
          </w:p>
        </w:tc>
      </w:tr>
      <w:tr>
        <w:trPr>
          <w:trHeight w:val="242"/>
        </w:trPr>
        <w:tc>
          <w:tcPr>
            <w:tcW w:w="300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2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7,085</w:t>
            </w:r>
          </w:p>
        </w:tc>
        <w:tc>
          <w:tcPr>
            <w:tcW w:w="1500" w:type="dxa"/>
            <w:vAlign w:val="bottom"/>
            <w:gridSpan w:val="2"/>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(20.9)%</w:t>
            </w:r>
          </w:p>
        </w:tc>
      </w:tr>
      <w:tr>
        <w:trPr>
          <w:trHeight w:val="20"/>
        </w:trPr>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26,</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 in thousands)</w:t>
            </w:r>
          </w:p>
        </w:tc>
        <w:tc>
          <w:tcPr>
            <w:tcW w:w="260" w:type="dxa"/>
            <w:vAlign w:val="bottom"/>
          </w:tcPr>
          <w:p>
            <w:pPr>
              <w:spacing w:after="0"/>
              <w:rPr>
                <w:sz w:val="20"/>
                <w:szCs w:val="20"/>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3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3000" w:type="dxa"/>
            <w:vAlign w:val="bottom"/>
          </w:tcPr>
          <w:p>
            <w:pPr>
              <w:ind w:left="180"/>
              <w:spacing w:after="0"/>
              <w:rPr>
                <w:sz w:val="20"/>
                <w:szCs w:val="20"/>
                <w:color w:val="auto"/>
              </w:rPr>
            </w:pPr>
            <w:r>
              <w:rPr>
                <w:rFonts w:ascii="Arial" w:cs="Arial" w:eastAsia="Arial" w:hAnsi="Arial"/>
                <w:sz w:val="16"/>
                <w:szCs w:val="16"/>
                <w:color w:val="auto"/>
              </w:rPr>
              <w:t>Units</w:t>
            </w:r>
          </w:p>
        </w:tc>
        <w:tc>
          <w:tcPr>
            <w:tcW w:w="2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w:t>
            </w:r>
          </w:p>
        </w:tc>
      </w:tr>
      <w:tr>
        <w:trPr>
          <w:trHeight w:val="278"/>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182,354</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193,079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r>
      <w:tr>
        <w:trPr>
          <w:trHeight w:val="266"/>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4,235</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r>
    </w:tbl>
    <w:p>
      <w:pPr>
        <w:spacing w:after="0" w:line="4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in the first nine months of Fiscal 2019 compared to the first nine months of Fiscal 2018 due to a decrease</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the number of units sold, partially offset by increased pricing.</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ASP increased in the first nine months of Fiscal 2019 compared to the first nine months of Fiscal 2018 due to price increases during the second half of Fiscal 2018.</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Adjusted EBITDA decreased in the first nine months of Fiscal 2019 compared to the first nine months of Fiscal 2018 due to lower volume and higher discounts, partially offset by favorable mix of business.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Unit deliveries decreased in the first nine months of Fiscal 2019 compared to the first nine months of Fiscal 2018 driven by decreases in our Class A and Class C products, partially offset by an increase in our Class B products.</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have seen a decrease in the volume and dollar value of backlog as of May 25, 2019 compared to May 26, 2018 due to the continuation of dealers right-sizing inventory levels, partially offset by an increase in several Class B products due to the temporary disruption in chassis supply.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first nine months ended May 25, 2019 compared to the first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May 26, 2018 and as of May 25, 2019 compared to May 26,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93"/>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2"/>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240" w:type="dxa"/>
            <w:vAlign w:val="bottom"/>
          </w:tcPr>
          <w:p>
            <w:pPr>
              <w:spacing w:after="0"/>
              <w:rPr>
                <w:sz w:val="20"/>
                <w:szCs w:val="20"/>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240" w:type="dxa"/>
            <w:vAlign w:val="bottom"/>
          </w:tcPr>
          <w:p>
            <w:pPr>
              <w:spacing w:after="0"/>
              <w:rPr>
                <w:sz w:val="20"/>
                <w:szCs w:val="20"/>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3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890,335</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839,039</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51,296</w:t>
            </w: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6.1 %</w:t>
            </w:r>
          </w:p>
        </w:tc>
      </w:tr>
      <w:tr>
        <w:trPr>
          <w:trHeight w:val="262"/>
        </w:trPr>
        <w:tc>
          <w:tcPr>
            <w:tcW w:w="30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121,638</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115,066</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5.7 %</w:t>
            </w:r>
          </w:p>
        </w:tc>
      </w:tr>
      <w:tr>
        <w:trPr>
          <w:trHeight w:val="305"/>
        </w:trPr>
        <w:tc>
          <w:tcPr>
            <w:tcW w:w="3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329"/>
        </w:trPr>
        <w:tc>
          <w:tcPr>
            <w:tcW w:w="3020" w:type="dxa"/>
            <w:vAlign w:val="bottom"/>
          </w:tcPr>
          <w:p>
            <w:pPr>
              <w:ind w:left="4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32,926</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31,361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24"/>
                <w:szCs w:val="24"/>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5.0 %</w:t>
            </w:r>
          </w:p>
        </w:tc>
      </w:tr>
      <w:tr>
        <w:trPr>
          <w:trHeight w:val="437"/>
        </w:trPr>
        <w:tc>
          <w:tcPr>
            <w:tcW w:w="3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3"/>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16,564</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16,495</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64"/>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10,818</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10,428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3.7 %</w:t>
            </w:r>
          </w:p>
        </w:tc>
      </w:tr>
      <w:tr>
        <w:trPr>
          <w:trHeight w:val="242"/>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27,382</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26,923</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25,</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26,</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2"/>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Pr>
          <w:p>
            <w:pPr>
              <w:spacing w:after="0"/>
              <w:rPr>
                <w:sz w:val="20"/>
                <w:szCs w:val="20"/>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3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24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62"/>
        </w:trPr>
        <w:tc>
          <w:tcPr>
            <w:tcW w:w="3020" w:type="dxa"/>
            <w:vAlign w:val="bottom"/>
          </w:tcPr>
          <w:p>
            <w:pPr>
              <w:ind w:left="180"/>
              <w:spacing w:after="0"/>
              <w:rPr>
                <w:sz w:val="20"/>
                <w:szCs w:val="20"/>
                <w:color w:val="auto"/>
              </w:rPr>
            </w:pPr>
            <w:r>
              <w:rPr>
                <w:rFonts w:ascii="Arial" w:cs="Arial" w:eastAsia="Arial" w:hAnsi="Arial"/>
                <w:sz w:val="16"/>
                <w:szCs w:val="16"/>
                <w:color w:val="auto"/>
              </w:rPr>
              <w:t>Units</w:t>
            </w:r>
          </w:p>
        </w:tc>
        <w:tc>
          <w:tcPr>
            <w:tcW w:w="2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7,089</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9,968</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(2,879)</w:t>
            </w:r>
          </w:p>
        </w:tc>
        <w:tc>
          <w:tcPr>
            <w:tcW w:w="1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(28.9)%</w:t>
            </w:r>
          </w:p>
        </w:tc>
      </w:tr>
      <w:tr>
        <w:trPr>
          <w:trHeight w:val="278"/>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237,708</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313,513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r>
      <w:tr>
        <w:trPr>
          <w:trHeight w:val="266"/>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4"/>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18,984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15,986</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18.8 %</w:t>
            </w:r>
          </w:p>
        </w:tc>
      </w:tr>
    </w:tbl>
    <w:p>
      <w:pPr>
        <w:spacing w:after="0" w:line="4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09"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Net revenues increased in the first nine months of Fiscal 2019 compared to the first nine months of Fiscal 2018 due to increased volume and a resulting improvement in our market share.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ASP increased in the first nine months of Fiscal 2019 compared to the first nine months of Fiscal 2018 due to price increases during the first half of Fiscal 2019 as well as favorable product mix.</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in the first nine months of Fiscal 2019 compared to the first nine months of Fiscal 2018 primarily due to sales growth.</w:t>
      </w:r>
    </w:p>
    <w:p>
      <w:pPr>
        <w:spacing w:after="0" w:line="194" w:lineRule="exact"/>
        <w:rPr>
          <w:sz w:val="20"/>
          <w:szCs w:val="20"/>
          <w:color w:val="auto"/>
        </w:rPr>
      </w:pPr>
    </w:p>
    <w:p>
      <w:pPr>
        <w:jc w:val="both"/>
        <w:ind w:right="220"/>
        <w:spacing w:after="0" w:line="269" w:lineRule="auto"/>
        <w:rPr>
          <w:sz w:val="20"/>
          <w:szCs w:val="20"/>
          <w:color w:val="auto"/>
        </w:rPr>
      </w:pPr>
      <w:r>
        <w:rPr>
          <w:rFonts w:ascii="Arial" w:cs="Arial" w:eastAsia="Arial" w:hAnsi="Arial"/>
          <w:sz w:val="16"/>
          <w:szCs w:val="16"/>
          <w:color w:val="auto"/>
        </w:rPr>
        <w:t>Unit deliveries increased in the first nine months of Fiscal 2019 compared to the first nine months of Fiscal 2018 primarily due to volume growth in excess of recent industry trends. Our Towable segment market share increased from 6.7% to 8.1% when comparing retail registrations during the twelve-month trailing periods ended April 2018 and April 2019. Shipments grew faster than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industry as a result of greater penetration of our new products and further expansion of our products on dealer lots.</w:t>
      </w:r>
    </w:p>
    <w:p>
      <w:pPr>
        <w:spacing w:after="0" w:line="19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have seen a decrease in the backlog volumes as of May 25, 2019 compared to May 26, 2018 due to our utilization of additional capacity added during 2018 and re-balancing from high backlog levels in the prior year, in addition to a more challenging shipping environment in the current year. We believe dealer inventory increased due to our increased market share in the Towable segment and the strong demand for our Grand Design products.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 for the first nine months ended May 25, 2019 and May 26,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8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26,</w:t>
            </w: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cash provided by (used in):</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82,849</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61,012</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(17,890)</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(40,038)</w:t>
            </w: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3,084</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Cash provided by operating activities increased for the first nine months ended May 25, 2019 compared to the first nine months ended May 26, 2018 primarily due to favorable changes in working capital year-over-year, partially offset by the timing of estimated tax payments.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4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Cash used in investing activities increased for the first nine months ended May 25, 2019 compared to the first nine months ended May 26, 2018 primarily due to increased capital expenditures related to the capacity expansions within our Towable segment.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Cash used in financing activities increased for the first nine months ended May 25, 2019 compared to the first nine months ended May 26, 2018 primarily due to increased net payments on our Credit Agreement and increased share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94"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 xml:space="preserve">As of September 21, 2018, we have a debt agreement that consists of a $300.0 million term loan agreement ("Term Loan") and a $165.0 million asset-based revolving credit facility ("ABL") (collectively, the "Credit Agreement") with JPMorgan Chase Bank, N.A.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our Annual Report on Form 10-K for the fiscal year ended August 25, 2018 for additional details. As of May 25, 2019, we had $5.6 million in borrowings against the ABL.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Working capital at May 25, 2019 and August 25, 2018 was $186.2 million and $167.8 million, respectively. We currently expect cash on hand, funds generated from operations, and the borrowing available under our Credit Agreement to be sufficient to cover both short-term and long-term operating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94" w:lineRule="exact"/>
        <w:rPr>
          <w:sz w:val="20"/>
          <w:szCs w:val="20"/>
          <w:color w:val="auto"/>
        </w:rPr>
      </w:pPr>
    </w:p>
    <w:p>
      <w:pPr>
        <w:jc w:val="both"/>
        <w:ind w:right="140"/>
        <w:spacing w:after="0" w:line="269"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December 19, 2007, our Board of Directors authorized the repurchase of outstanding shares of our common stock, depending on market conditions, for an aggregate consideration of up to $60.0 million. On October 18, 2017, our Board of Directors authorized a share repurchase program in the amount of $70.0 million. There is no time restriction on either authorization. In the first nine months ended May 25, 2019, we repurchased 0.2 million shares for $5.7 million under this authorization. We continually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evaluate if share repurchases reflect a prudent use of our capital and, subject to compliance with our Credit Agreement, we may purchase shares in the future.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At May 25, 2019, we have $60.3 million remaining on our board repurchase authorization.</w:t>
      </w:r>
    </w:p>
    <w:p>
      <w:pPr>
        <w:spacing w:after="0" w:line="1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May 22, 2019, our Board of Directors approved a quarterly cash dividend of $0.11 per share payable on July 3, 2019, to common stockholders of record at the close of business on June 19, 2019.</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There has been no material change in our contractual obligations other than in the ordinary course of business since the end of Fiscal 2018. See our Annual Report on Form 10-K for the fiscal year ended August 25, 2018, for additional information regarding our contractual obligations and commercial commitments.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Estimates</w:t>
      </w:r>
    </w:p>
    <w:p>
      <w:pPr>
        <w:spacing w:after="0" w:line="196"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25, 2018.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25, 2018.</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in our significant accounting policies or critical accounting estimates since the end of Fiscal 2018.</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6"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 xml:space="preserve">For a description of new applicable accounting pronouncements,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Notes to Condensed Consolidated Financial Statements, included in this Quarterly Report on Form 10-Q.</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25, 2018,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business or production disruptions, sales order cancellations, risk related to compliance with debt covenants and leverage ratios, stock price volatility, availability of labor, a slowdown in the economy, low consumer confidence, the effect of global tensions, increases in interest rates, availability of credit, risk related to cyclicality and seasonality, slower than anticipated sales of new or existing products, integration of operations relating to merger and acquisition activities generally,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ERP, risk related to data security, governmental regulation, including for climate change, and risk related to anti-takeover provisions applicable to us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6" w:lineRule="exact"/>
        <w:rPr>
          <w:sz w:val="20"/>
          <w:szCs w:val="20"/>
          <w:color w:val="auto"/>
        </w:rPr>
      </w:pPr>
    </w:p>
    <w:p>
      <w:pPr>
        <w:ind w:right="900"/>
        <w:spacing w:after="0" w:line="291" w:lineRule="auto"/>
        <w:rPr>
          <w:sz w:val="20"/>
          <w:szCs w:val="20"/>
          <w:color w:val="auto"/>
        </w:rPr>
      </w:pPr>
      <w:r>
        <w:rPr>
          <w:rFonts w:ascii="Arial" w:cs="Arial" w:eastAsia="Arial" w:hAnsi="Arial"/>
          <w:sz w:val="16"/>
          <w:szCs w:val="16"/>
          <w:color w:val="auto"/>
        </w:rPr>
        <w:t xml:space="preserve">There have been no material changes in our primary risk exposures or management of market risks from those previously disclosed in Part II,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of our Annual Report on Form 10-K for the fiscal year ended August 25, 2018.</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There were no changes in our internal control over financial reporting that occurred during the third quarter of Fiscal 2019 that have materially affected, or are reasonably likely to materially affect, our internal control over financial reporting.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69" w:lineRule="exact"/>
        <w:rPr>
          <w:sz w:val="20"/>
          <w:szCs w:val="20"/>
          <w:color w:val="auto"/>
        </w:rPr>
      </w:pPr>
    </w:p>
    <w:p>
      <w:pPr>
        <w:ind w:right="840"/>
        <w:spacing w:after="0" w:line="291" w:lineRule="auto"/>
        <w:rPr>
          <w:sz w:val="20"/>
          <w:szCs w:val="20"/>
          <w:color w:val="auto"/>
        </w:rPr>
      </w:pPr>
      <w:r>
        <w:rPr>
          <w:rFonts w:ascii="Arial" w:cs="Arial" w:eastAsia="Arial" w:hAnsi="Arial"/>
          <w:sz w:val="16"/>
          <w:szCs w:val="16"/>
          <w:color w:val="auto"/>
        </w:rPr>
        <w:t xml:space="preserve">For a description of our legal proceedings, see Note 11,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of the Notes to Condensed Consolidated Financial Statements, included in this Quarterly Report on Form 10-Q.</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25, 2018.</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2019 were: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Approximate Dollar Value of Shares</w:t>
            </w:r>
          </w:p>
        </w:tc>
      </w:tr>
      <w:tr>
        <w:trPr>
          <w:trHeight w:val="189"/>
        </w:trPr>
        <w:tc>
          <w:tcPr>
            <w:tcW w:w="2520" w:type="dxa"/>
            <w:vAlign w:val="bottom"/>
          </w:tcPr>
          <w:p>
            <w:pPr>
              <w:spacing w:after="0"/>
              <w:rPr>
                <w:sz w:val="16"/>
                <w:szCs w:val="16"/>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w:t>
            </w:r>
          </w:p>
        </w:tc>
        <w:tc>
          <w:tcPr>
            <w:tcW w:w="2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Part of Publicly Announced Plans</w:t>
            </w:r>
          </w:p>
        </w:tc>
        <w:tc>
          <w:tcPr>
            <w:tcW w:w="2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That May Yet Be Purchased Under</w:t>
            </w:r>
          </w:p>
        </w:tc>
      </w:tr>
      <w:tr>
        <w:trPr>
          <w:trHeight w:val="236"/>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b w:val="1"/>
                <w:bCs w:val="1"/>
                <w:color w:val="auto"/>
                <w:w w:val="99"/>
              </w:rPr>
              <w:t>Shares Purchased</w:t>
            </w:r>
            <w:r>
              <w:rPr>
                <w:rFonts w:ascii="Arial" w:cs="Arial" w:eastAsia="Arial" w:hAnsi="Arial"/>
                <w:sz w:val="21"/>
                <w:szCs w:val="21"/>
                <w:b w:val="1"/>
                <w:bCs w:val="1"/>
                <w:color w:val="auto"/>
                <w:w w:val="99"/>
                <w:vertAlign w:val="superscript"/>
              </w:rPr>
              <w:t>(1)</w:t>
            </w:r>
          </w:p>
        </w:tc>
        <w:tc>
          <w:tcPr>
            <w:tcW w:w="15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2960" w:type="dxa"/>
            <w:vAlign w:val="bottom"/>
            <w:tcBorders>
              <w:bottom w:val="single" w:sz="8" w:color="auto"/>
            </w:tcBorders>
            <w:gridSpan w:val="2"/>
          </w:tcPr>
          <w:p>
            <w:pPr>
              <w:jc w:val="center"/>
              <w:ind w:right="100"/>
              <w:spacing w:after="0" w:line="23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419"/>
              <w:spacing w:after="0" w:line="236" w:lineRule="exact"/>
              <w:rPr>
                <w:sz w:val="20"/>
                <w:szCs w:val="20"/>
                <w:color w:val="auto"/>
              </w:rPr>
            </w:pPr>
            <w:r>
              <w:rPr>
                <w:rFonts w:ascii="Arial" w:cs="Arial" w:eastAsia="Arial" w:hAnsi="Arial"/>
                <w:sz w:val="16"/>
                <w:szCs w:val="16"/>
                <w:b w:val="1"/>
                <w:bCs w:val="1"/>
                <w:color w:val="auto"/>
              </w:rPr>
              <w:t>the Plans or Programs</w:t>
            </w:r>
            <w:r>
              <w:rPr>
                <w:rFonts w:ascii="Arial" w:cs="Arial" w:eastAsia="Arial" w:hAnsi="Arial"/>
                <w:sz w:val="21"/>
                <w:szCs w:val="21"/>
                <w:b w:val="1"/>
                <w:bCs w:val="1"/>
                <w:color w:val="auto"/>
                <w:vertAlign w:val="superscript"/>
              </w:rPr>
              <w:t>(2)</w:t>
            </w:r>
          </w:p>
        </w:tc>
      </w:tr>
      <w:tr>
        <w:trPr>
          <w:trHeight w:val="264"/>
        </w:trPr>
        <w:tc>
          <w:tcPr>
            <w:tcW w:w="2520" w:type="dxa"/>
            <w:vAlign w:val="bottom"/>
            <w:shd w:val="clear" w:color="auto" w:fill="BFE4FF"/>
          </w:tcPr>
          <w:p>
            <w:pPr>
              <w:ind w:left="40"/>
              <w:spacing w:after="0"/>
              <w:rPr>
                <w:sz w:val="20"/>
                <w:szCs w:val="20"/>
                <w:color w:val="auto"/>
              </w:rPr>
            </w:pPr>
            <w:r>
              <w:rPr>
                <w:rFonts w:ascii="Arial" w:cs="Arial" w:eastAsia="Arial" w:hAnsi="Arial"/>
                <w:sz w:val="16"/>
                <w:szCs w:val="16"/>
                <w:color w:val="auto"/>
              </w:rPr>
              <w:t>02/24/19 - 03/30/19</w:t>
            </w:r>
          </w:p>
        </w:tc>
        <w:tc>
          <w:tcPr>
            <w:tcW w:w="16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96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60,682,000</w:t>
            </w:r>
          </w:p>
        </w:tc>
      </w:tr>
      <w:tr>
        <w:trPr>
          <w:trHeight w:val="262"/>
        </w:trPr>
        <w:tc>
          <w:tcPr>
            <w:tcW w:w="2520" w:type="dxa"/>
            <w:vAlign w:val="bottom"/>
          </w:tcPr>
          <w:p>
            <w:pPr>
              <w:ind w:left="40"/>
              <w:spacing w:after="0"/>
              <w:rPr>
                <w:sz w:val="20"/>
                <w:szCs w:val="20"/>
                <w:color w:val="auto"/>
              </w:rPr>
            </w:pPr>
            <w:r>
              <w:rPr>
                <w:rFonts w:ascii="Arial" w:cs="Arial" w:eastAsia="Arial" w:hAnsi="Arial"/>
                <w:sz w:val="16"/>
                <w:szCs w:val="16"/>
                <w:color w:val="auto"/>
              </w:rPr>
              <w:t>03/31/19 - 04/27/19</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17,813</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36.42</w:t>
            </w:r>
          </w:p>
        </w:tc>
        <w:tc>
          <w:tcPr>
            <w:tcW w:w="2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60,682,000</w:t>
            </w:r>
          </w:p>
        </w:tc>
      </w:tr>
      <w:tr>
        <w:trPr>
          <w:trHeight w:val="271"/>
        </w:trPr>
        <w:tc>
          <w:tcPr>
            <w:tcW w:w="2520" w:type="dxa"/>
            <w:vAlign w:val="bottom"/>
            <w:shd w:val="clear" w:color="auto" w:fill="BFE4FF"/>
          </w:tcPr>
          <w:p>
            <w:pPr>
              <w:ind w:left="40"/>
              <w:spacing w:after="0"/>
              <w:rPr>
                <w:sz w:val="20"/>
                <w:szCs w:val="20"/>
                <w:color w:val="auto"/>
              </w:rPr>
            </w:pPr>
            <w:r>
              <w:rPr>
                <w:rFonts w:ascii="Arial" w:cs="Arial" w:eastAsia="Arial" w:hAnsi="Arial"/>
                <w:sz w:val="16"/>
                <w:szCs w:val="16"/>
                <w:color w:val="auto"/>
              </w:rPr>
              <w:t>04/28/19 - 05/25/19</w:t>
            </w:r>
          </w:p>
        </w:tc>
        <w:tc>
          <w:tcPr>
            <w:tcW w:w="160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13,746</w:t>
            </w:r>
          </w:p>
        </w:tc>
        <w:tc>
          <w:tcPr>
            <w:tcW w:w="56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33.10</w:t>
            </w:r>
          </w:p>
        </w:tc>
        <w:tc>
          <w:tcPr>
            <w:tcW w:w="284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12,729</w:t>
            </w:r>
          </w:p>
        </w:tc>
        <w:tc>
          <w:tcPr>
            <w:tcW w:w="120" w:type="dxa"/>
            <w:vAlign w:val="bottom"/>
            <w:shd w:val="clear" w:color="auto" w:fill="BFE4FF"/>
          </w:tcPr>
          <w:p>
            <w:pPr>
              <w:spacing w:after="0"/>
              <w:rPr>
                <w:sz w:val="23"/>
                <w:szCs w:val="23"/>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60,262,000</w:t>
            </w:r>
          </w:p>
        </w:tc>
      </w:tr>
      <w:tr>
        <w:trPr>
          <w:trHeight w:val="241"/>
        </w:trPr>
        <w:tc>
          <w:tcPr>
            <w:tcW w:w="25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31,559</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34.97</w:t>
            </w:r>
          </w:p>
        </w:tc>
        <w:tc>
          <w:tcPr>
            <w:tcW w:w="2840" w:type="dxa"/>
            <w:vAlign w:val="bottom"/>
          </w:tcPr>
          <w:p>
            <w:pPr>
              <w:jc w:val="right"/>
              <w:ind w:right="19"/>
              <w:spacing w:after="0"/>
              <w:rPr>
                <w:sz w:val="20"/>
                <w:szCs w:val="20"/>
                <w:color w:val="auto"/>
              </w:rPr>
            </w:pPr>
            <w:r>
              <w:rPr>
                <w:rFonts w:ascii="Arial" w:cs="Arial" w:eastAsia="Arial" w:hAnsi="Arial"/>
                <w:sz w:val="16"/>
                <w:szCs w:val="16"/>
                <w:color w:val="auto"/>
              </w:rPr>
              <w:t>12,729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60,262,000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1270</wp:posOffset>
            </wp:positionV>
            <wp:extent cx="5651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9" w:lineRule="exact"/>
        <w:rPr>
          <w:sz w:val="20"/>
          <w:szCs w:val="20"/>
          <w:color w:val="auto"/>
        </w:rPr>
      </w:pPr>
    </w:p>
    <w:p>
      <w:pPr>
        <w:ind w:left="260" w:right="160" w:hanging="252"/>
        <w:spacing w:after="0" w:line="255"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right="720" w:hanging="252"/>
        <w:spacing w:after="0" w:line="264"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Pursuant to a combined $130.0 million share repurchase program authorized by our Board of Directors. On December 19, 2007, $60.0 million was approved, and on October 18, 2017, $70.0 million was approved. There is no time restriction on either authorization.</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Our Credit Agreement, as defined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Condensed Consolidated Financial Statements, included in Item 1, </w:t>
      </w:r>
      <w:r>
        <w:rPr>
          <w:rFonts w:ascii="Arial" w:cs="Arial" w:eastAsia="Arial" w:hAnsi="Arial"/>
          <w:sz w:val="16"/>
          <w:szCs w:val="16"/>
          <w:i w:val="1"/>
          <w:iCs w:val="1"/>
          <w:color w:val="auto"/>
        </w:rPr>
        <w:t>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of this Quarterly Report on Form 10-Q, contains restrictions that may limit our ability to make distributions or payments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purchases of our common stock without consent of the lenders, except for limited purchases of our common stock from employees, in the event of a significant reduction in our EBITDA or in the event of a significant borrowing on our asset-based revolving credit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59"/>
        </w:trPr>
        <w:tc>
          <w:tcPr>
            <w:tcW w:w="1260" w:type="dxa"/>
            <w:vAlign w:val="bottom"/>
            <w:gridSpan w:val="5"/>
          </w:tcPr>
          <w:p>
            <w:pPr>
              <w:spacing w:after="0"/>
              <w:rPr>
                <w:sz w:val="20"/>
                <w:szCs w:val="20"/>
                <w:color w:val="auto"/>
              </w:rPr>
            </w:pPr>
            <w:r>
              <w:rPr>
                <w:rFonts w:ascii="Arial" w:cs="Arial" w:eastAsia="Arial" w:hAnsi="Arial"/>
                <w:sz w:val="16"/>
                <w:szCs w:val="16"/>
                <w:b w:val="1"/>
                <w:bCs w:val="1"/>
                <w:color w:val="auto"/>
              </w:rPr>
              <w:t>Item 6. Exhibits.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7"/>
        </w:trPr>
        <w:tc>
          <w:tcPr>
            <w:tcW w:w="720" w:type="dxa"/>
            <w:vAlign w:val="bottom"/>
          </w:tcPr>
          <w:p>
            <w:pPr>
              <w:spacing w:after="0"/>
              <w:rPr>
                <w:sz w:val="24"/>
                <w:szCs w:val="24"/>
                <w:color w:val="auto"/>
              </w:rPr>
            </w:pPr>
          </w:p>
        </w:tc>
        <w:tc>
          <w:tcPr>
            <w:tcW w:w="540" w:type="dxa"/>
            <w:vAlign w:val="bottom"/>
            <w:gridSpan w:val="4"/>
          </w:tcPr>
          <w:p>
            <w:pPr>
              <w:jc w:val="center"/>
              <w:ind w:right="240"/>
              <w:spacing w:after="0"/>
              <w:rPr>
                <w:rFonts w:ascii="Arial" w:cs="Arial" w:eastAsia="Arial" w:hAnsi="Arial"/>
                <w:sz w:val="16"/>
                <w:szCs w:val="16"/>
                <w:color w:val="0000FF"/>
                <w:w w:val="98"/>
              </w:rPr>
            </w:pPr>
            <w:hyperlink r:id="rId13">
              <w:r>
                <w:rPr>
                  <w:rFonts w:ascii="Arial" w:cs="Arial" w:eastAsia="Arial" w:hAnsi="Arial"/>
                  <w:sz w:val="16"/>
                  <w:szCs w:val="16"/>
                  <w:color w:val="0000FF"/>
                  <w:w w:val="98"/>
                </w:rPr>
                <w:t>3a.</w:t>
              </w:r>
            </w:hyperlink>
          </w:p>
        </w:tc>
        <w:tc>
          <w:tcPr>
            <w:tcW w:w="180" w:type="dxa"/>
            <w:vAlign w:val="bottom"/>
          </w:tcPr>
          <w:p>
            <w:pPr>
              <w:spacing w:after="0"/>
              <w:rPr>
                <w:sz w:val="24"/>
                <w:szCs w:val="24"/>
                <w:color w:val="auto"/>
              </w:rPr>
            </w:pPr>
          </w:p>
        </w:tc>
        <w:tc>
          <w:tcPr>
            <w:tcW w:w="9520" w:type="dxa"/>
            <w:vAlign w:val="bottom"/>
            <w:gridSpan w:val="8"/>
          </w:tcPr>
          <w:p>
            <w:pPr>
              <w:spacing w:after="0"/>
              <w:rPr>
                <w:rFonts w:ascii="Arial" w:cs="Arial" w:eastAsia="Arial" w:hAnsi="Arial"/>
                <w:sz w:val="16"/>
                <w:szCs w:val="16"/>
                <w:color w:val="0000FF"/>
              </w:rPr>
            </w:pPr>
            <w:hyperlink r:id="rId13">
              <w:r>
                <w:rPr>
                  <w:rFonts w:ascii="Arial" w:cs="Arial" w:eastAsia="Arial" w:hAnsi="Arial"/>
                  <w:sz w:val="16"/>
                  <w:szCs w:val="16"/>
                  <w:color w:val="0000FF"/>
                </w:rPr>
                <w:t>Articles of Incorporation of the Registrant previously filed as Exhibit 3a with the Registrant’s Annual Report on Form 10-K for the</w:t>
              </w:r>
            </w:hyperlink>
          </w:p>
        </w:tc>
      </w:tr>
      <w:tr>
        <w:trPr>
          <w:trHeight w:val="169"/>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13">
              <w:r>
                <w:rPr>
                  <w:rFonts w:ascii="Arial" w:cs="Arial" w:eastAsia="Arial" w:hAnsi="Arial"/>
                  <w:sz w:val="16"/>
                  <w:szCs w:val="16"/>
                  <w:color w:val="0000FF"/>
                </w:rPr>
                <w:t>fiscal year ended August 25, 2018 (Commission File Number 001-06403) and incorporated by reference herein.</w:t>
              </w:r>
            </w:hyperlink>
          </w:p>
        </w:tc>
        <w:tc>
          <w:tcPr>
            <w:tcW w:w="114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20" w:type="dxa"/>
            <w:vAlign w:val="bottom"/>
          </w:tcPr>
          <w:p>
            <w:pPr>
              <w:spacing w:after="0"/>
              <w:rPr>
                <w:sz w:val="19"/>
                <w:szCs w:val="19"/>
                <w:color w:val="auto"/>
              </w:rPr>
            </w:pPr>
          </w:p>
        </w:tc>
        <w:tc>
          <w:tcPr>
            <w:tcW w:w="540" w:type="dxa"/>
            <w:vAlign w:val="bottom"/>
            <w:gridSpan w:val="4"/>
          </w:tcPr>
          <w:p>
            <w:pPr>
              <w:jc w:val="center"/>
              <w:ind w:right="240"/>
              <w:spacing w:after="0"/>
              <w:rPr>
                <w:rFonts w:ascii="Arial" w:cs="Arial" w:eastAsia="Arial" w:hAnsi="Arial"/>
                <w:sz w:val="16"/>
                <w:szCs w:val="16"/>
                <w:color w:val="0000FF"/>
                <w:w w:val="98"/>
              </w:rPr>
            </w:pPr>
            <w:hyperlink r:id="rId14">
              <w:r>
                <w:rPr>
                  <w:rFonts w:ascii="Arial" w:cs="Arial" w:eastAsia="Arial" w:hAnsi="Arial"/>
                  <w:sz w:val="16"/>
                  <w:szCs w:val="16"/>
                  <w:color w:val="0000FF"/>
                  <w:w w:val="98"/>
                </w:rPr>
                <w:t>3b.</w:t>
              </w:r>
            </w:hyperlink>
          </w:p>
        </w:tc>
        <w:tc>
          <w:tcPr>
            <w:tcW w:w="180" w:type="dxa"/>
            <w:vAlign w:val="bottom"/>
          </w:tcPr>
          <w:p>
            <w:pPr>
              <w:spacing w:after="0"/>
              <w:rPr>
                <w:sz w:val="19"/>
                <w:szCs w:val="19"/>
                <w:color w:val="auto"/>
              </w:rPr>
            </w:pPr>
          </w:p>
        </w:tc>
        <w:tc>
          <w:tcPr>
            <w:tcW w:w="9520" w:type="dxa"/>
            <w:vAlign w:val="bottom"/>
            <w:gridSpan w:val="8"/>
          </w:tcPr>
          <w:p>
            <w:pPr>
              <w:spacing w:after="0"/>
              <w:rPr>
                <w:rFonts w:ascii="Arial" w:cs="Arial" w:eastAsia="Arial" w:hAnsi="Arial"/>
                <w:sz w:val="16"/>
                <w:szCs w:val="16"/>
                <w:color w:val="0000FF"/>
              </w:rPr>
            </w:pPr>
            <w:hyperlink r:id="rId14">
              <w:r>
                <w:rPr>
                  <w:rFonts w:ascii="Arial" w:cs="Arial" w:eastAsia="Arial" w:hAnsi="Arial"/>
                  <w:sz w:val="16"/>
                  <w:szCs w:val="16"/>
                  <w:color w:val="0000FF"/>
                </w:rPr>
                <w:t>Amended By-Laws of the Registrant previously filed as Exhibit 3.1 with the Registrant's Current Report on Form 8-K dated March 16,</w:t>
              </w:r>
            </w:hyperlink>
          </w:p>
        </w:tc>
      </w:tr>
      <w:tr>
        <w:trPr>
          <w:trHeight w:val="169"/>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4">
              <w:r>
                <w:rPr>
                  <w:rFonts w:ascii="Arial" w:cs="Arial" w:eastAsia="Arial" w:hAnsi="Arial"/>
                  <w:sz w:val="16"/>
                  <w:szCs w:val="16"/>
                  <w:color w:val="0000FF"/>
                </w:rPr>
                <w:t>2016 (Commission File Number 001-06403) and incorporated by reference herein.</w:t>
              </w:r>
            </w:hyperlink>
          </w:p>
        </w:tc>
        <w:tc>
          <w:tcPr>
            <w:tcW w:w="36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040" w:type="dxa"/>
            <w:vAlign w:val="bottom"/>
            <w:gridSpan w:val="4"/>
          </w:tcPr>
          <w:p>
            <w:pPr>
              <w:jc w:val="center"/>
              <w:ind w:left="639"/>
              <w:spacing w:after="0"/>
              <w:rPr>
                <w:rFonts w:ascii="Arial" w:cs="Arial" w:eastAsia="Arial" w:hAnsi="Arial"/>
                <w:sz w:val="16"/>
                <w:szCs w:val="16"/>
                <w:color w:val="0000FF"/>
              </w:rPr>
            </w:pPr>
            <w:hyperlink w:anchor="page36">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520" w:type="dxa"/>
            <w:vAlign w:val="bottom"/>
            <w:gridSpan w:val="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by the Chief Executive Officer pursuant to Section 302 of the Sarbanes-Oxley Act of 2002</w:t>
              </w:r>
            </w:hyperlink>
            <w:r>
              <w:rPr>
                <w:rFonts w:ascii="Arial" w:cs="Arial" w:eastAsia="Arial" w:hAnsi="Arial"/>
                <w:sz w:val="16"/>
                <w:szCs w:val="16"/>
                <w:color w:val="000000"/>
              </w:rPr>
              <w:t>.</w:t>
            </w:r>
          </w:p>
        </w:tc>
      </w:tr>
      <w:tr>
        <w:trPr>
          <w:trHeight w:val="20"/>
        </w:trPr>
        <w:tc>
          <w:tcPr>
            <w:tcW w:w="72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98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40" w:type="dxa"/>
            <w:vAlign w:val="bottom"/>
            <w:gridSpan w:val="4"/>
          </w:tcPr>
          <w:p>
            <w:pPr>
              <w:jc w:val="center"/>
              <w:ind w:left="639"/>
              <w:spacing w:after="0"/>
              <w:rPr>
                <w:rFonts w:ascii="Arial" w:cs="Arial" w:eastAsia="Arial" w:hAnsi="Arial"/>
                <w:sz w:val="16"/>
                <w:szCs w:val="16"/>
                <w:color w:val="0000FF"/>
              </w:rPr>
            </w:pPr>
            <w:hyperlink w:anchor="page37">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gridSpan w:val="8"/>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by the Chief Financial Officer pursuant to Section 302 of the Sarbanes-Oxley Act of 2002.</w:t>
              </w:r>
            </w:hyperlink>
          </w:p>
        </w:tc>
      </w:tr>
      <w:tr>
        <w:trPr>
          <w:trHeight w:val="20"/>
        </w:trPr>
        <w:tc>
          <w:tcPr>
            <w:tcW w:w="72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980" w:type="dxa"/>
            <w:vAlign w:val="bottom"/>
            <w:gridSpan w:val="2"/>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40" w:type="dxa"/>
            <w:vAlign w:val="bottom"/>
            <w:gridSpan w:val="4"/>
          </w:tcPr>
          <w:p>
            <w:pPr>
              <w:jc w:val="center"/>
              <w:ind w:left="639"/>
              <w:spacing w:after="0"/>
              <w:rPr>
                <w:rFonts w:ascii="Arial" w:cs="Arial" w:eastAsia="Arial" w:hAnsi="Arial"/>
                <w:sz w:val="16"/>
                <w:szCs w:val="16"/>
                <w:color w:val="0000FF"/>
              </w:rPr>
            </w:pPr>
            <w:hyperlink w:anchor="page38">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gridSpan w:val="8"/>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by the Chief Executive Officer pursuant to 18 U.S.C. Section 1350, as adopted pursuant to Section 906 of the Sarbanes-</w:t>
              </w:r>
            </w:hyperlink>
          </w:p>
        </w:tc>
      </w:tr>
      <w:tr>
        <w:trPr>
          <w:trHeight w:val="169"/>
        </w:trPr>
        <w:tc>
          <w:tcPr>
            <w:tcW w:w="7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52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w:anchor="page38">
              <w:r>
                <w:rPr>
                  <w:rFonts w:ascii="Arial" w:cs="Arial" w:eastAsia="Arial" w:hAnsi="Arial"/>
                  <w:sz w:val="16"/>
                  <w:szCs w:val="16"/>
                  <w:color w:val="0000FF"/>
                </w:rPr>
                <w:t>Oxley Act of 2002.</w:t>
              </w:r>
            </w:hyperlink>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040" w:type="dxa"/>
            <w:vAlign w:val="bottom"/>
            <w:gridSpan w:val="4"/>
          </w:tcPr>
          <w:p>
            <w:pPr>
              <w:jc w:val="center"/>
              <w:ind w:left="639"/>
              <w:spacing w:after="0"/>
              <w:rPr>
                <w:rFonts w:ascii="Arial" w:cs="Arial" w:eastAsia="Arial" w:hAnsi="Arial"/>
                <w:sz w:val="16"/>
                <w:szCs w:val="16"/>
                <w:color w:val="0000FF"/>
              </w:rPr>
            </w:pPr>
            <w:hyperlink w:anchor="page39">
              <w:r>
                <w:rPr>
                  <w:rFonts w:ascii="Arial" w:cs="Arial" w:eastAsia="Arial" w:hAnsi="Arial"/>
                  <w:sz w:val="16"/>
                  <w:szCs w:val="16"/>
                  <w:color w:val="0000FF"/>
                </w:rPr>
                <w:t>32.</w:t>
              </w:r>
              <w:r>
                <w:rPr>
                  <w:rFonts w:ascii="Arial" w:cs="Arial" w:eastAsia="Arial" w:hAnsi="Arial"/>
                  <w:sz w:val="16"/>
                  <w:szCs w:val="16"/>
                  <w:u w:val="single" w:color="auto"/>
                  <w:color w:val="0000FF"/>
                </w:rPr>
                <w:t>2</w:t>
              </w:r>
            </w:hyperlink>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520" w:type="dxa"/>
            <w:vAlign w:val="bottom"/>
            <w:gridSpan w:val="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69"/>
        </w:trPr>
        <w:tc>
          <w:tcPr>
            <w:tcW w:w="7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6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w:anchor="page39">
              <w:r>
                <w:rPr>
                  <w:rFonts w:ascii="Arial" w:cs="Arial" w:eastAsia="Arial" w:hAnsi="Arial"/>
                  <w:sz w:val="16"/>
                  <w:szCs w:val="16"/>
                  <w:color w:val="0000FF"/>
                </w:rPr>
                <w:t>Oxley Act of 2002.</w:t>
              </w:r>
            </w:hyperlink>
          </w:p>
        </w:tc>
        <w:tc>
          <w:tcPr>
            <w:tcW w:w="60" w:type="dxa"/>
            <w:vAlign w:val="bottom"/>
            <w:gridSpan w:val="2"/>
          </w:tcPr>
          <w:p>
            <w:pPr>
              <w:spacing w:after="0"/>
              <w:rPr>
                <w:sz w:val="14"/>
                <w:szCs w:val="14"/>
                <w:color w:val="auto"/>
              </w:rPr>
            </w:pPr>
          </w:p>
        </w:tc>
      </w:tr>
      <w:tr>
        <w:trPr>
          <w:trHeight w:val="20"/>
        </w:trPr>
        <w:tc>
          <w:tcPr>
            <w:tcW w:w="1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200" w:type="dxa"/>
            <w:vAlign w:val="bottom"/>
            <w:gridSpan w:val="7"/>
          </w:tcPr>
          <w:p>
            <w:pPr>
              <w:spacing w:after="0" w:line="20" w:lineRule="exact"/>
              <w:rPr>
                <w:sz w:val="1"/>
                <w:szCs w:val="1"/>
                <w:color w:val="auto"/>
              </w:rPr>
            </w:pPr>
          </w:p>
        </w:tc>
      </w:tr>
      <w:tr>
        <w:trPr>
          <w:trHeight w:val="437"/>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101.INS*</w:t>
            </w:r>
          </w:p>
        </w:tc>
        <w:tc>
          <w:tcPr>
            <w:tcW w:w="18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Arial" w:cs="Arial" w:eastAsia="Arial" w:hAnsi="Arial"/>
                <w:sz w:val="16"/>
                <w:szCs w:val="16"/>
                <w:color w:val="auto"/>
              </w:rPr>
              <w:t>XBRL Instance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101.SCH*</w:t>
            </w:r>
          </w:p>
        </w:tc>
        <w:tc>
          <w:tcPr>
            <w:tcW w:w="18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Arial" w:cs="Arial" w:eastAsia="Arial" w:hAnsi="Arial"/>
                <w:sz w:val="16"/>
                <w:szCs w:val="16"/>
                <w:color w:val="auto"/>
              </w:rPr>
              <w:t>XBRL Taxonomy Extension Schema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101.CAL*</w:t>
            </w:r>
          </w:p>
        </w:tc>
        <w:tc>
          <w:tcPr>
            <w:tcW w:w="18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101.DEF*</w:t>
            </w:r>
          </w:p>
        </w:tc>
        <w:tc>
          <w:tcPr>
            <w:tcW w:w="18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Arial" w:cs="Arial" w:eastAsia="Arial" w:hAnsi="Arial"/>
                <w:sz w:val="16"/>
                <w:szCs w:val="16"/>
                <w:color w:val="auto"/>
              </w:rPr>
              <w:t>XBRL Taxonomy Extension Definitions Linkbase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101.LAB*</w:t>
            </w:r>
          </w:p>
        </w:tc>
        <w:tc>
          <w:tcPr>
            <w:tcW w:w="18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101.PRE*</w:t>
            </w:r>
          </w:p>
        </w:tc>
        <w:tc>
          <w:tcPr>
            <w:tcW w:w="18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25, 2019 formatted in XBRL: (i) the Unaudited Condensed Consolidated Statements of Income and Comprehensive Income, (ii) the Unaudited Condensed Consolidated Balance Sheets, (iii) the Unaudited Condensed Consolidated Statements of Cash Flows, (iv) the Unaudited Condensed Consolidated Statements of Changes in Stockholders' Equity, and (v) related Notes to Condensed Consolidated Financial Statements.</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40" w:top="118" w:right="29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WINNEBAGO INDUSTRIES, INC.</w:t>
            </w:r>
          </w:p>
        </w:tc>
      </w:tr>
      <w:tr>
        <w:trPr>
          <w:trHeight w:val="54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20, 2019</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41"/>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4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20, 2019</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41"/>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35</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19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8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20,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57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19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80" w:hanging="332"/>
        <w:spacing w:after="0" w:line="29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20,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174" w:lineRule="exact"/>
        <w:rPr>
          <w:sz w:val="20"/>
          <w:szCs w:val="20"/>
          <w:color w:val="auto"/>
        </w:rPr>
      </w:pPr>
    </w:p>
    <w:p>
      <w:pPr>
        <w:ind w:left="660" w:right="14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25, 2019 (the "Report") of the Company, fully complies with the requirements of Section 13(a) or 15(d) of the Securities Exchange Act of 1934, and</w:t>
      </w:r>
    </w:p>
    <w:p>
      <w:pPr>
        <w:spacing w:after="0" w:line="121"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20,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57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174" w:lineRule="exact"/>
        <w:rPr>
          <w:sz w:val="20"/>
          <w:szCs w:val="20"/>
          <w:color w:val="auto"/>
        </w:rPr>
      </w:pPr>
    </w:p>
    <w:p>
      <w:pPr>
        <w:ind w:left="660" w:right="140" w:hanging="328"/>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25, 2019 (the "Report") of the Company, fully complies with the requirements of Section 13(a) or 15(d) of the Securities Exchange Act of 1934, and</w:t>
      </w:r>
    </w:p>
    <w:p>
      <w:pPr>
        <w:spacing w:after="0" w:line="1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20,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420"/>
      </w:cols>
      <w:pgMar w:left="240" w:top="5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Archives/edgar/data/107687/000010768718000026/exhibit3aarticlesofincor.htm" TargetMode="External"/><Relationship Id="rId14" Type="http://schemas.openxmlformats.org/officeDocument/2006/relationships/hyperlink" Target="http://www.sec.gov/Archives/edgar/data/107687/000010768716000075/exh31by-lawsasamended3x16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2019-12-28T10:46:59Z</dcterms:created>
  <dcterms:modified xsi:type="dcterms:W3CDTF">2019-12-28T10:46:59Z</dcterms:modified>
</cp:coreProperties>
</file>