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166370</wp:posOffset>
            </wp:positionH>
            <wp:positionV relativeFrom="page">
              <wp:posOffset>723265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620395</wp:posOffset>
            </wp:positionV>
            <wp:extent cx="722947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April 26,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816610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147955</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52"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44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9"/>
              </w:rPr>
              <w:t>Iowa</w:t>
            </w:r>
          </w:p>
        </w:tc>
        <w:tc>
          <w:tcPr>
            <w:tcW w:w="25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001-06403</w:t>
            </w:r>
          </w:p>
        </w:tc>
        <w:tc>
          <w:tcPr>
            <w:tcW w:w="3260" w:type="dxa"/>
            <w:vAlign w:val="bottom"/>
            <w:tcBorders>
              <w:bottom w:val="single" w:sz="8" w:color="auto"/>
            </w:tcBorders>
          </w:tcPr>
          <w:p>
            <w:pPr>
              <w:jc w:val="right"/>
              <w:ind w:right="1011"/>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440" w:type="dxa"/>
            <w:vAlign w:val="bottom"/>
          </w:tcPr>
          <w:p>
            <w:pPr>
              <w:jc w:val="center"/>
              <w:ind w:right="11"/>
              <w:spacing w:after="0"/>
              <w:rPr>
                <w:sz w:val="20"/>
                <w:szCs w:val="20"/>
                <w:color w:val="auto"/>
              </w:rPr>
            </w:pPr>
            <w:r>
              <w:rPr>
                <w:rFonts w:ascii="Arial" w:cs="Arial" w:eastAsia="Arial" w:hAnsi="Arial"/>
                <w:sz w:val="18"/>
                <w:szCs w:val="18"/>
                <w:color w:val="auto"/>
                <w:w w:val="99"/>
              </w:rPr>
              <w:t>(State or Other Jurisdiction</w:t>
            </w:r>
          </w:p>
        </w:tc>
        <w:tc>
          <w:tcPr>
            <w:tcW w:w="252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260" w:type="dxa"/>
            <w:vAlign w:val="bottom"/>
          </w:tcPr>
          <w:p>
            <w:pPr>
              <w:jc w:val="center"/>
              <w:ind w:left="11"/>
              <w:spacing w:after="0"/>
              <w:rPr>
                <w:sz w:val="20"/>
                <w:szCs w:val="20"/>
                <w:color w:val="auto"/>
              </w:rPr>
            </w:pPr>
            <w:r>
              <w:rPr>
                <w:rFonts w:ascii="Arial" w:cs="Arial" w:eastAsia="Arial" w:hAnsi="Arial"/>
                <w:sz w:val="18"/>
                <w:szCs w:val="18"/>
                <w:color w:val="auto"/>
                <w:w w:val="99"/>
              </w:rPr>
              <w:t>(IRS Employer</w:t>
            </w:r>
          </w:p>
        </w:tc>
      </w:tr>
      <w:tr>
        <w:trPr>
          <w:trHeight w:val="217"/>
        </w:trPr>
        <w:tc>
          <w:tcPr>
            <w:tcW w:w="3440" w:type="dxa"/>
            <w:vAlign w:val="bottom"/>
          </w:tcPr>
          <w:p>
            <w:pPr>
              <w:jc w:val="center"/>
              <w:ind w:right="31"/>
              <w:spacing w:after="0"/>
              <w:rPr>
                <w:sz w:val="20"/>
                <w:szCs w:val="20"/>
                <w:color w:val="auto"/>
              </w:rPr>
            </w:pPr>
            <w:r>
              <w:rPr>
                <w:rFonts w:ascii="Arial" w:cs="Arial" w:eastAsia="Arial" w:hAnsi="Arial"/>
                <w:sz w:val="18"/>
                <w:szCs w:val="18"/>
                <w:color w:val="auto"/>
              </w:rPr>
              <w:t>of Incorporation)</w:t>
            </w:r>
          </w:p>
        </w:tc>
        <w:tc>
          <w:tcPr>
            <w:tcW w:w="2520" w:type="dxa"/>
            <w:vAlign w:val="bottom"/>
          </w:tcPr>
          <w:p>
            <w:pPr>
              <w:spacing w:after="0"/>
              <w:rPr>
                <w:sz w:val="18"/>
                <w:szCs w:val="18"/>
                <w:color w:val="auto"/>
              </w:rPr>
            </w:pPr>
          </w:p>
        </w:tc>
        <w:tc>
          <w:tcPr>
            <w:tcW w:w="3260" w:type="dxa"/>
            <w:vAlign w:val="bottom"/>
          </w:tcPr>
          <w:p>
            <w:pPr>
              <w:jc w:val="center"/>
              <w:ind w:left="11"/>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44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8"/>
              </w:rPr>
              <w:t>P.O. Box 152, Forest City, Iowa</w:t>
            </w:r>
          </w:p>
        </w:tc>
        <w:tc>
          <w:tcPr>
            <w:tcW w:w="25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251"/>
              <w:spacing w:after="0"/>
              <w:rPr>
                <w:sz w:val="20"/>
                <w:szCs w:val="20"/>
                <w:color w:val="auto"/>
              </w:rPr>
            </w:pPr>
            <w:r>
              <w:rPr>
                <w:rFonts w:ascii="Arial" w:cs="Arial" w:eastAsia="Arial" w:hAnsi="Arial"/>
                <w:sz w:val="18"/>
                <w:szCs w:val="18"/>
                <w:b w:val="1"/>
                <w:bCs w:val="1"/>
                <w:color w:val="auto"/>
              </w:rPr>
              <w:t>50436</w:t>
            </w:r>
          </w:p>
        </w:tc>
      </w:tr>
      <w:tr>
        <w:trPr>
          <w:trHeight w:val="243"/>
        </w:trPr>
        <w:tc>
          <w:tcPr>
            <w:tcW w:w="3440" w:type="dxa"/>
            <w:vAlign w:val="bottom"/>
          </w:tcPr>
          <w:p>
            <w:pPr>
              <w:jc w:val="center"/>
              <w:ind w:right="31"/>
              <w:spacing w:after="0"/>
              <w:rPr>
                <w:sz w:val="20"/>
                <w:szCs w:val="20"/>
                <w:color w:val="auto"/>
              </w:rPr>
            </w:pPr>
            <w:r>
              <w:rPr>
                <w:rFonts w:ascii="Arial" w:cs="Arial" w:eastAsia="Arial" w:hAnsi="Arial"/>
                <w:sz w:val="18"/>
                <w:szCs w:val="18"/>
                <w:color w:val="auto"/>
                <w:w w:val="99"/>
              </w:rPr>
              <w:t>(Address of Principal Executive Offices)</w:t>
            </w:r>
          </w:p>
        </w:tc>
        <w:tc>
          <w:tcPr>
            <w:tcW w:w="2520" w:type="dxa"/>
            <w:vAlign w:val="bottom"/>
          </w:tcPr>
          <w:p>
            <w:pPr>
              <w:spacing w:after="0"/>
              <w:rPr>
                <w:sz w:val="21"/>
                <w:szCs w:val="21"/>
                <w:color w:val="auto"/>
              </w:rPr>
            </w:pPr>
          </w:p>
        </w:tc>
        <w:tc>
          <w:tcPr>
            <w:tcW w:w="3260" w:type="dxa"/>
            <w:vAlign w:val="bottom"/>
          </w:tcPr>
          <w:p>
            <w:pPr>
              <w:jc w:val="center"/>
              <w:ind w:left="11"/>
              <w:spacing w:after="0"/>
              <w:rPr>
                <w:sz w:val="20"/>
                <w:szCs w:val="20"/>
                <w:color w:val="auto"/>
              </w:rPr>
            </w:pPr>
            <w:r>
              <w:rPr>
                <w:rFonts w:ascii="Arial" w:cs="Arial" w:eastAsia="Arial" w:hAnsi="Arial"/>
                <w:sz w:val="18"/>
                <w:szCs w:val="18"/>
                <w:color w:val="auto"/>
                <w:w w:val="98"/>
              </w:rPr>
              <w:t>(Zip Code)</w:t>
            </w:r>
          </w:p>
        </w:tc>
      </w:tr>
      <w:tr>
        <w:trPr>
          <w:trHeight w:val="467"/>
        </w:trPr>
        <w:tc>
          <w:tcPr>
            <w:tcW w:w="5960" w:type="dxa"/>
            <w:vAlign w:val="bottom"/>
            <w:gridSpan w:val="2"/>
          </w:tcPr>
          <w:p>
            <w:pPr>
              <w:ind w:left="220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1"/>
              <w:spacing w:after="0"/>
              <w:rPr>
                <w:sz w:val="20"/>
                <w:szCs w:val="20"/>
                <w:color w:val="auto"/>
              </w:rPr>
            </w:pPr>
            <w:r>
              <w:rPr>
                <w:rFonts w:ascii="Arial" w:cs="Arial" w:eastAsia="Arial" w:hAnsi="Arial"/>
                <w:sz w:val="16"/>
                <w:szCs w:val="16"/>
                <w:b w:val="1"/>
                <w:bCs w:val="1"/>
                <w:color w:val="auto"/>
              </w:rPr>
              <w:t>641-585-3535</w:t>
            </w:r>
          </w:p>
        </w:tc>
      </w:tr>
    </w:tbl>
    <w:p>
      <w:pPr>
        <w:spacing w:after="0" w:line="251"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250825</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293370</wp:posOffset>
            </wp:positionV>
            <wp:extent cx="722947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2603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207645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311" w:right="239" w:bottom="1440" w:gutter="0" w:footer="0" w:header="0"/>
        </w:sectPr>
      </w:pPr>
    </w:p>
    <w:bookmarkStart w:id="1" w:name="page2"/>
    <w:bookmarkEnd w:id="1"/>
    <w:p>
      <w:pPr>
        <w:ind w:right="780"/>
        <w:spacing w:after="0" w:line="272" w:lineRule="auto"/>
        <w:rPr>
          <w:sz w:val="20"/>
          <w:szCs w:val="20"/>
          <w:color w:val="auto"/>
        </w:rPr>
      </w:pPr>
      <w:r>
        <w:rPr>
          <w:rFonts w:ascii="Arial" w:cs="Arial" w:eastAsia="Arial" w:hAnsi="Arial"/>
          <w:sz w:val="20"/>
          <w:szCs w:val="20"/>
          <w:b w:val="1"/>
          <w:bCs w:val="1"/>
          <w:color w:val="auto"/>
        </w:rPr>
        <w:t>Items 1.01; 5.02 Entry Into a Material Definitive Agreement; Departure of Directors or Certain Officers; Election of Directors; Appointment of Certain Officers; Compensatory Arrangements of Certain Officers.</w:t>
      </w:r>
    </w:p>
    <w:p>
      <w:pPr>
        <w:spacing w:after="0" w:line="156"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On December 21, 2015, Winnebago Industries, Inc. (“Company”) announced the hiring of Michael J. Happe as the CEO, president, and his appointment as a director (“Executive”). As part of his compensation package, the Executive entered into an Executive Change of Control Agreement (the “Agreement”) on April 26, 2016. This Agreement is in addition to his Employment Agreement which is included as Exhibit 10.1 to the Company’s Form 8-K filed on December 21, 2015. The Agreement provides for compensation to be paid to the Executive in certain situations specified in the Agreement when a change of control occurs. A change of control for purposes of the Agreement means the time when (i) any Person becomes an Acquiring Person, which generally means an acquisition of 20% or more the Company's common stock, or (ii) individuals who shall qualify as Continuing Directors of the Company shall have ceased for any reason to constitute at least a majority of the Board of Directors of the Company. In the event a change of control occurs, the Executive shall be entitled to a payment of three times the average aggregate compensation paid to the Executive during the three fiscal years immediately preceding the change of control if the Executive is terminated within three years of the change in control, other than by his death, disability, retirement, termination for cause by the Company, or if he voluntarily terminates his employment with the company, unless he does so for “good reason” as defined in the Agreement. The Agreement is designed to both retain the services of the Executive during the change of control process and to assure that the executive’s interests are closely aligned with the interests of shareholders. The Agreement does not provide for gross up of any payment made for applicable excise taxes. The foregoing discussion is a summary of the Agreement and is qualified entirely by reference to the terms of the Agreement, a copy of which is attached as exhibit 99.1.</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Executive Change of Control Agreement between Winnebago Industries, Inc. and Michael J. Happe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173"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334" w:lineRule="exact"/>
        <w:rPr>
          <w:sz w:val="20"/>
          <w:szCs w:val="20"/>
          <w:color w:val="auto"/>
        </w:rPr>
      </w:pPr>
    </w:p>
    <w:p>
      <w:pPr>
        <w:ind w:left="1120"/>
        <w:spacing w:after="0"/>
        <w:tabs>
          <w:tab w:leader="none" w:pos="1720" w:val="left"/>
          <w:tab w:leader="none" w:pos="4980" w:val="left"/>
          <w:tab w:leader="none" w:pos="5580" w:val="left"/>
        </w:tabs>
        <w:rPr>
          <w:sz w:val="20"/>
          <w:szCs w:val="20"/>
          <w:color w:val="auto"/>
        </w:rPr>
      </w:pPr>
      <w:r>
        <w:rPr>
          <w:rFonts w:ascii="Arial" w:cs="Arial" w:eastAsia="Arial" w:hAnsi="Arial"/>
          <w:sz w:val="16"/>
          <w:szCs w:val="16"/>
          <w:color w:val="auto"/>
        </w:rPr>
        <w:t>Dated:</w:t>
        <w:tab/>
        <w:t>April 29,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Scott C. Folkers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29210</wp:posOffset>
            </wp:positionV>
            <wp:extent cx="22898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8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Scott C. Folkers</w:t>
      </w:r>
    </w:p>
    <w:p>
      <w:pPr>
        <w:spacing w:after="0" w:line="86" w:lineRule="exact"/>
        <w:rPr>
          <w:sz w:val="20"/>
          <w:szCs w:val="20"/>
          <w:color w:val="auto"/>
        </w:rPr>
      </w:pPr>
    </w:p>
    <w:p>
      <w:pPr>
        <w:ind w:left="5000"/>
        <w:spacing w:after="0"/>
        <w:tabs>
          <w:tab w:leader="none" w:pos="55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Vice President, General Counsel &amp; Secretary</w:t>
      </w:r>
    </w:p>
    <w:p>
      <w:pPr>
        <w:sectPr>
          <w:pgSz w:w="11900" w:h="16838" w:orient="portrait"/>
          <w:cols w:equalWidth="0" w:num="1">
            <w:col w:w="11380"/>
          </w:cols>
          <w:pgMar w:left="240" w:top="733"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EXECUTIVE CHANGE OF CONTROL AGREEMENT</w:t>
      </w:r>
    </w:p>
    <w:p>
      <w:pPr>
        <w:spacing w:after="0" w:line="200" w:lineRule="exact"/>
        <w:rPr>
          <w:sz w:val="20"/>
          <w:szCs w:val="20"/>
          <w:color w:val="auto"/>
        </w:rPr>
      </w:pPr>
    </w:p>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This EXECUTIVE CHANGE OF CONTROL AGREEMENT is made as of April 26, 2016, by and between </w:t>
      </w:r>
      <w:r>
        <w:rPr>
          <w:rFonts w:ascii="Arial" w:cs="Arial" w:eastAsia="Arial" w:hAnsi="Arial"/>
          <w:sz w:val="22"/>
          <w:szCs w:val="22"/>
          <w:b w:val="1"/>
          <w:bCs w:val="1"/>
          <w:color w:val="auto"/>
        </w:rPr>
        <w:t>WINNEBAGO INDUSTRIES, INC.</w:t>
      </w:r>
      <w:r>
        <w:rPr>
          <w:rFonts w:ascii="Arial" w:cs="Arial" w:eastAsia="Arial" w:hAnsi="Arial"/>
          <w:sz w:val="22"/>
          <w:szCs w:val="22"/>
          <w:color w:val="auto"/>
        </w:rPr>
        <w:t>, an Iowa corporation (the "Company"), and Michael J. Happe (the "Executive").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Executive is a senior executive and officer of the Company and has made and is expected to continue to</w:t>
      </w:r>
      <w:r>
        <w:rPr>
          <w:rFonts w:ascii="Arial" w:cs="Arial" w:eastAsia="Arial" w:hAnsi="Arial"/>
          <w:sz w:val="22"/>
          <w:szCs w:val="22"/>
          <w:b w:val="1"/>
          <w:bCs w:val="1"/>
          <w:color w:val="auto"/>
        </w:rPr>
        <w:t xml:space="preserve"> </w:t>
      </w:r>
      <w:r>
        <w:rPr>
          <w:rFonts w:ascii="Arial" w:cs="Arial" w:eastAsia="Arial" w:hAnsi="Arial"/>
          <w:sz w:val="22"/>
          <w:szCs w:val="22"/>
          <w:color w:val="auto"/>
        </w:rPr>
        <w:t>make major contributions to the profitability, growth and financial strength of the Company;</w:t>
      </w:r>
    </w:p>
    <w:p>
      <w:pPr>
        <w:spacing w:after="0" w:line="203"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recognizes that, as is the case for most publicly held companies, the possibility of a Change of</w:t>
      </w:r>
      <w:r>
        <w:rPr>
          <w:rFonts w:ascii="Arial" w:cs="Arial" w:eastAsia="Arial" w:hAnsi="Arial"/>
          <w:sz w:val="22"/>
          <w:szCs w:val="22"/>
          <w:b w:val="1"/>
          <w:bCs w:val="1"/>
          <w:color w:val="auto"/>
        </w:rPr>
        <w:t xml:space="preserve"> </w:t>
      </w:r>
      <w:r>
        <w:rPr>
          <w:rFonts w:ascii="Arial" w:cs="Arial" w:eastAsia="Arial" w:hAnsi="Arial"/>
          <w:sz w:val="22"/>
          <w:szCs w:val="22"/>
          <w:color w:val="auto"/>
        </w:rPr>
        <w:t>Control (as hereafter defined) exists;</w:t>
      </w:r>
    </w:p>
    <w:p>
      <w:pPr>
        <w:spacing w:after="0" w:line="20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it is in the best interests of the Company, considering the past and future services of the Executive, to improve</w:t>
      </w:r>
      <w:r>
        <w:rPr>
          <w:rFonts w:ascii="Arial" w:cs="Arial" w:eastAsia="Arial" w:hAnsi="Arial"/>
          <w:sz w:val="22"/>
          <w:szCs w:val="22"/>
          <w:b w:val="1"/>
          <w:bCs w:val="1"/>
          <w:color w:val="auto"/>
        </w:rPr>
        <w:t xml:space="preserve"> </w:t>
      </w:r>
      <w:r>
        <w:rPr>
          <w:rFonts w:ascii="Arial" w:cs="Arial" w:eastAsia="Arial" w:hAnsi="Arial"/>
          <w:sz w:val="22"/>
          <w:szCs w:val="22"/>
          <w:color w:val="auto"/>
        </w:rPr>
        <w:t>the security and climate for objective decision making by providing for the personal security of the Executive upon a Change of Control.</w:t>
      </w:r>
    </w:p>
    <w:p>
      <w:pPr>
        <w:spacing w:after="0" w:line="2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the past and future services rendered and to be</w:t>
      </w:r>
      <w:r>
        <w:rPr>
          <w:rFonts w:ascii="Arial" w:cs="Arial" w:eastAsia="Arial" w:hAnsi="Arial"/>
          <w:sz w:val="22"/>
          <w:szCs w:val="22"/>
          <w:b w:val="1"/>
          <w:bCs w:val="1"/>
          <w:color w:val="auto"/>
        </w:rPr>
        <w:t xml:space="preserve"> </w:t>
      </w:r>
      <w:r>
        <w:rPr>
          <w:rFonts w:ascii="Arial" w:cs="Arial" w:eastAsia="Arial" w:hAnsi="Arial"/>
          <w:sz w:val="22"/>
          <w:szCs w:val="22"/>
          <w:color w:val="auto"/>
        </w:rPr>
        <w:t>rendered by the Executive to the Company and of the mutual covenants and agreements hereinafter set forth, the parties agree as follows: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60" w:lineRule="exact"/>
        <w:rPr>
          <w:sz w:val="20"/>
          <w:szCs w:val="20"/>
          <w:color w:val="auto"/>
        </w:rPr>
      </w:pPr>
    </w:p>
    <w:p>
      <w:pPr>
        <w:jc w:val="both"/>
        <w:ind w:firstLine="656"/>
        <w:spacing w:after="0" w:line="249" w:lineRule="auto"/>
        <w:tabs>
          <w:tab w:leader="none" w:pos="878"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Continued Service by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a person or entity, in order to effect a Change of Control, commences a</w:t>
      </w:r>
      <w:r>
        <w:rPr>
          <w:rFonts w:ascii="Arial" w:cs="Arial" w:eastAsia="Arial" w:hAnsi="Arial"/>
          <w:sz w:val="22"/>
          <w:szCs w:val="22"/>
          <w:b w:val="1"/>
          <w:bCs w:val="1"/>
          <w:color w:val="auto"/>
        </w:rPr>
        <w:t xml:space="preserve"> </w:t>
      </w:r>
      <w:r>
        <w:rPr>
          <w:rFonts w:ascii="Arial" w:cs="Arial" w:eastAsia="Arial" w:hAnsi="Arial"/>
          <w:sz w:val="22"/>
          <w:szCs w:val="22"/>
          <w:color w:val="auto"/>
        </w:rPr>
        <w:t>tender or exchange offer, 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227" w:lineRule="exact"/>
        <w:rPr>
          <w:rFonts w:ascii="Arial" w:cs="Arial" w:eastAsia="Arial" w:hAnsi="Arial"/>
          <w:sz w:val="22"/>
          <w:szCs w:val="22"/>
          <w:b w:val="1"/>
          <w:bCs w:val="1"/>
          <w:color w:val="auto"/>
        </w:rPr>
      </w:pPr>
    </w:p>
    <w:p>
      <w:pPr>
        <w:jc w:val="both"/>
        <w:ind w:firstLine="656"/>
        <w:spacing w:after="0" w:line="259" w:lineRule="auto"/>
        <w:tabs>
          <w:tab w:leader="none" w:pos="864"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Change of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For purposes of this Agreement, the term “Change of Control” means the time when (i) any Person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becomes an Acquiring Person, or (ii) individuals who shall qualify as Continuing Directors of the Company shall have ceased for any reason to constitute at least a majority of the Board of Directors of the Company; </w:t>
      </w:r>
      <w:r>
        <w:rPr>
          <w:rFonts w:ascii="Arial" w:cs="Arial" w:eastAsia="Arial" w:hAnsi="Arial"/>
          <w:sz w:val="21"/>
          <w:szCs w:val="21"/>
          <w:i w:val="1"/>
          <w:iCs w:val="1"/>
          <w:color w:val="auto"/>
        </w:rPr>
        <w:t>provided however</w:t>
      </w:r>
      <w:r>
        <w:rPr>
          <w:rFonts w:ascii="Arial" w:cs="Arial" w:eastAsia="Arial" w:hAnsi="Arial"/>
          <w:sz w:val="21"/>
          <w:szCs w:val="21"/>
          <w:color w:val="auto"/>
        </w:rPr>
        <w:t>,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w:t>
      </w:r>
    </w:p>
    <w:p>
      <w:pPr>
        <w:sectPr>
          <w:pgSz w:w="11900" w:h="16838" w:orient="portrait"/>
          <w:cols w:equalWidth="0" w:num="1">
            <w:col w:w="11420"/>
          </w:cols>
          <w:pgMar w:left="240" w:top="1138" w:right="239" w:bottom="1440" w:gutter="0" w:footer="0" w:header="0"/>
        </w:sectPr>
      </w:pPr>
    </w:p>
    <w:bookmarkStart w:id="3" w:name="page4"/>
    <w:bookmarkEnd w:id="3"/>
    <w:p>
      <w:pPr>
        <w:spacing w:after="0"/>
        <w:rPr>
          <w:sz w:val="20"/>
          <w:szCs w:val="20"/>
          <w:color w:val="auto"/>
        </w:rPr>
      </w:pPr>
      <w:r>
        <w:rPr>
          <w:rFonts w:ascii="Arial" w:cs="Arial" w:eastAsia="Arial" w:hAnsi="Arial"/>
          <w:sz w:val="19"/>
          <w:szCs w:val="19"/>
          <w:color w:val="auto"/>
        </w:rPr>
        <w:t>stock held by such a plan shall not be treated as outstanding in determining ownership percentages for purposes of this definition.)</w:t>
      </w:r>
    </w:p>
    <w:p>
      <w:pPr>
        <w:spacing w:after="0" w:line="295" w:lineRule="exact"/>
        <w:rPr>
          <w:sz w:val="20"/>
          <w:szCs w:val="20"/>
          <w:color w:val="auto"/>
        </w:rPr>
      </w:pPr>
    </w:p>
    <w:p>
      <w:pPr>
        <w:spacing w:after="0"/>
        <w:rPr>
          <w:sz w:val="20"/>
          <w:szCs w:val="20"/>
          <w:color w:val="auto"/>
        </w:rPr>
      </w:pPr>
      <w:r>
        <w:rPr>
          <w:rFonts w:ascii="Arial" w:cs="Arial" w:eastAsia="Arial" w:hAnsi="Arial"/>
          <w:sz w:val="21"/>
          <w:szCs w:val="21"/>
          <w:color w:val="auto"/>
        </w:rPr>
        <w:t>For the purpose of the foregoing definition of “Change of Control”, the capitalized terms shall have the following meanings:</w:t>
      </w:r>
    </w:p>
    <w:p>
      <w:pPr>
        <w:spacing w:after="0" w:line="272" w:lineRule="exact"/>
        <w:rPr>
          <w:sz w:val="20"/>
          <w:szCs w:val="20"/>
          <w:color w:val="auto"/>
        </w:rPr>
      </w:pPr>
    </w:p>
    <w:p>
      <w:pPr>
        <w:jc w:val="both"/>
        <w:ind w:left="1300" w:hanging="644"/>
        <w:spacing w:after="0" w:line="292" w:lineRule="auto"/>
        <w:tabs>
          <w:tab w:leader="none" w:pos="1300" w:val="left"/>
        </w:tabs>
        <w:numPr>
          <w:ilvl w:val="1"/>
          <w:numId w:val="3"/>
        </w:numPr>
        <w:rPr>
          <w:rFonts w:ascii="Arial" w:cs="Arial" w:eastAsia="Arial" w:hAnsi="Arial"/>
          <w:sz w:val="19"/>
          <w:szCs w:val="19"/>
          <w:color w:val="auto"/>
        </w:rPr>
      </w:pPr>
      <w:r>
        <w:rPr>
          <w:rFonts w:ascii="Arial" w:cs="Arial" w:eastAsia="Arial" w:hAnsi="Arial"/>
          <w:sz w:val="19"/>
          <w:szCs w:val="19"/>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92" w:lineRule="exact"/>
        <w:rPr>
          <w:rFonts w:ascii="Arial" w:cs="Arial" w:eastAsia="Arial" w:hAnsi="Arial"/>
          <w:sz w:val="19"/>
          <w:szCs w:val="19"/>
          <w:color w:val="auto"/>
        </w:rPr>
      </w:pPr>
    </w:p>
    <w:p>
      <w:pPr>
        <w:jc w:val="both"/>
        <w:ind w:left="1300" w:hanging="644"/>
        <w:spacing w:after="0" w:line="312" w:lineRule="auto"/>
        <w:tabs>
          <w:tab w:leader="none" w:pos="1300" w:val="left"/>
        </w:tabs>
        <w:numPr>
          <w:ilvl w:val="1"/>
          <w:numId w:val="3"/>
        </w:numPr>
        <w:rPr>
          <w:rFonts w:ascii="Arial" w:cs="Arial" w:eastAsia="Arial" w:hAnsi="Arial"/>
          <w:sz w:val="19"/>
          <w:szCs w:val="19"/>
          <w:color w:val="auto"/>
        </w:rPr>
      </w:pPr>
      <w:r>
        <w:rPr>
          <w:rFonts w:ascii="Arial" w:cs="Arial" w:eastAsia="Arial" w:hAnsi="Arial"/>
          <w:sz w:val="19"/>
          <w:szCs w:val="19"/>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date of the Executive’s execution of this Agreement.</w:t>
      </w:r>
    </w:p>
    <w:p>
      <w:pPr>
        <w:spacing w:after="0" w:line="174" w:lineRule="exact"/>
        <w:rPr>
          <w:rFonts w:ascii="Arial" w:cs="Arial" w:eastAsia="Arial" w:hAnsi="Arial"/>
          <w:sz w:val="19"/>
          <w:szCs w:val="19"/>
          <w:color w:val="auto"/>
        </w:rPr>
      </w:pPr>
    </w:p>
    <w:p>
      <w:pPr>
        <w:ind w:left="1300" w:right="20" w:hanging="644"/>
        <w:spacing w:after="0" w:line="263" w:lineRule="auto"/>
        <w:tabs>
          <w:tab w:leader="none" w:pos="1300" w:val="left"/>
        </w:tabs>
        <w:numPr>
          <w:ilvl w:val="1"/>
          <w:numId w:val="3"/>
        </w:numPr>
        <w:rPr>
          <w:rFonts w:ascii="Arial" w:cs="Arial" w:eastAsia="Arial" w:hAnsi="Arial"/>
          <w:sz w:val="22"/>
          <w:szCs w:val="22"/>
          <w:color w:val="auto"/>
        </w:rPr>
      </w:pPr>
      <w:r>
        <w:rPr>
          <w:rFonts w:ascii="Arial" w:cs="Arial" w:eastAsia="Arial" w:hAnsi="Arial"/>
          <w:sz w:val="22"/>
          <w:szCs w:val="22"/>
          <w:color w:val="auto"/>
        </w:rPr>
        <w:t>“Affiliate” means a Person that directly or indirectly through one or more intermediaries, controls, or is controlled by, or is under common control with, the person specified.</w:t>
      </w:r>
    </w:p>
    <w:p>
      <w:pPr>
        <w:spacing w:after="0" w:line="215" w:lineRule="exact"/>
        <w:rPr>
          <w:rFonts w:ascii="Arial" w:cs="Arial" w:eastAsia="Arial" w:hAnsi="Arial"/>
          <w:sz w:val="22"/>
          <w:szCs w:val="22"/>
          <w:color w:val="auto"/>
        </w:rPr>
      </w:pPr>
    </w:p>
    <w:p>
      <w:pPr>
        <w:jc w:val="both"/>
        <w:ind w:left="1300" w:hanging="644"/>
        <w:spacing w:after="0" w:line="246" w:lineRule="auto"/>
        <w:tabs>
          <w:tab w:leader="none" w:pos="1300" w:val="left"/>
        </w:tabs>
        <w:numPr>
          <w:ilvl w:val="1"/>
          <w:numId w:val="3"/>
        </w:numPr>
        <w:rPr>
          <w:rFonts w:ascii="Arial" w:cs="Arial" w:eastAsia="Arial" w:hAnsi="Arial"/>
          <w:sz w:val="22"/>
          <w:szCs w:val="22"/>
          <w:color w:val="auto"/>
        </w:rPr>
      </w:pPr>
      <w:r>
        <w:rPr>
          <w:rFonts w:ascii="Arial" w:cs="Arial" w:eastAsia="Arial" w:hAnsi="Arial"/>
          <w:sz w:val="22"/>
          <w:szCs w:val="22"/>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237"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3"/>
        </w:numPr>
        <w:rPr>
          <w:rFonts w:ascii="Arial" w:cs="Arial" w:eastAsia="Arial" w:hAnsi="Arial"/>
          <w:sz w:val="22"/>
          <w:szCs w:val="22"/>
          <w:color w:val="auto"/>
        </w:rPr>
      </w:pPr>
      <w:r>
        <w:rPr>
          <w:rFonts w:ascii="Arial" w:cs="Arial" w:eastAsia="Arial" w:hAnsi="Arial"/>
          <w:sz w:val="22"/>
          <w:szCs w:val="22"/>
          <w:color w:val="auto"/>
        </w:rPr>
        <w:t>“Person” means an individual, corporation, limited liability company, partnership, association, joint stock company, trust, unincorporated organization or government or political subdivision thereof.</w:t>
      </w:r>
    </w:p>
    <w:p>
      <w:pPr>
        <w:spacing w:after="0" w:line="209" w:lineRule="exact"/>
        <w:rPr>
          <w:rFonts w:ascii="Arial" w:cs="Arial" w:eastAsia="Arial" w:hAnsi="Arial"/>
          <w:sz w:val="22"/>
          <w:szCs w:val="22"/>
          <w:color w:val="auto"/>
        </w:rPr>
      </w:pPr>
    </w:p>
    <w:p>
      <w:pPr>
        <w:jc w:val="both"/>
        <w:ind w:firstLine="8"/>
        <w:spacing w:after="0" w:line="252" w:lineRule="auto"/>
        <w:tabs>
          <w:tab w:leader="none" w:pos="54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Following a Change of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If a change of Control shall have occurred while the Executive is still an</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of the Company, and if the Executive’s employment with the Company is terminated, within three years following such Change of Control, then the Executive shall be entitled to the compensation and benefits provided in Section 4, unless such termination is a result of: (a) the Executive’s death; (b) the Executive’s Disability</w:t>
      </w:r>
    </w:p>
    <w:p>
      <w:pPr>
        <w:sectPr>
          <w:pgSz w:w="11900" w:h="16838" w:orient="portrait"/>
          <w:cols w:equalWidth="0" w:num="1">
            <w:col w:w="11420"/>
          </w:cols>
          <w:pgMar w:left="240" w:top="631" w:right="239" w:bottom="1440" w:gutter="0" w:footer="0" w:header="0"/>
        </w:sectPr>
      </w:pPr>
    </w:p>
    <w:bookmarkStart w:id="4" w:name="page5"/>
    <w:bookmarkEnd w:id="4"/>
    <w:p>
      <w:pPr>
        <w:jc w:val="both"/>
        <w:spacing w:after="0" w:line="253" w:lineRule="auto"/>
        <w:rPr>
          <w:sz w:val="20"/>
          <w:szCs w:val="20"/>
          <w:color w:val="auto"/>
        </w:rPr>
      </w:pPr>
      <w:r>
        <w:rPr>
          <w:rFonts w:ascii="Arial" w:cs="Arial" w:eastAsia="Arial" w:hAnsi="Arial"/>
          <w:sz w:val="22"/>
          <w:szCs w:val="22"/>
          <w:color w:val="auto"/>
        </w:rPr>
        <w:t>(as defined in Section 3(a) below); (c) the Executive’s Retirement (as defined in Section 3(b) below); (d) the Executive’s termination by the Company for Cause (as defined in Section 3(c) below); or (e) the Executive’s decision to terminate employment other than for Good Reason (as defined in Section 3(d) below).</w:t>
      </w:r>
    </w:p>
    <w:p>
      <w:pPr>
        <w:spacing w:after="0" w:line="226" w:lineRule="exact"/>
        <w:rPr>
          <w:sz w:val="20"/>
          <w:szCs w:val="20"/>
          <w:color w:val="auto"/>
        </w:rPr>
      </w:pPr>
    </w:p>
    <w:p>
      <w:pPr>
        <w:jc w:val="both"/>
        <w:ind w:firstLine="1305"/>
        <w:spacing w:after="0" w:line="250" w:lineRule="auto"/>
        <w:tabs>
          <w:tab w:leader="none" w:pos="1590" w:val="left"/>
        </w:tabs>
        <w:numPr>
          <w:ilvl w:val="0"/>
          <w:numId w:val="5"/>
        </w:numPr>
        <w:rPr>
          <w:rFonts w:ascii="Arial" w:cs="Arial" w:eastAsia="Arial" w:hAnsi="Arial"/>
          <w:sz w:val="22"/>
          <w:szCs w:val="22"/>
          <w:color w:val="auto"/>
        </w:rPr>
      </w:pPr>
      <w:r>
        <w:rPr>
          <w:rFonts w:ascii="Arial" w:cs="Arial" w:eastAsia="Arial" w:hAnsi="Arial"/>
          <w:sz w:val="22"/>
          <w:szCs w:val="22"/>
          <w:i w:val="1"/>
          <w:iCs w:val="1"/>
          <w:color w:val="auto"/>
        </w:rPr>
        <w:t xml:space="preserve">Disability. </w:t>
      </w:r>
      <w:r>
        <w:rPr>
          <w:rFonts w:ascii="Arial" w:cs="Arial" w:eastAsia="Arial" w:hAnsi="Arial"/>
          <w:sz w:val="22"/>
          <w:szCs w:val="22"/>
          <w:color w:val="auto"/>
        </w:rPr>
        <w:t>If, as a result of the Executive’s incapacity due to physical or mental illness, the Executive shall have</w:t>
      </w:r>
      <w:r>
        <w:rPr>
          <w:rFonts w:ascii="Arial" w:cs="Arial" w:eastAsia="Arial" w:hAnsi="Arial"/>
          <w:sz w:val="22"/>
          <w:szCs w:val="22"/>
          <w:i w:val="1"/>
          <w:iCs w:val="1"/>
          <w:color w:val="auto"/>
        </w:rPr>
        <w:t xml:space="preserve"> </w:t>
      </w:r>
      <w:r>
        <w:rPr>
          <w:rFonts w:ascii="Arial" w:cs="Arial" w:eastAsia="Arial" w:hAnsi="Arial"/>
          <w:sz w:val="22"/>
          <w:szCs w:val="22"/>
          <w:color w:val="auto"/>
        </w:rPr>
        <w:t>been absent from his duties with the Company on a full-time basis for six months and within 30 days after written notice of termination is thereafter given by the Company the Executive shall not have returned to the full-time performance of the Executive’s duties, the Company may terminate the Executive for “Disability.”</w:t>
      </w:r>
    </w:p>
    <w:p>
      <w:pPr>
        <w:spacing w:after="0" w:line="228" w:lineRule="exact"/>
        <w:rPr>
          <w:rFonts w:ascii="Arial" w:cs="Arial" w:eastAsia="Arial" w:hAnsi="Arial"/>
          <w:sz w:val="22"/>
          <w:szCs w:val="22"/>
          <w:color w:val="auto"/>
        </w:rPr>
      </w:pPr>
    </w:p>
    <w:p>
      <w:pPr>
        <w:jc w:val="both"/>
        <w:ind w:firstLine="1305"/>
        <w:spacing w:after="0" w:line="271" w:lineRule="auto"/>
        <w:tabs>
          <w:tab w:leader="none" w:pos="1616" w:val="left"/>
        </w:tabs>
        <w:numPr>
          <w:ilvl w:val="0"/>
          <w:numId w:val="5"/>
        </w:numPr>
        <w:rPr>
          <w:rFonts w:ascii="Arial" w:cs="Arial" w:eastAsia="Arial" w:hAnsi="Arial"/>
          <w:sz w:val="21"/>
          <w:szCs w:val="21"/>
          <w:color w:val="auto"/>
        </w:rPr>
      </w:pPr>
      <w:r>
        <w:rPr>
          <w:rFonts w:ascii="Arial" w:cs="Arial" w:eastAsia="Arial" w:hAnsi="Arial"/>
          <w:sz w:val="21"/>
          <w:szCs w:val="21"/>
          <w:i w:val="1"/>
          <w:iCs w:val="1"/>
          <w:color w:val="auto"/>
        </w:rPr>
        <w:t xml:space="preserve">Retirement. </w:t>
      </w:r>
      <w:r>
        <w:rPr>
          <w:rFonts w:ascii="Arial" w:cs="Arial" w:eastAsia="Arial" w:hAnsi="Arial"/>
          <w:sz w:val="21"/>
          <w:szCs w:val="21"/>
          <w:color w:val="auto"/>
        </w:rPr>
        <w:t>The term “Retirement” as used in this Agreement shall mean termination by the Company or the</w:t>
      </w:r>
      <w:r>
        <w:rPr>
          <w:rFonts w:ascii="Arial" w:cs="Arial" w:eastAsia="Arial" w:hAnsi="Arial"/>
          <w:sz w:val="21"/>
          <w:szCs w:val="21"/>
          <w:i w:val="1"/>
          <w:iCs w:val="1"/>
          <w:color w:val="auto"/>
        </w:rPr>
        <w:t xml:space="preserve"> </w:t>
      </w:r>
      <w:r>
        <w:rPr>
          <w:rFonts w:ascii="Arial" w:cs="Arial" w:eastAsia="Arial" w:hAnsi="Arial"/>
          <w:sz w:val="21"/>
          <w:szCs w:val="21"/>
          <w:color w:val="auto"/>
        </w:rPr>
        <w:t>Executive of the Executive’s employment based on the Executive having attained the age of 65 or such other age as shall have been fixed in any arrangement established with the Executive’s consent with respect to the Executive.</w:t>
      </w:r>
    </w:p>
    <w:p>
      <w:pPr>
        <w:spacing w:after="0" w:line="208" w:lineRule="exact"/>
        <w:rPr>
          <w:rFonts w:ascii="Arial" w:cs="Arial" w:eastAsia="Arial" w:hAnsi="Arial"/>
          <w:sz w:val="21"/>
          <w:szCs w:val="21"/>
          <w:color w:val="auto"/>
        </w:rPr>
      </w:pPr>
    </w:p>
    <w:p>
      <w:pPr>
        <w:jc w:val="both"/>
        <w:ind w:firstLine="1305"/>
        <w:spacing w:after="0" w:line="258" w:lineRule="auto"/>
        <w:tabs>
          <w:tab w:leader="none" w:pos="1604" w:val="left"/>
        </w:tabs>
        <w:numPr>
          <w:ilvl w:val="0"/>
          <w:numId w:val="5"/>
        </w:numPr>
        <w:rPr>
          <w:rFonts w:ascii="Arial" w:cs="Arial" w:eastAsia="Arial" w:hAnsi="Arial"/>
          <w:sz w:val="21"/>
          <w:szCs w:val="21"/>
          <w:color w:val="auto"/>
        </w:rPr>
      </w:pPr>
      <w:r>
        <w:rPr>
          <w:rFonts w:ascii="Arial" w:cs="Arial" w:eastAsia="Arial" w:hAnsi="Arial"/>
          <w:sz w:val="21"/>
          <w:szCs w:val="21"/>
          <w:i w:val="1"/>
          <w:iCs w:val="1"/>
          <w:color w:val="auto"/>
        </w:rPr>
        <w:t xml:space="preserve">Cause. </w:t>
      </w:r>
      <w:r>
        <w:rPr>
          <w:rFonts w:ascii="Arial" w:cs="Arial" w:eastAsia="Arial" w:hAnsi="Arial"/>
          <w:sz w:val="21"/>
          <w:szCs w:val="21"/>
          <w:color w:val="auto"/>
        </w:rPr>
        <w:t>The Company may terminate the Executive’s employment for Cause. For purposes of this Agreement</w:t>
      </w:r>
      <w:r>
        <w:rPr>
          <w:rFonts w:ascii="Arial" w:cs="Arial" w:eastAsia="Arial" w:hAnsi="Arial"/>
          <w:sz w:val="21"/>
          <w:szCs w:val="21"/>
          <w:i w:val="1"/>
          <w:iCs w:val="1"/>
          <w:color w:val="auto"/>
        </w:rPr>
        <w:t xml:space="preserve"> </w:t>
      </w:r>
      <w:r>
        <w:rPr>
          <w:rFonts w:ascii="Arial" w:cs="Arial" w:eastAsia="Arial" w:hAnsi="Arial"/>
          <w:sz w:val="21"/>
          <w:szCs w:val="21"/>
          <w:color w:val="auto"/>
        </w:rPr>
        <w:t>only, the Company shall have “Cause” to terminate the Executive’s employment hereunder only on the basis of (i) fraud, misappropriation or embezzlement on the part of the Executive; or (ii) intentional misconduct or gross negligence on 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3(c) and specifying the particulars thereof in detail. Nothing herein shall limit the right of the Executive or his beneficiaries to contest the validity or propriety of any such determination.</w:t>
      </w:r>
    </w:p>
    <w:p>
      <w:pPr>
        <w:spacing w:after="0" w:line="223" w:lineRule="exact"/>
        <w:rPr>
          <w:rFonts w:ascii="Arial" w:cs="Arial" w:eastAsia="Arial" w:hAnsi="Arial"/>
          <w:sz w:val="21"/>
          <w:szCs w:val="21"/>
          <w:color w:val="auto"/>
        </w:rPr>
      </w:pPr>
    </w:p>
    <w:p>
      <w:pPr>
        <w:jc w:val="both"/>
        <w:ind w:firstLine="1305"/>
        <w:spacing w:after="0" w:line="253" w:lineRule="auto"/>
        <w:tabs>
          <w:tab w:leader="none" w:pos="1616" w:val="left"/>
        </w:tabs>
        <w:numPr>
          <w:ilvl w:val="0"/>
          <w:numId w:val="5"/>
        </w:numPr>
        <w:rPr>
          <w:rFonts w:ascii="Arial" w:cs="Arial" w:eastAsia="Arial" w:hAnsi="Arial"/>
          <w:sz w:val="22"/>
          <w:szCs w:val="22"/>
          <w:color w:val="auto"/>
        </w:rPr>
      </w:pPr>
      <w:r>
        <w:rPr>
          <w:rFonts w:ascii="Arial" w:cs="Arial" w:eastAsia="Arial" w:hAnsi="Arial"/>
          <w:sz w:val="22"/>
          <w:szCs w:val="22"/>
          <w:i w:val="1"/>
          <w:iCs w:val="1"/>
          <w:color w:val="auto"/>
        </w:rPr>
        <w:t xml:space="preserve">Good Reason. </w:t>
      </w:r>
      <w:r>
        <w:rPr>
          <w:rFonts w:ascii="Arial" w:cs="Arial" w:eastAsia="Arial" w:hAnsi="Arial"/>
          <w:sz w:val="22"/>
          <w:szCs w:val="22"/>
          <w:color w:val="auto"/>
        </w:rPr>
        <w:t>The Executive may terminate the Executive’s employment for Good Reason at any time during</w:t>
      </w:r>
      <w:r>
        <w:rPr>
          <w:rFonts w:ascii="Arial" w:cs="Arial" w:eastAsia="Arial" w:hAnsi="Arial"/>
          <w:sz w:val="22"/>
          <w:szCs w:val="22"/>
          <w:i w:val="1"/>
          <w:iCs w:val="1"/>
          <w:color w:val="auto"/>
        </w:rPr>
        <w:t xml:space="preserve"> </w:t>
      </w:r>
      <w:r>
        <w:rPr>
          <w:rFonts w:ascii="Arial" w:cs="Arial" w:eastAsia="Arial" w:hAnsi="Arial"/>
          <w:sz w:val="22"/>
          <w:szCs w:val="22"/>
          <w:color w:val="auto"/>
        </w:rPr>
        <w:t>the term of this Agreement. For purposes of this Agreement “Good Reason” shall mean any of the following (without the Executive’s express written consent):</w:t>
      </w:r>
    </w:p>
    <w:p>
      <w:pPr>
        <w:spacing w:after="0" w:line="226" w:lineRule="exact"/>
        <w:rPr>
          <w:rFonts w:ascii="Arial" w:cs="Arial" w:eastAsia="Arial" w:hAnsi="Arial"/>
          <w:sz w:val="22"/>
          <w:szCs w:val="22"/>
          <w:color w:val="auto"/>
        </w:rPr>
      </w:pPr>
    </w:p>
    <w:p>
      <w:pPr>
        <w:jc w:val="both"/>
        <w:ind w:left="820" w:firstLine="647"/>
        <w:spacing w:after="0" w:line="247" w:lineRule="auto"/>
        <w:tabs>
          <w:tab w:leader="none" w:pos="1746" w:val="left"/>
        </w:tabs>
        <w:numPr>
          <w:ilvl w:val="1"/>
          <w:numId w:val="5"/>
        </w:numPr>
        <w:rPr>
          <w:rFonts w:ascii="Arial" w:cs="Arial" w:eastAsia="Arial" w:hAnsi="Arial"/>
          <w:sz w:val="22"/>
          <w:szCs w:val="22"/>
          <w:color w:val="auto"/>
        </w:rPr>
      </w:pPr>
      <w:r>
        <w:rPr>
          <w:rFonts w:ascii="Arial" w:cs="Arial" w:eastAsia="Arial" w:hAnsi="Arial"/>
          <w:sz w:val="22"/>
          <w:szCs w:val="22"/>
          <w:color w:val="auto"/>
        </w:rPr>
        <w:t>the assignment to the Executive by the Company of duties inconsistent with the Executive’s position, duties, responsibilities and status 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ectPr>
          <w:pgSz w:w="11900" w:h="16838" w:orient="portrait"/>
          <w:cols w:equalWidth="0" w:num="1">
            <w:col w:w="11420"/>
          </w:cols>
          <w:pgMar w:left="240" w:top="631" w:right="239" w:bottom="1440" w:gutter="0" w:footer="0" w:header="0"/>
        </w:sectPr>
      </w:pPr>
    </w:p>
    <w:bookmarkStart w:id="5" w:name="page6"/>
    <w:bookmarkEnd w:id="5"/>
    <w:p>
      <w:pPr>
        <w:jc w:val="both"/>
        <w:ind w:left="-380" w:firstLine="647"/>
        <w:spacing w:after="0" w:line="248" w:lineRule="auto"/>
        <w:tabs>
          <w:tab w:leader="none" w:pos="586" w:val="left"/>
        </w:tabs>
        <w:numPr>
          <w:ilvl w:val="0"/>
          <w:numId w:val="6"/>
        </w:numPr>
        <w:rPr>
          <w:rFonts w:ascii="Arial" w:cs="Arial" w:eastAsia="Arial" w:hAnsi="Arial"/>
          <w:sz w:val="22"/>
          <w:szCs w:val="22"/>
          <w:color w:val="auto"/>
        </w:rPr>
      </w:pPr>
      <w:r>
        <w:rPr>
          <w:rFonts w:ascii="Arial" w:cs="Arial" w:eastAsia="Arial" w:hAnsi="Arial"/>
          <w:sz w:val="22"/>
          <w:szCs w:val="22"/>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232" w:lineRule="exact"/>
        <w:rPr>
          <w:rFonts w:ascii="Arial" w:cs="Arial" w:eastAsia="Arial" w:hAnsi="Arial"/>
          <w:sz w:val="22"/>
          <w:szCs w:val="22"/>
          <w:color w:val="auto"/>
        </w:rPr>
      </w:pPr>
    </w:p>
    <w:p>
      <w:pPr>
        <w:jc w:val="both"/>
        <w:ind w:left="-380" w:firstLine="647"/>
        <w:spacing w:after="0" w:line="292" w:lineRule="auto"/>
        <w:tabs>
          <w:tab w:leader="none" w:pos="699" w:val="left"/>
        </w:tabs>
        <w:numPr>
          <w:ilvl w:val="0"/>
          <w:numId w:val="6"/>
        </w:numPr>
        <w:rPr>
          <w:rFonts w:ascii="Arial" w:cs="Arial" w:eastAsia="Arial" w:hAnsi="Arial"/>
          <w:sz w:val="19"/>
          <w:szCs w:val="19"/>
          <w:color w:val="auto"/>
        </w:rPr>
      </w:pPr>
      <w:r>
        <w:rPr>
          <w:rFonts w:ascii="Arial" w:cs="Arial" w:eastAsia="Arial" w:hAnsi="Arial"/>
          <w:sz w:val="19"/>
          <w:szCs w:val="19"/>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 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192" w:lineRule="exact"/>
        <w:rPr>
          <w:rFonts w:ascii="Arial" w:cs="Arial" w:eastAsia="Arial" w:hAnsi="Arial"/>
          <w:sz w:val="19"/>
          <w:szCs w:val="19"/>
          <w:color w:val="auto"/>
        </w:rPr>
      </w:pPr>
    </w:p>
    <w:p>
      <w:pPr>
        <w:jc w:val="both"/>
        <w:ind w:left="-380" w:firstLine="647"/>
        <w:spacing w:after="0" w:line="246" w:lineRule="auto"/>
        <w:tabs>
          <w:tab w:leader="none" w:pos="676" w:val="left"/>
        </w:tabs>
        <w:numPr>
          <w:ilvl w:val="0"/>
          <w:numId w:val="6"/>
        </w:numPr>
        <w:rPr>
          <w:rFonts w:ascii="Arial" w:cs="Arial" w:eastAsia="Arial" w:hAnsi="Arial"/>
          <w:sz w:val="22"/>
          <w:szCs w:val="22"/>
          <w:color w:val="auto"/>
        </w:rPr>
      </w:pPr>
      <w:r>
        <w:rPr>
          <w:rFonts w:ascii="Arial" w:cs="Arial" w:eastAsia="Arial" w:hAnsi="Arial"/>
          <w:sz w:val="22"/>
          <w:szCs w:val="22"/>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materially reduce the Executive’s benefits under any such Incentive Plan by reducing such benefits, when expressed as a percentage of his base salary, by more than 10 percentage points in any fiscal year as compared to the immediately preceding fiscal year;</w:t>
      </w:r>
    </w:p>
    <w:p>
      <w:pPr>
        <w:spacing w:after="0" w:line="232" w:lineRule="exact"/>
        <w:rPr>
          <w:rFonts w:ascii="Arial" w:cs="Arial" w:eastAsia="Arial" w:hAnsi="Arial"/>
          <w:sz w:val="22"/>
          <w:szCs w:val="22"/>
          <w:color w:val="auto"/>
        </w:rPr>
      </w:pPr>
    </w:p>
    <w:p>
      <w:pPr>
        <w:jc w:val="both"/>
        <w:ind w:left="-380" w:firstLine="647"/>
        <w:spacing w:after="0" w:line="248" w:lineRule="auto"/>
        <w:tabs>
          <w:tab w:leader="none" w:pos="578" w:val="left"/>
        </w:tabs>
        <w:numPr>
          <w:ilvl w:val="0"/>
          <w:numId w:val="6"/>
        </w:numPr>
        <w:rPr>
          <w:rFonts w:ascii="Arial" w:cs="Arial" w:eastAsia="Arial" w:hAnsi="Arial"/>
          <w:sz w:val="22"/>
          <w:szCs w:val="22"/>
          <w:color w:val="auto"/>
        </w:rPr>
      </w:pPr>
      <w:r>
        <w:rPr>
          <w:rFonts w:ascii="Arial" w:cs="Arial" w:eastAsia="Arial" w:hAnsi="Arial"/>
          <w:sz w:val="22"/>
          <w:szCs w:val="22"/>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 (hereinafter referred to as “Securities Plans”) or the taking of any action by the Company which would adversely affect the Executive’s participation in or materially reduce the Executive’s benefits under any such Securities Plan;</w:t>
      </w:r>
    </w:p>
    <w:p>
      <w:pPr>
        <w:spacing w:after="0" w:line="232" w:lineRule="exact"/>
        <w:rPr>
          <w:rFonts w:ascii="Arial" w:cs="Arial" w:eastAsia="Arial" w:hAnsi="Arial"/>
          <w:sz w:val="22"/>
          <w:szCs w:val="22"/>
          <w:color w:val="auto"/>
        </w:rPr>
      </w:pPr>
    </w:p>
    <w:p>
      <w:pPr>
        <w:ind w:left="-380" w:firstLine="647"/>
        <w:spacing w:after="0" w:line="263" w:lineRule="auto"/>
        <w:tabs>
          <w:tab w:leader="none" w:pos="659" w:val="left"/>
        </w:tabs>
        <w:numPr>
          <w:ilvl w:val="0"/>
          <w:numId w:val="6"/>
        </w:numPr>
        <w:rPr>
          <w:rFonts w:ascii="Arial" w:cs="Arial" w:eastAsia="Arial" w:hAnsi="Arial"/>
          <w:sz w:val="22"/>
          <w:szCs w:val="22"/>
          <w:color w:val="auto"/>
        </w:rPr>
      </w:pPr>
      <w:r>
        <w:rPr>
          <w:rFonts w:ascii="Arial" w:cs="Arial" w:eastAsia="Arial" w:hAnsi="Arial"/>
          <w:sz w:val="22"/>
          <w:szCs w:val="22"/>
          <w:color w:val="auto"/>
        </w:rPr>
        <w:t>a relocation of the Company’s principal executive offices to a location outside of Forest City, Iowa, or the Executive’s relocation to any place other than the location at which the Executive performed the</w:t>
      </w:r>
    </w:p>
    <w:p>
      <w:pPr>
        <w:sectPr>
          <w:pgSz w:w="11900" w:h="16838" w:orient="portrait"/>
          <w:cols w:equalWidth="0" w:num="1">
            <w:col w:w="10220"/>
          </w:cols>
          <w:pgMar w:left="1440" w:top="631" w:right="239" w:bottom="1440" w:gutter="0" w:footer="0" w:header="0"/>
        </w:sectPr>
      </w:pPr>
    </w:p>
    <w:bookmarkStart w:id="6" w:name="page7"/>
    <w:bookmarkEnd w:id="6"/>
    <w:p>
      <w:pPr>
        <w:jc w:val="both"/>
        <w:ind w:left="164"/>
        <w:spacing w:after="0" w:line="253" w:lineRule="auto"/>
        <w:rPr>
          <w:sz w:val="20"/>
          <w:szCs w:val="20"/>
          <w:color w:val="auto"/>
        </w:rPr>
      </w:pPr>
      <w:r>
        <w:rPr>
          <w:rFonts w:ascii="Arial" w:cs="Arial" w:eastAsia="Arial" w:hAnsi="Arial"/>
          <w:sz w:val="22"/>
          <w:szCs w:val="22"/>
          <w:color w:val="auto"/>
        </w:rPr>
        <w:t>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226" w:lineRule="exact"/>
        <w:rPr>
          <w:sz w:val="20"/>
          <w:szCs w:val="20"/>
          <w:color w:val="auto"/>
        </w:rPr>
      </w:pPr>
    </w:p>
    <w:p>
      <w:pPr>
        <w:ind w:left="164" w:firstLine="647"/>
        <w:spacing w:after="0" w:line="263" w:lineRule="auto"/>
        <w:tabs>
          <w:tab w:leader="none" w:pos="1262" w:val="left"/>
        </w:tabs>
        <w:numPr>
          <w:ilvl w:val="2"/>
          <w:numId w:val="7"/>
        </w:numPr>
        <w:rPr>
          <w:rFonts w:ascii="Arial" w:cs="Arial" w:eastAsia="Arial" w:hAnsi="Arial"/>
          <w:sz w:val="22"/>
          <w:szCs w:val="22"/>
          <w:color w:val="auto"/>
        </w:rPr>
      </w:pPr>
      <w:r>
        <w:rPr>
          <w:rFonts w:ascii="Arial" w:cs="Arial" w:eastAsia="Arial" w:hAnsi="Arial"/>
          <w:sz w:val="22"/>
          <w:szCs w:val="22"/>
          <w:color w:val="auto"/>
        </w:rPr>
        <w:t>any failure by the Company to provide the Executive with the number of paid vacation days to which the Executive is entitled at the time of a Change in Control of the Company;</w:t>
      </w:r>
    </w:p>
    <w:p>
      <w:pPr>
        <w:spacing w:after="0" w:line="215" w:lineRule="exact"/>
        <w:rPr>
          <w:rFonts w:ascii="Arial" w:cs="Arial" w:eastAsia="Arial" w:hAnsi="Arial"/>
          <w:sz w:val="22"/>
          <w:szCs w:val="22"/>
          <w:color w:val="auto"/>
        </w:rPr>
      </w:pPr>
    </w:p>
    <w:p>
      <w:pPr>
        <w:ind w:left="1304" w:hanging="493"/>
        <w:spacing w:after="0"/>
        <w:tabs>
          <w:tab w:leader="none" w:pos="1304" w:val="left"/>
        </w:tabs>
        <w:numPr>
          <w:ilvl w:val="2"/>
          <w:numId w:val="7"/>
        </w:numPr>
        <w:rPr>
          <w:rFonts w:ascii="Arial" w:cs="Arial" w:eastAsia="Arial" w:hAnsi="Arial"/>
          <w:sz w:val="22"/>
          <w:szCs w:val="22"/>
          <w:color w:val="auto"/>
        </w:rPr>
      </w:pPr>
      <w:r>
        <w:rPr>
          <w:rFonts w:ascii="Arial" w:cs="Arial" w:eastAsia="Arial" w:hAnsi="Arial"/>
          <w:sz w:val="22"/>
          <w:szCs w:val="22"/>
          <w:color w:val="auto"/>
        </w:rPr>
        <w:t>any material breach by the Company of any provision of this Agreement;</w:t>
      </w:r>
    </w:p>
    <w:p>
      <w:pPr>
        <w:spacing w:after="0" w:line="260" w:lineRule="exact"/>
        <w:rPr>
          <w:rFonts w:ascii="Arial" w:cs="Arial" w:eastAsia="Arial" w:hAnsi="Arial"/>
          <w:sz w:val="22"/>
          <w:szCs w:val="22"/>
          <w:color w:val="auto"/>
        </w:rPr>
      </w:pPr>
    </w:p>
    <w:p>
      <w:pPr>
        <w:ind w:left="164" w:firstLine="647"/>
        <w:spacing w:after="0" w:line="263" w:lineRule="auto"/>
        <w:tabs>
          <w:tab w:leader="none" w:pos="1204" w:val="left"/>
        </w:tabs>
        <w:numPr>
          <w:ilvl w:val="2"/>
          <w:numId w:val="7"/>
        </w:numPr>
        <w:rPr>
          <w:rFonts w:ascii="Arial" w:cs="Arial" w:eastAsia="Arial" w:hAnsi="Arial"/>
          <w:sz w:val="22"/>
          <w:szCs w:val="22"/>
          <w:color w:val="auto"/>
        </w:rPr>
      </w:pPr>
      <w:r>
        <w:rPr>
          <w:rFonts w:ascii="Arial" w:cs="Arial" w:eastAsia="Arial" w:hAnsi="Arial"/>
          <w:sz w:val="22"/>
          <w:szCs w:val="22"/>
          <w:color w:val="auto"/>
        </w:rPr>
        <w:t>any failure by the Company to obtain the assumption of this Agreement by any successor or assign of the Company; or</w:t>
      </w:r>
    </w:p>
    <w:p>
      <w:pPr>
        <w:spacing w:after="0" w:line="215" w:lineRule="exact"/>
        <w:rPr>
          <w:rFonts w:ascii="Arial" w:cs="Arial" w:eastAsia="Arial" w:hAnsi="Arial"/>
          <w:sz w:val="22"/>
          <w:szCs w:val="22"/>
          <w:color w:val="auto"/>
        </w:rPr>
      </w:pPr>
    </w:p>
    <w:p>
      <w:pPr>
        <w:ind w:left="164" w:firstLine="647"/>
        <w:spacing w:after="0" w:line="263" w:lineRule="auto"/>
        <w:tabs>
          <w:tab w:leader="none" w:pos="1164" w:val="left"/>
        </w:tabs>
        <w:numPr>
          <w:ilvl w:val="2"/>
          <w:numId w:val="7"/>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which is not effected pursuant to a Notice of Termination satisfying the requirements of Section 3(e) below.</w:t>
      </w:r>
    </w:p>
    <w:p>
      <w:pPr>
        <w:spacing w:after="0" w:line="215" w:lineRule="exact"/>
        <w:rPr>
          <w:rFonts w:ascii="Arial" w:cs="Arial" w:eastAsia="Arial" w:hAnsi="Arial"/>
          <w:sz w:val="22"/>
          <w:szCs w:val="22"/>
          <w:color w:val="auto"/>
        </w:rPr>
      </w:pPr>
    </w:p>
    <w:p>
      <w:pPr>
        <w:jc w:val="both"/>
        <w:ind w:left="-656" w:firstLine="1305"/>
        <w:spacing w:after="0" w:line="247" w:lineRule="auto"/>
        <w:tabs>
          <w:tab w:leader="none" w:pos="1002" w:val="left"/>
        </w:tabs>
        <w:numPr>
          <w:ilvl w:val="1"/>
          <w:numId w:val="8"/>
        </w:numPr>
        <w:rPr>
          <w:rFonts w:ascii="Arial" w:cs="Arial" w:eastAsia="Arial" w:hAnsi="Arial"/>
          <w:sz w:val="22"/>
          <w:szCs w:val="22"/>
          <w:color w:val="auto"/>
        </w:rPr>
      </w:pPr>
      <w:r>
        <w:rPr>
          <w:rFonts w:ascii="Arial" w:cs="Arial" w:eastAsia="Arial" w:hAnsi="Arial"/>
          <w:sz w:val="22"/>
          <w:szCs w:val="22"/>
          <w:i w:val="1"/>
          <w:iCs w:val="1"/>
          <w:color w:val="auto"/>
        </w:rPr>
        <w:t xml:space="preserve">Notice of Termination. </w:t>
      </w:r>
      <w:r>
        <w:rPr>
          <w:rFonts w:ascii="Arial" w:cs="Arial" w:eastAsia="Arial" w:hAnsi="Arial"/>
          <w:sz w:val="22"/>
          <w:szCs w:val="22"/>
          <w:color w:val="auto"/>
        </w:rPr>
        <w:t>Any termination by the Company pursuant to Section 3(a), (b) or (c)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communicated by a Notice of Termination. For purposes of this Agreement, a “Notice 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234" w:lineRule="exact"/>
        <w:rPr>
          <w:rFonts w:ascii="Arial" w:cs="Arial" w:eastAsia="Arial" w:hAnsi="Arial"/>
          <w:sz w:val="22"/>
          <w:szCs w:val="22"/>
          <w:color w:val="auto"/>
        </w:rPr>
      </w:pPr>
    </w:p>
    <w:p>
      <w:pPr>
        <w:jc w:val="both"/>
        <w:ind w:left="-656" w:firstLine="1305"/>
        <w:spacing w:after="0" w:line="259" w:lineRule="auto"/>
        <w:tabs>
          <w:tab w:leader="none" w:pos="924" w:val="left"/>
        </w:tabs>
        <w:numPr>
          <w:ilvl w:val="1"/>
          <w:numId w:val="8"/>
        </w:numPr>
        <w:rPr>
          <w:rFonts w:ascii="Arial" w:cs="Arial" w:eastAsia="Arial" w:hAnsi="Arial"/>
          <w:sz w:val="21"/>
          <w:szCs w:val="21"/>
          <w:color w:val="auto"/>
        </w:rPr>
      </w:pPr>
      <w:r>
        <w:rPr>
          <w:rFonts w:ascii="Arial" w:cs="Arial" w:eastAsia="Arial" w:hAnsi="Arial"/>
          <w:sz w:val="21"/>
          <w:szCs w:val="21"/>
          <w:i w:val="1"/>
          <w:iCs w:val="1"/>
          <w:color w:val="auto"/>
        </w:rPr>
        <w:t xml:space="preserve">Date of Termination. </w:t>
      </w:r>
      <w:r>
        <w:rPr>
          <w:rFonts w:ascii="Arial" w:cs="Arial" w:eastAsia="Arial" w:hAnsi="Arial"/>
          <w:sz w:val="21"/>
          <w:szCs w:val="21"/>
          <w:color w:val="auto"/>
        </w:rPr>
        <w:t>“Date of Termination” shall mean (a) if this Agreement is terminated by the Company for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Disability, 30 days after Notice of Termination is given to the Executive (provided that the Executive shall not have returned to the performance of the Executive’s duties on a full-time basis during such 30-day period) or (b) if the Executive’s employment is terminated by the Company for any other reason, the date on which a Notice of Termination is given;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within 30 days after any Notice of Termination is given to the Executive by the Company the Executive notified the Company that a dispute exists 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218" w:lineRule="exact"/>
        <w:rPr>
          <w:rFonts w:ascii="Arial" w:cs="Arial" w:eastAsia="Arial" w:hAnsi="Arial"/>
          <w:sz w:val="21"/>
          <w:szCs w:val="21"/>
          <w:color w:val="auto"/>
        </w:rPr>
      </w:pPr>
    </w:p>
    <w:p>
      <w:pPr>
        <w:jc w:val="both"/>
        <w:ind w:left="-656" w:firstLine="656"/>
        <w:spacing w:after="0" w:line="248" w:lineRule="auto"/>
        <w:tabs>
          <w:tab w:leader="none" w:pos="262"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Severance Compensation upon Termination of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If the Company shall terminate the Executive’s</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other than pursuant to Section 3(a),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w:t>
      </w:r>
    </w:p>
    <w:p>
      <w:pPr>
        <w:sectPr>
          <w:pgSz w:w="11900" w:h="16838" w:orient="portrait"/>
          <w:cols w:equalWidth="0" w:num="1">
            <w:col w:w="10764"/>
          </w:cols>
          <w:pgMar w:left="896" w:top="631" w:right="239" w:bottom="1440" w:gutter="0" w:footer="0" w:header="0"/>
        </w:sectPr>
      </w:pPr>
    </w:p>
    <w:bookmarkStart w:id="7" w:name="page8"/>
    <w:bookmarkEnd w:id="7"/>
    <w:p>
      <w:pPr>
        <w:ind w:right="20"/>
        <w:spacing w:after="0" w:line="263" w:lineRule="auto"/>
        <w:rPr>
          <w:sz w:val="20"/>
          <w:szCs w:val="20"/>
          <w:color w:val="auto"/>
        </w:rPr>
      </w:pPr>
      <w:r>
        <w:rPr>
          <w:rFonts w:ascii="Arial" w:cs="Arial" w:eastAsia="Arial" w:hAnsi="Arial"/>
          <w:sz w:val="22"/>
          <w:szCs w:val="22"/>
          <w:color w:val="auto"/>
        </w:rPr>
        <w:t>such fewer number of fiscal years if the Executive has not been employed by the Company during each of the preceding three (3) fiscal years).</w:t>
      </w:r>
    </w:p>
    <w:p>
      <w:pPr>
        <w:spacing w:after="0" w:line="200" w:lineRule="exact"/>
        <w:rPr>
          <w:sz w:val="20"/>
          <w:szCs w:val="20"/>
          <w:color w:val="auto"/>
        </w:rPr>
      </w:pPr>
    </w:p>
    <w:p>
      <w:pPr>
        <w:spacing w:after="0" w:line="266" w:lineRule="exact"/>
        <w:rPr>
          <w:sz w:val="20"/>
          <w:szCs w:val="20"/>
          <w:color w:val="auto"/>
        </w:rPr>
      </w:pPr>
    </w:p>
    <w:p>
      <w:pPr>
        <w:ind w:left="880" w:hanging="224"/>
        <w:spacing w:after="0"/>
        <w:tabs>
          <w:tab w:leader="none" w:pos="88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Excise Tax - Payment Limitation.</w:t>
      </w:r>
    </w:p>
    <w:p>
      <w:pPr>
        <w:spacing w:after="0" w:line="266"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 4999 of the Internal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an analysis shall be conducted to determine if the amount payable pursuant to this Agreement, in combination with any other payments, when taking into consideration the payment of the Excise Tax, exceeds the amount that would otherwise be payable if the Excise Tax was not applicable. If after the analysis the net amount received by the Executive after deducting the Excise Tax is greater than the maximum amount payable that would avoid the imposition of the Excise Tax, then the Company shall pay to the Executive the amount called for in this Agreement. However, if the net amount received by the Executive after paying the Excise Tax would be less than the amount if the payment did not exceed an amount that would subject it to the Excise Tax, the lower amount shall be paid. The intent of this provision is to insure that the Executive, regardless of the Excise Tax, receives the largest net payment possible. The parties acknowledge that the Executive is solely responsible for the payment of any Excise Tax that is assessed based upon a payment made pursuant to this Agreement or any other payment made by the Company pursuant to any other plan or obligation.</w:t>
      </w:r>
    </w:p>
    <w:p>
      <w:pPr>
        <w:spacing w:after="0" w:line="200" w:lineRule="exact"/>
        <w:rPr>
          <w:sz w:val="20"/>
          <w:szCs w:val="20"/>
          <w:color w:val="auto"/>
        </w:rPr>
      </w:pPr>
    </w:p>
    <w:p>
      <w:pPr>
        <w:spacing w:after="0" w:line="262" w:lineRule="exact"/>
        <w:rPr>
          <w:sz w:val="20"/>
          <w:szCs w:val="20"/>
          <w:color w:val="auto"/>
        </w:rPr>
      </w:pPr>
    </w:p>
    <w:p>
      <w:pPr>
        <w:ind w:left="880" w:hanging="224"/>
        <w:spacing w:after="0"/>
        <w:tabs>
          <w:tab w:leader="none" w:pos="8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Obligation To Mitigate Damages; No Effect on Other Contractual Rights</w:t>
      </w:r>
      <w:r>
        <w:rPr>
          <w:rFonts w:ascii="Arial" w:cs="Arial" w:eastAsia="Arial" w:hAnsi="Arial"/>
          <w:sz w:val="22"/>
          <w:szCs w:val="22"/>
          <w:color w:val="auto"/>
        </w:rPr>
        <w:t>.</w:t>
      </w:r>
    </w:p>
    <w:p>
      <w:pPr>
        <w:spacing w:after="0" w:line="266" w:lineRule="exact"/>
        <w:rPr>
          <w:rFonts w:ascii="Arial" w:cs="Arial" w:eastAsia="Arial" w:hAnsi="Arial"/>
          <w:sz w:val="22"/>
          <w:szCs w:val="22"/>
          <w:b w:val="1"/>
          <w:bCs w:val="1"/>
          <w:color w:val="auto"/>
        </w:rPr>
      </w:pPr>
    </w:p>
    <w:p>
      <w:pPr>
        <w:jc w:val="both"/>
        <w:ind w:firstLine="1305"/>
        <w:spacing w:after="0" w:line="250" w:lineRule="auto"/>
        <w:tabs>
          <w:tab w:leader="none" w:pos="1604" w:val="left"/>
        </w:tabs>
        <w:numPr>
          <w:ilvl w:val="1"/>
          <w:numId w:val="11"/>
        </w:numPr>
        <w:rPr>
          <w:rFonts w:ascii="Arial" w:cs="Arial" w:eastAsia="Arial" w:hAnsi="Arial"/>
          <w:sz w:val="22"/>
          <w:szCs w:val="22"/>
          <w:color w:val="auto"/>
        </w:rPr>
      </w:pPr>
      <w:r>
        <w:rPr>
          <w:rFonts w:ascii="Arial" w:cs="Arial" w:eastAsia="Arial" w:hAnsi="Arial"/>
          <w:sz w:val="22"/>
          <w:szCs w:val="22"/>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228" w:lineRule="exact"/>
        <w:rPr>
          <w:rFonts w:ascii="Arial" w:cs="Arial" w:eastAsia="Arial" w:hAnsi="Arial"/>
          <w:sz w:val="22"/>
          <w:szCs w:val="22"/>
          <w:color w:val="auto"/>
        </w:rPr>
      </w:pPr>
    </w:p>
    <w:p>
      <w:pPr>
        <w:jc w:val="both"/>
        <w:ind w:firstLine="1305"/>
        <w:spacing w:after="0" w:line="250" w:lineRule="auto"/>
        <w:tabs>
          <w:tab w:leader="none" w:pos="1643" w:val="left"/>
        </w:tabs>
        <w:numPr>
          <w:ilvl w:val="1"/>
          <w:numId w:val="11"/>
        </w:numPr>
        <w:rPr>
          <w:rFonts w:ascii="Arial" w:cs="Arial" w:eastAsia="Arial" w:hAnsi="Arial"/>
          <w:sz w:val="22"/>
          <w:szCs w:val="22"/>
          <w:color w:val="auto"/>
        </w:rPr>
      </w:pPr>
      <w:r>
        <w:rPr>
          <w:rFonts w:ascii="Arial" w:cs="Arial" w:eastAsia="Arial" w:hAnsi="Arial"/>
          <w:sz w:val="22"/>
          <w:szCs w:val="22"/>
          <w:color w:val="auto"/>
        </w:rPr>
        <w:t>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ectPr>
          <w:pgSz w:w="11900" w:h="16838" w:orient="portrait"/>
          <w:cols w:equalWidth="0" w:num="1">
            <w:col w:w="11420"/>
          </w:cols>
          <w:pgMar w:left="240" w:top="631" w:right="239" w:bottom="1440" w:gutter="0" w:footer="0" w:header="0"/>
        </w:sectPr>
      </w:pPr>
    </w:p>
    <w:bookmarkStart w:id="8" w:name="page9"/>
    <w:bookmarkEnd w:id="8"/>
    <w:p>
      <w:pPr>
        <w:ind w:left="224" w:hanging="224"/>
        <w:spacing w:after="0"/>
        <w:tabs>
          <w:tab w:leader="none" w:pos="224"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Successor to the Company</w:t>
      </w:r>
      <w:r>
        <w:rPr>
          <w:rFonts w:ascii="Arial" w:cs="Arial" w:eastAsia="Arial" w:hAnsi="Arial"/>
          <w:sz w:val="22"/>
          <w:szCs w:val="22"/>
          <w:b w:val="1"/>
          <w:bCs w:val="1"/>
          <w:i w:val="1"/>
          <w:iCs w:val="1"/>
          <w:color w:val="auto"/>
        </w:rPr>
        <w:t>.</w:t>
      </w:r>
    </w:p>
    <w:p>
      <w:pPr>
        <w:spacing w:after="0" w:line="266" w:lineRule="exact"/>
        <w:rPr>
          <w:rFonts w:ascii="Arial" w:cs="Arial" w:eastAsia="Arial" w:hAnsi="Arial"/>
          <w:sz w:val="22"/>
          <w:szCs w:val="22"/>
          <w:b w:val="1"/>
          <w:bCs w:val="1"/>
          <w:color w:val="auto"/>
        </w:rPr>
      </w:pPr>
    </w:p>
    <w:p>
      <w:pPr>
        <w:jc w:val="both"/>
        <w:ind w:left="-656" w:firstLine="1305"/>
        <w:spacing w:after="0" w:line="289" w:lineRule="auto"/>
        <w:tabs>
          <w:tab w:leader="none" w:pos="934" w:val="left"/>
        </w:tabs>
        <w:numPr>
          <w:ilvl w:val="1"/>
          <w:numId w:val="12"/>
        </w:numPr>
        <w:rPr>
          <w:rFonts w:ascii="Arial" w:cs="Arial" w:eastAsia="Arial" w:hAnsi="Arial"/>
          <w:sz w:val="19"/>
          <w:szCs w:val="19"/>
          <w:color w:val="auto"/>
        </w:rPr>
      </w:pPr>
      <w:r>
        <w:rPr>
          <w:rFonts w:ascii="Arial" w:cs="Arial" w:eastAsia="Arial" w:hAnsi="Arial"/>
          <w:sz w:val="19"/>
          <w:szCs w:val="19"/>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 Reason. As used in this Agreement, “Company” shall mean the Company as hereinbefore defined and any successor or assign to its business and/or assets as aforesaid which executes and delivers the agreement provided for in this Section 7 or which otherwise becomes bound by all the terms and provisions of this Agreement by operation of law.</w:t>
      </w:r>
    </w:p>
    <w:p>
      <w:pPr>
        <w:spacing w:after="0" w:line="198" w:lineRule="exact"/>
        <w:rPr>
          <w:rFonts w:ascii="Arial" w:cs="Arial" w:eastAsia="Arial" w:hAnsi="Arial"/>
          <w:sz w:val="19"/>
          <w:szCs w:val="19"/>
          <w:color w:val="auto"/>
        </w:rPr>
      </w:pPr>
    </w:p>
    <w:p>
      <w:pPr>
        <w:jc w:val="both"/>
        <w:ind w:left="-656" w:firstLine="1305"/>
        <w:spacing w:after="0" w:line="248" w:lineRule="auto"/>
        <w:tabs>
          <w:tab w:leader="none" w:pos="1000" w:val="left"/>
        </w:tabs>
        <w:numPr>
          <w:ilvl w:val="1"/>
          <w:numId w:val="12"/>
        </w:numPr>
        <w:rPr>
          <w:rFonts w:ascii="Arial" w:cs="Arial" w:eastAsia="Arial" w:hAnsi="Arial"/>
          <w:sz w:val="22"/>
          <w:szCs w:val="22"/>
          <w:color w:val="auto"/>
        </w:rPr>
      </w:pPr>
      <w:r>
        <w:rPr>
          <w:rFonts w:ascii="Arial" w:cs="Arial" w:eastAsia="Arial" w:hAnsi="Arial"/>
          <w:sz w:val="22"/>
          <w:szCs w:val="22"/>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226" w:lineRule="exact"/>
        <w:rPr>
          <w:rFonts w:ascii="Arial" w:cs="Arial" w:eastAsia="Arial" w:hAnsi="Arial"/>
          <w:sz w:val="22"/>
          <w:szCs w:val="22"/>
          <w:color w:val="auto"/>
        </w:rPr>
      </w:pPr>
    </w:p>
    <w:p>
      <w:pPr>
        <w:jc w:val="both"/>
        <w:ind w:left="-656" w:firstLine="656"/>
        <w:spacing w:after="0" w:line="274" w:lineRule="auto"/>
        <w:tabs>
          <w:tab w:leader="none" w:pos="249" w:val="left"/>
        </w:tabs>
        <w:numPr>
          <w:ilvl w:val="0"/>
          <w:numId w:val="1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Guaranty of Employment</w:t>
      </w:r>
      <w:r>
        <w:rPr>
          <w:rFonts w:ascii="Arial" w:cs="Arial" w:eastAsia="Arial" w:hAnsi="Arial"/>
          <w:sz w:val="21"/>
          <w:szCs w:val="21"/>
          <w:color w:val="auto"/>
        </w:rPr>
        <w:t>. Nothing in this Agreement shall be deemed to entitle the Executive to continued</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with the Company prior to a Change of Control, and the rights of the Company to terminate the employment of the Executive, prior to a Change of Control, shall continue as fully as if this Agreement were not in effect.</w:t>
      </w:r>
    </w:p>
    <w:p>
      <w:pPr>
        <w:spacing w:after="0" w:line="199" w:lineRule="exact"/>
        <w:rPr>
          <w:rFonts w:ascii="Arial" w:cs="Arial" w:eastAsia="Arial" w:hAnsi="Arial"/>
          <w:sz w:val="21"/>
          <w:szCs w:val="21"/>
          <w:b w:val="1"/>
          <w:bCs w:val="1"/>
          <w:color w:val="auto"/>
        </w:rPr>
      </w:pPr>
    </w:p>
    <w:p>
      <w:pPr>
        <w:jc w:val="both"/>
        <w:ind w:left="-656" w:firstLine="656"/>
        <w:spacing w:after="0" w:line="256" w:lineRule="auto"/>
        <w:tabs>
          <w:tab w:leader="none" w:pos="208"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w:t>
      </w:r>
      <w:r>
        <w:rPr>
          <w:rFonts w:ascii="Arial" w:cs="Arial" w:eastAsia="Arial" w:hAnsi="Arial"/>
          <w:sz w:val="22"/>
          <w:szCs w:val="22"/>
          <w:color w:val="auto"/>
        </w:rPr>
        <w:t>. For purposes of this Agreement, notices and all other communications provided for in the Agreement shall be in</w:t>
      </w:r>
      <w:r>
        <w:rPr>
          <w:rFonts w:ascii="Arial" w:cs="Arial" w:eastAsia="Arial" w:hAnsi="Arial"/>
          <w:sz w:val="22"/>
          <w:szCs w:val="22"/>
          <w:b w:val="1"/>
          <w:bCs w:val="1"/>
          <w:color w:val="auto"/>
        </w:rPr>
        <w:t xml:space="preserve"> </w:t>
      </w:r>
      <w:r>
        <w:rPr>
          <w:rFonts w:ascii="Arial" w:cs="Arial" w:eastAsia="Arial" w:hAnsi="Arial"/>
          <w:sz w:val="22"/>
          <w:szCs w:val="22"/>
          <w:color w:val="auto"/>
        </w:rPr>
        <w:t>writing and shall be deemed to have been duly given when delivered or mailed by United States registered mail, return receipt registered, postage prepaid, as follows:</w:t>
      </w:r>
    </w:p>
    <w:p>
      <w:pPr>
        <w:spacing w:after="0" w:line="223" w:lineRule="exact"/>
        <w:rPr>
          <w:sz w:val="20"/>
          <w:szCs w:val="20"/>
          <w:color w:val="auto"/>
        </w:rPr>
      </w:pPr>
    </w:p>
    <w:p>
      <w:pPr>
        <w:ind w:left="4"/>
        <w:spacing w:after="0"/>
        <w:rPr>
          <w:sz w:val="20"/>
          <w:szCs w:val="20"/>
          <w:color w:val="auto"/>
        </w:rPr>
      </w:pPr>
      <w:r>
        <w:rPr>
          <w:rFonts w:ascii="Arial" w:cs="Arial" w:eastAsia="Arial" w:hAnsi="Arial"/>
          <w:sz w:val="22"/>
          <w:szCs w:val="22"/>
          <w:color w:val="auto"/>
        </w:rPr>
        <w:t>If to the Company:</w:t>
      </w:r>
    </w:p>
    <w:p>
      <w:pPr>
        <w:spacing w:after="0" w:line="26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Winnebago Industries, Inc.</w:t>
      </w:r>
    </w:p>
    <w:p>
      <w:pPr>
        <w:spacing w:after="0" w:line="22" w:lineRule="exact"/>
        <w:rPr>
          <w:sz w:val="20"/>
          <w:szCs w:val="20"/>
          <w:color w:val="auto"/>
        </w:rPr>
      </w:pPr>
    </w:p>
    <w:p>
      <w:pPr>
        <w:ind w:left="644"/>
        <w:spacing w:after="0"/>
        <w:rPr>
          <w:sz w:val="20"/>
          <w:szCs w:val="20"/>
          <w:color w:val="auto"/>
        </w:rPr>
      </w:pPr>
      <w:r>
        <w:rPr>
          <w:rFonts w:ascii="Arial" w:cs="Arial" w:eastAsia="Arial" w:hAnsi="Arial"/>
          <w:sz w:val="22"/>
          <w:szCs w:val="22"/>
          <w:color w:val="auto"/>
        </w:rPr>
        <w:t>Attn: Chairman of the Board</w:t>
      </w:r>
    </w:p>
    <w:p>
      <w:pPr>
        <w:spacing w:after="0" w:line="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605 W. Crystal Lake Road</w:t>
      </w:r>
    </w:p>
    <w:p>
      <w:pPr>
        <w:spacing w:after="0" w:line="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P.O. Box 152</w:t>
      </w:r>
    </w:p>
    <w:p>
      <w:pPr>
        <w:spacing w:after="0" w:line="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Forest City, Iowa 50436</w:t>
      </w:r>
    </w:p>
    <w:p>
      <w:pPr>
        <w:spacing w:after="0" w:line="242" w:lineRule="exact"/>
        <w:rPr>
          <w:sz w:val="20"/>
          <w:szCs w:val="20"/>
          <w:color w:val="auto"/>
        </w:rPr>
      </w:pPr>
    </w:p>
    <w:p>
      <w:pPr>
        <w:ind w:left="4"/>
        <w:spacing w:after="0"/>
        <w:rPr>
          <w:sz w:val="20"/>
          <w:szCs w:val="20"/>
          <w:color w:val="auto"/>
        </w:rPr>
      </w:pPr>
      <w:r>
        <w:rPr>
          <w:rFonts w:ascii="Arial" w:cs="Arial" w:eastAsia="Arial" w:hAnsi="Arial"/>
          <w:sz w:val="22"/>
          <w:szCs w:val="22"/>
          <w:color w:val="auto"/>
        </w:rPr>
        <w:t>If to the Executive:</w:t>
      </w:r>
    </w:p>
    <w:p>
      <w:pPr>
        <w:spacing w:after="0" w:line="26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At the last known address in the Personnel records of the Company</w:t>
      </w:r>
    </w:p>
    <w:p>
      <w:pPr>
        <w:sectPr>
          <w:pgSz w:w="11900" w:h="16838" w:orient="portrait"/>
          <w:cols w:equalWidth="0" w:num="1">
            <w:col w:w="10764"/>
          </w:cols>
          <w:pgMar w:left="896" w:top="625" w:right="239" w:bottom="1440" w:gutter="0" w:footer="0" w:header="0"/>
        </w:sectPr>
      </w:pPr>
    </w:p>
    <w:bookmarkStart w:id="9" w:name="page10"/>
    <w:bookmarkEnd w:id="9"/>
    <w:p>
      <w:pPr>
        <w:spacing w:after="0" w:line="263" w:lineRule="auto"/>
        <w:rPr>
          <w:sz w:val="20"/>
          <w:szCs w:val="20"/>
          <w:color w:val="auto"/>
        </w:rPr>
      </w:pPr>
      <w:r>
        <w:rPr>
          <w:rFonts w:ascii="Arial" w:cs="Arial" w:eastAsia="Arial" w:hAnsi="Arial"/>
          <w:sz w:val="22"/>
          <w:szCs w:val="22"/>
          <w:color w:val="auto"/>
        </w:rPr>
        <w:t>or such other address as either party may have furnished to the other in writing in accordance herewith, except that notices of change of address shall be effective only upon receipt.</w:t>
      </w:r>
    </w:p>
    <w:p>
      <w:pPr>
        <w:spacing w:after="0" w:line="209" w:lineRule="exact"/>
        <w:rPr>
          <w:sz w:val="20"/>
          <w:szCs w:val="20"/>
          <w:color w:val="auto"/>
        </w:rPr>
      </w:pPr>
    </w:p>
    <w:p>
      <w:pPr>
        <w:jc w:val="both"/>
        <w:ind w:firstLine="656"/>
        <w:spacing w:after="0" w:line="261" w:lineRule="auto"/>
        <w:tabs>
          <w:tab w:leader="none" w:pos="1026" w:val="left"/>
        </w:tabs>
        <w:numPr>
          <w:ilvl w:val="0"/>
          <w:numId w:val="1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 No provisions of this Agreement may be modified, waived or discharged unless such waiver,</w:t>
      </w:r>
      <w:r>
        <w:rPr>
          <w:rFonts w:ascii="Arial" w:cs="Arial" w:eastAsia="Arial" w:hAnsi="Arial"/>
          <w:sz w:val="21"/>
          <w:szCs w:val="21"/>
          <w:b w:val="1"/>
          <w:bCs w:val="1"/>
          <w:color w:val="auto"/>
        </w:rPr>
        <w:t xml:space="preserve"> </w:t>
      </w:r>
      <w:r>
        <w:rPr>
          <w:rFonts w:ascii="Arial" w:cs="Arial" w:eastAsia="Arial" w:hAnsi="Arial"/>
          <w:sz w:val="21"/>
          <w:szCs w:val="21"/>
          <w:color w:val="auto"/>
        </w:rPr>
        <w:t>modification or discharge is agreed to in 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214" w:lineRule="exact"/>
        <w:rPr>
          <w:rFonts w:ascii="Arial" w:cs="Arial" w:eastAsia="Arial" w:hAnsi="Arial"/>
          <w:sz w:val="21"/>
          <w:szCs w:val="21"/>
          <w:b w:val="1"/>
          <w:bCs w:val="1"/>
          <w:color w:val="auto"/>
        </w:rPr>
      </w:pPr>
    </w:p>
    <w:p>
      <w:pPr>
        <w:ind w:firstLine="656"/>
        <w:spacing w:after="0" w:line="269" w:lineRule="auto"/>
        <w:tabs>
          <w:tab w:leader="none" w:pos="1014"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Validity</w:t>
      </w:r>
      <w:r>
        <w:rPr>
          <w:rFonts w:ascii="Arial" w:cs="Arial" w:eastAsia="Arial" w:hAnsi="Arial"/>
          <w:sz w:val="22"/>
          <w:szCs w:val="22"/>
          <w:color w:val="auto"/>
        </w:rPr>
        <w:t>. The invalidity or unenforceability of any provisions of this Agreement shall not affect the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any other provision of this Agreement, which shall remain in full force and effect.</w:t>
      </w:r>
    </w:p>
    <w:p>
      <w:pPr>
        <w:spacing w:after="0" w:line="202" w:lineRule="exact"/>
        <w:rPr>
          <w:rFonts w:ascii="Arial" w:cs="Arial" w:eastAsia="Arial" w:hAnsi="Arial"/>
          <w:sz w:val="22"/>
          <w:szCs w:val="22"/>
          <w:b w:val="1"/>
          <w:bCs w:val="1"/>
          <w:color w:val="auto"/>
        </w:rPr>
      </w:pPr>
    </w:p>
    <w:p>
      <w:pPr>
        <w:ind w:firstLine="656"/>
        <w:spacing w:after="0" w:line="269" w:lineRule="auto"/>
        <w:tabs>
          <w:tab w:leader="none" w:pos="972"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one or more counterparts, each of which shall be deemed to be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but all of which together will constitute one and the same instrument.</w:t>
      </w:r>
    </w:p>
    <w:p>
      <w:pPr>
        <w:spacing w:after="0" w:line="202" w:lineRule="exact"/>
        <w:rPr>
          <w:rFonts w:ascii="Arial" w:cs="Arial" w:eastAsia="Arial" w:hAnsi="Arial"/>
          <w:sz w:val="22"/>
          <w:szCs w:val="22"/>
          <w:b w:val="1"/>
          <w:bCs w:val="1"/>
          <w:color w:val="auto"/>
        </w:rPr>
      </w:pPr>
    </w:p>
    <w:p>
      <w:pPr>
        <w:jc w:val="both"/>
        <w:ind w:firstLine="656"/>
        <w:spacing w:after="0" w:line="256" w:lineRule="auto"/>
        <w:tabs>
          <w:tab w:leader="none" w:pos="986"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Legal Fees and Expenses</w:t>
      </w:r>
      <w:r>
        <w:rPr>
          <w:rFonts w:ascii="Arial" w:cs="Arial" w:eastAsia="Arial" w:hAnsi="Arial"/>
          <w:sz w:val="22"/>
          <w:szCs w:val="22"/>
          <w:color w:val="auto"/>
        </w:rPr>
        <w:t>. The Company shall pay all legal fees and expenses which the Executive may incur as a</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the Company’s contesting the validity, enforceability or the Executive’s interpretation of, or determinations under, this Agreement.</w:t>
      </w:r>
    </w:p>
    <w:p>
      <w:pPr>
        <w:spacing w:after="0" w:line="216" w:lineRule="exact"/>
        <w:rPr>
          <w:rFonts w:ascii="Arial" w:cs="Arial" w:eastAsia="Arial" w:hAnsi="Arial"/>
          <w:sz w:val="22"/>
          <w:szCs w:val="22"/>
          <w:b w:val="1"/>
          <w:bCs w:val="1"/>
          <w:color w:val="auto"/>
        </w:rPr>
      </w:pPr>
    </w:p>
    <w:p>
      <w:pPr>
        <w:ind w:firstLine="656"/>
        <w:spacing w:after="0" w:line="269" w:lineRule="auto"/>
        <w:tabs>
          <w:tab w:leader="none" w:pos="972"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Confidentiality</w:t>
      </w:r>
      <w:r>
        <w:rPr>
          <w:rFonts w:ascii="Arial" w:cs="Arial" w:eastAsia="Arial" w:hAnsi="Arial"/>
          <w:sz w:val="22"/>
          <w:szCs w:val="22"/>
          <w:color w:val="auto"/>
        </w:rPr>
        <w:t>. The Executive shall retain in confidence any and all confidential information known to the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concerning the Company and its business so long as such information is not otherwise publicly disclosed.</w:t>
      </w:r>
    </w:p>
    <w:p>
      <w:pPr>
        <w:spacing w:after="0" w:line="202" w:lineRule="exact"/>
        <w:rPr>
          <w:rFonts w:ascii="Arial" w:cs="Arial" w:eastAsia="Arial" w:hAnsi="Arial"/>
          <w:sz w:val="22"/>
          <w:szCs w:val="22"/>
          <w:b w:val="1"/>
          <w:bCs w:val="1"/>
          <w:color w:val="auto"/>
        </w:rPr>
      </w:pPr>
    </w:p>
    <w:p>
      <w:pPr>
        <w:jc w:val="both"/>
        <w:ind w:firstLine="656"/>
        <w:spacing w:after="0" w:line="256" w:lineRule="auto"/>
        <w:tabs>
          <w:tab w:leader="none" w:pos="972"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intended to satisfy the short-term deferral exception to Internal Revenue code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409A and the regulations thereunder. This Agreement shall be administered accordingly; and if necessary, amended to ensure satisfaction of the short-term deferral exception.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ectPr>
          <w:pgSz w:w="11900" w:h="16838" w:orient="portrait"/>
          <w:cols w:equalWidth="0" w:num="1">
            <w:col w:w="11420"/>
          </w:cols>
          <w:pgMar w:left="240" w:top="888" w:right="239" w:bottom="1440" w:gutter="0" w:footer="0" w:header="0"/>
        </w:sectPr>
      </w:pPr>
    </w:p>
    <w:bookmarkStart w:id="10" w:name="page11"/>
    <w:bookmarkEnd w:id="10"/>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executed this agreement on the date set out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WINNEBAGO INDUSTRIES, INC.</w:t>
      </w:r>
    </w:p>
    <w:p>
      <w:pPr>
        <w:spacing w:after="0" w:line="341" w:lineRule="exact"/>
        <w:rPr>
          <w:sz w:val="20"/>
          <w:szCs w:val="20"/>
          <w:color w:val="auto"/>
        </w:rPr>
      </w:pPr>
    </w:p>
    <w:p>
      <w:pPr>
        <w:ind w:left="3960"/>
        <w:spacing w:after="0"/>
        <w:tabs>
          <w:tab w:leader="none" w:pos="4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Bret A. Woodson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2930525</wp:posOffset>
            </wp:positionH>
            <wp:positionV relativeFrom="paragraph">
              <wp:posOffset>24765</wp:posOffset>
            </wp:positionV>
            <wp:extent cx="26758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Bret A. Woodson</w:t>
      </w:r>
    </w:p>
    <w:p>
      <w:pPr>
        <w:spacing w:after="0" w:line="44"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Vice President of Administration</w:t>
      </w:r>
    </w:p>
    <w:p>
      <w:pPr>
        <w:spacing w:after="0" w:line="200" w:lineRule="exact"/>
        <w:rPr>
          <w:sz w:val="20"/>
          <w:szCs w:val="20"/>
          <w:color w:val="auto"/>
        </w:rPr>
      </w:pPr>
    </w:p>
    <w:p>
      <w:pPr>
        <w:spacing w:after="0" w:line="236"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EXECUTIVE:</w:t>
      </w:r>
    </w:p>
    <w:p>
      <w:pPr>
        <w:spacing w:after="0" w:line="368" w:lineRule="exact"/>
        <w:rPr>
          <w:sz w:val="20"/>
          <w:szCs w:val="20"/>
          <w:color w:val="auto"/>
        </w:rPr>
      </w:pPr>
    </w:p>
    <w:p>
      <w:pPr>
        <w:ind w:left="4640"/>
        <w:spacing w:after="0"/>
        <w:rPr>
          <w:sz w:val="20"/>
          <w:szCs w:val="20"/>
          <w:color w:val="auto"/>
        </w:rPr>
      </w:pPr>
      <w:r>
        <w:rPr>
          <w:rFonts w:ascii="Arial" w:cs="Arial" w:eastAsia="Arial" w:hAnsi="Arial"/>
          <w:sz w:val="22"/>
          <w:szCs w:val="22"/>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2930525</wp:posOffset>
            </wp:positionH>
            <wp:positionV relativeFrom="paragraph">
              <wp:posOffset>24765</wp:posOffset>
            </wp:positionV>
            <wp:extent cx="26758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Michael J. Happe</w:t>
      </w:r>
    </w:p>
    <w:sectPr>
      <w:pgSz w:w="11900" w:h="16838" w:orient="portrait"/>
      <w:cols w:equalWidth="0" w:num="1">
        <w:col w:w="9559"/>
      </w:cols>
      <w:pgMar w:left="900" w:top="11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lvl w:ilvl="1">
      <w:lvlJc w:val="left"/>
      <w:lvlText w:val="(%2)"/>
      <w:numFmt w:val="lowerLetter"/>
      <w:start w:val="1"/>
    </w:lvl>
  </w:abstractNum>
  <w:abstractNum w:abstractNumId="3">
    <w:nsid w:val="515F007C"/>
    <w:multiLevelType w:val="hybridMultilevel"/>
    <w:lvl w:ilvl="0">
      <w:lvlJc w:val="left"/>
      <w:lvlText w:val="%1."/>
      <w:numFmt w:val="decimal"/>
      <w:start w:val="3"/>
    </w:lvl>
    <w:lvl w:ilvl="1">
      <w:lvlJc w:val="left"/>
      <w:lvlText w:val="%2"/>
      <w:numFmt w:val="lowerLetter"/>
      <w:start w:val="1"/>
    </w:lvl>
  </w:abstractNum>
  <w:abstractNum w:abstractNumId="4">
    <w:nsid w:val="5BD062C2"/>
    <w:multiLevelType w:val="hybridMultilevel"/>
    <w:lvl w:ilvl="0">
      <w:lvlJc w:val="left"/>
      <w:lvlText w:val="(%1)"/>
      <w:numFmt w:val="lowerLetter"/>
      <w:start w:val="1"/>
    </w:lvl>
    <w:lvl w:ilvl="1">
      <w:lvlJc w:val="left"/>
      <w:lvlText w:val="(%2)"/>
      <w:numFmt w:val="lowerLetter"/>
      <w:start w:val="9"/>
    </w:lvl>
  </w:abstractNum>
  <w:abstractNum w:abstractNumId="5">
    <w:nsid w:val="12200854"/>
    <w:multiLevelType w:val="hybridMultilevel"/>
    <w:lvl w:ilvl="0">
      <w:lvlJc w:val="left"/>
      <w:lvlText w:val="(%1)"/>
      <w:numFmt w:val="lowerRoman"/>
      <w:start w:val="2"/>
    </w:lvl>
  </w:abstractNum>
  <w:abstractNum w:abstractNumId="6">
    <w:nsid w:val="4DB127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7">
    <w:nsid w:val="216231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8">
    <w:nsid w:val="1F16E9E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
    <w:nsid w:val="1190CDE7"/>
    <w:multiLevelType w:val="hybridMultilevel"/>
    <w:lvl w:ilvl="0">
      <w:lvlJc w:val="left"/>
      <w:lvlText w:val="%1."/>
      <w:numFmt w:val="decimal"/>
      <w:start w:val="5"/>
    </w:lvl>
  </w:abstractNum>
  <w:abstractNum w:abstractNumId="10">
    <w:nsid w:val="66EF438D"/>
    <w:multiLevelType w:val="hybridMultilevel"/>
    <w:lvl w:ilvl="0">
      <w:lvlJc w:val="left"/>
      <w:lvlText w:val="%1."/>
      <w:numFmt w:val="decimal"/>
      <w:start w:val="6"/>
    </w:lvl>
    <w:lvl w:ilvl="1">
      <w:lvlJc w:val="left"/>
      <w:lvlText w:val="(%2)"/>
      <w:numFmt w:val="lowerLetter"/>
      <w:start w:val="1"/>
    </w:lvl>
  </w:abstractNum>
  <w:abstractNum w:abstractNumId="11">
    <w:nsid w:val="140E0F76"/>
    <w:multiLevelType w:val="hybridMultilevel"/>
    <w:lvl w:ilvl="0">
      <w:lvlJc w:val="left"/>
      <w:lvlText w:val="%1."/>
      <w:numFmt w:val="decimal"/>
      <w:start w:val="7"/>
    </w:lvl>
    <w:lvl w:ilvl="1">
      <w:lvlJc w:val="left"/>
      <w:lvlText w:val="(%2)"/>
      <w:numFmt w:val="lowerLetter"/>
      <w:start w:val="1"/>
    </w:lvl>
  </w:abstractNum>
  <w:abstractNum w:abstractNumId="12">
    <w:nsid w:val="3352255A"/>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2019-12-05T12:45:01Z</dcterms:created>
  <dcterms:modified xsi:type="dcterms:W3CDTF">2019-12-05T12:45:01Z</dcterms:modified>
</cp:coreProperties>
</file>