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ind w:left="4920"/>
        <w:spacing w:after="0"/>
        <w:rPr>
          <w:sz w:val="20"/>
          <w:szCs w:val="20"/>
          <w:color w:val="auto"/>
        </w:rPr>
      </w:pPr>
      <w:r>
        <w:rPr>
          <w:rFonts w:ascii="Arial" w:cs="Arial" w:eastAsia="Arial" w:hAnsi="Arial"/>
          <w:sz w:val="25"/>
          <w:szCs w:val="25"/>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30480</wp:posOffset>
            </wp:positionV>
            <wp:extent cx="1226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-174625</wp:posOffset>
            </wp:positionV>
            <wp:extent cx="1226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9"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227965</wp:posOffset>
            </wp:positionV>
            <wp:extent cx="3000375" cy="1157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0375" cy="1157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(Exact name of registrant as specified in its charter)</w:t>
      </w:r>
    </w:p>
    <w:p>
      <w:pPr>
        <w:spacing w:after="0" w:line="178" w:lineRule="exact"/>
        <w:rPr>
          <w:sz w:val="24"/>
          <w:szCs w:val="24"/>
          <w:color w:val="auto"/>
        </w:rPr>
      </w:pPr>
    </w:p>
    <w:tbl>
      <w:tblPr>
        <w:tblLayout w:type="fixed"/>
        <w:tblInd w:w="1320" w:type="dxa"/>
        <w:tblCellMar>
          <w:top w:w="0" w:type="dxa"/>
          <w:left w:w="0" w:type="dxa"/>
          <w:bottom w:w="0" w:type="dxa"/>
          <w:right w:w="0" w:type="dxa"/>
        </w:tblCellMar>
      </w:tblPr>
      <w:tr>
        <w:trPr>
          <w:trHeight w:val="217"/>
        </w:trPr>
        <w:tc>
          <w:tcPr>
            <w:tcW w:w="3200" w:type="dxa"/>
            <w:vAlign w:val="bottom"/>
            <w:gridSpan w:val="2"/>
          </w:tcPr>
          <w:p>
            <w:pPr>
              <w:jc w:val="center"/>
              <w:spacing w:after="0"/>
              <w:rPr>
                <w:sz w:val="20"/>
                <w:szCs w:val="20"/>
                <w:color w:val="auto"/>
              </w:rPr>
            </w:pPr>
            <w:r>
              <w:rPr>
                <w:rFonts w:ascii="Arial" w:cs="Arial" w:eastAsia="Arial" w:hAnsi="Arial"/>
                <w:sz w:val="16"/>
                <w:szCs w:val="16"/>
                <w:b w:val="1"/>
                <w:bCs w:val="1"/>
                <w:color w:val="auto"/>
              </w:rPr>
              <w:t>Minnesota</w:t>
            </w:r>
          </w:p>
        </w:tc>
        <w:tc>
          <w:tcPr>
            <w:tcW w:w="5420" w:type="dxa"/>
            <w:vAlign w:val="bottom"/>
            <w:gridSpan w:val="3"/>
          </w:tcPr>
          <w:p>
            <w:pPr>
              <w:jc w:val="right"/>
              <w:ind w:right="1139"/>
              <w:spacing w:after="0"/>
              <w:rPr>
                <w:sz w:val="20"/>
                <w:szCs w:val="20"/>
                <w:color w:val="auto"/>
              </w:rPr>
            </w:pPr>
            <w:r>
              <w:rPr>
                <w:rFonts w:ascii="Arial" w:cs="Arial" w:eastAsia="Arial" w:hAnsi="Arial"/>
                <w:sz w:val="16"/>
                <w:szCs w:val="16"/>
                <w:b w:val="1"/>
                <w:bCs w:val="1"/>
                <w:color w:val="auto"/>
              </w:rPr>
              <w:t>001-06403</w:t>
            </w:r>
          </w:p>
        </w:tc>
        <w:tc>
          <w:tcPr>
            <w:tcW w:w="0" w:type="dxa"/>
            <w:vAlign w:val="bottom"/>
          </w:tcPr>
          <w:p>
            <w:pPr>
              <w:spacing w:after="0"/>
              <w:rPr>
                <w:sz w:val="1"/>
                <w:szCs w:val="1"/>
                <w:color w:val="auto"/>
              </w:rPr>
            </w:pPr>
          </w:p>
        </w:tc>
      </w:tr>
      <w:tr>
        <w:trPr>
          <w:trHeight w:val="183"/>
        </w:trPr>
        <w:tc>
          <w:tcPr>
            <w:tcW w:w="3200" w:type="dxa"/>
            <w:vAlign w:val="bottom"/>
            <w:tcBorders>
              <w:top w:val="single" w:sz="8" w:color="auto"/>
            </w:tcBorders>
            <w:gridSpan w:val="2"/>
          </w:tcPr>
          <w:p>
            <w:pPr>
              <w:ind w:left="640"/>
              <w:spacing w:after="0" w:line="183" w:lineRule="exact"/>
              <w:rPr>
                <w:sz w:val="20"/>
                <w:szCs w:val="20"/>
                <w:color w:val="auto"/>
              </w:rPr>
            </w:pPr>
            <w:r>
              <w:rPr>
                <w:rFonts w:ascii="Arial" w:cs="Arial" w:eastAsia="Arial" w:hAnsi="Arial"/>
                <w:sz w:val="16"/>
                <w:szCs w:val="16"/>
                <w:color w:val="auto"/>
              </w:rPr>
              <w:t>(State or other jurisdiction</w:t>
            </w:r>
          </w:p>
        </w:tc>
        <w:tc>
          <w:tcPr>
            <w:tcW w:w="22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tcPr>
          <w:p>
            <w:pPr>
              <w:jc w:val="center"/>
              <w:ind w:right="999"/>
              <w:spacing w:after="0" w:line="183" w:lineRule="exact"/>
              <w:rPr>
                <w:sz w:val="20"/>
                <w:szCs w:val="20"/>
                <w:color w:val="auto"/>
              </w:rPr>
            </w:pPr>
            <w:r>
              <w:rPr>
                <w:rFonts w:ascii="Arial" w:cs="Arial" w:eastAsia="Arial" w:hAnsi="Arial"/>
                <w:sz w:val="16"/>
                <w:szCs w:val="16"/>
                <w:color w:val="auto"/>
              </w:rPr>
              <w:t>(Commission</w:t>
            </w:r>
          </w:p>
        </w:tc>
        <w:tc>
          <w:tcPr>
            <w:tcW w:w="0" w:type="dxa"/>
            <w:vAlign w:val="bottom"/>
          </w:tcPr>
          <w:p>
            <w:pPr>
              <w:spacing w:after="0"/>
              <w:rPr>
                <w:sz w:val="1"/>
                <w:szCs w:val="1"/>
                <w:color w:val="auto"/>
              </w:rPr>
            </w:pPr>
          </w:p>
        </w:tc>
      </w:tr>
      <w:tr>
        <w:trPr>
          <w:trHeight w:val="215"/>
        </w:trPr>
        <w:tc>
          <w:tcPr>
            <w:tcW w:w="3200" w:type="dxa"/>
            <w:vAlign w:val="bottom"/>
            <w:gridSpan w:val="2"/>
          </w:tcPr>
          <w:p>
            <w:pPr>
              <w:jc w:val="center"/>
              <w:ind w:right="20"/>
              <w:spacing w:after="0"/>
              <w:rPr>
                <w:sz w:val="20"/>
                <w:szCs w:val="20"/>
                <w:color w:val="auto"/>
              </w:rPr>
            </w:pPr>
            <w:r>
              <w:rPr>
                <w:rFonts w:ascii="Arial" w:cs="Arial" w:eastAsia="Arial" w:hAnsi="Arial"/>
                <w:sz w:val="16"/>
                <w:szCs w:val="16"/>
                <w:color w:val="auto"/>
              </w:rPr>
              <w:t>of incorporation)</w:t>
            </w:r>
          </w:p>
        </w:tc>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Arial" w:cs="Arial" w:eastAsia="Arial" w:hAnsi="Arial"/>
                <w:sz w:val="16"/>
                <w:szCs w:val="16"/>
                <w:color w:val="auto"/>
              </w:rPr>
              <w:t>File Number)</w:t>
            </w:r>
          </w:p>
        </w:tc>
        <w:tc>
          <w:tcPr>
            <w:tcW w:w="0" w:type="dxa"/>
            <w:vAlign w:val="bottom"/>
          </w:tcPr>
          <w:p>
            <w:pPr>
              <w:spacing w:after="0"/>
              <w:rPr>
                <w:sz w:val="1"/>
                <w:szCs w:val="1"/>
                <w:color w:val="auto"/>
              </w:rPr>
            </w:pPr>
          </w:p>
        </w:tc>
      </w:tr>
      <w:tr>
        <w:trPr>
          <w:trHeight w:val="420"/>
        </w:trPr>
        <w:tc>
          <w:tcPr>
            <w:tcW w:w="32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13200 Pioneer Trail,</w:t>
            </w:r>
          </w:p>
        </w:tc>
        <w:tc>
          <w:tcPr>
            <w:tcW w:w="5420" w:type="dxa"/>
            <w:vAlign w:val="bottom"/>
            <w:gridSpan w:val="3"/>
            <w:vMerge w:val="restart"/>
          </w:tcPr>
          <w:p>
            <w:pPr>
              <w:jc w:val="right"/>
              <w:ind w:right="1319"/>
              <w:spacing w:after="0"/>
              <w:rPr>
                <w:sz w:val="20"/>
                <w:szCs w:val="20"/>
                <w:color w:val="auto"/>
              </w:rPr>
            </w:pPr>
            <w:r>
              <w:rPr>
                <w:rFonts w:ascii="Arial" w:cs="Arial" w:eastAsia="Arial" w:hAnsi="Arial"/>
                <w:sz w:val="16"/>
                <w:szCs w:val="16"/>
                <w:b w:val="1"/>
                <w:bCs w:val="1"/>
                <w:color w:val="auto"/>
              </w:rPr>
              <w:t>55347</w:t>
            </w:r>
          </w:p>
        </w:tc>
        <w:tc>
          <w:tcPr>
            <w:tcW w:w="0" w:type="dxa"/>
            <w:vAlign w:val="bottom"/>
          </w:tcPr>
          <w:p>
            <w:pPr>
              <w:spacing w:after="0"/>
              <w:rPr>
                <w:sz w:val="1"/>
                <w:szCs w:val="1"/>
                <w:color w:val="auto"/>
              </w:rPr>
            </w:pPr>
          </w:p>
        </w:tc>
      </w:tr>
      <w:tr>
        <w:trPr>
          <w:trHeight w:val="216"/>
        </w:trPr>
        <w:tc>
          <w:tcPr>
            <w:tcW w:w="32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Eden Prairie, Minnesota</w:t>
            </w:r>
          </w:p>
        </w:tc>
        <w:tc>
          <w:tcPr>
            <w:tcW w:w="5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0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(Address of principal executive offices)</w:t>
            </w:r>
          </w:p>
        </w:tc>
        <w:tc>
          <w:tcPr>
            <w:tcW w:w="22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tcPr>
          <w:p>
            <w:pPr>
              <w:jc w:val="center"/>
              <w:ind w:right="959"/>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r>
        <w:trPr>
          <w:trHeight w:val="480"/>
        </w:trPr>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20" w:type="dxa"/>
            <w:vAlign w:val="bottom"/>
            <w:gridSpan w:val="3"/>
          </w:tcPr>
          <w:p>
            <w:pPr>
              <w:jc w:val="center"/>
              <w:ind w:right="3159"/>
              <w:spacing w:after="0"/>
              <w:rPr>
                <w:sz w:val="20"/>
                <w:szCs w:val="20"/>
                <w:color w:val="auto"/>
              </w:rPr>
            </w:pPr>
            <w:r>
              <w:rPr>
                <w:rFonts w:ascii="Arial" w:cs="Arial" w:eastAsia="Arial" w:hAnsi="Arial"/>
                <w:sz w:val="16"/>
                <w:szCs w:val="16"/>
                <w:b w:val="1"/>
                <w:bCs w:val="1"/>
                <w:color w:val="auto"/>
              </w:rPr>
              <w:t>Stacy L. Bogart</w:t>
            </w:r>
          </w:p>
        </w:tc>
        <w:tc>
          <w:tcPr>
            <w:tcW w:w="0" w:type="dxa"/>
            <w:vAlign w:val="bottom"/>
          </w:tcPr>
          <w:p>
            <w:pPr>
              <w:spacing w:after="0"/>
              <w:rPr>
                <w:sz w:val="1"/>
                <w:szCs w:val="1"/>
                <w:color w:val="auto"/>
              </w:rPr>
            </w:pPr>
          </w:p>
        </w:tc>
      </w:tr>
      <w:tr>
        <w:trPr>
          <w:trHeight w:val="250"/>
        </w:trPr>
        <w:tc>
          <w:tcPr>
            <w:tcW w:w="21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(952) 829-8600</w:t>
            </w:r>
          </w:p>
        </w:tc>
        <w:tc>
          <w:tcPr>
            <w:tcW w:w="1020" w:type="dxa"/>
            <w:vAlign w:val="bottom"/>
            <w:tcBorders>
              <w:bottom w:val="single" w:sz="8" w:color="auto"/>
            </w:tcBorders>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(Name and telephone number, including area code, of the</w:t>
      </w:r>
    </w:p>
    <w:p>
      <w:pPr>
        <w:jc w:val="center"/>
        <w:ind w:right="-1080"/>
        <w:spacing w:after="0"/>
        <w:rPr>
          <w:sz w:val="20"/>
          <w:szCs w:val="20"/>
          <w:color w:val="auto"/>
        </w:rPr>
      </w:pPr>
      <w:r>
        <w:rPr>
          <w:rFonts w:ascii="Arial" w:cs="Arial" w:eastAsia="Arial" w:hAnsi="Arial"/>
          <w:sz w:val="16"/>
          <w:szCs w:val="16"/>
          <w:color w:val="auto"/>
        </w:rPr>
        <w:t>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w:t>
      </w:r>
    </w:p>
    <w:p>
      <w:pPr>
        <w:spacing w:after="0" w:line="275"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6"/>
          <w:szCs w:val="16"/>
          <w:b w:val="1"/>
          <w:bCs w:val="1"/>
          <w:color w:val="auto"/>
        </w:rPr>
      </w:pPr>
      <w:r>
        <w:rPr>
          <w:rFonts w:ascii="Arial" w:cs="Arial" w:eastAsia="Arial" w:hAnsi="Arial"/>
          <w:sz w:val="16"/>
          <w:szCs w:val="16"/>
          <w:color w:val="auto"/>
        </w:rPr>
        <w:t>Rule 13p-1 under the Securities Exchange Act (17 CFR 240.13p-1) for the reporting period from January 1 to December 31, 2023.</w:t>
      </w:r>
    </w:p>
    <w:p>
      <w:pPr>
        <w:spacing w:after="0" w:line="275"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Rule 13q-1 under the Securities Exchange Act (17 CFR 240.13q-1) for the fiscal year ended_______.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1 - Conflict Minerals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1.01 Conflict Minerals Disclosure and Report</w:t>
      </w:r>
    </w:p>
    <w:p>
      <w:pPr>
        <w:spacing w:after="0" w:line="26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 copy of Winnebago Industries, Inc.'s (“Winnebago’s”) Conflict Minerals Report for the reporting period from January 1, 2023 to December 31, 2023 is provided as Exhibit 1.01 hereto and is publicly available at www.winnebagoind.com under Investors and Financial Information. Winnebago’s determination and related due diligence efforts are included in Winnebago's Conflict Minerals Report and incorporated by reference herein.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1.02 Exhibit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 copy of Winnebago's Conflict Minerals Report is filed as Exhibit 1.01 hereto.</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 Resource Extraction Issuer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2.01 Resource Extraction Issuer Disclosure and Report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3 -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3.01 Exhibits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1.01 is filed as part of this Specialized Disclosure Report on Form SD.</w:t>
      </w:r>
    </w:p>
    <w:p>
      <w:pPr>
        <w:spacing w:after="0" w:line="377"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Exhibit</w:t>
      </w:r>
    </w:p>
    <w:p>
      <w:pPr>
        <w:ind w:left="420"/>
        <w:spacing w:after="0"/>
        <w:tabs>
          <w:tab w:leader="none" w:pos="136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10795</wp:posOffset>
            </wp:positionV>
            <wp:extent cx="6866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8890"/>
                    </a:xfrm>
                    <a:prstGeom prst="rect">
                      <a:avLst/>
                    </a:prstGeom>
                    <a:noFill/>
                  </pic:spPr>
                </pic:pic>
              </a:graphicData>
            </a:graphic>
          </wp:anchor>
        </w:drawing>
      </w:r>
    </w:p>
    <w:p>
      <w:pPr>
        <w:spacing w:after="0" w:line="10"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6"/>
          <w:szCs w:val="16"/>
          <w:u w:val="single" w:color="auto"/>
          <w:color w:val="0000FF"/>
        </w:rPr>
        <w:t>1.01</w:t>
      </w:r>
      <w:r>
        <w:rPr>
          <w:sz w:val="20"/>
          <w:szCs w:val="20"/>
          <w:color w:val="auto"/>
        </w:rPr>
        <w:tab/>
      </w:r>
      <w:r>
        <w:rPr>
          <w:rFonts w:ascii="Arial" w:cs="Arial" w:eastAsia="Arial" w:hAnsi="Arial"/>
          <w:sz w:val="16"/>
          <w:szCs w:val="16"/>
          <w:u w:val="single" w:color="auto"/>
          <w:color w:val="0000FF"/>
        </w:rPr>
        <w:t>Conflict Minerals Report for the reporting period January 1, 2023 to December 31, 2023 as required by Items 1.01 and 1.02 of this Form</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00"/>
          </w:cols>
          <w:pgMar w:left="320" w:top="895" w:right="479" w:bottom="1440" w:gutter="0" w:footer="0" w:header="0"/>
        </w:sectPr>
      </w:pPr>
    </w:p>
    <w:bookmarkStart w:id="2" w:name="page3"/>
    <w:bookmarkEnd w:id="2"/>
    <w:p>
      <w:pPr>
        <w:ind w:left="5100"/>
        <w:spacing w:after="0"/>
        <w:rPr>
          <w:sz w:val="20"/>
          <w:szCs w:val="20"/>
          <w:color w:val="auto"/>
        </w:rPr>
      </w:pPr>
      <w:r>
        <w:rPr>
          <w:rFonts w:ascii="Arial" w:cs="Arial" w:eastAsia="Arial" w:hAnsi="Arial"/>
          <w:sz w:val="16"/>
          <w:szCs w:val="16"/>
          <w:b w:val="1"/>
          <w:bCs w:val="1"/>
          <w:color w:val="auto"/>
        </w:rPr>
        <w:t>SIGNATURES</w:t>
      </w:r>
    </w:p>
    <w:p>
      <w:pPr>
        <w:spacing w:after="0" w:line="26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duly authorized undersigned.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80" w:type="dxa"/>
            <w:vAlign w:val="bottom"/>
            <w:gridSpan w:val="2"/>
          </w:tcPr>
          <w:p>
            <w:pPr>
              <w:ind w:left="12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60" w:type="dxa"/>
            <w:vAlign w:val="bottom"/>
          </w:tcPr>
          <w:p>
            <w:pPr>
              <w:ind w:left="160"/>
              <w:spacing w:after="0"/>
              <w:rPr>
                <w:sz w:val="20"/>
                <w:szCs w:val="20"/>
                <w:color w:val="auto"/>
              </w:rPr>
            </w:pPr>
            <w:r>
              <w:rPr>
                <w:rFonts w:ascii="Arial" w:cs="Arial" w:eastAsia="Arial" w:hAnsi="Arial"/>
                <w:sz w:val="16"/>
                <w:szCs w:val="16"/>
                <w:color w:val="auto"/>
              </w:rPr>
              <w:t>May 23, 2024</w:t>
            </w:r>
          </w:p>
        </w:tc>
        <w:tc>
          <w:tcPr>
            <w:tcW w:w="2040" w:type="dxa"/>
            <w:vAlign w:val="bottom"/>
          </w:tcPr>
          <w:p>
            <w:pPr>
              <w:ind w:left="122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40" w:type="dxa"/>
            <w:vAlign w:val="bottom"/>
          </w:tcPr>
          <w:p>
            <w:pPr>
              <w:ind w:left="1220"/>
              <w:spacing w:after="0"/>
              <w:rPr>
                <w:sz w:val="20"/>
                <w:szCs w:val="20"/>
                <w:color w:val="auto"/>
              </w:rPr>
            </w:pPr>
            <w:r>
              <w:rPr>
                <w:rFonts w:ascii="Arial" w:cs="Arial" w:eastAsia="Arial" w:hAnsi="Arial"/>
                <w:sz w:val="16"/>
                <w:szCs w:val="16"/>
                <w:color w:val="auto"/>
              </w:rPr>
              <w:t>Name:</w:t>
            </w:r>
          </w:p>
        </w:tc>
        <w:tc>
          <w:tcPr>
            <w:tcW w:w="504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40" w:type="dxa"/>
            <w:vAlign w:val="bottom"/>
            <w:vMerge w:val="restart"/>
          </w:tcPr>
          <w:p>
            <w:pPr>
              <w:ind w:left="1220"/>
              <w:spacing w:after="0"/>
              <w:rPr>
                <w:sz w:val="20"/>
                <w:szCs w:val="20"/>
                <w:color w:val="auto"/>
              </w:rPr>
            </w:pPr>
            <w:r>
              <w:rPr>
                <w:rFonts w:ascii="Arial" w:cs="Arial" w:eastAsia="Arial" w:hAnsi="Arial"/>
                <w:sz w:val="16"/>
                <w:szCs w:val="16"/>
                <w:color w:val="auto"/>
              </w:rPr>
              <w:t>Title:</w:t>
            </w:r>
          </w:p>
        </w:tc>
        <w:tc>
          <w:tcPr>
            <w:tcW w:w="5040" w:type="dxa"/>
            <w:vAlign w:val="bottom"/>
          </w:tcPr>
          <w:p>
            <w:pPr>
              <w:ind w:left="20"/>
              <w:spacing w:after="0" w:line="164" w:lineRule="exact"/>
              <w:rPr>
                <w:sz w:val="20"/>
                <w:szCs w:val="20"/>
                <w:color w:val="auto"/>
              </w:rPr>
            </w:pPr>
            <w:r>
              <w:rPr>
                <w:rFonts w:ascii="Arial" w:cs="Arial" w:eastAsia="Arial" w:hAnsi="Arial"/>
                <w:sz w:val="16"/>
                <w:szCs w:val="16"/>
                <w:color w:val="auto"/>
              </w:rPr>
              <w:t>Senior Vice President, General Counsel, Secretary and Corporate</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5040" w:type="dxa"/>
            <w:vAlign w:val="bottom"/>
          </w:tcPr>
          <w:p>
            <w:pPr>
              <w:ind w:left="20"/>
              <w:spacing w:after="0"/>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r>
        <w:trPr>
          <w:trHeight w:val="863"/>
        </w:trPr>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40" w:type="dxa"/>
            <w:vAlign w:val="bottom"/>
          </w:tcPr>
          <w:p>
            <w:pPr>
              <w:ind w:left="6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ectPr>
          <w:pgSz w:w="11900" w:h="16838" w:orient="portrait"/>
          <w:cols w:equalWidth="0" w:num="1">
            <w:col w:w="10620"/>
          </w:cols>
          <w:pgMar w:left="320" w:top="895" w:right="9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Winnebago Industries, Inc.</w:t>
      </w:r>
    </w:p>
    <w:p>
      <w:pPr>
        <w:spacing w:after="0" w:line="35"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Conflict Minerals Report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2023</w:t>
      </w:r>
    </w:p>
    <w:p>
      <w:pPr>
        <w:spacing w:after="0" w:line="246"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consolidated subsidiaries.</w:t>
      </w:r>
    </w:p>
    <w:p>
      <w:pPr>
        <w:spacing w:after="0" w:line="183"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This Conflict Minerals Report of Winnebago Industries, Inc. for calendar year 2023 is presented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20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Winnebago Industries, a manufacturer with a diversified portfolio of recreation vehicles and marine products, has determined that its products were manufactured with tin, tantalum, tungsten, and gold, which were necessary for the functionality of such products. In accordance with Rule 13p-1, Winnebago Industries performed due diligence as noted below to determine the conflict minerals’ status of the necessary conflict minerals used in its product manufacturing.</w:t>
      </w:r>
    </w:p>
    <w:p>
      <w:pPr>
        <w:spacing w:after="0" w:line="200"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color w:val="auto"/>
        </w:rPr>
        <w:t>On April 28, 2023, Winnebago Industries purchased 100% of the equity interests of Lithionics Battery, LLC and Lithionics LLC (collectively, "Lithionics"), a premier lithium-ion battery solutions provider to the recreational equipment and specialty vehicle markets. In accordance with Instruction 3 to Item 1.01 of Form SD, the scope of this Report does not include any products manufactured or contracted to be manufactured by Lithionics.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Conflict Minerals Program and Reasonable Country of Origin Inquiry</w:t>
      </w:r>
    </w:p>
    <w:p>
      <w:pPr>
        <w:spacing w:after="0" w:line="273" w:lineRule="exact"/>
        <w:rPr>
          <w:sz w:val="20"/>
          <w:szCs w:val="20"/>
          <w:color w:val="auto"/>
        </w:rPr>
      </w:pPr>
    </w:p>
    <w:p>
      <w:pPr>
        <w:ind w:left="660" w:right="2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have structured compliance efforts internally to support supply chain due diligence. Winnebago Industries has developed a team responsible for the conflict minerals program. The team reports to the General Counsel.</w:t>
      </w:r>
    </w:p>
    <w:p>
      <w:pPr>
        <w:ind w:left="660" w:right="480" w:hanging="328"/>
        <w:spacing w:after="0" w:line="24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have established a system of controls and supply chain transparency through the adoption and use of due diligence tools created by the Electronic Industry Citizenship Coalition and the Global e-Sustainability Initiative (“EICC/GeSI”). This included the use of the Conflict Minerals Reporting Template (“CMRT”), a supply-chain survey.</w:t>
      </w:r>
    </w:p>
    <w:p>
      <w:pPr>
        <w:spacing w:after="0" w:line="3"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have conducted a supply chain survey of our largest suppliers that potentially provided parts and materials containing conflict minerals. The survey requested suppliers to identify smelters and refiners, using the CMRT. As a downstream manufacturer, we rely on our vendors to provide the origins of all of our conflict minerals, including the location of the smelter, mine, or transit route of the minerals.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Design of Due Diligence</w:t>
      </w:r>
    </w:p>
    <w:p>
      <w:pPr>
        <w:spacing w:after="0" w:line="24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have reviewed our suppliers and sourcing decisions, and integrated into our management programs the Organization for Economic Cooperation and Development Due Diligence Guidance for Responsible Supply Chains of Minerals from Conflict-Affected and High-Risk Areas: Second Edition (“OECD Framework”), an internationally-recognized due diligence framework. Winnebago Industries communicated to applicable suppliers our efforts to comply with Rule 13p-1.</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Due Diligence Measures Performed</w:t>
      </w:r>
    </w:p>
    <w:p>
      <w:pPr>
        <w:spacing w:after="0" w:line="246"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We have included a summary below of the description of the measures performed to exercise due diligence on the source and chain of custody of the necessary conflict minerals contained in our products, which may have originated from the Covered Countries and may not have come from recycled or scrap sources:</w:t>
      </w:r>
    </w:p>
    <w:p>
      <w:pPr>
        <w:spacing w:after="0" w:line="205" w:lineRule="exact"/>
        <w:rPr>
          <w:sz w:val="20"/>
          <w:szCs w:val="20"/>
          <w:color w:val="auto"/>
        </w:rPr>
      </w:pPr>
    </w:p>
    <w:p>
      <w:pPr>
        <w:ind w:left="660" w:right="12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6"/>
          <w:szCs w:val="16"/>
          <w:color w:val="auto"/>
        </w:rPr>
        <w:t>We evaluated survey responses to identify: (i) the use and source of conflict minerals, and; (ii) any indicators that conflict minerals may have come from the Democratic Republic of the Congo or an Adjoining Country.</w:t>
      </w:r>
    </w:p>
    <w:p>
      <w:pPr>
        <w:spacing w:after="0" w:line="1" w:lineRule="exact"/>
        <w:rPr>
          <w:rFonts w:ascii="Arial" w:cs="Arial" w:eastAsia="Arial" w:hAnsi="Arial"/>
          <w:sz w:val="18"/>
          <w:szCs w:val="18"/>
          <w:color w:val="auto"/>
        </w:rPr>
      </w:pPr>
    </w:p>
    <w:p>
      <w:pPr>
        <w:ind w:left="660" w:right="6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6"/>
          <w:szCs w:val="16"/>
          <w:color w:val="auto"/>
        </w:rPr>
        <w:t>We compared smelters and refiners identified by the supply chain survey against the list of smelters and refiners that are compliant with the Responsible Minerals Assurance Process (“RMAP”) assessment protocols.</w:t>
      </w: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made additional inquiries on a case-by-case basis if smelter and refinery information was deemed inconsistent, inaccurate, or incomplete.</w:t>
      </w:r>
    </w:p>
    <w:p>
      <w:pPr>
        <w:spacing w:after="0" w:line="14"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The status of risk mitigation efforts was summarized and provided to Winnebago Industries’ management.</w:t>
      </w:r>
    </w:p>
    <w:p>
      <w:pPr>
        <w:spacing w:after="0" w:line="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Our conflict minerals compliance results are reported annually to the SEC and are made publicly available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1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i w:val="1"/>
          <w:iCs w:val="1"/>
          <w:color w:val="auto"/>
        </w:rPr>
        <w:t>Product Determination</w:t>
      </w:r>
    </w:p>
    <w:p>
      <w:pPr>
        <w:spacing w:after="0" w:line="24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All products manufactured by Winnebago Industries are deemed to contain conflict minerals only when necessary to the products’ functionality. We produce products that include motorhomes, travel trailers, fifth wheel trailers, specialty commercial vehicles, and marine products, as well as supporting RV and marine products. Based on the surveys provided and notifications that our suppliers’ diligence efforts were incomplete, we do not have sufficient information to conclusively determine all smelters or refiners or Countries of Origin of the conflict minerals. However, based on the data provided by the Reasonable Country of Origin Inquiry, we have provided a list of the smelters and refiners that were reported in the surveys provided to us by our suppliers on Annex I. The majority of our suppliers reported conflict minerals’ use at the company level, not at the product level. As such, we cannot definitively state whether these conflict minerals were included in the products supplied to Winnebago or further validate that these smelters or refiners exist in our supply chain. However, if any smelter or refiner is identified as having a potential sanctions risk as part of the screening process set forth above, we work with the relevant suppliers to evaluate and remediate such risks in a manner consistent with applicable sanctions program requirements, including, where appropriate, requesting that suppliers remove sanctioned smelters and refiners from their supply chain.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Due Diligence</w:t>
      </w:r>
    </w:p>
    <w:p>
      <w:pPr>
        <w:spacing w:after="0" w:line="26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There were numerous suppliers that did not identify any smelters or refiners used and an additional group of suppliers that did not provide a response to our survey. In our efforts to obtain timely and accurate information from our supply chain, we intend to execute the following:</w:t>
      </w:r>
    </w:p>
    <w:p>
      <w:pPr>
        <w:spacing w:after="0" w:line="19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Continue to assess the presence of conflict minerals in our supply chain.</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Clearly communicate expectations with newly contracted and delinquent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Continue to improve our risk mitigation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Continue to encourage our direct suppliers to assess their supply chain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Continue to encourage our direct suppliers to provide complete and accurate information.</w:t>
      </w:r>
    </w:p>
    <w:p>
      <w:pPr>
        <w:spacing w:after="0" w:line="234"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As we progress, we expect that transparency in our supply chain will increase, which will allow for more accurate and detailed levels of risk assessment within our supply chain.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80"/>
          </w:cols>
          <w:pgMar w:left="320" w:top="1018" w:right="39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3"/>
        </w:trPr>
        <w:tc>
          <w:tcPr>
            <w:tcW w:w="840" w:type="dxa"/>
            <w:vAlign w:val="bottom"/>
          </w:tcPr>
          <w:p>
            <w:pPr>
              <w:spacing w:after="0"/>
              <w:rPr>
                <w:sz w:val="19"/>
                <w:szCs w:val="19"/>
                <w:color w:val="auto"/>
              </w:rPr>
            </w:pPr>
          </w:p>
        </w:tc>
        <w:tc>
          <w:tcPr>
            <w:tcW w:w="6060" w:type="dxa"/>
            <w:vAlign w:val="bottom"/>
          </w:tcPr>
          <w:p>
            <w:pPr>
              <w:ind w:left="4500"/>
              <w:spacing w:after="0"/>
              <w:rPr>
                <w:sz w:val="20"/>
                <w:szCs w:val="20"/>
                <w:color w:val="auto"/>
              </w:rPr>
            </w:pPr>
            <w:r>
              <w:rPr>
                <w:rFonts w:ascii="Arial" w:cs="Arial" w:eastAsia="Arial" w:hAnsi="Arial"/>
                <w:sz w:val="16"/>
                <w:szCs w:val="16"/>
                <w:b w:val="1"/>
                <w:bCs w:val="1"/>
                <w:color w:val="auto"/>
              </w:rPr>
              <w:t>Annex I</w:t>
            </w:r>
          </w:p>
        </w:tc>
        <w:tc>
          <w:tcPr>
            <w:tcW w:w="4160" w:type="dxa"/>
            <w:vAlign w:val="bottom"/>
          </w:tcPr>
          <w:p>
            <w:pPr>
              <w:spacing w:after="0"/>
              <w:rPr>
                <w:sz w:val="19"/>
                <w:szCs w:val="19"/>
                <w:color w:val="auto"/>
              </w:rPr>
            </w:pPr>
          </w:p>
        </w:tc>
      </w:tr>
      <w:tr>
        <w:trPr>
          <w:trHeight w:val="34"/>
        </w:trPr>
        <w:tc>
          <w:tcPr>
            <w:tcW w:w="840" w:type="dxa"/>
            <w:vAlign w:val="bottom"/>
            <w:tcBorders>
              <w:bottom w:val="single" w:sz="8" w:color="auto"/>
            </w:tcBorders>
          </w:tcPr>
          <w:p>
            <w:pPr>
              <w:spacing w:after="0"/>
              <w:rPr>
                <w:sz w:val="3"/>
                <w:szCs w:val="3"/>
                <w:color w:val="auto"/>
              </w:rPr>
            </w:pPr>
          </w:p>
        </w:tc>
        <w:tc>
          <w:tcPr>
            <w:tcW w:w="606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r>
      <w:tr>
        <w:trPr>
          <w:trHeight w:val="210"/>
        </w:trPr>
        <w:tc>
          <w:tcPr>
            <w:tcW w:w="840" w:type="dxa"/>
            <w:vAlign w:val="bottom"/>
            <w:tcBorders>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060" w:type="dxa"/>
            <w:vAlign w:val="bottom"/>
            <w:tcBorders>
              <w:bottom w:val="single" w:sz="8" w:color="auto"/>
            </w:tcBorders>
            <w:shd w:val="clear" w:color="auto" w:fill="0070C0"/>
          </w:tcPr>
          <w:p>
            <w:pPr>
              <w:ind w:left="340"/>
              <w:spacing w:after="0"/>
              <w:rPr>
                <w:sz w:val="20"/>
                <w:szCs w:val="20"/>
                <w:color w:val="auto"/>
              </w:rPr>
            </w:pPr>
            <w:r>
              <w:rPr>
                <w:rFonts w:ascii="Arial" w:cs="Arial" w:eastAsia="Arial" w:hAnsi="Arial"/>
                <w:sz w:val="16"/>
                <w:szCs w:val="16"/>
                <w:b w:val="1"/>
                <w:bCs w:val="1"/>
                <w:color w:val="FFFFFF"/>
              </w:rPr>
              <w:t>Smelter or Refiner Name</w:t>
            </w:r>
          </w:p>
        </w:tc>
        <w:tc>
          <w:tcPr>
            <w:tcW w:w="4160" w:type="dxa"/>
            <w:vAlign w:val="bottom"/>
            <w:tcBorders>
              <w:bottom w:val="single" w:sz="8" w:color="auto"/>
              <w:right w:val="single" w:sz="8" w:color="auto"/>
            </w:tcBorders>
            <w:shd w:val="clear" w:color="auto" w:fill="0070C0"/>
          </w:tcPr>
          <w:p>
            <w:pPr>
              <w:ind w:left="100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8853 S.p.A.</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ITALY</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ABC Refinery Pty Ltd.</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AUSTRALIA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Abington Reldan Metals, LLC</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UNITED STATES OF AMERICA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Advanced Chemical Company</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UNITED STATES OF AMERICA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African Gold Refinery</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UGANDA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Agosi AG</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GERMANY</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Aida Chemical Industries Co., Ltd.</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JAPAN</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Aktyubinsk Copper Company TOO</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KAZAKHSTAN</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Al Etihad Gold Refinery DMCC</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UNITED ARAB EMIRATES</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Al Ghaith Gold</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PORTUGAL</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Albino Mountinho Lda.</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PORTUGAL</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Alexy Metals</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UNITED STATES OF AMERICA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Allgemeine Gold-und Silberscheideanstalt A.G.</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GERMANY</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Almalyk Mining and Metallurgical Complex (AMMC)</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UZBEKISTAN</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AngloGold Ashanti Corrego do Sitio Mineracao</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BRAZIL</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Argor-Heraeus S.A.</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SWITZERLAND</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ARY Aurum Plus</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UNITED ARAB EMIRATES</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Asahi Pretec Corp.</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JAPAN</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Asahi Refining Canada Ltd.</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CANADA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Asahi Refining USA Inc.</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UNITED STATES OF AMERICA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Asaka Riken Co., Ltd.</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JAPAN</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Atasay Kuyumculuk Sanayi Ve Ticaret A.S.</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TURKEY</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AU Traders and Refiners</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SOUTH AFRICA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Augmont Enterprises Private Limited</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INDIA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AURA-II</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UNITED STATES OF AMERICA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Aurubis AG</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GERMANY</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Baiyin Nonferrous Group Co.,Ltd</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CHINA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Bangalore Refinery</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INDIA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Bangko Sentral ng Pilipinas (Central Bank of the Philippines)</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PHILIPPINES</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Bauer Walser AG</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GERMANY</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Boliden AB</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SWEDEN</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 Hafner GmbH + Co. KG</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GERMANY</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C.I Metales Procesados Industriales SAS</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COLOMBIA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Caridad</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MEXICO</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CCR Refinery - Glencore Canada Corporation</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CANADA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Cendres + Metaux S.A.</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SWITZERLAND</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CGR Metalloys Pvt Ltd.</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INDIA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Chimet S.p.A.</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ITALY</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China Gold Deal Investment Co., Ltd.</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CHINA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China National Gold Group Corporation</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CHINA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Chugai Mining</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JAPAN</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Codelco</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CHILE</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Coimpa Industrial LTDA</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BRAZIL</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Colt Refining</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UNITED STATES OF AMERICA</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Cookson Métaux Précieux - Cookson CLAL</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FRANCE</w:t>
            </w:r>
          </w:p>
        </w:tc>
      </w:tr>
      <w:tr>
        <w:trPr>
          <w:trHeight w:val="216"/>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Pr>
          <w:p>
            <w:pPr>
              <w:ind w:left="340"/>
              <w:spacing w:after="0"/>
              <w:rPr>
                <w:sz w:val="20"/>
                <w:szCs w:val="20"/>
                <w:color w:val="auto"/>
              </w:rPr>
            </w:pPr>
            <w:r>
              <w:rPr>
                <w:rFonts w:ascii="Arial" w:cs="Arial" w:eastAsia="Arial" w:hAnsi="Arial"/>
                <w:sz w:val="16"/>
                <w:szCs w:val="16"/>
                <w:color w:val="auto"/>
              </w:rPr>
              <w:t>Daejin Indus Co., Ltd.</w:t>
            </w:r>
          </w:p>
        </w:tc>
        <w:tc>
          <w:tcPr>
            <w:tcW w:w="4160" w:type="dxa"/>
            <w:vAlign w:val="bottom"/>
            <w:tcBorders>
              <w:right w:val="single" w:sz="8" w:color="auto"/>
            </w:tcBorders>
          </w:tcPr>
          <w:p>
            <w:pPr>
              <w:ind w:left="1000"/>
              <w:spacing w:after="0"/>
              <w:rPr>
                <w:sz w:val="20"/>
                <w:szCs w:val="20"/>
                <w:color w:val="auto"/>
              </w:rPr>
            </w:pPr>
            <w:r>
              <w:rPr>
                <w:rFonts w:ascii="Arial" w:cs="Arial" w:eastAsia="Arial" w:hAnsi="Arial"/>
                <w:sz w:val="16"/>
                <w:szCs w:val="16"/>
                <w:color w:val="auto"/>
              </w:rPr>
              <w:t>KOREA, REPUBLIC OF</w:t>
            </w:r>
          </w:p>
        </w:tc>
      </w:tr>
      <w:tr>
        <w:trPr>
          <w:trHeight w:val="217"/>
        </w:trPr>
        <w:tc>
          <w:tcPr>
            <w:tcW w:w="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Dai-ichi Seiko</w:t>
            </w:r>
          </w:p>
        </w:tc>
        <w:tc>
          <w:tcPr>
            <w:tcW w:w="416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6"/>
                <w:szCs w:val="16"/>
                <w:color w:val="auto"/>
              </w:rPr>
              <w:t>JAPAN</w:t>
            </w:r>
          </w:p>
        </w:tc>
      </w:tr>
    </w:tbl>
    <w:p>
      <w:pPr>
        <w:sectPr>
          <w:pgSz w:w="11900" w:h="16838" w:orient="portrait"/>
          <w:cols w:equalWidth="0" w:num="1">
            <w:col w:w="11060"/>
          </w:cols>
          <w:pgMar w:left="320" w:top="908" w:right="51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20" w:type="dxa"/>
            <w:vAlign w:val="bottom"/>
            <w:tcBorders>
              <w:top w:val="single" w:sz="8" w:color="auto"/>
              <w:left w:val="single" w:sz="8" w:color="auto"/>
              <w:bottom w:val="single" w:sz="8" w:color="auto"/>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040" w:type="dxa"/>
            <w:vAlign w:val="bottom"/>
            <w:tcBorders>
              <w:top w:val="single" w:sz="8" w:color="auto"/>
              <w:bottom w:val="single" w:sz="8" w:color="auto"/>
            </w:tcBorders>
            <w:shd w:val="clear" w:color="auto" w:fill="0070C0"/>
          </w:tcPr>
          <w:p>
            <w:pPr>
              <w:ind w:left="360"/>
              <w:spacing w:after="0"/>
              <w:rPr>
                <w:sz w:val="20"/>
                <w:szCs w:val="20"/>
                <w:color w:val="auto"/>
              </w:rPr>
            </w:pPr>
            <w:r>
              <w:rPr>
                <w:rFonts w:ascii="Arial" w:cs="Arial" w:eastAsia="Arial" w:hAnsi="Arial"/>
                <w:sz w:val="16"/>
                <w:szCs w:val="16"/>
                <w:b w:val="1"/>
                <w:bCs w:val="1"/>
                <w:color w:val="FFFFFF"/>
              </w:rPr>
              <w:t>Smelter or Refiner Name</w:t>
            </w:r>
          </w:p>
        </w:tc>
        <w:tc>
          <w:tcPr>
            <w:tcW w:w="4200" w:type="dxa"/>
            <w:vAlign w:val="bottom"/>
            <w:tcBorders>
              <w:top w:val="single" w:sz="8" w:color="auto"/>
              <w:bottom w:val="single" w:sz="8" w:color="auto"/>
              <w:right w:val="single" w:sz="8" w:color="auto"/>
            </w:tcBorders>
            <w:shd w:val="clear" w:color="auto" w:fill="0070C0"/>
          </w:tcPr>
          <w:p>
            <w:pPr>
              <w:ind w:left="104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Daye Non-Ferrous Metals Mining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Degussa Sonne / Mond Goldhandel GmbH</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GERMANY</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Dijllah Gold Refinery FZC</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UNITED ARAB EMIRATES</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DODUCO Contacts and Refining GmbH</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GERMANY</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Dongwu Gold Group</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Dowa</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DS PRETECH Co.,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DSC (Do Sung Corporation)</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Eco-System Recycling Co., Ltd. East Plant</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Eco-System Recycling Co., Ltd. North Plant</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Eco-System Recycling Co., Ltd. West Plant</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Elemetal Refining, LLC</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Emerald Jewel Industry India Limited (Unit 1)</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Emerald Jewel Industry India Limited (Unit 2)</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Emerald Jewel Industry India Limited (Unit 3)</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Emerald Jewel Industry India Limited (Unit 4)</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Emirates Gold DMCC</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UNITED ARAB EMIRATES</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Fidelity Printers and Refiners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ZIMBABWE</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Fujairah Gold FZC</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UNITED ARAB EMIRATES</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Gansu Seemine Material Hi-Tech Co.,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Geib Refining Corporation</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GG Refinery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TANZANIA, UNITED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GGC Gujrat Gold Centre Pvt.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Gold by Gold Colombia</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COLOMBIA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Gold Coast Refinery</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GHANA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Gold Refinery of Zijin Mining Group Co.,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Great Wall Precious Metals Co., Ltd. of CBPM</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Guangdong Hua Jian Trade Co.,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Guangdong Jinding Gold Limited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GUANGDONG JINXIAN GAOXIN CAI LIAO GONG SI</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Guoda Safina High-Tech Environmental Refinery Co.,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Hang Seng Technology</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Hangzhou Fuchunjiang Smelting Co.,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HeeSung Metal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Heimerle + Meule GmbH</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GERMANY</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Henan Yuguang Gold &amp; Lead Co.,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Heraeus Germany GmbH Co. KG</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GERMANY</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Heraeus Metals Hong Kong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HeTai Gold Mineral GuangDong Co.,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Hop Hing Electroplating Factory Zhejiang</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Hunan Chenzhou Mining Co.,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Hunan Guiyang Yinxing Nonferrous Smelting Co.,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Hung Cheong Metal Manufacturing Limited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HwaSeong CJ CO.,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Industrial Refining Company</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BELGIUM</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Pr>
          <w:p>
            <w:pPr>
              <w:ind w:left="360"/>
              <w:spacing w:after="0"/>
              <w:rPr>
                <w:sz w:val="20"/>
                <w:szCs w:val="20"/>
                <w:color w:val="auto"/>
              </w:rPr>
            </w:pPr>
            <w:r>
              <w:rPr>
                <w:rFonts w:ascii="Arial" w:cs="Arial" w:eastAsia="Arial" w:hAnsi="Arial"/>
                <w:sz w:val="16"/>
                <w:szCs w:val="16"/>
                <w:color w:val="auto"/>
              </w:rPr>
              <w:t>Inner Mongolia Qiankun Gold and Silver Refinery Share Co., Ltd.</w:t>
            </w:r>
          </w:p>
        </w:tc>
        <w:tc>
          <w:tcPr>
            <w:tcW w:w="4200" w:type="dxa"/>
            <w:vAlign w:val="bottom"/>
            <w:tcBorders>
              <w:right w:val="single" w:sz="8" w:color="auto"/>
            </w:tcBorders>
          </w:tcPr>
          <w:p>
            <w:pPr>
              <w:ind w:left="1040"/>
              <w:spacing w:after="0"/>
              <w:rPr>
                <w:sz w:val="20"/>
                <w:szCs w:val="20"/>
                <w:color w:val="auto"/>
              </w:rPr>
            </w:pPr>
            <w:r>
              <w:rPr>
                <w:rFonts w:ascii="Arial" w:cs="Arial" w:eastAsia="Arial" w:hAnsi="Arial"/>
                <w:sz w:val="16"/>
                <w:szCs w:val="16"/>
                <w:color w:val="auto"/>
              </w:rPr>
              <w:t>CHINA</w:t>
            </w:r>
          </w:p>
        </w:tc>
      </w:tr>
      <w:tr>
        <w:trPr>
          <w:trHeight w:val="217"/>
        </w:trPr>
        <w:tc>
          <w:tcPr>
            <w:tcW w:w="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International Precious Metal Refiners</w:t>
            </w:r>
          </w:p>
        </w:tc>
        <w:tc>
          <w:tcPr>
            <w:tcW w:w="420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6"/>
                <w:szCs w:val="16"/>
                <w:color w:val="auto"/>
              </w:rPr>
              <w:t>UNITED ARAB EMIRATES</w:t>
            </w:r>
          </w:p>
        </w:tc>
      </w:tr>
    </w:tbl>
    <w:p>
      <w:pPr>
        <w:sectPr>
          <w:pgSz w:w="11900" w:h="16838" w:orient="portrait"/>
          <w:cols w:equalWidth="0" w:num="1">
            <w:col w:w="11060"/>
          </w:cols>
          <w:pgMar w:left="320" w:top="916" w:right="5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20" w:type="dxa"/>
            <w:vAlign w:val="bottom"/>
            <w:tcBorders>
              <w:top w:val="single" w:sz="8" w:color="auto"/>
              <w:left w:val="single" w:sz="8" w:color="auto"/>
              <w:bottom w:val="single" w:sz="8" w:color="auto"/>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5680" w:type="dxa"/>
            <w:vAlign w:val="bottom"/>
            <w:tcBorders>
              <w:top w:val="single" w:sz="8" w:color="auto"/>
              <w:bottom w:val="single" w:sz="8" w:color="auto"/>
            </w:tcBorders>
            <w:shd w:val="clear" w:color="auto" w:fill="0070C0"/>
          </w:tcPr>
          <w:p>
            <w:pPr>
              <w:ind w:left="360"/>
              <w:spacing w:after="0"/>
              <w:rPr>
                <w:sz w:val="20"/>
                <w:szCs w:val="20"/>
                <w:color w:val="auto"/>
              </w:rPr>
            </w:pPr>
            <w:r>
              <w:rPr>
                <w:rFonts w:ascii="Arial" w:cs="Arial" w:eastAsia="Arial" w:hAnsi="Arial"/>
                <w:sz w:val="16"/>
                <w:szCs w:val="16"/>
                <w:b w:val="1"/>
                <w:bCs w:val="1"/>
                <w:color w:val="FFFFFF"/>
              </w:rPr>
              <w:t>Smelter or Refiner Name</w:t>
            </w:r>
          </w:p>
        </w:tc>
        <w:tc>
          <w:tcPr>
            <w:tcW w:w="4560" w:type="dxa"/>
            <w:vAlign w:val="bottom"/>
            <w:tcBorders>
              <w:top w:val="single" w:sz="8" w:color="auto"/>
              <w:bottom w:val="single" w:sz="8" w:color="auto"/>
              <w:right w:val="single" w:sz="8" w:color="auto"/>
            </w:tcBorders>
            <w:shd w:val="clear" w:color="auto" w:fill="0070C0"/>
          </w:tcPr>
          <w:p>
            <w:pPr>
              <w:ind w:left="140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Ishifuku Metal Industry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Istanbul Gold Refinery</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TURKEY</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Italpreziosi</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ITALY</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JALAN &amp; Company</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Japan Mint</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Jiangxi Copper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Jin Jinyin Refining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Jinli Enterprise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UNKNOWN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Jinlong Copper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Johnson Matthey Inc</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JSC Ekaterinburg Non-Ferrous Metal Processing Plant</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RUSSIAN FEDERATION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JSC Novosibirsk Refinery</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RUSSIAN FEDERATION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JSC Uralelectromed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RUSSIAN FEDERATION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JX Nippon Mining &amp; Metals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K.A. Rasmussen</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NORWAY</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Kaloti Precious Metals</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UNITED ARAB EMIRATES</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Kazakhmys Smelting LLC</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KAZAKHSTAN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Kazzinc</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KAZAKHSTAN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Kennecott Utah Copper LLC</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KGHM Polska Miedz Spolka Akcyjna</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POLAND</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Kojima Chemicals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Korea Metal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Korea Zinc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KP Sanghvi International Airport</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Kundan Care Products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Kyrgyzaltyn JSC</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KYRGYZSTAN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Kyshtym Copper-Electrolytic Plant ZAO</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RUSSIAN FEDERATION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L'azurde Company For Jewelry</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SAUDI ARABIA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Lingbao Gold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Lingbao Jinyuan Tonghui Refinery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L'Orfebre S.A.</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ANDORRA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LS-NIKKO Copper Inc.</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LT Metal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Luoyang Zijin Yinhui Gold Refinery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Marsam Metals</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BRAZIL</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Materion</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Matsuda Sangyo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MD Overseas</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Metal Concentrators SA (Pty)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SOUTH AFRICA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Metallix Refining Inc.</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Metalor Technologies (Hong Kong)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Metalor Technologies (Singapore) Pte.,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SINGAPORE</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Metalor Technologies (Suzhou)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Metalor Technologies S.A.</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SWITZERLAND</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Metalor USA Refining Corporation</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Metalurgica Met-Mex Penoles S.A. De C.V.</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MEXICO</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Pr>
          <w:p>
            <w:pPr>
              <w:ind w:left="360"/>
              <w:spacing w:after="0"/>
              <w:rPr>
                <w:sz w:val="20"/>
                <w:szCs w:val="20"/>
                <w:color w:val="auto"/>
              </w:rPr>
            </w:pPr>
            <w:r>
              <w:rPr>
                <w:rFonts w:ascii="Arial" w:cs="Arial" w:eastAsia="Arial" w:hAnsi="Arial"/>
                <w:sz w:val="16"/>
                <w:szCs w:val="16"/>
                <w:color w:val="auto"/>
              </w:rPr>
              <w:t>Mitsubishi Materials Corporation</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JAPAN</w:t>
            </w:r>
          </w:p>
        </w:tc>
      </w:tr>
      <w:tr>
        <w:trPr>
          <w:trHeight w:val="217"/>
        </w:trPr>
        <w:tc>
          <w:tcPr>
            <w:tcW w:w="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Mitsui Mining and Smelting Co., Ltd.</w:t>
            </w:r>
          </w:p>
        </w:tc>
        <w:tc>
          <w:tcPr>
            <w:tcW w:w="4560" w:type="dxa"/>
            <w:vAlign w:val="bottom"/>
            <w:tcBorders>
              <w:bottom w:val="single" w:sz="8" w:color="auto"/>
              <w:right w:val="single" w:sz="8" w:color="auto"/>
            </w:tcBorders>
          </w:tcPr>
          <w:p>
            <w:pPr>
              <w:ind w:left="1400"/>
              <w:spacing w:after="0"/>
              <w:rPr>
                <w:sz w:val="20"/>
                <w:szCs w:val="20"/>
                <w:color w:val="auto"/>
              </w:rPr>
            </w:pPr>
            <w:r>
              <w:rPr>
                <w:rFonts w:ascii="Arial" w:cs="Arial" w:eastAsia="Arial" w:hAnsi="Arial"/>
                <w:sz w:val="16"/>
                <w:szCs w:val="16"/>
                <w:color w:val="auto"/>
              </w:rPr>
              <w:t>JAPAN</w:t>
            </w:r>
          </w:p>
        </w:tc>
      </w:tr>
    </w:tbl>
    <w:p>
      <w:pPr>
        <w:sectPr>
          <w:pgSz w:w="11900" w:h="16838" w:orient="portrait"/>
          <w:cols w:equalWidth="0" w:num="1">
            <w:col w:w="11060"/>
          </w:cols>
          <w:pgMar w:left="320" w:top="916" w:right="5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20" w:type="dxa"/>
            <w:vAlign w:val="bottom"/>
            <w:tcBorders>
              <w:top w:val="single" w:sz="8" w:color="auto"/>
              <w:left w:val="single" w:sz="8" w:color="auto"/>
              <w:bottom w:val="single" w:sz="8" w:color="auto"/>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660" w:type="dxa"/>
            <w:vAlign w:val="bottom"/>
            <w:tcBorders>
              <w:top w:val="single" w:sz="8" w:color="auto"/>
              <w:bottom w:val="single" w:sz="8" w:color="auto"/>
            </w:tcBorders>
            <w:shd w:val="clear" w:color="auto" w:fill="0070C0"/>
          </w:tcPr>
          <w:p>
            <w:pPr>
              <w:ind w:left="360"/>
              <w:spacing w:after="0"/>
              <w:rPr>
                <w:sz w:val="20"/>
                <w:szCs w:val="20"/>
                <w:color w:val="auto"/>
              </w:rPr>
            </w:pPr>
            <w:r>
              <w:rPr>
                <w:rFonts w:ascii="Arial" w:cs="Arial" w:eastAsia="Arial" w:hAnsi="Arial"/>
                <w:sz w:val="16"/>
                <w:szCs w:val="16"/>
                <w:b w:val="1"/>
                <w:bCs w:val="1"/>
                <w:color w:val="FFFFFF"/>
              </w:rPr>
              <w:t>Smelter or Refiner Name</w:t>
            </w:r>
          </w:p>
        </w:tc>
        <w:tc>
          <w:tcPr>
            <w:tcW w:w="3580" w:type="dxa"/>
            <w:vAlign w:val="bottom"/>
            <w:tcBorders>
              <w:top w:val="single" w:sz="8" w:color="auto"/>
              <w:bottom w:val="single" w:sz="8" w:color="auto"/>
              <w:right w:val="single" w:sz="8" w:color="auto"/>
            </w:tcBorders>
            <w:shd w:val="clear" w:color="auto" w:fill="0070C0"/>
          </w:tcPr>
          <w:p>
            <w:pPr>
              <w:ind w:left="42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MK Electron Co., Ltd.</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MKS PAMP SA</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SWITZERLAND</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MMTC-PAMP India Pvt., Ltd.</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Modeltech Sdn Bhd</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MALAYSIA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Morris and Watson</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NEW ZEALAND</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Moscow Special Alloys Processing Plant</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N.E.Chemcat Corporation</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Nadir Metal Rafineri San. Ve Tic. A.S.</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TURKEY</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Navoi Mining and Metallurgical Combinat</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UZBEKISTAN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NH Recytech Company</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Nihon Material Co., Ltd.</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Nihon Superior Co., Ltd.</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Nyrstar Metals</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Ogussa Osterreichische Gold- und Silber-Scheideanstalt GmbH</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AUSTRIA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Ohio Precious Metals</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Ohura Precious Metal Industry Co., Ltd.</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OJSC "The Gulidov Krasnoyarsk Non-Ferrous Metals Plant" (OJSC Krastsvetmet)</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OJSC Kolyma Refinery</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PAMP S.A.</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SWITZERLAND</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Pan Pacific Copper Co. LTD</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Pease &amp; Curren</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Penglai Penggang Gold Industry Co., Ltd.</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Planta Recuperadora de Metales SpA</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CHILE</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Precious Metals Sales Corp.</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Prioksky Plant of Non-Ferrous Metals</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PT Aneka Tambang (Persero) Tbk</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PX Precinox S.A.</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SWITZERLAND</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QG Refining, LLC</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Rand Refinery (Pty) Ltd.</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SOUTH AFRICA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Realized The Enterprise Co., Ltd.</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Refinery of Seemine Gold Co., Ltd.</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REMONDIS PMR B.V.</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NETHERLANDS</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Republic Metals Corporation</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Rio Tinto Group</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AUSTRALIA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Royal Canadian Mint</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CANADA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SAAMP</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FRANCE</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Sabin Metal Corp.</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Safimet S.p.A</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ITALY</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SAFINA A.S.</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CZECHIA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Sai Refinery</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Sam Precious Metals</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ARAB EMIRATES</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Samduck Precious Metals</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Samwon Metals Corp.</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Sancus ZFS (L’Orfebre, SA)</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COLOMBIA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SAXONIA Edelmetalle GmbH</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GERMANY</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Pr>
          <w:p>
            <w:pPr>
              <w:ind w:left="360"/>
              <w:spacing w:after="0"/>
              <w:rPr>
                <w:sz w:val="20"/>
                <w:szCs w:val="20"/>
                <w:color w:val="auto"/>
              </w:rPr>
            </w:pPr>
            <w:r>
              <w:rPr>
                <w:rFonts w:ascii="Arial" w:cs="Arial" w:eastAsia="Arial" w:hAnsi="Arial"/>
                <w:sz w:val="16"/>
                <w:szCs w:val="16"/>
                <w:color w:val="auto"/>
              </w:rPr>
              <w:t>Schone Edelmetaal B.V.</w:t>
            </w:r>
          </w:p>
        </w:tc>
        <w:tc>
          <w:tcPr>
            <w:tcW w:w="35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NETHERLANDS</w:t>
            </w:r>
          </w:p>
        </w:tc>
      </w:tr>
      <w:tr>
        <w:trPr>
          <w:trHeight w:val="217"/>
        </w:trPr>
        <w:tc>
          <w:tcPr>
            <w:tcW w:w="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6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ScotiaMocatta, The Bank of Nova Scotia</w:t>
            </w:r>
          </w:p>
        </w:tc>
        <w:tc>
          <w:tcPr>
            <w:tcW w:w="35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HONG KONG</w:t>
            </w:r>
          </w:p>
        </w:tc>
      </w:tr>
    </w:tbl>
    <w:p>
      <w:pPr>
        <w:sectPr>
          <w:pgSz w:w="11900" w:h="16838" w:orient="portrait"/>
          <w:cols w:equalWidth="0" w:num="1">
            <w:col w:w="11060"/>
          </w:cols>
          <w:pgMar w:left="320" w:top="916" w:right="5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20" w:type="dxa"/>
            <w:vAlign w:val="bottom"/>
            <w:tcBorders>
              <w:top w:val="single" w:sz="8" w:color="auto"/>
              <w:left w:val="single" w:sz="8" w:color="auto"/>
              <w:bottom w:val="single" w:sz="8" w:color="auto"/>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220" w:type="dxa"/>
            <w:vAlign w:val="bottom"/>
            <w:tcBorders>
              <w:top w:val="single" w:sz="8" w:color="auto"/>
              <w:bottom w:val="single" w:sz="8" w:color="auto"/>
            </w:tcBorders>
            <w:shd w:val="clear" w:color="auto" w:fill="0070C0"/>
          </w:tcPr>
          <w:p>
            <w:pPr>
              <w:ind w:left="360"/>
              <w:spacing w:after="0"/>
              <w:rPr>
                <w:sz w:val="20"/>
                <w:szCs w:val="20"/>
                <w:color w:val="auto"/>
              </w:rPr>
            </w:pPr>
            <w:r>
              <w:rPr>
                <w:rFonts w:ascii="Arial" w:cs="Arial" w:eastAsia="Arial" w:hAnsi="Arial"/>
                <w:sz w:val="16"/>
                <w:szCs w:val="16"/>
                <w:b w:val="1"/>
                <w:bCs w:val="1"/>
                <w:color w:val="FFFFFF"/>
              </w:rPr>
              <w:t>Smelter or Refiner Name</w:t>
            </w:r>
          </w:p>
        </w:tc>
        <w:tc>
          <w:tcPr>
            <w:tcW w:w="4020" w:type="dxa"/>
            <w:vAlign w:val="bottom"/>
            <w:tcBorders>
              <w:top w:val="single" w:sz="8" w:color="auto"/>
              <w:bottom w:val="single" w:sz="8" w:color="auto"/>
              <w:right w:val="single" w:sz="8" w:color="auto"/>
            </w:tcBorders>
            <w:shd w:val="clear" w:color="auto" w:fill="0070C0"/>
          </w:tcPr>
          <w:p>
            <w:pPr>
              <w:ind w:left="86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Sellem Industries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MAURITANIA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SEMPSA Joyeria Plateria S.A.</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SPAIN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Shan Tou Shi Yong Yuan Jin Shu Zai Sheng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Shandon Jin Jinyin Refining Limited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Shandong Gold Smelting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Shandong Hengbang Smelter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Shandong Humon Smelting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Shandong Penglai Gold Smelter</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Shandong Tiancheng Biological Gold Industrial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Shandong Yanggu Xiangguang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Shandong Zhaojin Gold &amp; Silver Refinery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Shandong Zhongkuang Group Co.,Ltd.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Shang Hai Gold Exchange</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Shenzhen CuiLu Gold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Shenzhen Heng Zhong Industry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Shenzhen Zhonghenglong Real Industry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Shirpur Gold Refinery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Sichuan Tianze Precious Metals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Singway Technology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TAIWAN, PROVINCE OF 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Sino-Platinum Metals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So Accurate Group, Inc.</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SOE Shyolkovsky Factory of Secondary Precious Metals</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RUSSIAN FEDERATION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Solar Applied Materials Taiwan</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TAIWAN, PROVINCE OF 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Solar Applied Materials Technology Corp.</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TAIWAN, PROVINCE OF 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Sovereign Metals</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LITHUANIA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Sudan Gold Refinery</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SUDAN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Sumitomo Metal Mining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SungEel HiMetal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Suntain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TAIWAN, PROVINCE OF 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Super Dragon Technology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TAIWAN, PROVINCE OF 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SuZhou ShenChuang Recycling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Suzhou Xingrui Noble</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T.C.A S.p.A</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ITALY</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Tai Perng</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TAIWAN TOTAI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TAIWAN, PROVINCE OF 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Tanaka Kikinzoku Kogyo K.K.</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The Refinery of Shandong Gold Mining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Tokuriki Honten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JAPAN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Tongling Nonferrous Metals Group Co., Ltd.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TOO Tau-Ken-Altyn</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KAZAKHSTAN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Torecom</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Tsai Brother Industries</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TAIWAN, PROVINCE OF 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TSK Pretech</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KOREA, REPUBLIC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Umicore Brasil Ltda.</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BRAZIL</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Umicore Precious Metals Thailand</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THAILAND</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Pr>
          <w:p>
            <w:pPr>
              <w:ind w:left="360"/>
              <w:spacing w:after="0"/>
              <w:rPr>
                <w:sz w:val="20"/>
                <w:szCs w:val="20"/>
                <w:color w:val="auto"/>
              </w:rPr>
            </w:pPr>
            <w:r>
              <w:rPr>
                <w:rFonts w:ascii="Arial" w:cs="Arial" w:eastAsia="Arial" w:hAnsi="Arial"/>
                <w:sz w:val="16"/>
                <w:szCs w:val="16"/>
                <w:color w:val="auto"/>
              </w:rPr>
              <w:t>Umicore S.A. Business Unit Precious Metals Refining</w:t>
            </w:r>
          </w:p>
        </w:tc>
        <w:tc>
          <w:tcPr>
            <w:tcW w:w="4020" w:type="dxa"/>
            <w:vAlign w:val="bottom"/>
            <w:tcBorders>
              <w:right w:val="single" w:sz="8" w:color="auto"/>
            </w:tcBorders>
          </w:tcPr>
          <w:p>
            <w:pPr>
              <w:ind w:left="860"/>
              <w:spacing w:after="0"/>
              <w:rPr>
                <w:sz w:val="20"/>
                <w:szCs w:val="20"/>
                <w:color w:val="auto"/>
              </w:rPr>
            </w:pPr>
            <w:r>
              <w:rPr>
                <w:rFonts w:ascii="Arial" w:cs="Arial" w:eastAsia="Arial" w:hAnsi="Arial"/>
                <w:sz w:val="16"/>
                <w:szCs w:val="16"/>
                <w:color w:val="auto"/>
              </w:rPr>
              <w:t>BELGIUM</w:t>
            </w:r>
          </w:p>
        </w:tc>
      </w:tr>
      <w:tr>
        <w:trPr>
          <w:trHeight w:val="217"/>
        </w:trPr>
        <w:tc>
          <w:tcPr>
            <w:tcW w:w="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Union Bank of Switzerland (UBS)</w:t>
            </w:r>
          </w:p>
        </w:tc>
        <w:tc>
          <w:tcPr>
            <w:tcW w:w="402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6"/>
                <w:szCs w:val="16"/>
                <w:color w:val="auto"/>
              </w:rPr>
              <w:t>SWITZERLAND</w:t>
            </w:r>
          </w:p>
        </w:tc>
      </w:tr>
    </w:tbl>
    <w:p>
      <w:pPr>
        <w:sectPr>
          <w:pgSz w:w="11900" w:h="16838" w:orient="portrait"/>
          <w:cols w:equalWidth="0" w:num="1">
            <w:col w:w="11060"/>
          </w:cols>
          <w:pgMar w:left="320" w:top="916" w:right="5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60" w:type="dxa"/>
            <w:vAlign w:val="bottom"/>
            <w:tcBorders>
              <w:top w:val="single" w:sz="8" w:color="auto"/>
              <w:left w:val="single" w:sz="8" w:color="auto"/>
              <w:bottom w:val="single" w:sz="8" w:color="auto"/>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5640" w:type="dxa"/>
            <w:vAlign w:val="bottom"/>
            <w:tcBorders>
              <w:top w:val="single" w:sz="8" w:color="auto"/>
              <w:bottom w:val="single" w:sz="8" w:color="auto"/>
            </w:tcBorders>
            <w:shd w:val="clear" w:color="auto" w:fill="0070C0"/>
          </w:tcPr>
          <w:p>
            <w:pPr>
              <w:ind w:left="220"/>
              <w:spacing w:after="0"/>
              <w:rPr>
                <w:sz w:val="20"/>
                <w:szCs w:val="20"/>
                <w:color w:val="auto"/>
              </w:rPr>
            </w:pPr>
            <w:r>
              <w:rPr>
                <w:rFonts w:ascii="Arial" w:cs="Arial" w:eastAsia="Arial" w:hAnsi="Arial"/>
                <w:sz w:val="16"/>
                <w:szCs w:val="16"/>
                <w:b w:val="1"/>
                <w:bCs w:val="1"/>
                <w:color w:val="FFFFFF"/>
              </w:rPr>
              <w:t>Smelter or Refiner Name</w:t>
            </w:r>
          </w:p>
        </w:tc>
        <w:tc>
          <w:tcPr>
            <w:tcW w:w="4460" w:type="dxa"/>
            <w:vAlign w:val="bottom"/>
            <w:tcBorders>
              <w:top w:val="single" w:sz="8" w:color="auto"/>
              <w:bottom w:val="single" w:sz="8" w:color="auto"/>
              <w:right w:val="single" w:sz="8" w:color="auto"/>
            </w:tcBorders>
            <w:shd w:val="clear" w:color="auto" w:fill="0070C0"/>
          </w:tcPr>
          <w:p>
            <w:pPr>
              <w:ind w:left="1300"/>
              <w:spacing w:after="0"/>
              <w:rPr>
                <w:sz w:val="20"/>
                <w:szCs w:val="20"/>
                <w:color w:val="auto"/>
              </w:rPr>
            </w:pPr>
            <w:r>
              <w:rPr>
                <w:rFonts w:ascii="Arial" w:cs="Arial" w:eastAsia="Arial" w:hAnsi="Arial"/>
                <w:sz w:val="16"/>
                <w:szCs w:val="16"/>
                <w:b w:val="1"/>
                <w:bCs w:val="1"/>
                <w:color w:val="FFFFFF"/>
              </w:rPr>
              <w:t>Smelter or Refiner Country</w:t>
            </w:r>
          </w:p>
        </w:tc>
        <w:tc>
          <w:tcPr>
            <w:tcW w:w="0" w:type="dxa"/>
            <w:vAlign w:val="bottom"/>
          </w:tcPr>
          <w:p>
            <w:pPr>
              <w:spacing w:after="0"/>
              <w:rPr>
                <w:sz w:val="1"/>
                <w:szCs w:val="1"/>
                <w:color w:val="auto"/>
              </w:rPr>
            </w:pPr>
          </w:p>
        </w:tc>
      </w:tr>
      <w:tr>
        <w:trPr>
          <w:trHeight w:val="209"/>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United Precious Metal Refining, Inc.</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Universal Precious Metals Refining Zambia</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ZAMBIA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Valcambi S.A.</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Value Trading</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Viagra Di precious metals (Zhaoyuan) Co.,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WANG TING</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WEEEREFINING</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Western Australian Mint (The Perth Mint)</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WIELAND Edelmetalle GmbH</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Wuzhong Group</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Xiamen JInbo Metal Co.,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Xstrate Canada Corporation</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Yamakin Co.,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Yamato Denki Ind. Co.,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Yokohama Metal Co.,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Yunnan Copper Industry Co.,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Yunnan Gold Mining Group Co., Ltd. (YGMG)</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Zhaojun Maifu</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Zhe Jiang Guang Yuan Noble Metal Smelting Factory</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Zhongkuang Gold Industry Co.,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Zhongshan Hyper-Toxic Substance Monopolized Co.,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Zhongshan Poison Material Proprietary Co.,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Zhongyuan Gold Smelter of Zhongjin Gold Corporation</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Zhuhai Toxic Materials Monopoly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Zhuzhou Smelting Group Co.,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640" w:type="dxa"/>
            <w:vAlign w:val="bottom"/>
          </w:tcPr>
          <w:p>
            <w:pPr>
              <w:ind w:left="220"/>
              <w:spacing w:after="0"/>
              <w:rPr>
                <w:sz w:val="20"/>
                <w:szCs w:val="20"/>
                <w:color w:val="auto"/>
              </w:rPr>
            </w:pPr>
            <w:r>
              <w:rPr>
                <w:rFonts w:ascii="Arial" w:cs="Arial" w:eastAsia="Arial" w:hAnsi="Arial"/>
                <w:sz w:val="16"/>
                <w:szCs w:val="16"/>
                <w:color w:val="auto"/>
              </w:rPr>
              <w:t>Zijin Mining Group Co.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5D Production OU</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ESTONIA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AMG Brasil</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AMG Mining Mibra Mine</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ANHUI HERRMAN IMPEX CO.</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163"/>
        </w:trPr>
        <w:tc>
          <w:tcPr>
            <w:tcW w:w="96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vMerge w:val="restart"/>
          </w:tcPr>
          <w:p>
            <w:pPr>
              <w:ind w:left="220"/>
              <w:spacing w:after="0"/>
              <w:rPr>
                <w:sz w:val="20"/>
                <w:szCs w:val="20"/>
                <w:color w:val="auto"/>
              </w:rPr>
            </w:pPr>
            <w:r>
              <w:rPr>
                <w:rFonts w:ascii="Arial" w:cs="Arial" w:eastAsia="Arial" w:hAnsi="Arial"/>
                <w:sz w:val="16"/>
                <w:szCs w:val="16"/>
                <w:color w:val="auto"/>
              </w:rPr>
              <w:t>Avon Specialty Metals Ltd.</w:t>
            </w:r>
          </w:p>
        </w:tc>
        <w:tc>
          <w:tcPr>
            <w:tcW w:w="4460" w:type="dxa"/>
            <w:vAlign w:val="bottom"/>
            <w:tcBorders>
              <w:right w:val="single" w:sz="8" w:color="auto"/>
            </w:tcBorders>
          </w:tcPr>
          <w:p>
            <w:pPr>
              <w:ind w:left="1300"/>
              <w:spacing w:after="0" w:line="163" w:lineRule="exact"/>
              <w:rPr>
                <w:sz w:val="20"/>
                <w:szCs w:val="20"/>
                <w:color w:val="auto"/>
              </w:rPr>
            </w:pPr>
            <w:r>
              <w:rPr>
                <w:rFonts w:ascii="Arial" w:cs="Arial" w:eastAsia="Arial" w:hAnsi="Arial"/>
                <w:sz w:val="16"/>
                <w:szCs w:val="16"/>
                <w:color w:val="auto"/>
              </w:rPr>
              <w:t>UNITED KINGDOM OF GREAT BRITAIN</w:t>
            </w:r>
          </w:p>
        </w:tc>
        <w:tc>
          <w:tcPr>
            <w:tcW w:w="0" w:type="dxa"/>
            <w:vAlign w:val="bottom"/>
          </w:tcPr>
          <w:p>
            <w:pPr>
              <w:spacing w:after="0"/>
              <w:rPr>
                <w:sz w:val="1"/>
                <w:szCs w:val="1"/>
                <w:color w:val="auto"/>
              </w:rPr>
            </w:pPr>
          </w:p>
        </w:tc>
      </w:tr>
      <w:tr>
        <w:trPr>
          <w:trHeight w:val="141"/>
        </w:trPr>
        <w:tc>
          <w:tcPr>
            <w:tcW w:w="960" w:type="dxa"/>
            <w:vAlign w:val="bottom"/>
            <w:tcBorders>
              <w:left w:val="single" w:sz="8" w:color="auto"/>
            </w:tcBorders>
            <w:vMerge w:val="continue"/>
          </w:tcPr>
          <w:p>
            <w:pPr>
              <w:spacing w:after="0"/>
              <w:rPr>
                <w:sz w:val="12"/>
                <w:szCs w:val="12"/>
                <w:color w:val="auto"/>
              </w:rPr>
            </w:pPr>
          </w:p>
        </w:tc>
        <w:tc>
          <w:tcPr>
            <w:tcW w:w="5640" w:type="dxa"/>
            <w:vAlign w:val="bottom"/>
            <w:vMerge w:val="continue"/>
          </w:tcPr>
          <w:p>
            <w:pPr>
              <w:spacing w:after="0"/>
              <w:rPr>
                <w:sz w:val="12"/>
                <w:szCs w:val="12"/>
                <w:color w:val="auto"/>
              </w:rPr>
            </w:pPr>
          </w:p>
        </w:tc>
        <w:tc>
          <w:tcPr>
            <w:tcW w:w="4460" w:type="dxa"/>
            <w:vAlign w:val="bottom"/>
            <w:tcBorders>
              <w:right w:val="single" w:sz="8" w:color="auto"/>
            </w:tcBorders>
            <w:vMerge w:val="restart"/>
          </w:tcPr>
          <w:p>
            <w:pPr>
              <w:ind w:left="1300"/>
              <w:spacing w:after="0"/>
              <w:rPr>
                <w:sz w:val="20"/>
                <w:szCs w:val="20"/>
                <w:color w:val="auto"/>
              </w:rPr>
            </w:pPr>
            <w:r>
              <w:rPr>
                <w:rFonts w:ascii="Arial" w:cs="Arial" w:eastAsia="Arial" w:hAnsi="Arial"/>
                <w:sz w:val="16"/>
                <w:szCs w:val="16"/>
                <w:color w:val="auto"/>
              </w:rPr>
              <w:t>AND NORTHERN IRELAND</w:t>
            </w:r>
          </w:p>
        </w:tc>
        <w:tc>
          <w:tcPr>
            <w:tcW w:w="0" w:type="dxa"/>
            <w:vAlign w:val="bottom"/>
          </w:tcPr>
          <w:p>
            <w:pPr>
              <w:spacing w:after="0"/>
              <w:rPr>
                <w:sz w:val="1"/>
                <w:szCs w:val="1"/>
                <w:color w:val="auto"/>
              </w:rPr>
            </w:pPr>
          </w:p>
        </w:tc>
      </w:tr>
      <w:tr>
        <w:trPr>
          <w:trHeight w:val="74"/>
        </w:trPr>
        <w:tc>
          <w:tcPr>
            <w:tcW w:w="960" w:type="dxa"/>
            <w:vAlign w:val="bottom"/>
            <w:tcBorders>
              <w:left w:val="single" w:sz="8" w:color="auto"/>
            </w:tcBorders>
          </w:tcPr>
          <w:p>
            <w:pPr>
              <w:spacing w:after="0"/>
              <w:rPr>
                <w:sz w:val="6"/>
                <w:szCs w:val="6"/>
                <w:color w:val="auto"/>
              </w:rPr>
            </w:pPr>
          </w:p>
        </w:tc>
        <w:tc>
          <w:tcPr>
            <w:tcW w:w="5640" w:type="dxa"/>
            <w:vAlign w:val="bottom"/>
          </w:tcPr>
          <w:p>
            <w:pPr>
              <w:spacing w:after="0"/>
              <w:rPr>
                <w:sz w:val="6"/>
                <w:szCs w:val="6"/>
                <w:color w:val="auto"/>
              </w:rPr>
            </w:pPr>
          </w:p>
        </w:tc>
        <w:tc>
          <w:tcPr>
            <w:tcW w:w="44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Changsha South Tantalum Niobium Co.,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Chofu Works</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CNMC (Guangxi) PGMA Co.,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CP Metals Inc.</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CV Dua Sekawan</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CV Gita Pesona</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CV United Smelting</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D Block Metals, LLC</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Dongguan City Xida Soldering Tin Products Co.</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Duoluoshan</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E.S.R. Electronics</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Exotech Inc.</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F&amp;X Electro-Materials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FIR Metals &amp; Resource Ltd.</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Pr>
          <w:p>
            <w:pPr>
              <w:ind w:left="220"/>
              <w:spacing w:after="0"/>
              <w:rPr>
                <w:sz w:val="20"/>
                <w:szCs w:val="20"/>
                <w:color w:val="auto"/>
              </w:rPr>
            </w:pPr>
            <w:r>
              <w:rPr>
                <w:rFonts w:ascii="Arial" w:cs="Arial" w:eastAsia="Arial" w:hAnsi="Arial"/>
                <w:sz w:val="16"/>
                <w:szCs w:val="16"/>
                <w:color w:val="auto"/>
              </w:rPr>
              <w:t>Fuji Metal Mining Corp.</w:t>
            </w:r>
          </w:p>
        </w:tc>
        <w:tc>
          <w:tcPr>
            <w:tcW w:w="4460" w:type="dxa"/>
            <w:vAlign w:val="bottom"/>
            <w:tcBorders>
              <w:right w:val="single" w:sz="8" w:color="auto"/>
            </w:tcBorders>
          </w:tcPr>
          <w:p>
            <w:pPr>
              <w:ind w:left="13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7"/>
        </w:trPr>
        <w:tc>
          <w:tcPr>
            <w:tcW w:w="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6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Furuuchi Chemical Corporation</w:t>
            </w:r>
          </w:p>
        </w:tc>
        <w:tc>
          <w:tcPr>
            <w:tcW w:w="446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bl>
    <w:p>
      <w:pPr>
        <w:sectPr>
          <w:pgSz w:w="11900" w:h="16838" w:orient="portrait"/>
          <w:cols w:equalWidth="0" w:num="1">
            <w:col w:w="11060"/>
          </w:cols>
          <w:pgMar w:left="320" w:top="916" w:right="5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60" w:type="dxa"/>
            <w:vAlign w:val="bottom"/>
            <w:tcBorders>
              <w:top w:val="single" w:sz="8" w:color="auto"/>
              <w:left w:val="single" w:sz="8" w:color="auto"/>
              <w:bottom w:val="single" w:sz="8" w:color="auto"/>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5540" w:type="dxa"/>
            <w:vAlign w:val="bottom"/>
            <w:tcBorders>
              <w:top w:val="single" w:sz="8" w:color="auto"/>
              <w:bottom w:val="single" w:sz="8" w:color="auto"/>
            </w:tcBorders>
            <w:shd w:val="clear" w:color="auto" w:fill="0070C0"/>
          </w:tcPr>
          <w:p>
            <w:pPr>
              <w:ind w:left="220"/>
              <w:spacing w:after="0"/>
              <w:rPr>
                <w:sz w:val="20"/>
                <w:szCs w:val="20"/>
                <w:color w:val="auto"/>
              </w:rPr>
            </w:pPr>
            <w:r>
              <w:rPr>
                <w:rFonts w:ascii="Arial" w:cs="Arial" w:eastAsia="Arial" w:hAnsi="Arial"/>
                <w:sz w:val="16"/>
                <w:szCs w:val="16"/>
                <w:b w:val="1"/>
                <w:bCs w:val="1"/>
                <w:color w:val="FFFFFF"/>
              </w:rPr>
              <w:t>Smelter or Refiner Name</w:t>
            </w:r>
          </w:p>
        </w:tc>
        <w:tc>
          <w:tcPr>
            <w:tcW w:w="4560" w:type="dxa"/>
            <w:vAlign w:val="bottom"/>
            <w:tcBorders>
              <w:top w:val="single" w:sz="8" w:color="auto"/>
              <w:bottom w:val="single" w:sz="8" w:color="auto"/>
              <w:right w:val="single" w:sz="8" w:color="auto"/>
            </w:tcBorders>
            <w:shd w:val="clear" w:color="auto" w:fill="0070C0"/>
          </w:tcPr>
          <w:p>
            <w:pPr>
              <w:ind w:left="140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Ganzhou Beseem Ferrotungsten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Ganzhou Yatai Tungsten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Gejiu Fengming Metallurgy Chemical Plant</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Gejiu Jinye Mineral Company</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Gejiu Yunxi Group Corp.</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Global Advanced Metals Aizu</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JAPAN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Global Advanced Metals Boyertown</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Guangdong Rising Rare Metals-EO Materials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Guangdong Zhiyuan New Material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GUANGXI HUA TIN GOLD MINUTE FEE,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Guangxi Nonferrous Metals Group</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Guangxi Zhongshan Jin Yi Smelting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Guanyang Guida Nonferrous Metal Smelting Plant</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Guizhou Zhenhua Xinyun Technology Ltd., Kaili branch</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H.C. Starck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THAILAND</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H.C. Starck Hermsdorf GmbH</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GERMANY</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H.C. Starck Inc.</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H.C. Starck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JAPAN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H.C. Starck Smelting GmbH &amp; Co. KG</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GERMANY</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H.C. Starck Tantalum and Niobium GmbH</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GERMANY</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Hengyang King Xing Lifeng New Materials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Hezhou Jinwei Tin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Hi-Temp Specialty Metals, Inc.</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Hongqiao Metals (Kunshan)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Huichang Jinshunda Tin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ICD Alloys &amp; Metals</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Jiangxi Dinghai Tantalum &amp; Niobium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Jiangxi Ketai Advanced Material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Jiangxi Tuohong New Raw Material</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Jiangxi Xianglu Tungsten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Jiangxi Yaosheng Tungsten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Jiujiang Janny New Material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JiuJiang JinXin Nonferrous Metals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Jiujiang Tanbre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Jiujiang Zhongao Tantalum &amp; Niobium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Ju Tai Industrial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KEMET Blue Metals</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MEXICO</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KEMET Blue Powder</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KEMET de Mexico</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MEXICO</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King-Tan Tantalum Industry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Kmeta Materials</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NORTH MACEDONIA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LIAN JING</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LSM Brasil S.A.</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BRAZIL</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M/s ECO Tropical Resources</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SINGAPORE</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Ma An Shan Shu Guang Smelter Corp.</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Materials Eco-Refining Co., LTD.</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Pr>
          <w:p>
            <w:pPr>
              <w:ind w:left="220"/>
              <w:spacing w:after="0"/>
              <w:rPr>
                <w:sz w:val="20"/>
                <w:szCs w:val="20"/>
                <w:color w:val="auto"/>
              </w:rPr>
            </w:pPr>
            <w:r>
              <w:rPr>
                <w:rFonts w:ascii="Arial" w:cs="Arial" w:eastAsia="Arial" w:hAnsi="Arial"/>
                <w:sz w:val="16"/>
                <w:szCs w:val="16"/>
                <w:color w:val="auto"/>
              </w:rPr>
              <w:t>Materion Newton Inc.</w:t>
            </w:r>
          </w:p>
        </w:tc>
        <w:tc>
          <w:tcPr>
            <w:tcW w:w="4560" w:type="dxa"/>
            <w:vAlign w:val="bottom"/>
            <w:tcBorders>
              <w:right w:val="single" w:sz="8" w:color="auto"/>
            </w:tcBorders>
          </w:tcPr>
          <w:p>
            <w:pPr>
              <w:ind w:left="1400"/>
              <w:spacing w:after="0"/>
              <w:rPr>
                <w:sz w:val="20"/>
                <w:szCs w:val="20"/>
                <w:color w:val="auto"/>
              </w:rPr>
            </w:pPr>
            <w:r>
              <w:rPr>
                <w:rFonts w:ascii="Arial" w:cs="Arial" w:eastAsia="Arial" w:hAnsi="Arial"/>
                <w:sz w:val="16"/>
                <w:szCs w:val="16"/>
                <w:color w:val="auto"/>
              </w:rPr>
              <w:t>UNITED STATES OF AMERICA</w:t>
            </w:r>
          </w:p>
        </w:tc>
      </w:tr>
      <w:tr>
        <w:trPr>
          <w:trHeight w:val="217"/>
        </w:trPr>
        <w:tc>
          <w:tcPr>
            <w:tcW w:w="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Meta Materials</w:t>
            </w:r>
          </w:p>
        </w:tc>
        <w:tc>
          <w:tcPr>
            <w:tcW w:w="4560" w:type="dxa"/>
            <w:vAlign w:val="bottom"/>
            <w:tcBorders>
              <w:bottom w:val="single" w:sz="8" w:color="auto"/>
              <w:right w:val="single" w:sz="8" w:color="auto"/>
            </w:tcBorders>
          </w:tcPr>
          <w:p>
            <w:pPr>
              <w:ind w:left="1400"/>
              <w:spacing w:after="0"/>
              <w:rPr>
                <w:sz w:val="20"/>
                <w:szCs w:val="20"/>
                <w:color w:val="auto"/>
              </w:rPr>
            </w:pPr>
            <w:r>
              <w:rPr>
                <w:rFonts w:ascii="Arial" w:cs="Arial" w:eastAsia="Arial" w:hAnsi="Arial"/>
                <w:sz w:val="16"/>
                <w:szCs w:val="16"/>
                <w:color w:val="auto"/>
              </w:rPr>
              <w:t>NORTH MACEDONIA</w:t>
            </w:r>
          </w:p>
        </w:tc>
      </w:tr>
    </w:tbl>
    <w:p>
      <w:pPr>
        <w:sectPr>
          <w:pgSz w:w="11900" w:h="16838" w:orient="portrait"/>
          <w:cols w:equalWidth="0" w:num="1">
            <w:col w:w="11060"/>
          </w:cols>
          <w:pgMar w:left="320" w:top="916" w:right="5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60" w:type="dxa"/>
            <w:vAlign w:val="bottom"/>
            <w:tcBorders>
              <w:top w:val="single" w:sz="8" w:color="auto"/>
              <w:left w:val="single" w:sz="8" w:color="auto"/>
              <w:bottom w:val="single" w:sz="8" w:color="auto"/>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480" w:type="dxa"/>
            <w:vAlign w:val="bottom"/>
            <w:tcBorders>
              <w:top w:val="single" w:sz="8" w:color="auto"/>
              <w:bottom w:val="single" w:sz="8" w:color="auto"/>
            </w:tcBorders>
            <w:shd w:val="clear" w:color="auto" w:fill="0070C0"/>
          </w:tcPr>
          <w:p>
            <w:pPr>
              <w:ind w:left="220"/>
              <w:spacing w:after="0"/>
              <w:rPr>
                <w:sz w:val="20"/>
                <w:szCs w:val="20"/>
                <w:color w:val="auto"/>
              </w:rPr>
            </w:pPr>
            <w:r>
              <w:rPr>
                <w:rFonts w:ascii="Arial" w:cs="Arial" w:eastAsia="Arial" w:hAnsi="Arial"/>
                <w:sz w:val="16"/>
                <w:szCs w:val="16"/>
                <w:b w:val="1"/>
                <w:bCs w:val="1"/>
                <w:color w:val="FFFFFF"/>
              </w:rPr>
              <w:t>Smelter or Refiner Name</w:t>
            </w:r>
          </w:p>
        </w:tc>
        <w:tc>
          <w:tcPr>
            <w:tcW w:w="3620" w:type="dxa"/>
            <w:vAlign w:val="bottom"/>
            <w:tcBorders>
              <w:top w:val="single" w:sz="8" w:color="auto"/>
              <w:bottom w:val="single" w:sz="8" w:color="auto"/>
              <w:right w:val="single" w:sz="8" w:color="auto"/>
            </w:tcBorders>
            <w:shd w:val="clear" w:color="auto" w:fill="0070C0"/>
          </w:tcPr>
          <w:p>
            <w:pPr>
              <w:ind w:left="46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Metahub Industries Sdn. Bhd.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MALAYSIA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Metallurgical Products India Pvt.,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INDIA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Minchali Metal Industry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TAIWAN, PROVINCE OF 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Mineracao Taboca S.A.</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BRAZIL</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Ming Li Jia Smelt Metal Factory</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Nantong Tongjie Electrical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Ningxia Orient Tantalum Industry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NPM Silmet AS</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ESTONIA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Plansee SE Reutte</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AUSTRIA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PM Kalco Inc</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PowerX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RWANDA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PT DS Jaya Abadi</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PT Eunindo Usaha Mandiri</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PT Inti Stania Prima</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PT Karimun Mining</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PT Kijang Jaya Mandiri</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PT Lautan Harmonis Sejahtera</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PT Natari</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PT Sumber Jaya Indah</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QSIL Metals Hermsdorf GmbH</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GERMANY</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QuantumClean</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Resind Industria e Comercio Ltda.</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BRAZIL</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RFH Metals &amp; Chemicals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RFH Tantalum Smeltery Co., Ltd./Yanling Jincheng Tantalum &amp; Niobium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RFH Tantalum Smeltery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RFH Yancheng Jinye New Material Technology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Shanghai Jiangxi Metals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Shenzhen Hong Chang Metal Manufacturing Factory</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Sichuan Guanghan Jiangnan Casting Smelters</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Sigma Tin Alloy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Solikamsk Magnesium Works OAO</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RUSSIAN FEDERATION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South-East Nonferrous Metal Company Limited of Hengyang City</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Spectro Alloys Corp.</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Suzhou Nuonengda Chemical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Taicang City Nancang Metal Material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Taike Technology(Suzhou)Co.,Ltd.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Taiwan High-Tech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TAIWAN, PROVINCE OF 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Taiwan's Lofty Enterprises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TAIWAN, PROVINCE OF 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Taki Chemical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JAPAN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TANIOBIS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THAILAND</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TANIOBIS GmbH</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GERMANY</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TANIOBIS Japan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JAPAN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TANIOBIS Smelting GmbH &amp; Co. KG</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GERMANY</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Telex Metals</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Tianshui Ling Bo Technology Co., Ltd.</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Pr>
          <w:p>
            <w:pPr>
              <w:ind w:left="220"/>
              <w:spacing w:after="0"/>
              <w:rPr>
                <w:sz w:val="20"/>
                <w:szCs w:val="20"/>
                <w:color w:val="auto"/>
              </w:rPr>
            </w:pPr>
            <w:r>
              <w:rPr>
                <w:rFonts w:ascii="Arial" w:cs="Arial" w:eastAsia="Arial" w:hAnsi="Arial"/>
                <w:sz w:val="16"/>
                <w:szCs w:val="16"/>
                <w:color w:val="auto"/>
              </w:rPr>
              <w:t>TIN PLATING GEJIU</w:t>
            </w:r>
          </w:p>
        </w:tc>
        <w:tc>
          <w:tcPr>
            <w:tcW w:w="36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r>
        <w:trPr>
          <w:trHeight w:val="217"/>
        </w:trPr>
        <w:tc>
          <w:tcPr>
            <w:tcW w:w="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4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Top-Team Technology (Shenzhen) Ltd.</w:t>
            </w:r>
          </w:p>
        </w:tc>
        <w:tc>
          <w:tcPr>
            <w:tcW w:w="36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6"/>
                <w:szCs w:val="16"/>
                <w:color w:val="auto"/>
              </w:rPr>
              <w:t>CHINA</w:t>
            </w:r>
          </w:p>
        </w:tc>
      </w:tr>
    </w:tbl>
    <w:p>
      <w:pPr>
        <w:sectPr>
          <w:pgSz w:w="11900" w:h="16838" w:orient="portrait"/>
          <w:cols w:equalWidth="0" w:num="1">
            <w:col w:w="11060"/>
          </w:cols>
          <w:pgMar w:left="320" w:top="916" w:right="5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60" w:type="dxa"/>
            <w:vAlign w:val="bottom"/>
            <w:tcBorders>
              <w:top w:val="single" w:sz="8" w:color="auto"/>
              <w:left w:val="single" w:sz="8" w:color="auto"/>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40" w:type="dxa"/>
            <w:vAlign w:val="bottom"/>
            <w:tcBorders>
              <w:top w:val="single" w:sz="8" w:color="auto"/>
            </w:tcBorders>
            <w:shd w:val="clear" w:color="auto" w:fill="0070C0"/>
          </w:tcPr>
          <w:p>
            <w:pPr>
              <w:ind w:left="220"/>
              <w:spacing w:after="0"/>
              <w:rPr>
                <w:sz w:val="20"/>
                <w:szCs w:val="20"/>
                <w:color w:val="auto"/>
              </w:rPr>
            </w:pPr>
            <w:r>
              <w:rPr>
                <w:rFonts w:ascii="Arial" w:cs="Arial" w:eastAsia="Arial" w:hAnsi="Arial"/>
                <w:sz w:val="16"/>
                <w:szCs w:val="16"/>
                <w:b w:val="1"/>
                <w:bCs w:val="1"/>
                <w:color w:val="FFFFFF"/>
              </w:rPr>
              <w:t>Smelter or Refiner Name</w:t>
            </w:r>
          </w:p>
        </w:tc>
        <w:tc>
          <w:tcPr>
            <w:tcW w:w="3360" w:type="dxa"/>
            <w:vAlign w:val="bottom"/>
            <w:tcBorders>
              <w:top w:val="single" w:sz="8" w:color="auto"/>
              <w:right w:val="single" w:sz="8" w:color="auto"/>
            </w:tcBorders>
            <w:shd w:val="clear" w:color="auto" w:fill="0070C0"/>
          </w:tcPr>
          <w:p>
            <w:pPr>
              <w:ind w:left="200"/>
              <w:spacing w:after="0"/>
              <w:rPr>
                <w:sz w:val="20"/>
                <w:szCs w:val="20"/>
                <w:color w:val="auto"/>
              </w:rPr>
            </w:pPr>
            <w:r>
              <w:rPr>
                <w:rFonts w:ascii="Arial" w:cs="Arial" w:eastAsia="Arial" w:hAnsi="Arial"/>
                <w:sz w:val="16"/>
                <w:szCs w:val="16"/>
                <w:b w:val="1"/>
                <w:bCs w:val="1"/>
                <w:color w:val="FFFFFF"/>
              </w:rPr>
              <w:t>Smelter or Refiner Country</w:t>
            </w:r>
          </w:p>
        </w:tc>
      </w:tr>
      <w:tr>
        <w:trPr>
          <w:trHeight w:val="215"/>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Tranzact, Inc.</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Ulba Metallurgical Plant JSC</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KAZAKHSTAN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ULVAC Inc.</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JAPAN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V&amp;D New Materials (Jiangsu)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Vietnam Youngsun Tungsten Industry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VIETNAM</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WUJIANG CITY LUXE TIN FACTORY</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Xianghualing Tin Industry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XIMEI RESOURCES (GUANGDONG) LIMITED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XIMEI RESOURCES(GUIZHOU) TECHNOLOGY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Xin Furukawa Metal ( Wuxi )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Xinhai Rendan Shaoguan Tungsten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XinXing HaoRong Electronic Material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XURI</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Yanling Jincheng Tantalum &amp; Niobium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Yichun Jin Yang Rare Metal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Yifeng Tin</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Yuecheng Tin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Yunnan Chengo Electric Smelting Plant</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Yunnan Copper Zinc Industry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Yunnan Industrial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Yunnan Malipo Baiyi Kuangye Co.</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Zhangzhou Chuen Bao Apt Smeltery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40" w:type="dxa"/>
            <w:vAlign w:val="bottom"/>
          </w:tcPr>
          <w:p>
            <w:pPr>
              <w:ind w:left="220"/>
              <w:spacing w:after="0"/>
              <w:rPr>
                <w:sz w:val="20"/>
                <w:szCs w:val="20"/>
                <w:color w:val="auto"/>
              </w:rPr>
            </w:pPr>
            <w:r>
              <w:rPr>
                <w:rFonts w:ascii="Arial" w:cs="Arial" w:eastAsia="Arial" w:hAnsi="Arial"/>
                <w:sz w:val="16"/>
                <w:szCs w:val="16"/>
                <w:color w:val="auto"/>
              </w:rPr>
              <w:t>Zhuzhou Cemented Carbide Group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Alpha</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American Iron and Metal</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CANADA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An Thai Minerals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VIETNAM</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An Vinh Joint Stock Mineral Processing Company</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VIETNAM</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Arco Alloys</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Aurubis Beerse</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BELGIUM</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Aurubis Berango</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SPAIN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Chenzhou Yunxiang Mining and Metallurgy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Chifeng Dajingzi Tin Industry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China Tin Group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CNMC (Guangxi) PGMA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Cooperativa Metalurgica de Rondonia Ltda.</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BRAZIL</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CRM Fundicao De Metais E Comercio De Equipamentos Eletronicos Do Brasil Ltda</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BRAZIL</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CRM Synergies</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SPAIN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CV Ayi Jaya</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CV Duta Putra Bangka</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CV Makmur Jaya</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CV Venus Inti Perkasa</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INDONESIA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DONG GUAN SHI XI DA HAN XI PRODUCT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Dongguan CiEXPO Environmental Engineering Co., Ltd.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Dragon Silver Holdings Limited</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DS Myanmar</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MYANMAR</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Pr>
          <w:p>
            <w:pPr>
              <w:ind w:left="220"/>
              <w:spacing w:after="0"/>
              <w:rPr>
                <w:sz w:val="20"/>
                <w:szCs w:val="20"/>
                <w:color w:val="auto"/>
              </w:rPr>
            </w:pPr>
            <w:r>
              <w:rPr>
                <w:rFonts w:ascii="Arial" w:cs="Arial" w:eastAsia="Arial" w:hAnsi="Arial"/>
                <w:sz w:val="16"/>
                <w:szCs w:val="16"/>
                <w:color w:val="auto"/>
              </w:rPr>
              <w:t>Electro-Mechanical Facility of the Cao Bang Minerals &amp; Metallurgy Joint Stock Company</w:t>
            </w:r>
          </w:p>
        </w:tc>
        <w:tc>
          <w:tcPr>
            <w:tcW w:w="33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VIETNAM</w:t>
            </w:r>
          </w:p>
        </w:tc>
      </w:tr>
      <w:tr>
        <w:trPr>
          <w:trHeight w:val="217"/>
        </w:trPr>
        <w:tc>
          <w:tcPr>
            <w:tcW w:w="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EM Vinto</w:t>
            </w:r>
          </w:p>
        </w:tc>
        <w:tc>
          <w:tcPr>
            <w:tcW w:w="3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BOLIVIA (PLURINATIONAL STATE OF)</w:t>
            </w:r>
          </w:p>
        </w:tc>
      </w:tr>
    </w:tbl>
    <w:p>
      <w:pPr>
        <w:sectPr>
          <w:pgSz w:w="11900" w:h="16838" w:orient="portrait"/>
          <w:cols w:equalWidth="0" w:num="1">
            <w:col w:w="11060"/>
          </w:cols>
          <w:pgMar w:left="320" w:top="916" w:right="5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20" w:type="dxa"/>
            <w:vAlign w:val="bottom"/>
            <w:tcBorders>
              <w:top w:val="single" w:sz="8" w:color="auto"/>
              <w:left w:val="single" w:sz="8" w:color="auto"/>
              <w:bottom w:val="single" w:sz="8" w:color="auto"/>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5560" w:type="dxa"/>
            <w:vAlign w:val="bottom"/>
            <w:tcBorders>
              <w:top w:val="single" w:sz="8" w:color="auto"/>
              <w:bottom w:val="single" w:sz="8" w:color="auto"/>
            </w:tcBorders>
            <w:shd w:val="clear" w:color="auto" w:fill="0070C0"/>
          </w:tcPr>
          <w:p>
            <w:pPr>
              <w:ind w:left="360"/>
              <w:spacing w:after="0"/>
              <w:rPr>
                <w:sz w:val="20"/>
                <w:szCs w:val="20"/>
                <w:color w:val="auto"/>
              </w:rPr>
            </w:pPr>
            <w:r>
              <w:rPr>
                <w:rFonts w:ascii="Arial" w:cs="Arial" w:eastAsia="Arial" w:hAnsi="Arial"/>
                <w:sz w:val="16"/>
                <w:szCs w:val="16"/>
                <w:b w:val="1"/>
                <w:bCs w:val="1"/>
                <w:color w:val="FFFFFF"/>
              </w:rPr>
              <w:t>Smelter or Refiner Name</w:t>
            </w:r>
          </w:p>
        </w:tc>
        <w:tc>
          <w:tcPr>
            <w:tcW w:w="4680" w:type="dxa"/>
            <w:vAlign w:val="bottom"/>
            <w:tcBorders>
              <w:top w:val="single" w:sz="8" w:color="auto"/>
              <w:bottom w:val="single" w:sz="8" w:color="auto"/>
              <w:right w:val="single" w:sz="8" w:color="auto"/>
            </w:tcBorders>
            <w:shd w:val="clear" w:color="auto" w:fill="0070C0"/>
          </w:tcPr>
          <w:p>
            <w:pPr>
              <w:ind w:left="1520"/>
              <w:spacing w:after="0"/>
              <w:rPr>
                <w:sz w:val="20"/>
                <w:szCs w:val="20"/>
                <w:color w:val="auto"/>
              </w:rPr>
            </w:pPr>
            <w:r>
              <w:rPr>
                <w:rFonts w:ascii="Arial" w:cs="Arial" w:eastAsia="Arial" w:hAnsi="Arial"/>
                <w:sz w:val="16"/>
                <w:szCs w:val="16"/>
                <w:b w:val="1"/>
                <w:bCs w:val="1"/>
                <w:color w:val="FFFFFF"/>
              </w:rPr>
              <w:t>Smelter or Refiner Country</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Enthone</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Estanho de Rondonia S.A.</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Fabrica Auricchio Industria e Comercio Ltda.</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Feinhutte Halsbrucke GmbH</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Fenix Metals</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Funsur Smelter</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Geiju Non-Ferrous Metal Processing Co.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Gejiu City Fuxiang Industry and Trade Co.,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Gejiu Kai Meng Industry and Trade LLC</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Gejiu Non-Ferrous Metal Processing Co.,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GEJIU YE LIAN CHANG</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Gejiu Yunxin Nonferrous Electrolysis Co.,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Gejiu Zili Mining And Metallurgy Co.,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Gejiu, Yunnan Sheng</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Gold Bell Group</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Guangdong Hanhe Non-Ferrous Metal Co.,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HighTech Components Co.,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HuiChang Hill Tin Industry Co.,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Huichang Jinshunda Tin Co.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HUIZHOU LIAN JING METAL MATERIAL CO.,LTD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Hulterworth Smelter</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Hunan Xianghualing tin Co.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Impag AG</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Jiang Jia Wang Technology Co.</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Jiangxi New Nanshan Technology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vMerge w:val="restart"/>
          </w:tcPr>
          <w:p>
            <w:pPr>
              <w:ind w:left="360"/>
              <w:spacing w:after="0"/>
              <w:rPr>
                <w:sz w:val="20"/>
                <w:szCs w:val="20"/>
                <w:color w:val="auto"/>
              </w:rPr>
            </w:pPr>
            <w:r>
              <w:rPr>
                <w:rFonts w:ascii="Arial" w:cs="Arial" w:eastAsia="Arial" w:hAnsi="Arial"/>
                <w:sz w:val="16"/>
                <w:szCs w:val="16"/>
                <w:color w:val="auto"/>
              </w:rPr>
              <w:t>KARAS PLATING LTD</w:t>
            </w:r>
          </w:p>
        </w:tc>
        <w:tc>
          <w:tcPr>
            <w:tcW w:w="4680" w:type="dxa"/>
            <w:vAlign w:val="bottom"/>
            <w:tcBorders>
              <w:right w:val="single" w:sz="8" w:color="auto"/>
            </w:tcBorders>
          </w:tcPr>
          <w:p>
            <w:pPr>
              <w:ind w:left="1520"/>
              <w:spacing w:after="0" w:line="163" w:lineRule="exact"/>
              <w:rPr>
                <w:sz w:val="20"/>
                <w:szCs w:val="20"/>
                <w:color w:val="auto"/>
              </w:rPr>
            </w:pPr>
            <w:r>
              <w:rPr>
                <w:rFonts w:ascii="Arial" w:cs="Arial" w:eastAsia="Arial" w:hAnsi="Arial"/>
                <w:sz w:val="16"/>
                <w:szCs w:val="16"/>
                <w:color w:val="auto"/>
              </w:rPr>
              <w:t>UNITED KINGDOM OF GREAT BRITAIN</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vMerge w:val="continue"/>
          </w:tcPr>
          <w:p>
            <w:pPr>
              <w:spacing w:after="0"/>
              <w:rPr>
                <w:sz w:val="12"/>
                <w:szCs w:val="12"/>
                <w:color w:val="auto"/>
              </w:rPr>
            </w:pPr>
          </w:p>
        </w:tc>
        <w:tc>
          <w:tcPr>
            <w:tcW w:w="5560" w:type="dxa"/>
            <w:vAlign w:val="bottom"/>
            <w:vMerge w:val="continue"/>
          </w:tcPr>
          <w:p>
            <w:pPr>
              <w:spacing w:after="0"/>
              <w:rPr>
                <w:sz w:val="12"/>
                <w:szCs w:val="12"/>
                <w:color w:val="auto"/>
              </w:rPr>
            </w:pPr>
          </w:p>
        </w:tc>
        <w:tc>
          <w:tcPr>
            <w:tcW w:w="4680" w:type="dxa"/>
            <w:vAlign w:val="bottom"/>
            <w:tcBorders>
              <w:right w:val="single" w:sz="8" w:color="auto"/>
            </w:tcBorders>
            <w:vMerge w:val="restart"/>
          </w:tcPr>
          <w:p>
            <w:pPr>
              <w:ind w:left="1520"/>
              <w:spacing w:after="0"/>
              <w:rPr>
                <w:sz w:val="20"/>
                <w:szCs w:val="20"/>
                <w:color w:val="auto"/>
              </w:rPr>
            </w:pPr>
            <w:r>
              <w:rPr>
                <w:rFonts w:ascii="Arial" w:cs="Arial" w:eastAsia="Arial" w:hAnsi="Arial"/>
                <w:sz w:val="16"/>
                <w:szCs w:val="16"/>
                <w:color w:val="auto"/>
              </w:rPr>
              <w:t>AND NORTHERN IRELAND</w:t>
            </w: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5560" w:type="dxa"/>
            <w:vAlign w:val="bottom"/>
          </w:tcPr>
          <w:p>
            <w:pPr>
              <w:spacing w:after="0"/>
              <w:rPr>
                <w:sz w:val="6"/>
                <w:szCs w:val="6"/>
                <w:color w:val="auto"/>
              </w:rPr>
            </w:pPr>
          </w:p>
        </w:tc>
        <w:tc>
          <w:tcPr>
            <w:tcW w:w="46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Kester Inc. / ITW Specialty Materials</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KOBE STEEL,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Kovohute Pribram nastupnicka, a. s.</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CZECHIA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Linwu Xianggui Ore Smelting Co.,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Liuzhou China Tin</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Luna Smelter,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RWANDA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Ma'anshan Weitai Tin Co.,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Magnus Minerais Metais e Ligas Ltda.</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Malaysia Smelting Corporation (MSC)</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Malaysia Smelting Corporation Berhad (Port Klang)</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Melt Metais e Ligas S.A.</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Metallic Resources, Inc.</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Metallo Belgium N.V.</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Metallo Spain S.L.U.</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Metallum Group Holding NV</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Mineracao Taboca SA</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vMerge w:val="restart"/>
          </w:tcPr>
          <w:p>
            <w:pPr>
              <w:ind w:left="360"/>
              <w:spacing w:after="0"/>
              <w:rPr>
                <w:sz w:val="20"/>
                <w:szCs w:val="20"/>
                <w:color w:val="auto"/>
              </w:rPr>
            </w:pPr>
            <w:r>
              <w:rPr>
                <w:rFonts w:ascii="Arial" w:cs="Arial" w:eastAsia="Arial" w:hAnsi="Arial"/>
                <w:sz w:val="16"/>
                <w:szCs w:val="16"/>
                <w:color w:val="auto"/>
              </w:rPr>
              <w:t>Mining Minerals Resources SARL</w:t>
            </w:r>
          </w:p>
        </w:tc>
        <w:tc>
          <w:tcPr>
            <w:tcW w:w="4680" w:type="dxa"/>
            <w:vAlign w:val="bottom"/>
            <w:tcBorders>
              <w:right w:val="single" w:sz="8" w:color="auto"/>
            </w:tcBorders>
          </w:tcPr>
          <w:p>
            <w:pPr>
              <w:ind w:left="1520"/>
              <w:spacing w:after="0" w:line="163" w:lineRule="exact"/>
              <w:rPr>
                <w:sz w:val="20"/>
                <w:szCs w:val="20"/>
                <w:color w:val="auto"/>
              </w:rPr>
            </w:pPr>
            <w:r>
              <w:rPr>
                <w:rFonts w:ascii="Arial" w:cs="Arial" w:eastAsia="Arial" w:hAnsi="Arial"/>
                <w:sz w:val="16"/>
                <w:szCs w:val="16"/>
                <w:color w:val="auto"/>
              </w:rPr>
              <w:t>CONGO, DEMOCRATIC REPUBLIC OF</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vMerge w:val="continue"/>
          </w:tcPr>
          <w:p>
            <w:pPr>
              <w:spacing w:after="0"/>
              <w:rPr>
                <w:sz w:val="12"/>
                <w:szCs w:val="12"/>
                <w:color w:val="auto"/>
              </w:rPr>
            </w:pPr>
          </w:p>
        </w:tc>
        <w:tc>
          <w:tcPr>
            <w:tcW w:w="5560" w:type="dxa"/>
            <w:vAlign w:val="bottom"/>
            <w:vMerge w:val="continue"/>
          </w:tcPr>
          <w:p>
            <w:pPr>
              <w:spacing w:after="0"/>
              <w:rPr>
                <w:sz w:val="12"/>
                <w:szCs w:val="12"/>
                <w:color w:val="auto"/>
              </w:rPr>
            </w:pPr>
          </w:p>
        </w:tc>
        <w:tc>
          <w:tcPr>
            <w:tcW w:w="4680" w:type="dxa"/>
            <w:vAlign w:val="bottom"/>
            <w:tcBorders>
              <w:right w:val="single" w:sz="8" w:color="auto"/>
            </w:tcBorders>
            <w:vMerge w:val="restart"/>
          </w:tcPr>
          <w:p>
            <w:pPr>
              <w:ind w:left="1520"/>
              <w:spacing w:after="0"/>
              <w:rPr>
                <w:sz w:val="20"/>
                <w:szCs w:val="20"/>
                <w:color w:val="auto"/>
              </w:rPr>
            </w:pPr>
            <w:r>
              <w:rPr>
                <w:rFonts w:ascii="Arial" w:cs="Arial" w:eastAsia="Arial" w:hAnsi="Arial"/>
                <w:sz w:val="16"/>
                <w:szCs w:val="16"/>
                <w:color w:val="auto"/>
              </w:rPr>
              <w:t>THE</w:t>
            </w: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5560" w:type="dxa"/>
            <w:vAlign w:val="bottom"/>
          </w:tcPr>
          <w:p>
            <w:pPr>
              <w:spacing w:after="0"/>
              <w:rPr>
                <w:sz w:val="6"/>
                <w:szCs w:val="6"/>
                <w:color w:val="auto"/>
              </w:rPr>
            </w:pPr>
          </w:p>
        </w:tc>
        <w:tc>
          <w:tcPr>
            <w:tcW w:w="46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Pr>
          <w:p>
            <w:pPr>
              <w:ind w:left="360"/>
              <w:spacing w:after="0"/>
              <w:rPr>
                <w:sz w:val="20"/>
                <w:szCs w:val="20"/>
                <w:color w:val="auto"/>
              </w:rPr>
            </w:pPr>
            <w:r>
              <w:rPr>
                <w:rFonts w:ascii="Arial" w:cs="Arial" w:eastAsia="Arial" w:hAnsi="Arial"/>
                <w:sz w:val="16"/>
                <w:szCs w:val="16"/>
                <w:color w:val="auto"/>
              </w:rPr>
              <w:t>Minmetals Ganzhou Tin Co. Ltd.</w:t>
            </w:r>
          </w:p>
        </w:tc>
        <w:tc>
          <w:tcPr>
            <w:tcW w:w="4680" w:type="dxa"/>
            <w:vAlign w:val="bottom"/>
            <w:tcBorders>
              <w:right w:val="single" w:sz="8" w:color="auto"/>
            </w:tcBorders>
          </w:tcPr>
          <w:p>
            <w:pPr>
              <w:ind w:left="15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7"/>
        </w:trPr>
        <w:tc>
          <w:tcPr>
            <w:tcW w:w="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5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Minsur</w:t>
            </w:r>
          </w:p>
        </w:tc>
        <w:tc>
          <w:tcPr>
            <w:tcW w:w="4680" w:type="dxa"/>
            <w:vAlign w:val="bottom"/>
            <w:tcBorders>
              <w:bottom w:val="single" w:sz="8" w:color="auto"/>
              <w:right w:val="single" w:sz="8" w:color="auto"/>
            </w:tcBorders>
          </w:tcPr>
          <w:p>
            <w:pPr>
              <w:ind w:left="152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bl>
    <w:p>
      <w:pPr>
        <w:sectPr>
          <w:pgSz w:w="11900" w:h="16838" w:orient="portrait"/>
          <w:cols w:equalWidth="0" w:num="1">
            <w:col w:w="11060"/>
          </w:cols>
          <w:pgMar w:left="320" w:top="916" w:right="5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20" w:type="dxa"/>
            <w:vAlign w:val="bottom"/>
            <w:tcBorders>
              <w:top w:val="single" w:sz="8" w:color="auto"/>
              <w:left w:val="single" w:sz="8" w:color="auto"/>
              <w:bottom w:val="single" w:sz="8" w:color="auto"/>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5620" w:type="dxa"/>
            <w:vAlign w:val="bottom"/>
            <w:tcBorders>
              <w:top w:val="single" w:sz="8" w:color="auto"/>
              <w:bottom w:val="single" w:sz="8" w:color="auto"/>
            </w:tcBorders>
            <w:shd w:val="clear" w:color="auto" w:fill="0070C0"/>
          </w:tcPr>
          <w:p>
            <w:pPr>
              <w:ind w:left="360"/>
              <w:spacing w:after="0"/>
              <w:rPr>
                <w:sz w:val="20"/>
                <w:szCs w:val="20"/>
                <w:color w:val="auto"/>
              </w:rPr>
            </w:pPr>
            <w:r>
              <w:rPr>
                <w:rFonts w:ascii="Arial" w:cs="Arial" w:eastAsia="Arial" w:hAnsi="Arial"/>
                <w:sz w:val="16"/>
                <w:szCs w:val="16"/>
                <w:b w:val="1"/>
                <w:bCs w:val="1"/>
                <w:color w:val="FFFFFF"/>
              </w:rPr>
              <w:t>Smelter or Refiner Name</w:t>
            </w:r>
          </w:p>
        </w:tc>
        <w:tc>
          <w:tcPr>
            <w:tcW w:w="4620" w:type="dxa"/>
            <w:vAlign w:val="bottom"/>
            <w:tcBorders>
              <w:top w:val="single" w:sz="8" w:color="auto"/>
              <w:bottom w:val="single" w:sz="8" w:color="auto"/>
              <w:right w:val="single" w:sz="8" w:color="auto"/>
            </w:tcBorders>
            <w:shd w:val="clear" w:color="auto" w:fill="0070C0"/>
          </w:tcPr>
          <w:p>
            <w:pPr>
              <w:ind w:left="146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Ney Metals and Alloys</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UNITED STATES OF AMERICA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Nghe Tinh Non-Ferrous Metals Joint Stock Company</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VIETNAM</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Nicromet</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POLAND</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Novosibirsk Processing Plant Ltd.</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RUSSIAN FEDERATION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Novosibirsk Tin Combine</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RUSSIAN FEDERATION</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O.M. Manufacturing (Thailand) Co., Ltd.</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THAILAND</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O.M. Manufacturing Philippines, Inc.</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PHILIPPINES</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Old City Metals Processing Co., Ltd.</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OMODEO A. E S. METALLEGHE SRL</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ITALY</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Operaciones Metalurgicas S.A.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BOLIVIA (PLURINATIONAL STATE OF)</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Pan Light Corporation</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TAIWAN, PROVINCE OF CHINA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Phoenix Metal Ltd.</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RWANDA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Pongpipat Company Limited</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MYANMAR</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Precious Minerals and Smelting Limited</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Alam Lestari Kencana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Aries Kencana Sejahtera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Artha Cipta Langgeng</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ATD Makmur Mandiri Jaya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Babel Inti Perkasa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Babel Surya Alam Lestari</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Bangka Kudai Tin</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Bangka Prima Tin</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Bangka Putra Karya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Bangka Serumpun</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Bangka Timah Utama Sejahtera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Bangka Tin Industry</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Belitung Industri Sejahtera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BilliTin Makmur Lestari</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Bukit Timah</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Cipta Persada Mulia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Eunindo Usaha Mandiri</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HP Metals Indonesia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Justindo</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Koba Tin</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Masbro Alam Stania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Menara Cipta Mulia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Mitra Stania Prima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Mitra Sukses Globalindo</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O.M. Indonesia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Panca Mega Persada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Premium Tin Indonesia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Prima Timah Utama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Putera Sarana Shakti (PT PSS)</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Rajawali Rimba Perkasa</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Rajehan Ariq</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Pr>
          <w:p>
            <w:pPr>
              <w:ind w:left="360"/>
              <w:spacing w:after="0"/>
              <w:rPr>
                <w:sz w:val="20"/>
                <w:szCs w:val="20"/>
                <w:color w:val="auto"/>
              </w:rPr>
            </w:pPr>
            <w:r>
              <w:rPr>
                <w:rFonts w:ascii="Arial" w:cs="Arial" w:eastAsia="Arial" w:hAnsi="Arial"/>
                <w:sz w:val="16"/>
                <w:szCs w:val="16"/>
                <w:color w:val="auto"/>
              </w:rPr>
              <w:t>PT Refined Bangka Tin</w:t>
            </w:r>
          </w:p>
        </w:tc>
        <w:tc>
          <w:tcPr>
            <w:tcW w:w="4620" w:type="dxa"/>
            <w:vAlign w:val="bottom"/>
            <w:tcBorders>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r>
        <w:trPr>
          <w:trHeight w:val="217"/>
        </w:trPr>
        <w:tc>
          <w:tcPr>
            <w:tcW w:w="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6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PT Sariwiguna Binasentosa</w:t>
            </w:r>
          </w:p>
        </w:tc>
        <w:tc>
          <w:tcPr>
            <w:tcW w:w="4620" w:type="dxa"/>
            <w:vAlign w:val="bottom"/>
            <w:tcBorders>
              <w:bottom w:val="single" w:sz="8" w:color="auto"/>
              <w:right w:val="single" w:sz="8" w:color="auto"/>
            </w:tcBorders>
          </w:tcPr>
          <w:p>
            <w:pPr>
              <w:ind w:left="1460"/>
              <w:spacing w:after="0"/>
              <w:rPr>
                <w:sz w:val="20"/>
                <w:szCs w:val="20"/>
                <w:color w:val="auto"/>
              </w:rPr>
            </w:pPr>
            <w:r>
              <w:rPr>
                <w:rFonts w:ascii="Arial" w:cs="Arial" w:eastAsia="Arial" w:hAnsi="Arial"/>
                <w:sz w:val="16"/>
                <w:szCs w:val="16"/>
                <w:color w:val="auto"/>
              </w:rPr>
              <w:t>INDONESIA</w:t>
            </w:r>
          </w:p>
        </w:tc>
      </w:tr>
    </w:tbl>
    <w:p>
      <w:pPr>
        <w:sectPr>
          <w:pgSz w:w="11900" w:h="16838" w:orient="portrait"/>
          <w:cols w:equalWidth="0" w:num="1">
            <w:col w:w="11060"/>
          </w:cols>
          <w:pgMar w:left="320" w:top="916" w:right="51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20" w:type="dxa"/>
            <w:vAlign w:val="bottom"/>
            <w:tcBorders>
              <w:top w:val="single" w:sz="8" w:color="auto"/>
              <w:left w:val="single" w:sz="8" w:color="auto"/>
              <w:bottom w:val="single" w:sz="8" w:color="auto"/>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900" w:type="dxa"/>
            <w:vAlign w:val="bottom"/>
            <w:tcBorders>
              <w:top w:val="single" w:sz="8" w:color="auto"/>
              <w:bottom w:val="single" w:sz="8" w:color="auto"/>
            </w:tcBorders>
            <w:shd w:val="clear" w:color="auto" w:fill="0070C0"/>
          </w:tcPr>
          <w:p>
            <w:pPr>
              <w:ind w:left="360"/>
              <w:spacing w:after="0"/>
              <w:rPr>
                <w:sz w:val="20"/>
                <w:szCs w:val="20"/>
                <w:color w:val="auto"/>
              </w:rPr>
            </w:pPr>
            <w:r>
              <w:rPr>
                <w:rFonts w:ascii="Arial" w:cs="Arial" w:eastAsia="Arial" w:hAnsi="Arial"/>
                <w:sz w:val="16"/>
                <w:szCs w:val="16"/>
                <w:b w:val="1"/>
                <w:bCs w:val="1"/>
                <w:color w:val="FFFFFF"/>
              </w:rPr>
              <w:t>Smelter or Refiner Name</w:t>
            </w:r>
          </w:p>
        </w:tc>
        <w:tc>
          <w:tcPr>
            <w:tcW w:w="3340" w:type="dxa"/>
            <w:vAlign w:val="bottom"/>
            <w:tcBorders>
              <w:top w:val="single" w:sz="8" w:color="auto"/>
              <w:bottom w:val="single" w:sz="8" w:color="auto"/>
              <w:right w:val="single" w:sz="8" w:color="auto"/>
            </w:tcBorders>
            <w:shd w:val="clear" w:color="auto" w:fill="0070C0"/>
          </w:tcPr>
          <w:p>
            <w:pPr>
              <w:ind w:left="180"/>
              <w:spacing w:after="0"/>
              <w:rPr>
                <w:sz w:val="20"/>
                <w:szCs w:val="20"/>
                <w:color w:val="auto"/>
              </w:rPr>
            </w:pPr>
            <w:r>
              <w:rPr>
                <w:rFonts w:ascii="Arial" w:cs="Arial" w:eastAsia="Arial" w:hAnsi="Arial"/>
                <w:sz w:val="16"/>
                <w:szCs w:val="16"/>
                <w:b w:val="1"/>
                <w:bCs w:val="1"/>
                <w:color w:val="FFFFFF"/>
              </w:rPr>
              <w:t>Smelter or Refiner Country</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PT Singkep Times Utama</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PT Stanindo Inti Perkasa</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PT Sukses Inti Makmur</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PT Supra Sukses Trinusa</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PT Timah Nusantara</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PT Timah Tbk Kundur</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PT Timah Tbk Mentok</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PT Tinindo Inter Nusa</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PT Tirus Putra Mandiri</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PT Tommy Utama</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PT Wahana Perkit Jaya</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PT Yinchendo Mining Industry</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Rian Resources SDN. BHD.</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Rui Da Hung</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Shangrao Xuri Smelting Factory</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SIZER METALS PTE LTD</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Soft Metais Ltda.</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Solder Court Ltd.</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Super Ligas</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Taiwan Huanliang</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line="163" w:lineRule="exact"/>
              <w:rPr>
                <w:sz w:val="20"/>
                <w:szCs w:val="20"/>
                <w:color w:val="auto"/>
              </w:rPr>
            </w:pPr>
            <w:r>
              <w:rPr>
                <w:rFonts w:ascii="Arial" w:cs="Arial" w:eastAsia="Arial" w:hAnsi="Arial"/>
                <w:sz w:val="16"/>
                <w:szCs w:val="16"/>
                <w:color w:val="auto"/>
              </w:rPr>
              <w:t>Takehara PVD Materials Plant / PVD Materials Division of MITSUI MINING &amp; SMELTING</w:t>
            </w:r>
          </w:p>
        </w:tc>
        <w:tc>
          <w:tcPr>
            <w:tcW w:w="33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vMerge w:val="continue"/>
          </w:tcPr>
          <w:p>
            <w:pPr>
              <w:spacing w:after="0"/>
              <w:rPr>
                <w:sz w:val="12"/>
                <w:szCs w:val="12"/>
                <w:color w:val="auto"/>
              </w:rPr>
            </w:pPr>
          </w:p>
        </w:tc>
        <w:tc>
          <w:tcPr>
            <w:tcW w:w="6900" w:type="dxa"/>
            <w:vAlign w:val="bottom"/>
            <w:vMerge w:val="restart"/>
          </w:tcPr>
          <w:p>
            <w:pPr>
              <w:ind w:left="360"/>
              <w:spacing w:after="0"/>
              <w:rPr>
                <w:sz w:val="20"/>
                <w:szCs w:val="20"/>
                <w:color w:val="auto"/>
              </w:rPr>
            </w:pPr>
            <w:r>
              <w:rPr>
                <w:rFonts w:ascii="Arial" w:cs="Arial" w:eastAsia="Arial" w:hAnsi="Arial"/>
                <w:sz w:val="16"/>
                <w:szCs w:val="16"/>
                <w:color w:val="auto"/>
              </w:rPr>
              <w:t>CO., LTD.</w:t>
            </w:r>
          </w:p>
        </w:tc>
        <w:tc>
          <w:tcPr>
            <w:tcW w:w="3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6900" w:type="dxa"/>
            <w:vAlign w:val="bottom"/>
            <w:vMerge w:val="continue"/>
          </w:tcPr>
          <w:p>
            <w:pPr>
              <w:spacing w:after="0"/>
              <w:rPr>
                <w:sz w:val="6"/>
                <w:szCs w:val="6"/>
                <w:color w:val="auto"/>
              </w:rPr>
            </w:pPr>
          </w:p>
        </w:tc>
        <w:tc>
          <w:tcPr>
            <w:tcW w:w="3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Tennessee Aluminum Processors</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Thai Nguyen Mining and Metallurgy Co., Ltd.</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VIETNAM</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Thailand Mine Factory</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Thaisarco</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Three Green Surface Technology Limited Company</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Tin Smelting Branch of Yunnan Tin Co., Ltd.</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Tin Technology &amp; Refining</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Toboca/ Paranapenema</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TONG LONG</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TRATHO Metal Quimica</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Tuyen Quang Non-Ferrous Metals Joint Stock Company</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VIETNAM</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ULTRACORE CO., LTD.</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VQB Mineral and Trading Group JSC</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VIETNAM</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Welley Solder Corporation</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White Solder Metalurgia e Mineracao Ltda.</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Xiamen Honglu Tungsten Molybdenum Co., Ltd.</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XiaMen YiQuan Precision Metal Co., Ltd</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Yan Nan Xi Ye Electrical Limited</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Yifeng Tin Industry (Chenzhou) Co Ltd</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Yiquan Manufacturing</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Yunnan Chengfeng Non-Ferrous Metals Co., Ltd.</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Yunnan Geiju Smelting Corp.</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Yunnan Tin Company Limited</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Yunnan Yunfan Non-Ferrous Metals Co., Ltd.</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Pr>
          <w:p>
            <w:pPr>
              <w:ind w:left="360"/>
              <w:spacing w:after="0"/>
              <w:rPr>
                <w:sz w:val="20"/>
                <w:szCs w:val="20"/>
                <w:color w:val="auto"/>
              </w:rPr>
            </w:pPr>
            <w:r>
              <w:rPr>
                <w:rFonts w:ascii="Arial" w:cs="Arial" w:eastAsia="Arial" w:hAnsi="Arial"/>
                <w:sz w:val="16"/>
                <w:szCs w:val="16"/>
                <w:color w:val="auto"/>
              </w:rPr>
              <w:t>YunXi</w:t>
            </w: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7"/>
        </w:trPr>
        <w:tc>
          <w:tcPr>
            <w:tcW w:w="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9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Zhongshan Jinye Smelting Co.,Ltd</w:t>
            </w:r>
          </w:p>
        </w:tc>
        <w:tc>
          <w:tcPr>
            <w:tcW w:w="33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bl>
    <w:p>
      <w:pPr>
        <w:sectPr>
          <w:pgSz w:w="11900" w:h="16838" w:orient="portrait"/>
          <w:cols w:equalWidth="0" w:num="1">
            <w:col w:w="11060"/>
          </w:cols>
          <w:pgMar w:left="320" w:top="916" w:right="51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60" w:type="dxa"/>
            <w:vAlign w:val="bottom"/>
            <w:tcBorders>
              <w:top w:val="single" w:sz="8" w:color="auto"/>
              <w:left w:val="single" w:sz="8" w:color="auto"/>
              <w:bottom w:val="single" w:sz="8" w:color="auto"/>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640" w:type="dxa"/>
            <w:vAlign w:val="bottom"/>
            <w:tcBorders>
              <w:top w:val="single" w:sz="8" w:color="auto"/>
              <w:bottom w:val="single" w:sz="8" w:color="auto"/>
            </w:tcBorders>
            <w:shd w:val="clear" w:color="auto" w:fill="0070C0"/>
          </w:tcPr>
          <w:p>
            <w:pPr>
              <w:ind w:left="220"/>
              <w:spacing w:after="0"/>
              <w:rPr>
                <w:sz w:val="20"/>
                <w:szCs w:val="20"/>
                <w:color w:val="auto"/>
              </w:rPr>
            </w:pPr>
            <w:r>
              <w:rPr>
                <w:rFonts w:ascii="Arial" w:cs="Arial" w:eastAsia="Arial" w:hAnsi="Arial"/>
                <w:sz w:val="16"/>
                <w:szCs w:val="16"/>
                <w:b w:val="1"/>
                <w:bCs w:val="1"/>
                <w:color w:val="FFFFFF"/>
              </w:rPr>
              <w:t>Smelter or Refiner Name</w:t>
            </w:r>
          </w:p>
        </w:tc>
        <w:tc>
          <w:tcPr>
            <w:tcW w:w="3460" w:type="dxa"/>
            <w:vAlign w:val="bottom"/>
            <w:tcBorders>
              <w:top w:val="single" w:sz="8" w:color="auto"/>
              <w:bottom w:val="single" w:sz="8" w:color="auto"/>
              <w:right w:val="single" w:sz="8" w:color="auto"/>
            </w:tcBorders>
            <w:shd w:val="clear" w:color="auto" w:fill="0070C0"/>
          </w:tcPr>
          <w:p>
            <w:pPr>
              <w:ind w:left="300"/>
              <w:spacing w:after="0"/>
              <w:rPr>
                <w:sz w:val="20"/>
                <w:szCs w:val="20"/>
                <w:color w:val="auto"/>
              </w:rPr>
            </w:pPr>
            <w:r>
              <w:rPr>
                <w:rFonts w:ascii="Arial" w:cs="Arial" w:eastAsia="Arial" w:hAnsi="Arial"/>
                <w:sz w:val="16"/>
                <w:szCs w:val="16"/>
                <w:b w:val="1"/>
                <w:bCs w:val="1"/>
                <w:color w:val="FFFFFF"/>
              </w:rPr>
              <w:t>Smelter or Refiner Country</w:t>
            </w:r>
          </w:p>
        </w:tc>
        <w:tc>
          <w:tcPr>
            <w:tcW w:w="0" w:type="dxa"/>
            <w:vAlign w:val="bottom"/>
          </w:tcPr>
          <w:p>
            <w:pPr>
              <w:spacing w:after="0"/>
              <w:rPr>
                <w:sz w:val="1"/>
                <w:szCs w:val="1"/>
                <w:color w:val="auto"/>
              </w:rPr>
            </w:pPr>
          </w:p>
        </w:tc>
      </w:tr>
      <w:tr>
        <w:trPr>
          <w:trHeight w:val="209"/>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A.L.M.T. Corp.</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ACL Metais Eireli</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Albasteel Industria e Comercio de Ligas Para Fundicao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Artek LLC</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Asia Tungsten Products Vietnam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VIETNAM</w:t>
            </w:r>
          </w:p>
        </w:tc>
        <w:tc>
          <w:tcPr>
            <w:tcW w:w="0" w:type="dxa"/>
            <w:vAlign w:val="bottom"/>
          </w:tcPr>
          <w:p>
            <w:pPr>
              <w:spacing w:after="0"/>
              <w:rPr>
                <w:sz w:val="1"/>
                <w:szCs w:val="1"/>
                <w:color w:val="auto"/>
              </w:rPr>
            </w:pPr>
          </w:p>
        </w:tc>
      </w:tr>
      <w:tr>
        <w:trPr>
          <w:trHeight w:val="163"/>
        </w:trPr>
        <w:tc>
          <w:tcPr>
            <w:tcW w:w="96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vMerge w:val="restart"/>
          </w:tcPr>
          <w:p>
            <w:pPr>
              <w:ind w:left="220"/>
              <w:spacing w:after="0"/>
              <w:rPr>
                <w:sz w:val="20"/>
                <w:szCs w:val="20"/>
                <w:color w:val="auto"/>
              </w:rPr>
            </w:pPr>
            <w:r>
              <w:rPr>
                <w:rFonts w:ascii="Arial" w:cs="Arial" w:eastAsia="Arial" w:hAnsi="Arial"/>
                <w:sz w:val="16"/>
                <w:szCs w:val="16"/>
                <w:color w:val="auto"/>
              </w:rPr>
              <w:t>Avon Specialty Metals Ltd.</w:t>
            </w:r>
          </w:p>
        </w:tc>
        <w:tc>
          <w:tcPr>
            <w:tcW w:w="3460" w:type="dxa"/>
            <w:vAlign w:val="bottom"/>
            <w:tcBorders>
              <w:right w:val="single" w:sz="8" w:color="auto"/>
            </w:tcBorders>
          </w:tcPr>
          <w:p>
            <w:pPr>
              <w:ind w:left="300"/>
              <w:spacing w:after="0" w:line="163" w:lineRule="exact"/>
              <w:rPr>
                <w:sz w:val="20"/>
                <w:szCs w:val="20"/>
                <w:color w:val="auto"/>
              </w:rPr>
            </w:pPr>
            <w:r>
              <w:rPr>
                <w:rFonts w:ascii="Arial" w:cs="Arial" w:eastAsia="Arial" w:hAnsi="Arial"/>
                <w:sz w:val="16"/>
                <w:szCs w:val="16"/>
                <w:color w:val="auto"/>
              </w:rPr>
              <w:t>UNITED KINGDOM OF GREAT BRITAIN</w:t>
            </w:r>
          </w:p>
        </w:tc>
        <w:tc>
          <w:tcPr>
            <w:tcW w:w="0" w:type="dxa"/>
            <w:vAlign w:val="bottom"/>
          </w:tcPr>
          <w:p>
            <w:pPr>
              <w:spacing w:after="0"/>
              <w:rPr>
                <w:sz w:val="1"/>
                <w:szCs w:val="1"/>
                <w:color w:val="auto"/>
              </w:rPr>
            </w:pPr>
          </w:p>
        </w:tc>
      </w:tr>
      <w:tr>
        <w:trPr>
          <w:trHeight w:val="141"/>
        </w:trPr>
        <w:tc>
          <w:tcPr>
            <w:tcW w:w="960" w:type="dxa"/>
            <w:vAlign w:val="bottom"/>
            <w:tcBorders>
              <w:left w:val="single" w:sz="8" w:color="auto"/>
            </w:tcBorders>
            <w:vMerge w:val="continue"/>
          </w:tcPr>
          <w:p>
            <w:pPr>
              <w:spacing w:after="0"/>
              <w:rPr>
                <w:sz w:val="12"/>
                <w:szCs w:val="12"/>
                <w:color w:val="auto"/>
              </w:rPr>
            </w:pPr>
          </w:p>
        </w:tc>
        <w:tc>
          <w:tcPr>
            <w:tcW w:w="6640" w:type="dxa"/>
            <w:vAlign w:val="bottom"/>
            <w:vMerge w:val="continue"/>
          </w:tcPr>
          <w:p>
            <w:pPr>
              <w:spacing w:after="0"/>
              <w:rPr>
                <w:sz w:val="12"/>
                <w:szCs w:val="12"/>
                <w:color w:val="auto"/>
              </w:rPr>
            </w:pPr>
          </w:p>
        </w:tc>
        <w:tc>
          <w:tcPr>
            <w:tcW w:w="3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6"/>
                <w:szCs w:val="16"/>
                <w:color w:val="auto"/>
              </w:rPr>
              <w:t>AND NORTHERN IRELAND</w:t>
            </w:r>
          </w:p>
        </w:tc>
        <w:tc>
          <w:tcPr>
            <w:tcW w:w="0" w:type="dxa"/>
            <w:vAlign w:val="bottom"/>
          </w:tcPr>
          <w:p>
            <w:pPr>
              <w:spacing w:after="0"/>
              <w:rPr>
                <w:sz w:val="1"/>
                <w:szCs w:val="1"/>
                <w:color w:val="auto"/>
              </w:rPr>
            </w:pPr>
          </w:p>
        </w:tc>
      </w:tr>
      <w:tr>
        <w:trPr>
          <w:trHeight w:val="74"/>
        </w:trPr>
        <w:tc>
          <w:tcPr>
            <w:tcW w:w="960" w:type="dxa"/>
            <w:vAlign w:val="bottom"/>
            <w:tcBorders>
              <w:left w:val="single" w:sz="8" w:color="auto"/>
            </w:tcBorders>
          </w:tcPr>
          <w:p>
            <w:pPr>
              <w:spacing w:after="0"/>
              <w:rPr>
                <w:sz w:val="6"/>
                <w:szCs w:val="6"/>
                <w:color w:val="auto"/>
              </w:rPr>
            </w:pPr>
          </w:p>
        </w:tc>
        <w:tc>
          <w:tcPr>
            <w:tcW w:w="6640" w:type="dxa"/>
            <w:vAlign w:val="bottom"/>
          </w:tcPr>
          <w:p>
            <w:pPr>
              <w:spacing w:after="0"/>
              <w:rPr>
                <w:sz w:val="6"/>
                <w:szCs w:val="6"/>
                <w:color w:val="auto"/>
              </w:rPr>
            </w:pPr>
          </w:p>
        </w:tc>
        <w:tc>
          <w:tcPr>
            <w:tcW w:w="34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BESEEM MINING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CB CERATIZIT Zhangzhou Carbide Co.,Ltd.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Chenzhou Diamond Tungsten Products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China Minmetals Non-Ferrous Metals Holding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China Molybdenum Tungsten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Chongyi Zhangyuan Tungsten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Cronimet Brasil Ltda.</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DAIDO STEEL</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Dayu Jincheng Tungsten Industry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Dayu Weiliang Tungsten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DONGKUK INDUSTRIES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KOREA, REPUBLIC OF</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Fujian Ganmin RareMetal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Fujian Jinxin Tungsten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Fujian Xinlu Tungsten</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Fujian Xinlu Tungsten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Ganxian Shirui New Material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Ganzhou Haichuang Tungsten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Ganzhou Hongfei Tungsten &amp; Molybdenum Materials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Ganzhou Huaxing Tungsten Products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Ganzhou Jiangwu Ferrotungsten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Ganzhou Non-Ferrous Metals Smelting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Ganzhou Seadragon W &amp; Mo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Ganzhou Sunny Non-Ferrous Metals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Global Tungsten &amp; Powders Corp.</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Global Tungsten &amp; Powders LLC</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Guangdong Xianglu Tungsten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H.C. Starck Tungsten GmbH</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HANNAE FOR T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KOREA, REPUBLIC OF</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Hubei Green Tungsten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Hunan Chuangda Vanadium Tungsten Co., Ltd. Wuji</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Hunan Chuangda Vanadium Tungsten Co., Ltd. Yanglin</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Hunan Jintai New Material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Hunan Litian Tungsten Industry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Hunan Shizhuyuan Nonferrous Metals Co., Ltd. Chenzhou Tungsten Products Branch</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Hydrometallurg, JSC</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Japan New Metals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Jiangwu H.C. Starck Tungsten Products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Jiangxi Dayu Longxintai Tungsten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Pr>
          <w:p>
            <w:pPr>
              <w:ind w:left="220"/>
              <w:spacing w:after="0"/>
              <w:rPr>
                <w:sz w:val="20"/>
                <w:szCs w:val="20"/>
                <w:color w:val="auto"/>
              </w:rPr>
            </w:pPr>
            <w:r>
              <w:rPr>
                <w:rFonts w:ascii="Arial" w:cs="Arial" w:eastAsia="Arial" w:hAnsi="Arial"/>
                <w:sz w:val="16"/>
                <w:szCs w:val="16"/>
                <w:color w:val="auto"/>
              </w:rPr>
              <w:t>Jiangxi Gan Bei Tungsten Co., Ltd.</w:t>
            </w:r>
          </w:p>
        </w:tc>
        <w:tc>
          <w:tcPr>
            <w:tcW w:w="34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7"/>
        </w:trPr>
        <w:tc>
          <w:tcPr>
            <w:tcW w:w="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6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Jiangxi Minmetals Gao'an Non-Ferrous Metals Co., Ltd.</w:t>
            </w:r>
          </w:p>
        </w:tc>
        <w:tc>
          <w:tcPr>
            <w:tcW w:w="3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bl>
    <w:p>
      <w:pPr>
        <w:sectPr>
          <w:pgSz w:w="11900" w:h="16838" w:orient="portrait"/>
          <w:cols w:equalWidth="0" w:num="1">
            <w:col w:w="11060"/>
          </w:cols>
          <w:pgMar w:left="320" w:top="916" w:right="51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60" w:type="dxa"/>
            <w:vAlign w:val="bottom"/>
            <w:tcBorders>
              <w:top w:val="single" w:sz="8" w:color="auto"/>
              <w:left w:val="single" w:sz="8" w:color="auto"/>
              <w:bottom w:val="single" w:sz="8" w:color="auto"/>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5860" w:type="dxa"/>
            <w:vAlign w:val="bottom"/>
            <w:tcBorders>
              <w:top w:val="single" w:sz="8" w:color="auto"/>
              <w:bottom w:val="single" w:sz="8" w:color="auto"/>
            </w:tcBorders>
            <w:shd w:val="clear" w:color="auto" w:fill="0070C0"/>
          </w:tcPr>
          <w:p>
            <w:pPr>
              <w:ind w:left="220"/>
              <w:spacing w:after="0"/>
              <w:rPr>
                <w:sz w:val="20"/>
                <w:szCs w:val="20"/>
                <w:color w:val="auto"/>
              </w:rPr>
            </w:pPr>
            <w:r>
              <w:rPr>
                <w:rFonts w:ascii="Arial" w:cs="Arial" w:eastAsia="Arial" w:hAnsi="Arial"/>
                <w:sz w:val="16"/>
                <w:szCs w:val="16"/>
                <w:b w:val="1"/>
                <w:bCs w:val="1"/>
                <w:color w:val="FFFFFF"/>
              </w:rPr>
              <w:t>Smelter or Refiner Name</w:t>
            </w:r>
          </w:p>
        </w:tc>
        <w:tc>
          <w:tcPr>
            <w:tcW w:w="4240" w:type="dxa"/>
            <w:vAlign w:val="bottom"/>
            <w:tcBorders>
              <w:top w:val="single" w:sz="8" w:color="auto"/>
              <w:bottom w:val="single" w:sz="8" w:color="auto"/>
              <w:right w:val="single" w:sz="8" w:color="auto"/>
            </w:tcBorders>
            <w:shd w:val="clear" w:color="auto" w:fill="0070C0"/>
          </w:tcPr>
          <w:p>
            <w:pPr>
              <w:ind w:left="108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Jiangxi Richsea New Materials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Jiangxi Tonggu Non-Ferrous Metallurgical &amp; Chemical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Jiangxi Xinsheng Tungsten Industry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Jiangxi Xiushui Xianggan Nonferrous Metals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Jiangxi Yaosheng Tungsten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Jingmen Dewei GEM Tungsten Resources Recycling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JSC Kirovgrad Hard Alloys Plant</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RUSSIAN FEDERATION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Kenee Mining Corporation Vietnam</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VIETNAM</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Kennametal Fallon</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Kennametal Huntsville</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KGETS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KOREA, REPUBLIC OF</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Lianyou Metals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TAIWAN, PROVINCE OF 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Lianyou Resources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TAIWAN, PROVINCE OF 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LLC Vostok</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RUSSIAN FEDERATION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Luoyang Mudu Tungsten &amp; Molybdenum Technology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Malipo Haiyu Tungsten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Masan High-Tech Materials</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VIETNAM</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Mehra Ferro-Alloys Pvt.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INDIA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Moliren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RUSSIAN FEDERATION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Nam Viet Cromit Joint Stock Company</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VIETNAM</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Nanchang Cemented Carbide Limited Liability Company</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Niagara Refining LLC</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NPP Tyazhmetprom LLC</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RUSSIAN FEDERATION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OOO “Technolom” 1</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RUSSIAN FEDERATION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OOO “Technolom” 2</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RUSSIAN FEDERATION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Philippine Chuangxin Industrial Co., Inc.</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PHILIPPINES</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Pobedit, JSC</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RUSSIAN FEDERATION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Sanher Tungsten Vietnam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VIETNAM</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Shaoguan Xinhai Rendan Tungsten Industry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Shinwon Tungsten (Fujian Shanghang)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TaeguTec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KOREA, REPUBLIC OF</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Tejing (Vietnam) Tungsten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VIETNAM</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Toshiba Material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JAPAN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Tungsten Diversified Industries LLC</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UNITED STATES OF AMERICA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Tungsten Vietnam Joint Stock Company</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VIETNAM</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Unecha Refractory Metals Plant</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RUSSIAN FEDERATION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Valbruna</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ITALY</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Wolfram Bergbau und Hutten AG</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AUSTRIA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Wolfram Company CJSC</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RUSSIAN FEDERATION</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Woltech Korea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KOREA, REPUBLIC OF</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Xiamen Tungsten (H.C.)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Xiamen Tungsten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6"/>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Pr>
          <w:p>
            <w:pPr>
              <w:ind w:left="220"/>
              <w:spacing w:after="0"/>
              <w:rPr>
                <w:sz w:val="20"/>
                <w:szCs w:val="20"/>
                <w:color w:val="auto"/>
              </w:rPr>
            </w:pPr>
            <w:r>
              <w:rPr>
                <w:rFonts w:ascii="Arial" w:cs="Arial" w:eastAsia="Arial" w:hAnsi="Arial"/>
                <w:sz w:val="16"/>
                <w:szCs w:val="16"/>
                <w:color w:val="auto"/>
              </w:rPr>
              <w:t>Xinfeng Huarui Tungsten &amp; Molybdenum New Material Co., Ltd.</w:t>
            </w:r>
          </w:p>
        </w:tc>
        <w:tc>
          <w:tcPr>
            <w:tcW w:w="42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r>
        <w:trPr>
          <w:trHeight w:val="217"/>
        </w:trPr>
        <w:tc>
          <w:tcPr>
            <w:tcW w:w="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YUDU ANSHENG TUNGSTEN CO., LTD.</w:t>
            </w:r>
          </w:p>
        </w:tc>
        <w:tc>
          <w:tcPr>
            <w:tcW w:w="424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CHINA</w:t>
            </w:r>
          </w:p>
        </w:tc>
      </w:tr>
    </w:tbl>
    <w:p>
      <w:pPr>
        <w:spacing w:after="0" w:line="1" w:lineRule="exact"/>
        <w:rPr>
          <w:sz w:val="20"/>
          <w:szCs w:val="20"/>
          <w:color w:val="auto"/>
        </w:rPr>
      </w:pPr>
    </w:p>
    <w:sectPr>
      <w:pgSz w:w="11900" w:h="16838" w:orient="portrait"/>
      <w:cols w:equalWidth="0" w:num="1">
        <w:col w:w="11060"/>
      </w:cols>
      <w:pgMar w:left="320" w:top="91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2024-05-23T16:47:06Z</dcterms:created>
  <dcterms:modified xsi:type="dcterms:W3CDTF">2024-05-23T16:47:06Z</dcterms:modified>
</cp:coreProperties>
</file>