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1)*</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8/31/2005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0"/>
          <w:szCs w:val="20"/>
          <w:color w:val="auto"/>
        </w:rPr>
      </w:pPr>
    </w:p>
    <w:p>
      <w:pPr>
        <w:ind w:left="360" w:right="9700" w:hanging="1"/>
        <w:spacing w:after="0" w:line="563" w:lineRule="auto"/>
        <w:tabs>
          <w:tab w:leader="none" w:pos="5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 (b) o Rule 13d-1 (c) o Rule 13d-1 (d)</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12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CUSIP No.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5"/>
          <w:szCs w:val="15"/>
          <w:color w:val="auto"/>
        </w:rPr>
        <w:t>1.</w:t>
        <w:tab/>
        <w:t>Name of Reporting Person:</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EARNEST Partners,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297815</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3960" w:space="720"/>
            <w:col w:w="6620"/>
          </w:cols>
          <w:pgMar w:left="300" w:top="1320" w:right="299" w:bottom="1440" w:gutter="0" w:footer="0" w:header="0"/>
          <w:type w:val="continuous"/>
        </w:sectPr>
      </w:pPr>
    </w:p>
    <w:p>
      <w:pPr>
        <w:spacing w:after="0" w:line="285"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17"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1,123,190</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861,865</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3,423,155</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3,423,155</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62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10.4%</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399415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 WINNEBAGO INDUSTRIES, INC.</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 P.O. Box 152, Forest City, Iowa 50436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 EARNEST Partners, LLC</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75 Fourteenth Street, Suite 2300, Atlanta, Georgia 30309</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State of Georgia</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 Stock</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 974637100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(a)</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o</w:t>
            </w:r>
          </w:p>
        </w:tc>
        <w:tc>
          <w:tcPr>
            <w:tcW w:w="900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(b)</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o</w:t>
            </w:r>
          </w:p>
        </w:tc>
        <w:tc>
          <w:tcPr>
            <w:tcW w:w="9000" w:type="dxa"/>
            <w:vAlign w:val="bottom"/>
          </w:tcPr>
          <w:p>
            <w:pPr>
              <w:ind w:left="320"/>
              <w:spacing w:after="0"/>
              <w:rPr>
                <w:sz w:val="20"/>
                <w:szCs w:val="20"/>
                <w:color w:val="auto"/>
              </w:rPr>
            </w:pPr>
            <w:r>
              <w:rPr>
                <w:rFonts w:ascii="Arial" w:cs="Arial" w:eastAsia="Arial" w:hAnsi="Arial"/>
                <w:sz w:val="18"/>
                <w:szCs w:val="18"/>
                <w:color w:val="auto"/>
              </w:rPr>
              <w:t>Bank as defined in section 3(a)(6) of the Act (15 U.S.C. 78c).</w:t>
            </w:r>
          </w:p>
        </w:tc>
      </w:tr>
      <w:tr>
        <w:trPr>
          <w:trHeight w:val="216"/>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(c)</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o</w:t>
            </w:r>
          </w:p>
        </w:tc>
        <w:tc>
          <w:tcPr>
            <w:tcW w:w="900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183"/>
        </w:trPr>
        <w:tc>
          <w:tcPr>
            <w:tcW w:w="1340" w:type="dxa"/>
            <w:vAlign w:val="bottom"/>
          </w:tcPr>
          <w:p>
            <w:pPr>
              <w:jc w:val="right"/>
              <w:ind w:right="470"/>
              <w:spacing w:after="0" w:line="183" w:lineRule="exact"/>
              <w:rPr>
                <w:sz w:val="20"/>
                <w:szCs w:val="20"/>
                <w:color w:val="auto"/>
              </w:rPr>
            </w:pPr>
            <w:r>
              <w:rPr>
                <w:rFonts w:ascii="Arial" w:cs="Arial" w:eastAsia="Arial" w:hAnsi="Arial"/>
                <w:sz w:val="18"/>
                <w:szCs w:val="18"/>
                <w:color w:val="auto"/>
              </w:rPr>
              <w:t>(d)</w:t>
            </w:r>
          </w:p>
        </w:tc>
        <w:tc>
          <w:tcPr>
            <w:tcW w:w="1080" w:type="dxa"/>
            <w:vAlign w:val="bottom"/>
          </w:tcPr>
          <w:p>
            <w:pPr>
              <w:jc w:val="right"/>
              <w:ind w:right="250"/>
              <w:spacing w:after="0" w:line="183" w:lineRule="exact"/>
              <w:rPr>
                <w:sz w:val="20"/>
                <w:szCs w:val="20"/>
                <w:color w:val="auto"/>
              </w:rPr>
            </w:pPr>
            <w:r>
              <w:rPr>
                <w:rFonts w:ascii="Arial" w:cs="Arial" w:eastAsia="Arial" w:hAnsi="Arial"/>
                <w:sz w:val="18"/>
                <w:szCs w:val="18"/>
                <w:color w:val="auto"/>
              </w:rPr>
              <w:t>o</w:t>
            </w:r>
          </w:p>
        </w:tc>
        <w:tc>
          <w:tcPr>
            <w:tcW w:w="9000" w:type="dxa"/>
            <w:vAlign w:val="bottom"/>
          </w:tcPr>
          <w:p>
            <w:pPr>
              <w:ind w:left="320"/>
              <w:spacing w:after="0" w:line="183" w:lineRule="exact"/>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249"/>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(e)</w:t>
            </w:r>
          </w:p>
        </w:tc>
        <w:tc>
          <w:tcPr>
            <w:tcW w:w="1080" w:type="dxa"/>
            <w:vAlign w:val="bottom"/>
          </w:tcPr>
          <w:p>
            <w:pPr>
              <w:jc w:val="right"/>
              <w:ind w:right="25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§240.13d-1(b)(1)(ii)(E);</w:t>
            </w:r>
          </w:p>
        </w:tc>
      </w:tr>
      <w:tr>
        <w:trPr>
          <w:trHeight w:val="216"/>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(f)</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o</w:t>
            </w:r>
          </w:p>
        </w:tc>
        <w:tc>
          <w:tcPr>
            <w:tcW w:w="900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216"/>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(g)</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o</w:t>
            </w:r>
          </w:p>
        </w:tc>
        <w:tc>
          <w:tcPr>
            <w:tcW w:w="900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16"/>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(h)</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o</w:t>
            </w:r>
          </w:p>
        </w:tc>
        <w:tc>
          <w:tcPr>
            <w:tcW w:w="9000" w:type="dxa"/>
            <w:vAlign w:val="bottom"/>
          </w:tcPr>
          <w:p>
            <w:pPr>
              <w:ind w:left="32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16"/>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(i)</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o</w:t>
            </w:r>
          </w:p>
        </w:tc>
        <w:tc>
          <w:tcPr>
            <w:tcW w:w="9000" w:type="dxa"/>
            <w:vAlign w:val="bottom"/>
          </w:tcPr>
          <w:p>
            <w:pPr>
              <w:ind w:left="32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w:t>
            </w:r>
          </w:p>
        </w:tc>
      </w:tr>
      <w:tr>
        <w:trPr>
          <w:trHeight w:val="216"/>
        </w:trPr>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0" w:type="dxa"/>
            <w:vAlign w:val="bottom"/>
          </w:tcPr>
          <w:p>
            <w:pPr>
              <w:ind w:left="540"/>
              <w:spacing w:after="0"/>
              <w:rPr>
                <w:sz w:val="20"/>
                <w:szCs w:val="20"/>
                <w:color w:val="auto"/>
              </w:rPr>
            </w:pPr>
            <w:r>
              <w:rPr>
                <w:rFonts w:ascii="Arial" w:cs="Arial" w:eastAsia="Arial" w:hAnsi="Arial"/>
                <w:sz w:val="18"/>
                <w:szCs w:val="18"/>
                <w:color w:val="auto"/>
              </w:rPr>
              <w:t>Company Act of 1940 (15 U.S.C. 80a-3);</w:t>
            </w:r>
          </w:p>
        </w:tc>
      </w:tr>
      <w:tr>
        <w:trPr>
          <w:trHeight w:val="230"/>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(j)</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o</w:t>
            </w:r>
          </w:p>
        </w:tc>
        <w:tc>
          <w:tcPr>
            <w:tcW w:w="9000" w:type="dxa"/>
            <w:vAlign w:val="bottom"/>
          </w:tcPr>
          <w:p>
            <w:pPr>
              <w:ind w:left="320"/>
              <w:spacing w:after="0"/>
              <w:rPr>
                <w:sz w:val="20"/>
                <w:szCs w:val="20"/>
                <w:color w:val="auto"/>
              </w:rPr>
            </w:pPr>
            <w:r>
              <w:rPr>
                <w:rFonts w:ascii="Arial" w:cs="Arial" w:eastAsia="Arial" w:hAnsi="Arial"/>
                <w:sz w:val="18"/>
                <w:szCs w:val="18"/>
                <w:color w:val="auto"/>
              </w:rPr>
              <w:t>Group, in accordance with §240.13d-1(b)(1)(ii)(J).</w:t>
            </w:r>
          </w:p>
        </w:tc>
      </w:tr>
      <w:tr>
        <w:trPr>
          <w:trHeight w:val="632"/>
        </w:trPr>
        <w:tc>
          <w:tcPr>
            <w:tcW w:w="13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9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3,423,155</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10.4%</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1,123,190</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861,865</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3,423,155</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 Not Applicable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 EARNEST Partners, LLC is filing as an investment adviser in accordance with §240.13d-1(b)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(1)(ii)(E). No EARNEST Partners, LLC client’s interest relates to more than five percent of the class.</w:t>
      </w:r>
    </w:p>
    <w:p>
      <w:pPr>
        <w:spacing w:after="0" w:line="9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Not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 Not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117" w:lineRule="exact"/>
        <w:rPr>
          <w:sz w:val="20"/>
          <w:szCs w:val="20"/>
          <w:color w:val="auto"/>
        </w:rPr>
      </w:pPr>
    </w:p>
    <w:p>
      <w:pPr>
        <w:ind w:left="112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9"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117" w:lineRule="exact"/>
        <w:rPr>
          <w:sz w:val="20"/>
          <w:szCs w:val="20"/>
          <w:color w:val="auto"/>
        </w:rPr>
      </w:pPr>
    </w:p>
    <w:p>
      <w:pPr>
        <w:jc w:val="both"/>
        <w:ind w:left="1120" w:right="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September 12,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James 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James M. Wilson,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060"/>
      </w:cols>
      <w:pgMar w:left="240" w:top="125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decimal"/>
      <w:start w:val="8"/>
    </w:lvl>
  </w:abstractNum>
  <w:abstractNum w:abstractNumId="3">
    <w:nsid w:val="2EB141F2"/>
    <w:multiLevelType w:val="hybridMultilevel"/>
    <w:lvl w:ilvl="0">
      <w:lvlJc w:val="left"/>
      <w:lvlText w:val="%1."/>
      <w:numFmt w:val="decimal"/>
      <w:start w:val="9"/>
    </w:lvl>
    <w:lvl w:ilvl="1">
      <w:lvlJc w:val="left"/>
      <w:lvlText w:val="%2"/>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lvl w:ilvl="1">
      <w:lvlJc w:val="left"/>
      <w:lvlText w:val="(%2)"/>
      <w:numFmt w:val="lowerRoman"/>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2019-12-13T08:24:27Z</dcterms:created>
  <dcterms:modified xsi:type="dcterms:W3CDTF">2019-12-13T08:24:27Z</dcterms:modified>
</cp:coreProperties>
</file>