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92075</wp:posOffset>
            </wp:positionV>
            <wp:extent cx="14319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149"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42545</wp:posOffset>
            </wp:positionV>
            <wp:extent cx="14319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76"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5"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 xml:space="preserve">x </w:t>
      </w:r>
      <w:r>
        <w:rPr>
          <w:rFonts w:ascii="Arial" w:cs="Arial" w:eastAsia="Arial" w:hAnsi="Arial"/>
          <w:sz w:val="16"/>
          <w:szCs w:val="16"/>
          <w:b w:val="1"/>
          <w:bCs w:val="1"/>
          <w:color w:val="auto"/>
        </w:rPr>
        <w:t>ANNUAL REPORT PURSUANT TO SECTION 13 OR 15(D) OF THE SECURITIES EXCHANGE ACT OF 1934</w:t>
      </w:r>
      <w:r>
        <w:rPr>
          <w:rFonts w:ascii="Arial" w:cs="Arial" w:eastAsia="Arial" w:hAnsi="Arial"/>
          <w:sz w:val="18"/>
          <w:szCs w:val="18"/>
          <w:color w:val="auto"/>
        </w:rPr>
        <w:t xml:space="preserve"> </w:t>
      </w:r>
      <w:r>
        <w:rPr>
          <w:rFonts w:ascii="Arial" w:cs="Arial" w:eastAsia="Arial" w:hAnsi="Arial"/>
          <w:sz w:val="16"/>
          <w:szCs w:val="16"/>
          <w:color w:val="auto"/>
        </w:rPr>
        <w:t>for the fiscal year ended August 27, 2016; or</w:t>
      </w:r>
      <w:r>
        <w:rPr>
          <w:rFonts w:ascii="Arial" w:cs="Arial" w:eastAsia="Arial" w:hAnsi="Arial"/>
          <w:sz w:val="18"/>
          <w:szCs w:val="18"/>
          <w:color w:val="auto"/>
        </w:rPr>
        <w:t xml:space="preserve"> o </w:t>
      </w:r>
      <w:r>
        <w:rPr>
          <w:rFonts w:ascii="Arial" w:cs="Arial" w:eastAsia="Arial" w:hAnsi="Arial"/>
          <w:sz w:val="16"/>
          <w:szCs w:val="16"/>
          <w:b w:val="1"/>
          <w:bCs w:val="1"/>
          <w:color w:val="auto"/>
        </w:rPr>
        <w:t>TRANSITION REPORT PURSUANT TO SECTION 13 OR 15(D) OF THE SECURITIES EXCHANGE ACT OF 1934</w:t>
      </w:r>
      <w:r>
        <w:rPr>
          <w:rFonts w:ascii="Arial" w:cs="Arial" w:eastAsia="Arial" w:hAnsi="Arial"/>
          <w:sz w:val="18"/>
          <w:szCs w:val="18"/>
          <w:color w:val="auto"/>
        </w:rPr>
        <w:t xml:space="preserve"> </w:t>
      </w:r>
      <w:r>
        <w:rPr>
          <w:rFonts w:ascii="Arial" w:cs="Arial" w:eastAsia="Arial" w:hAnsi="Arial"/>
          <w:sz w:val="16"/>
          <w:szCs w:val="16"/>
          <w:color w:val="auto"/>
        </w:rPr>
        <w:t>for the transition period from</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___________________ to _______________________</w:t>
      </w:r>
    </w:p>
    <w:p>
      <w:pPr>
        <w:spacing w:after="0" w:line="73" w:lineRule="exact"/>
        <w:rPr>
          <w:sz w:val="24"/>
          <w:szCs w:val="24"/>
          <w:color w:val="auto"/>
        </w:rPr>
      </w:pPr>
    </w:p>
    <w:p>
      <w:pPr>
        <w:jc w:val="center"/>
        <w:ind w:right="-39"/>
        <w:spacing w:after="0" w:line="184" w:lineRule="exact"/>
        <w:rPr>
          <w:sz w:val="20"/>
          <w:szCs w:val="20"/>
          <w:color w:val="auto"/>
        </w:rPr>
      </w:pPr>
      <w:r>
        <w:rPr>
          <w:rFonts w:ascii="Arial" w:cs="Arial" w:eastAsia="Arial" w:hAnsi="Arial"/>
          <w:sz w:val="16"/>
          <w:szCs w:val="16"/>
          <w:color w:val="auto"/>
        </w:rPr>
        <w:t>Commission File Number 001</w:t>
      </w:r>
      <w:r>
        <w:rPr>
          <w:rFonts w:ascii="MS PGothic" w:cs="MS PGothic" w:eastAsia="MS PGothic" w:hAnsi="MS PGothic"/>
          <w:sz w:val="16"/>
          <w:szCs w:val="16"/>
          <w:color w:val="auto"/>
        </w:rPr>
        <w:t>‑</w:t>
      </w:r>
      <w:r>
        <w:rPr>
          <w:rFonts w:ascii="Arial" w:cs="Arial" w:eastAsia="Arial" w:hAnsi="Arial"/>
          <w:sz w:val="16"/>
          <w:szCs w:val="16"/>
          <w:color w:val="auto"/>
        </w:rPr>
        <w:t>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1994535</wp:posOffset>
            </wp:positionH>
            <wp:positionV relativeFrom="paragraph">
              <wp:posOffset>259080</wp:posOffset>
            </wp:positionV>
            <wp:extent cx="3267075" cy="4546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7075"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WINNEBAGO INDUSTRIES, INC.</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187" w:lineRule="exact"/>
        <w:rPr>
          <w:sz w:val="24"/>
          <w:szCs w:val="24"/>
          <w:color w:val="auto"/>
        </w:rPr>
      </w:pPr>
    </w:p>
    <w:tbl>
      <w:tblPr>
        <w:tblLayout w:type="fixed"/>
        <w:tblInd w:w="1260" w:type="dxa"/>
        <w:tblCellMar>
          <w:top w:w="0" w:type="dxa"/>
          <w:left w:w="0" w:type="dxa"/>
          <w:bottom w:w="0" w:type="dxa"/>
          <w:right w:w="0" w:type="dxa"/>
        </w:tblCellMar>
      </w:tblPr>
      <w:tr>
        <w:trPr>
          <w:trHeight w:val="208"/>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Iowa</w:t>
            </w:r>
          </w:p>
        </w:tc>
        <w:tc>
          <w:tcPr>
            <w:tcW w:w="1520" w:type="dxa"/>
            <w:vAlign w:val="bottom"/>
          </w:tcPr>
          <w:p>
            <w:pPr>
              <w:spacing w:after="0"/>
              <w:rPr>
                <w:sz w:val="18"/>
                <w:szCs w:val="18"/>
                <w:color w:val="auto"/>
              </w:rPr>
            </w:pPr>
          </w:p>
        </w:tc>
        <w:tc>
          <w:tcPr>
            <w:tcW w:w="3680" w:type="dxa"/>
            <w:vAlign w:val="bottom"/>
            <w:tcBorders>
              <w:bottom w:val="single" w:sz="8" w:color="auto"/>
            </w:tcBorders>
          </w:tcPr>
          <w:p>
            <w:pPr>
              <w:jc w:val="right"/>
              <w:ind w:right="1319"/>
              <w:spacing w:after="0"/>
              <w:rPr>
                <w:sz w:val="20"/>
                <w:szCs w:val="20"/>
                <w:color w:val="auto"/>
              </w:rPr>
            </w:pPr>
            <w:r>
              <w:rPr>
                <w:rFonts w:ascii="Arial" w:cs="Arial" w:eastAsia="Arial" w:hAnsi="Arial"/>
                <w:sz w:val="16"/>
                <w:szCs w:val="16"/>
                <w:color w:val="auto"/>
              </w:rPr>
              <w:t>42-0802678</w:t>
            </w:r>
          </w:p>
        </w:tc>
      </w:tr>
      <w:tr>
        <w:trPr>
          <w:trHeight w:val="237"/>
        </w:trPr>
        <w:tc>
          <w:tcPr>
            <w:tcW w:w="5220" w:type="dxa"/>
            <w:vAlign w:val="bottom"/>
            <w:gridSpan w:val="2"/>
          </w:tcPr>
          <w:p>
            <w:pPr>
              <w:jc w:val="center"/>
              <w:ind w:right="1520"/>
              <w:spacing w:after="0"/>
              <w:rPr>
                <w:sz w:val="20"/>
                <w:szCs w:val="20"/>
                <w:color w:val="auto"/>
              </w:rPr>
            </w:pPr>
            <w:r>
              <w:rPr>
                <w:rFonts w:ascii="Arial" w:cs="Arial" w:eastAsia="Arial" w:hAnsi="Arial"/>
                <w:sz w:val="16"/>
                <w:szCs w:val="16"/>
                <w:color w:val="auto"/>
              </w:rPr>
              <w:t>(State or other jurisdiction of</w:t>
            </w:r>
          </w:p>
        </w:tc>
        <w:tc>
          <w:tcPr>
            <w:tcW w:w="368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270"/>
        </w:trPr>
        <w:tc>
          <w:tcPr>
            <w:tcW w:w="5220" w:type="dxa"/>
            <w:vAlign w:val="bottom"/>
            <w:gridSpan w:val="2"/>
          </w:tcPr>
          <w:p>
            <w:pPr>
              <w:jc w:val="center"/>
              <w:ind w:right="1520"/>
              <w:spacing w:after="0"/>
              <w:rPr>
                <w:sz w:val="20"/>
                <w:szCs w:val="20"/>
                <w:color w:val="auto"/>
              </w:rPr>
            </w:pPr>
            <w:r>
              <w:rPr>
                <w:rFonts w:ascii="Arial" w:cs="Arial" w:eastAsia="Arial" w:hAnsi="Arial"/>
                <w:sz w:val="16"/>
                <w:szCs w:val="16"/>
                <w:color w:val="auto"/>
              </w:rPr>
              <w:t>incorporation or organization)</w:t>
            </w:r>
          </w:p>
        </w:tc>
        <w:tc>
          <w:tcPr>
            <w:tcW w:w="3680" w:type="dxa"/>
            <w:vAlign w:val="bottom"/>
          </w:tcPr>
          <w:p>
            <w:pPr>
              <w:spacing w:after="0"/>
              <w:rPr>
                <w:sz w:val="23"/>
                <w:szCs w:val="23"/>
                <w:color w:val="auto"/>
              </w:rPr>
            </w:pPr>
          </w:p>
        </w:tc>
      </w:tr>
      <w:tr>
        <w:trPr>
          <w:trHeight w:val="472"/>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P.O. Box 152, Forest City, Iowa</w:t>
            </w:r>
          </w:p>
        </w:tc>
        <w:tc>
          <w:tcPr>
            <w:tcW w:w="1520" w:type="dxa"/>
            <w:vAlign w:val="bottom"/>
          </w:tcPr>
          <w:p>
            <w:pPr>
              <w:spacing w:after="0"/>
              <w:rPr>
                <w:sz w:val="24"/>
                <w:szCs w:val="24"/>
                <w:color w:val="auto"/>
              </w:rPr>
            </w:pPr>
          </w:p>
        </w:tc>
        <w:tc>
          <w:tcPr>
            <w:tcW w:w="3680" w:type="dxa"/>
            <w:vAlign w:val="bottom"/>
            <w:tcBorders>
              <w:bottom w:val="single" w:sz="8" w:color="auto"/>
            </w:tcBorders>
          </w:tcPr>
          <w:p>
            <w:pPr>
              <w:jc w:val="right"/>
              <w:ind w:right="1539"/>
              <w:spacing w:after="0"/>
              <w:rPr>
                <w:sz w:val="20"/>
                <w:szCs w:val="20"/>
                <w:color w:val="auto"/>
              </w:rPr>
            </w:pPr>
            <w:r>
              <w:rPr>
                <w:rFonts w:ascii="Arial" w:cs="Arial" w:eastAsia="Arial" w:hAnsi="Arial"/>
                <w:sz w:val="16"/>
                <w:szCs w:val="16"/>
                <w:color w:val="auto"/>
              </w:rPr>
              <w:t>50436</w:t>
            </w:r>
          </w:p>
        </w:tc>
      </w:tr>
      <w:tr>
        <w:trPr>
          <w:trHeight w:val="224"/>
        </w:trPr>
        <w:tc>
          <w:tcPr>
            <w:tcW w:w="5220" w:type="dxa"/>
            <w:vAlign w:val="bottom"/>
            <w:gridSpan w:val="2"/>
          </w:tcPr>
          <w:p>
            <w:pPr>
              <w:jc w:val="center"/>
              <w:ind w:right="1520"/>
              <w:spacing w:after="0"/>
              <w:rPr>
                <w:sz w:val="20"/>
                <w:szCs w:val="20"/>
                <w:color w:val="auto"/>
              </w:rPr>
            </w:pPr>
            <w:r>
              <w:rPr>
                <w:rFonts w:ascii="Arial" w:cs="Arial" w:eastAsia="Arial" w:hAnsi="Arial"/>
                <w:sz w:val="16"/>
                <w:szCs w:val="16"/>
                <w:color w:val="auto"/>
              </w:rPr>
              <w:t>(Address of principal executive offices)</w:t>
            </w:r>
          </w:p>
        </w:tc>
        <w:tc>
          <w:tcPr>
            <w:tcW w:w="368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5" w:lineRule="exact"/>
        <w:rPr>
          <w:sz w:val="24"/>
          <w:szCs w:val="24"/>
          <w:color w:val="auto"/>
        </w:rPr>
      </w:pPr>
    </w:p>
    <w:p>
      <w:pPr>
        <w:jc w:val="center"/>
        <w:ind w:right="-39"/>
        <w:spacing w:after="0" w:line="184" w:lineRule="exact"/>
        <w:rPr>
          <w:sz w:val="20"/>
          <w:szCs w:val="20"/>
          <w:color w:val="auto"/>
        </w:rPr>
      </w:pPr>
      <w:r>
        <w:rPr>
          <w:rFonts w:ascii="Arial" w:cs="Arial" w:eastAsia="Arial" w:hAnsi="Arial"/>
          <w:sz w:val="16"/>
          <w:szCs w:val="16"/>
          <w:color w:val="auto"/>
        </w:rPr>
        <w:t>Registrant's telephone number, including area code: (641) 585</w:t>
      </w:r>
      <w:r>
        <w:rPr>
          <w:rFonts w:ascii="MS PGothic" w:cs="MS PGothic" w:eastAsia="MS PGothic" w:hAnsi="MS PGothic"/>
          <w:sz w:val="16"/>
          <w:szCs w:val="16"/>
          <w:color w:val="auto"/>
        </w:rPr>
        <w:t>‑</w:t>
      </w:r>
      <w:r>
        <w:rPr>
          <w:rFonts w:ascii="Arial" w:cs="Arial" w:eastAsia="Arial" w:hAnsi="Arial"/>
          <w:sz w:val="16"/>
          <w:szCs w:val="16"/>
          <w:color w:val="auto"/>
        </w:rPr>
        <w:t>3535</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4" w:lineRule="exact"/>
        <w:rPr>
          <w:sz w:val="24"/>
          <w:szCs w:val="24"/>
          <w:color w:val="auto"/>
        </w:rPr>
      </w:pPr>
    </w:p>
    <w:tbl>
      <w:tblPr>
        <w:tblLayout w:type="fixed"/>
        <w:tblInd w:w="1260" w:type="dxa"/>
        <w:tblCellMar>
          <w:top w:w="0" w:type="dxa"/>
          <w:left w:w="0" w:type="dxa"/>
          <w:bottom w:w="0" w:type="dxa"/>
          <w:right w:w="0" w:type="dxa"/>
        </w:tblCellMar>
      </w:tblPr>
      <w:tr>
        <w:trPr>
          <w:trHeight w:val="208"/>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520" w:type="dxa"/>
            <w:vAlign w:val="bottom"/>
          </w:tcPr>
          <w:p>
            <w:pPr>
              <w:spacing w:after="0"/>
              <w:rPr>
                <w:sz w:val="18"/>
                <w:szCs w:val="18"/>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37"/>
        </w:trPr>
        <w:tc>
          <w:tcPr>
            <w:tcW w:w="5220" w:type="dxa"/>
            <w:vAlign w:val="bottom"/>
            <w:gridSpan w:val="2"/>
          </w:tcPr>
          <w:p>
            <w:pPr>
              <w:jc w:val="center"/>
              <w:ind w:right="1520"/>
              <w:spacing w:after="0"/>
              <w:rPr>
                <w:sz w:val="20"/>
                <w:szCs w:val="20"/>
                <w:color w:val="auto"/>
              </w:rPr>
            </w:pPr>
            <w:r>
              <w:rPr>
                <w:rFonts w:ascii="Arial" w:cs="Arial" w:eastAsia="Arial" w:hAnsi="Arial"/>
                <w:sz w:val="16"/>
                <w:szCs w:val="16"/>
                <w:color w:val="auto"/>
              </w:rPr>
              <w:t>Common Stock ($.50 par value)</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New York Stock Exchange, Inc.</w:t>
            </w:r>
          </w:p>
        </w:tc>
      </w:tr>
    </w:tbl>
    <w:p>
      <w:pPr>
        <w:spacing w:after="0" w:line="48" w:lineRule="exact"/>
        <w:rPr>
          <w:sz w:val="24"/>
          <w:szCs w:val="24"/>
          <w:color w:val="auto"/>
        </w:rPr>
      </w:pPr>
    </w:p>
    <w:p>
      <w:pPr>
        <w:ind w:left="7240"/>
        <w:spacing w:after="0"/>
        <w:rPr>
          <w:sz w:val="20"/>
          <w:szCs w:val="20"/>
          <w:color w:val="auto"/>
        </w:rPr>
      </w:pPr>
      <w:r>
        <w:rPr>
          <w:rFonts w:ascii="Arial" w:cs="Arial" w:eastAsia="Arial" w:hAnsi="Arial"/>
          <w:sz w:val="16"/>
          <w:szCs w:val="16"/>
          <w:color w:val="auto"/>
        </w:rPr>
        <w:t>Chicago Stock Exchange, Inc.</w:t>
      </w:r>
    </w:p>
    <w:p>
      <w:pPr>
        <w:spacing w:after="0" w:line="62"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108" w:lineRule="exact"/>
        <w:rPr>
          <w:sz w:val="24"/>
          <w:szCs w:val="24"/>
          <w:color w:val="auto"/>
        </w:rPr>
      </w:pPr>
    </w:p>
    <w:p>
      <w:pPr>
        <w:ind w:right="2680"/>
        <w:spacing w:after="0" w:line="448" w:lineRule="auto"/>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Arial" w:cs="Arial" w:eastAsia="Arial" w:hAnsi="Arial"/>
          <w:sz w:val="16"/>
          <w:szCs w:val="16"/>
          <w:color w:val="auto"/>
        </w:rPr>
        <w:t>o</w:t>
      </w:r>
      <w:r>
        <w:rPr>
          <w:rFonts w:ascii="Arial" w:cs="Arial" w:eastAsia="Arial" w:hAnsi="Arial"/>
          <w:sz w:val="14"/>
          <w:szCs w:val="14"/>
          <w:color w:val="auto"/>
        </w:rPr>
        <w:t xml:space="preserve"> No </w:t>
      </w:r>
      <w:r>
        <w:rPr>
          <w:rFonts w:ascii="Arial" w:cs="Arial" w:eastAsia="Arial" w:hAnsi="Arial"/>
          <w:sz w:val="16"/>
          <w:szCs w:val="16"/>
          <w:color w:val="auto"/>
        </w:rPr>
        <w:t>x</w:t>
      </w:r>
      <w:r>
        <w:rPr>
          <w:rFonts w:ascii="Arial" w:cs="Arial" w:eastAsia="Arial" w:hAnsi="Arial"/>
          <w:sz w:val="14"/>
          <w:szCs w:val="14"/>
          <w:color w:val="auto"/>
        </w:rPr>
        <w:t xml:space="preserve"> Indicate by check mark whether the registrant is not required to file reports pursuant to Section 13 or Section 15(d) of the Act. Yes </w:t>
      </w:r>
      <w:r>
        <w:rPr>
          <w:rFonts w:ascii="Arial" w:cs="Arial" w:eastAsia="Arial" w:hAnsi="Arial"/>
          <w:sz w:val="16"/>
          <w:szCs w:val="16"/>
          <w:color w:val="auto"/>
        </w:rPr>
        <w:t>o</w:t>
      </w:r>
      <w:r>
        <w:rPr>
          <w:rFonts w:ascii="Arial" w:cs="Arial" w:eastAsia="Arial" w:hAnsi="Arial"/>
          <w:sz w:val="14"/>
          <w:szCs w:val="14"/>
          <w:color w:val="auto"/>
        </w:rPr>
        <w:t xml:space="preserve"> No </w:t>
      </w:r>
      <w:r>
        <w:rPr>
          <w:rFonts w:ascii="Arial" w:cs="Arial" w:eastAsia="Arial" w:hAnsi="Arial"/>
          <w:sz w:val="16"/>
          <w:szCs w:val="16"/>
          <w:color w:val="auto"/>
        </w:rPr>
        <w:t>x</w:t>
      </w:r>
    </w:p>
    <w:p>
      <w:pPr>
        <w:ind w:right="260"/>
        <w:spacing w:after="0" w:line="295" w:lineRule="auto"/>
        <w:rPr>
          <w:sz w:val="20"/>
          <w:szCs w:val="20"/>
          <w:color w:val="auto"/>
        </w:rPr>
      </w:pPr>
      <w:r>
        <w:rPr>
          <w:rFonts w:ascii="Arial" w:cs="Arial" w:eastAsia="Arial" w:hAnsi="Arial"/>
          <w:sz w:val="16"/>
          <w:szCs w:val="16"/>
          <w:color w:val="auto"/>
        </w:rPr>
        <w:t>I</w:t>
      </w:r>
      <w:r>
        <w:rPr>
          <w:rFonts w:ascii="Arial" w:cs="Arial" w:eastAsia="Arial" w:hAnsi="Arial"/>
          <w:sz w:val="14"/>
          <w:szCs w:val="14"/>
          <w:color w:val="auto"/>
        </w:rPr>
        <w:t>ndicate by check mark whether the registrant (1) has filed all reports required to be filed by Section 13 or 15(d) of the Securities Exchange Act of 1934 during the preceding 12</w:t>
      </w:r>
      <w:r>
        <w:rPr>
          <w:rFonts w:ascii="Arial" w:cs="Arial" w:eastAsia="Arial" w:hAnsi="Arial"/>
          <w:sz w:val="16"/>
          <w:szCs w:val="16"/>
          <w:color w:val="auto"/>
        </w:rPr>
        <w:t xml:space="preserve"> </w:t>
      </w:r>
      <w:r>
        <w:rPr>
          <w:rFonts w:ascii="Arial" w:cs="Arial" w:eastAsia="Arial" w:hAnsi="Arial"/>
          <w:sz w:val="14"/>
          <w:szCs w:val="14"/>
          <w:color w:val="auto"/>
        </w:rPr>
        <w:t xml:space="preserve">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91" w:lineRule="exact"/>
        <w:rPr>
          <w:sz w:val="24"/>
          <w:szCs w:val="24"/>
          <w:color w:val="auto"/>
        </w:rPr>
      </w:pPr>
    </w:p>
    <w:p>
      <w:pPr>
        <w:ind w:right="60"/>
        <w:spacing w:after="0" w:line="275" w:lineRule="auto"/>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96" w:lineRule="exact"/>
        <w:rPr>
          <w:sz w:val="24"/>
          <w:szCs w:val="24"/>
          <w:color w:val="auto"/>
        </w:rPr>
      </w:pPr>
    </w:p>
    <w:p>
      <w:pPr>
        <w:ind w:right="120"/>
        <w:spacing w:after="0" w:line="269" w:lineRule="auto"/>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w:t>
      </w:r>
      <w:r>
        <w:rPr>
          <w:rFonts w:ascii="Arial" w:cs="Arial" w:eastAsia="Arial" w:hAnsi="Arial"/>
          <w:sz w:val="16"/>
          <w:szCs w:val="16"/>
          <w:color w:val="auto"/>
        </w:rPr>
        <w:t>x.</w:t>
      </w:r>
    </w:p>
    <w:p>
      <w:pPr>
        <w:spacing w:after="0" w:line="86" w:lineRule="exact"/>
        <w:rPr>
          <w:sz w:val="24"/>
          <w:szCs w:val="24"/>
          <w:color w:val="auto"/>
        </w:rPr>
      </w:pPr>
    </w:p>
    <w:p>
      <w:pPr>
        <w:ind w:right="18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tabs>
          <w:tab w:leader="none" w:pos="1840" w:val="left"/>
          <w:tab w:leader="none" w:pos="3320" w:val="left"/>
          <w:tab w:leader="none" w:pos="5140" w:val="left"/>
        </w:tabs>
        <w:rPr>
          <w:sz w:val="20"/>
          <w:szCs w:val="20"/>
          <w:color w:val="auto"/>
        </w:rPr>
      </w:pPr>
      <w:r>
        <w:rPr>
          <w:rFonts w:ascii="Arial" w:cs="Arial" w:eastAsia="Arial" w:hAnsi="Arial"/>
          <w:sz w:val="14"/>
          <w:szCs w:val="14"/>
          <w:color w:val="auto"/>
        </w:rPr>
        <w:t xml:space="preserve">Large Accelerated Filer </w:t>
      </w:r>
      <w:r>
        <w:rPr>
          <w:rFonts w:ascii="Arial" w:cs="Arial" w:eastAsia="Arial" w:hAnsi="Arial"/>
          <w:sz w:val="16"/>
          <w:szCs w:val="16"/>
          <w:color w:val="auto"/>
        </w:rPr>
        <w:t>o</w:t>
      </w:r>
      <w:r>
        <w:rPr>
          <w:sz w:val="20"/>
          <w:szCs w:val="20"/>
          <w:color w:val="auto"/>
        </w:rPr>
        <w:tab/>
      </w:r>
      <w:r>
        <w:rPr>
          <w:rFonts w:ascii="Arial" w:cs="Arial" w:eastAsia="Arial" w:hAnsi="Arial"/>
          <w:sz w:val="14"/>
          <w:szCs w:val="14"/>
          <w:color w:val="auto"/>
        </w:rPr>
        <w:t xml:space="preserve">Accelerated Filer </w:t>
      </w:r>
      <w:r>
        <w:rPr>
          <w:rFonts w:ascii="Arial" w:cs="Arial" w:eastAsia="Arial" w:hAnsi="Arial"/>
          <w:sz w:val="16"/>
          <w:szCs w:val="16"/>
          <w:color w:val="auto"/>
        </w:rPr>
        <w:t>x</w:t>
      </w:r>
      <w:r>
        <w:rPr>
          <w:sz w:val="20"/>
          <w:szCs w:val="20"/>
          <w:color w:val="auto"/>
        </w:rPr>
        <w:tab/>
      </w:r>
      <w:r>
        <w:rPr>
          <w:rFonts w:ascii="Arial" w:cs="Arial" w:eastAsia="Arial" w:hAnsi="Arial"/>
          <w:sz w:val="14"/>
          <w:szCs w:val="14"/>
          <w:color w:val="auto"/>
        </w:rPr>
        <w:t xml:space="preserve">Non-accelerated filer </w:t>
      </w:r>
      <w:r>
        <w:rPr>
          <w:rFonts w:ascii="Arial" w:cs="Arial" w:eastAsia="Arial" w:hAnsi="Arial"/>
          <w:sz w:val="16"/>
          <w:szCs w:val="16"/>
          <w:color w:val="auto"/>
        </w:rPr>
        <w:t>o</w:t>
      </w:r>
      <w:r>
        <w:rPr>
          <w:sz w:val="20"/>
          <w:szCs w:val="20"/>
          <w:color w:val="auto"/>
        </w:rPr>
        <w:tab/>
      </w:r>
      <w:r>
        <w:rPr>
          <w:rFonts w:ascii="Arial" w:cs="Arial" w:eastAsia="Arial" w:hAnsi="Arial"/>
          <w:sz w:val="14"/>
          <w:szCs w:val="14"/>
          <w:color w:val="auto"/>
        </w:rPr>
        <w:t xml:space="preserve">Smaller Reporting Company </w:t>
      </w:r>
      <w:r>
        <w:rPr>
          <w:rFonts w:ascii="Arial" w:cs="Arial" w:eastAsia="Arial" w:hAnsi="Arial"/>
          <w:sz w:val="16"/>
          <w:szCs w:val="16"/>
          <w:color w:val="auto"/>
        </w:rPr>
        <w:t>o</w:t>
      </w:r>
    </w:p>
    <w:p>
      <w:pPr>
        <w:spacing w:after="0" w:line="11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Arial" w:cs="Arial" w:eastAsia="Arial" w:hAnsi="Arial"/>
          <w:sz w:val="16"/>
          <w:szCs w:val="16"/>
          <w:color w:val="auto"/>
        </w:rPr>
        <w:t>o</w:t>
      </w:r>
      <w:r>
        <w:rPr>
          <w:rFonts w:ascii="Arial" w:cs="Arial" w:eastAsia="Arial" w:hAnsi="Arial"/>
          <w:sz w:val="14"/>
          <w:szCs w:val="14"/>
          <w:color w:val="auto"/>
        </w:rPr>
        <w:t xml:space="preserve"> No </w:t>
      </w:r>
      <w:r>
        <w:rPr>
          <w:rFonts w:ascii="Arial" w:cs="Arial" w:eastAsia="Arial" w:hAnsi="Arial"/>
          <w:sz w:val="16"/>
          <w:szCs w:val="16"/>
          <w:color w:val="auto"/>
        </w:rPr>
        <w:t>x</w:t>
      </w:r>
    </w:p>
    <w:p>
      <w:pPr>
        <w:spacing w:after="0" w:line="128" w:lineRule="exact"/>
        <w:rPr>
          <w:sz w:val="24"/>
          <w:szCs w:val="24"/>
          <w:color w:val="auto"/>
        </w:rPr>
      </w:pPr>
    </w:p>
    <w:p>
      <w:pPr>
        <w:ind w:right="280"/>
        <w:spacing w:after="0" w:line="258" w:lineRule="auto"/>
        <w:rPr>
          <w:sz w:val="20"/>
          <w:szCs w:val="20"/>
          <w:color w:val="auto"/>
        </w:rPr>
      </w:pPr>
      <w:r>
        <w:rPr>
          <w:rFonts w:ascii="Arial" w:cs="Arial" w:eastAsia="Arial" w:hAnsi="Arial"/>
          <w:sz w:val="14"/>
          <w:szCs w:val="14"/>
          <w:color w:val="auto"/>
        </w:rPr>
        <w:t>Aggregate market value of the common stock held by non-affiliates of the registrant: $499,792,088 (26,684,041 shares at the closing price on the New York Stock Exchange of $18.73 on February 29, 2016).</w:t>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Common stock outstanding on October 10, 2016: 26,901,146 shares.</w:t>
      </w:r>
    </w:p>
    <w:p>
      <w:pPr>
        <w:spacing w:after="0" w:line="167"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DOCUMENTS INCORPORATED BY REFERENCE</w:t>
      </w:r>
    </w:p>
    <w:p>
      <w:pPr>
        <w:spacing w:after="0" w:line="39" w:lineRule="exact"/>
        <w:rPr>
          <w:sz w:val="24"/>
          <w:szCs w:val="24"/>
          <w:color w:val="auto"/>
        </w:rPr>
      </w:pPr>
    </w:p>
    <w:p>
      <w:pPr>
        <w:ind w:right="200"/>
        <w:spacing w:after="0" w:line="295" w:lineRule="auto"/>
        <w:rPr>
          <w:sz w:val="20"/>
          <w:szCs w:val="20"/>
          <w:color w:val="auto"/>
        </w:rPr>
      </w:pPr>
      <w:r>
        <w:rPr>
          <w:rFonts w:ascii="Arial" w:cs="Arial" w:eastAsia="Arial" w:hAnsi="Arial"/>
          <w:sz w:val="16"/>
          <w:szCs w:val="16"/>
          <w:color w:val="auto"/>
        </w:rPr>
        <w:t>Portions of the registrant's Proxy Statement relating to the registrant's December 2016 Annual Meeting of Shareholders, scheduled to be held December 13, 2016, are incorporated by reference into Part II and Part III of this Annual Report on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0" w:type="dxa"/>
            <w:vAlign w:val="bottom"/>
            <w:gridSpan w:val="8"/>
          </w:tcPr>
          <w:p>
            <w:pPr>
              <w:jc w:val="center"/>
              <w:ind w:right="4180"/>
              <w:spacing w:after="0"/>
              <w:rPr>
                <w:sz w:val="20"/>
                <w:szCs w:val="20"/>
                <w:color w:val="auto"/>
              </w:rPr>
            </w:pPr>
            <w:r>
              <w:rPr>
                <w:rFonts w:ascii="Arial" w:cs="Arial" w:eastAsia="Arial" w:hAnsi="Arial"/>
                <w:sz w:val="22"/>
                <w:szCs w:val="22"/>
                <w:b w:val="1"/>
                <w:bCs w:val="1"/>
                <w:color w:val="auto"/>
                <w:w w:val="97"/>
              </w:rPr>
              <w:t>Winnebago Industries, Inc.</w:t>
            </w:r>
          </w:p>
        </w:tc>
        <w:tc>
          <w:tcPr>
            <w:tcW w:w="100" w:type="dxa"/>
            <w:vAlign w:val="bottom"/>
          </w:tcPr>
          <w:p>
            <w:pPr>
              <w:spacing w:after="0"/>
              <w:rPr>
                <w:sz w:val="22"/>
                <w:szCs w:val="22"/>
                <w:color w:val="auto"/>
              </w:rPr>
            </w:pPr>
          </w:p>
        </w:tc>
      </w:tr>
      <w:tr>
        <w:trPr>
          <w:trHeight w:val="257"/>
        </w:trPr>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60" w:type="dxa"/>
            <w:vAlign w:val="bottom"/>
            <w:gridSpan w:val="9"/>
          </w:tcPr>
          <w:p>
            <w:pPr>
              <w:jc w:val="center"/>
              <w:ind w:right="3700"/>
              <w:spacing w:after="0"/>
              <w:rPr>
                <w:sz w:val="20"/>
                <w:szCs w:val="20"/>
                <w:color w:val="auto"/>
              </w:rPr>
            </w:pPr>
            <w:r>
              <w:rPr>
                <w:rFonts w:ascii="Arial" w:cs="Arial" w:eastAsia="Arial" w:hAnsi="Arial"/>
                <w:sz w:val="22"/>
                <w:szCs w:val="22"/>
                <w:b w:val="1"/>
                <w:bCs w:val="1"/>
                <w:color w:val="auto"/>
                <w:w w:val="98"/>
              </w:rPr>
              <w:t>2016 Form 10-K Annual Report</w:t>
            </w:r>
          </w:p>
        </w:tc>
        <w:tc>
          <w:tcPr>
            <w:tcW w:w="100" w:type="dxa"/>
            <w:vAlign w:val="bottom"/>
          </w:tcPr>
          <w:p>
            <w:pPr>
              <w:spacing w:after="0"/>
              <w:rPr>
                <w:sz w:val="22"/>
                <w:szCs w:val="22"/>
                <w:color w:val="auto"/>
              </w:rPr>
            </w:pPr>
          </w:p>
        </w:tc>
      </w:tr>
      <w:tr>
        <w:trPr>
          <w:trHeight w:val="286"/>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0" w:type="dxa"/>
            <w:vAlign w:val="bottom"/>
            <w:gridSpan w:val="8"/>
          </w:tcPr>
          <w:p>
            <w:pPr>
              <w:jc w:val="center"/>
              <w:ind w:right="4180"/>
              <w:spacing w:after="0"/>
              <w:rPr>
                <w:sz w:val="20"/>
                <w:szCs w:val="20"/>
                <w:color w:val="auto"/>
              </w:rPr>
            </w:pPr>
            <w:r>
              <w:rPr>
                <w:rFonts w:ascii="Arial" w:cs="Arial" w:eastAsia="Arial" w:hAnsi="Arial"/>
                <w:sz w:val="22"/>
                <w:szCs w:val="22"/>
                <w:b w:val="1"/>
                <w:bCs w:val="1"/>
                <w:color w:val="auto"/>
                <w:w w:val="97"/>
              </w:rPr>
              <w:t>Table of Contents</w:t>
            </w:r>
          </w:p>
        </w:tc>
        <w:tc>
          <w:tcPr>
            <w:tcW w:w="100" w:type="dxa"/>
            <w:vAlign w:val="bottom"/>
          </w:tcPr>
          <w:p>
            <w:pPr>
              <w:spacing w:after="0"/>
              <w:rPr>
                <w:sz w:val="24"/>
                <w:szCs w:val="24"/>
                <w:color w:val="auto"/>
              </w:rPr>
            </w:pPr>
          </w:p>
        </w:tc>
      </w:tr>
      <w:tr>
        <w:trPr>
          <w:trHeight w:val="530"/>
        </w:trPr>
        <w:tc>
          <w:tcPr>
            <w:tcW w:w="640" w:type="dxa"/>
            <w:vAlign w:val="bottom"/>
            <w:tcBorders>
              <w:bottom w:val="single" w:sz="8" w:color="0000EE"/>
            </w:tcBorders>
            <w:gridSpan w:val="5"/>
          </w:tcPr>
          <w:p>
            <w:pPr>
              <w:spacing w:after="0"/>
              <w:rPr>
                <w:rFonts w:ascii="Arial" w:cs="Arial" w:eastAsia="Arial" w:hAnsi="Arial"/>
                <w:sz w:val="16"/>
                <w:szCs w:val="16"/>
                <w:color w:val="0000EE"/>
                <w:w w:val="98"/>
              </w:rPr>
            </w:pPr>
            <w:hyperlink w:anchor="page3">
              <w:r>
                <w:rPr>
                  <w:rFonts w:ascii="Arial" w:cs="Arial" w:eastAsia="Arial" w:hAnsi="Arial"/>
                  <w:sz w:val="16"/>
                  <w:szCs w:val="16"/>
                  <w:color w:val="0000EE"/>
                  <w:w w:val="98"/>
                </w:rPr>
                <w:t>Glossary</w:t>
              </w:r>
            </w:hyperlink>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74"/>
              </w:rPr>
            </w:pPr>
            <w:hyperlink w:anchor="page3">
              <w:r>
                <w:rPr>
                  <w:rFonts w:ascii="Arial" w:cs="Arial" w:eastAsia="Arial" w:hAnsi="Arial"/>
                  <w:sz w:val="16"/>
                  <w:szCs w:val="16"/>
                  <w:color w:val="0000EE"/>
                  <w:w w:val="74"/>
                </w:rPr>
                <w:t>iii</w:t>
              </w:r>
            </w:hyperlink>
          </w:p>
        </w:tc>
      </w:tr>
      <w:tr>
        <w:trPr>
          <w:trHeight w:val="547"/>
        </w:trPr>
        <w:tc>
          <w:tcPr>
            <w:tcW w:w="520" w:type="dxa"/>
            <w:vAlign w:val="bottom"/>
            <w:tcBorders>
              <w:bottom w:val="single" w:sz="8" w:color="0000EE"/>
            </w:tcBorders>
          </w:tcPr>
          <w:p>
            <w:pPr>
              <w:spacing w:after="0"/>
              <w:rPr>
                <w:rFonts w:ascii="Arial" w:cs="Arial" w:eastAsia="Arial" w:hAnsi="Arial"/>
                <w:sz w:val="16"/>
                <w:szCs w:val="16"/>
                <w:b w:val="1"/>
                <w:bCs w:val="1"/>
                <w:color w:val="0000EE"/>
                <w:w w:val="95"/>
              </w:rPr>
            </w:pPr>
            <w:hyperlink w:anchor="page4">
              <w:r>
                <w:rPr>
                  <w:rFonts w:ascii="Arial" w:cs="Arial" w:eastAsia="Arial" w:hAnsi="Arial"/>
                  <w:sz w:val="16"/>
                  <w:szCs w:val="16"/>
                  <w:b w:val="1"/>
                  <w:bCs w:val="1"/>
                  <w:color w:val="0000EE"/>
                  <w:w w:val="95"/>
                </w:rPr>
                <w:t>PART I</w:t>
              </w:r>
            </w:hyperlink>
          </w:p>
        </w:tc>
        <w:tc>
          <w:tcPr>
            <w:tcW w:w="120" w:type="dxa"/>
            <w:vAlign w:val="bottom"/>
            <w:gridSpan w:val="4"/>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w:t>
            </w:r>
          </w:p>
        </w:tc>
        <w:tc>
          <w:tcPr>
            <w:tcW w:w="280" w:type="dxa"/>
            <w:vAlign w:val="bottom"/>
          </w:tcPr>
          <w:p>
            <w:pPr>
              <w:spacing w:after="0"/>
              <w:rPr>
                <w:sz w:val="19"/>
                <w:szCs w:val="19"/>
                <w:color w:val="auto"/>
              </w:rPr>
            </w:pPr>
          </w:p>
        </w:tc>
        <w:tc>
          <w:tcPr>
            <w:tcW w:w="660" w:type="dxa"/>
            <w:vAlign w:val="bottom"/>
            <w:tcBorders>
              <w:bottom w:val="single" w:sz="8" w:color="0000EE"/>
            </w:tcBorders>
          </w:tcPr>
          <w:p>
            <w:pPr>
              <w:spacing w:after="0"/>
              <w:rPr>
                <w:rFonts w:ascii="Arial" w:cs="Arial" w:eastAsia="Arial" w:hAnsi="Arial"/>
                <w:sz w:val="16"/>
                <w:szCs w:val="16"/>
                <w:color w:val="0000EE"/>
                <w:w w:val="98"/>
              </w:rPr>
            </w:pPr>
            <w:hyperlink w:anchor="page4">
              <w:r>
                <w:rPr>
                  <w:rFonts w:ascii="Arial" w:cs="Arial" w:eastAsia="Arial" w:hAnsi="Arial"/>
                  <w:sz w:val="16"/>
                  <w:szCs w:val="16"/>
                  <w:color w:val="0000EE"/>
                  <w:w w:val="98"/>
                </w:rPr>
                <w:t>Business</w:t>
              </w:r>
            </w:hyperlink>
          </w:p>
        </w:tc>
        <w:tc>
          <w:tcPr>
            <w:tcW w:w="9680" w:type="dxa"/>
            <w:vAlign w:val="bottom"/>
            <w:gridSpan w:val="18"/>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1</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1A.</w:t>
            </w:r>
          </w:p>
        </w:tc>
        <w:tc>
          <w:tcPr>
            <w:tcW w:w="280" w:type="dxa"/>
            <w:vAlign w:val="bottom"/>
          </w:tcPr>
          <w:p>
            <w:pPr>
              <w:spacing w:after="0"/>
              <w:rPr>
                <w:sz w:val="19"/>
                <w:szCs w:val="19"/>
                <w:color w:val="auto"/>
              </w:rPr>
            </w:pPr>
          </w:p>
        </w:tc>
        <w:tc>
          <w:tcPr>
            <w:tcW w:w="900" w:type="dxa"/>
            <w:vAlign w:val="bottom"/>
            <w:tcBorders>
              <w:bottom w:val="single" w:sz="8" w:color="0000EE"/>
            </w:tcBorders>
            <w:gridSpan w:val="3"/>
          </w:tcPr>
          <w:p>
            <w:pPr>
              <w:spacing w:after="0"/>
              <w:rPr>
                <w:rFonts w:ascii="Arial" w:cs="Arial" w:eastAsia="Arial" w:hAnsi="Arial"/>
                <w:sz w:val="16"/>
                <w:szCs w:val="16"/>
                <w:color w:val="0000EE"/>
                <w:w w:val="98"/>
              </w:rPr>
            </w:pPr>
            <w:hyperlink w:anchor="page9">
              <w:r>
                <w:rPr>
                  <w:rFonts w:ascii="Arial" w:cs="Arial" w:eastAsia="Arial" w:hAnsi="Arial"/>
                  <w:sz w:val="16"/>
                  <w:szCs w:val="16"/>
                  <w:color w:val="0000EE"/>
                  <w:w w:val="98"/>
                </w:rPr>
                <w:t>Risk Factors</w:t>
              </w:r>
            </w:hyperlink>
          </w:p>
        </w:tc>
        <w:tc>
          <w:tcPr>
            <w:tcW w:w="9440" w:type="dxa"/>
            <w:vAlign w:val="bottom"/>
            <w:gridSpan w:val="16"/>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9">
              <w:r>
                <w:rPr>
                  <w:rFonts w:ascii="Arial" w:cs="Arial" w:eastAsia="Arial" w:hAnsi="Arial"/>
                  <w:sz w:val="16"/>
                  <w:szCs w:val="16"/>
                  <w:color w:val="0000EE"/>
                  <w:w w:val="89"/>
                </w:rPr>
                <w:t>6</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1B.</w:t>
            </w:r>
          </w:p>
        </w:tc>
        <w:tc>
          <w:tcPr>
            <w:tcW w:w="280" w:type="dxa"/>
            <w:vAlign w:val="bottom"/>
          </w:tcPr>
          <w:p>
            <w:pPr>
              <w:spacing w:after="0"/>
              <w:rPr>
                <w:sz w:val="19"/>
                <w:szCs w:val="19"/>
                <w:color w:val="auto"/>
              </w:rPr>
            </w:pPr>
          </w:p>
        </w:tc>
        <w:tc>
          <w:tcPr>
            <w:tcW w:w="2020" w:type="dxa"/>
            <w:vAlign w:val="bottom"/>
            <w:tcBorders>
              <w:bottom w:val="single" w:sz="8" w:color="0000EE"/>
            </w:tcBorders>
            <w:gridSpan w:val="9"/>
          </w:tcPr>
          <w:p>
            <w:pPr>
              <w:spacing w:after="0"/>
              <w:rPr>
                <w:rFonts w:ascii="Arial" w:cs="Arial" w:eastAsia="Arial" w:hAnsi="Arial"/>
                <w:sz w:val="16"/>
                <w:szCs w:val="16"/>
                <w:color w:val="0000EE"/>
                <w:w w:val="99"/>
              </w:rPr>
            </w:pPr>
            <w:hyperlink w:anchor="page15">
              <w:r>
                <w:rPr>
                  <w:rFonts w:ascii="Arial" w:cs="Arial" w:eastAsia="Arial" w:hAnsi="Arial"/>
                  <w:sz w:val="16"/>
                  <w:szCs w:val="16"/>
                  <w:color w:val="0000EE"/>
                  <w:w w:val="99"/>
                </w:rPr>
                <w:t>Unresolved Staff Comments</w:t>
              </w:r>
            </w:hyperlink>
          </w:p>
        </w:tc>
        <w:tc>
          <w:tcPr>
            <w:tcW w:w="8320" w:type="dxa"/>
            <w:vAlign w:val="bottom"/>
            <w:gridSpan w:val="10"/>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0"/>
                <w:szCs w:val="10"/>
                <w:color w:val="0000EE"/>
                <w:w w:val="71"/>
              </w:rPr>
            </w:pPr>
            <w:hyperlink w:anchor="page15">
              <w:r>
                <w:rPr>
                  <w:rFonts w:ascii="Arial" w:cs="Arial" w:eastAsia="Arial" w:hAnsi="Arial"/>
                  <w:sz w:val="10"/>
                  <w:szCs w:val="10"/>
                  <w:color w:val="0000EE"/>
                  <w:w w:val="71"/>
                </w:rPr>
                <w:t>12</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2.</w:t>
            </w:r>
          </w:p>
        </w:tc>
        <w:tc>
          <w:tcPr>
            <w:tcW w:w="280" w:type="dxa"/>
            <w:vAlign w:val="bottom"/>
          </w:tcPr>
          <w:p>
            <w:pPr>
              <w:spacing w:after="0"/>
              <w:rPr>
                <w:sz w:val="19"/>
                <w:szCs w:val="19"/>
                <w:color w:val="auto"/>
              </w:rPr>
            </w:pPr>
          </w:p>
        </w:tc>
        <w:tc>
          <w:tcPr>
            <w:tcW w:w="740" w:type="dxa"/>
            <w:vAlign w:val="bottom"/>
            <w:tcBorders>
              <w:bottom w:val="single" w:sz="8" w:color="0000EE"/>
            </w:tcBorders>
            <w:gridSpan w:val="2"/>
          </w:tcPr>
          <w:p>
            <w:pPr>
              <w:spacing w:after="0"/>
              <w:rPr>
                <w:rFonts w:ascii="Arial" w:cs="Arial" w:eastAsia="Arial" w:hAnsi="Arial"/>
                <w:sz w:val="16"/>
                <w:szCs w:val="16"/>
                <w:color w:val="0000EE"/>
                <w:w w:val="98"/>
              </w:rPr>
            </w:pPr>
            <w:hyperlink w:anchor="page15">
              <w:r>
                <w:rPr>
                  <w:rFonts w:ascii="Arial" w:cs="Arial" w:eastAsia="Arial" w:hAnsi="Arial"/>
                  <w:sz w:val="16"/>
                  <w:szCs w:val="16"/>
                  <w:color w:val="0000EE"/>
                  <w:w w:val="98"/>
                </w:rPr>
                <w:t>Properties</w:t>
              </w:r>
            </w:hyperlink>
          </w:p>
        </w:tc>
        <w:tc>
          <w:tcPr>
            <w:tcW w:w="9600" w:type="dxa"/>
            <w:vAlign w:val="bottom"/>
            <w:gridSpan w:val="17"/>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0"/>
                <w:szCs w:val="10"/>
                <w:color w:val="0000EE"/>
                <w:w w:val="71"/>
              </w:rPr>
            </w:pPr>
            <w:hyperlink w:anchor="page15">
              <w:r>
                <w:rPr>
                  <w:rFonts w:ascii="Arial" w:cs="Arial" w:eastAsia="Arial" w:hAnsi="Arial"/>
                  <w:sz w:val="10"/>
                  <w:szCs w:val="10"/>
                  <w:color w:val="0000EE"/>
                  <w:w w:val="71"/>
                </w:rPr>
                <w:t>12</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3.</w:t>
            </w:r>
          </w:p>
        </w:tc>
        <w:tc>
          <w:tcPr>
            <w:tcW w:w="280" w:type="dxa"/>
            <w:vAlign w:val="bottom"/>
          </w:tcPr>
          <w:p>
            <w:pPr>
              <w:spacing w:after="0"/>
              <w:rPr>
                <w:sz w:val="19"/>
                <w:szCs w:val="19"/>
                <w:color w:val="auto"/>
              </w:rPr>
            </w:pPr>
          </w:p>
        </w:tc>
        <w:tc>
          <w:tcPr>
            <w:tcW w:w="1340" w:type="dxa"/>
            <w:vAlign w:val="bottom"/>
            <w:tcBorders>
              <w:bottom w:val="single" w:sz="8" w:color="0000EE"/>
            </w:tcBorders>
            <w:gridSpan w:val="5"/>
          </w:tcPr>
          <w:p>
            <w:pPr>
              <w:spacing w:after="0"/>
              <w:rPr>
                <w:rFonts w:ascii="Arial" w:cs="Arial" w:eastAsia="Arial" w:hAnsi="Arial"/>
                <w:sz w:val="16"/>
                <w:szCs w:val="16"/>
                <w:color w:val="0000EE"/>
                <w:w w:val="99"/>
              </w:rPr>
            </w:pPr>
            <w:hyperlink w:anchor="page15">
              <w:r>
                <w:rPr>
                  <w:rFonts w:ascii="Arial" w:cs="Arial" w:eastAsia="Arial" w:hAnsi="Arial"/>
                  <w:sz w:val="16"/>
                  <w:szCs w:val="16"/>
                  <w:color w:val="0000EE"/>
                  <w:w w:val="99"/>
                </w:rPr>
                <w:t>Legal Proceedings</w:t>
              </w:r>
            </w:hyperlink>
          </w:p>
        </w:tc>
        <w:tc>
          <w:tcPr>
            <w:tcW w:w="9000" w:type="dxa"/>
            <w:vAlign w:val="bottom"/>
            <w:gridSpan w:val="14"/>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0"/>
                <w:szCs w:val="10"/>
                <w:color w:val="0000EE"/>
                <w:w w:val="71"/>
              </w:rPr>
            </w:pPr>
            <w:hyperlink w:anchor="page15">
              <w:r>
                <w:rPr>
                  <w:rFonts w:ascii="Arial" w:cs="Arial" w:eastAsia="Arial" w:hAnsi="Arial"/>
                  <w:sz w:val="10"/>
                  <w:szCs w:val="10"/>
                  <w:color w:val="0000EE"/>
                  <w:w w:val="71"/>
                </w:rPr>
                <w:t>12</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4.</w:t>
            </w:r>
          </w:p>
        </w:tc>
        <w:tc>
          <w:tcPr>
            <w:tcW w:w="280" w:type="dxa"/>
            <w:vAlign w:val="bottom"/>
          </w:tcPr>
          <w:p>
            <w:pPr>
              <w:spacing w:after="0"/>
              <w:rPr>
                <w:sz w:val="19"/>
                <w:szCs w:val="19"/>
                <w:color w:val="auto"/>
              </w:rPr>
            </w:pPr>
          </w:p>
        </w:tc>
        <w:tc>
          <w:tcPr>
            <w:tcW w:w="10340" w:type="dxa"/>
            <w:vAlign w:val="bottom"/>
            <w:gridSpan w:val="19"/>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Mine Safety Disclosures</w:t>
              </w:r>
            </w:hyperlink>
          </w:p>
        </w:tc>
        <w:tc>
          <w:tcPr>
            <w:tcW w:w="100" w:type="dxa"/>
            <w:vAlign w:val="bottom"/>
          </w:tcPr>
          <w:p>
            <w:pPr>
              <w:jc w:val="right"/>
              <w:spacing w:after="0"/>
              <w:rPr>
                <w:rFonts w:ascii="Arial" w:cs="Arial" w:eastAsia="Arial" w:hAnsi="Arial"/>
                <w:sz w:val="10"/>
                <w:szCs w:val="10"/>
                <w:color w:val="0000EE"/>
                <w:w w:val="71"/>
              </w:rPr>
            </w:pPr>
            <w:hyperlink w:anchor="page15">
              <w:r>
                <w:rPr>
                  <w:rFonts w:ascii="Arial" w:cs="Arial" w:eastAsia="Arial" w:hAnsi="Arial"/>
                  <w:sz w:val="10"/>
                  <w:szCs w:val="10"/>
                  <w:color w:val="0000EE"/>
                  <w:w w:val="71"/>
                </w:rPr>
                <w:t>12</w:t>
              </w:r>
            </w:hyperlink>
          </w:p>
        </w:tc>
      </w:tr>
      <w:tr>
        <w:trPr>
          <w:trHeight w:val="520"/>
        </w:trPr>
        <w:tc>
          <w:tcPr>
            <w:tcW w:w="560" w:type="dxa"/>
            <w:vAlign w:val="bottom"/>
            <w:tcBorders>
              <w:bottom w:val="single" w:sz="8" w:color="0000EE"/>
            </w:tcBorders>
            <w:gridSpan w:val="2"/>
          </w:tcPr>
          <w:p>
            <w:pPr>
              <w:spacing w:after="0"/>
              <w:rPr>
                <w:rFonts w:ascii="Arial" w:cs="Arial" w:eastAsia="Arial" w:hAnsi="Arial"/>
                <w:sz w:val="16"/>
                <w:szCs w:val="16"/>
                <w:b w:val="1"/>
                <w:bCs w:val="1"/>
                <w:color w:val="0000EE"/>
                <w:w w:val="94"/>
              </w:rPr>
            </w:pPr>
            <w:hyperlink w:anchor="page15">
              <w:r>
                <w:rPr>
                  <w:rFonts w:ascii="Arial" w:cs="Arial" w:eastAsia="Arial" w:hAnsi="Arial"/>
                  <w:sz w:val="16"/>
                  <w:szCs w:val="16"/>
                  <w:b w:val="1"/>
                  <w:bCs w:val="1"/>
                  <w:color w:val="0000EE"/>
                  <w:w w:val="94"/>
                </w:rPr>
                <w:t>PART II</w:t>
              </w:r>
            </w:hyperlink>
          </w:p>
        </w:tc>
        <w:tc>
          <w:tcPr>
            <w:tcW w:w="8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640" w:type="dxa"/>
            <w:vAlign w:val="bottom"/>
            <w:gridSpan w:val="5"/>
          </w:tcPr>
          <w:p>
            <w:pPr>
              <w:spacing w:after="0"/>
              <w:rPr>
                <w:sz w:val="20"/>
                <w:szCs w:val="20"/>
                <w:color w:val="auto"/>
              </w:rPr>
            </w:pPr>
            <w:r>
              <w:rPr>
                <w:rFonts w:ascii="Arial" w:cs="Arial" w:eastAsia="Arial" w:hAnsi="Arial"/>
                <w:sz w:val="16"/>
                <w:szCs w:val="16"/>
                <w:color w:val="auto"/>
              </w:rPr>
              <w:t>Item 5.</w:t>
            </w:r>
          </w:p>
        </w:tc>
        <w:tc>
          <w:tcPr>
            <w:tcW w:w="280" w:type="dxa"/>
            <w:vAlign w:val="bottom"/>
          </w:tcPr>
          <w:p>
            <w:pPr>
              <w:spacing w:after="0"/>
              <w:rPr>
                <w:sz w:val="21"/>
                <w:szCs w:val="21"/>
                <w:color w:val="auto"/>
              </w:rPr>
            </w:pPr>
          </w:p>
        </w:tc>
        <w:tc>
          <w:tcPr>
            <w:tcW w:w="8260" w:type="dxa"/>
            <w:vAlign w:val="bottom"/>
            <w:tcBorders>
              <w:bottom w:val="single" w:sz="8" w:color="0000EE"/>
            </w:tcBorders>
            <w:gridSpan w:val="18"/>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Market for the Registrant's Common Equity, Related Stockholder Matters and Issuer Purchases of Equity Securities</w:t>
              </w:r>
            </w:hyperlink>
          </w:p>
        </w:tc>
        <w:tc>
          <w:tcPr>
            <w:tcW w:w="20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0"/>
                <w:szCs w:val="10"/>
                <w:color w:val="0000EE"/>
                <w:w w:val="71"/>
              </w:rPr>
            </w:pPr>
            <w:hyperlink w:anchor="page15">
              <w:r>
                <w:rPr>
                  <w:rFonts w:ascii="Arial" w:cs="Arial" w:eastAsia="Arial" w:hAnsi="Arial"/>
                  <w:sz w:val="10"/>
                  <w:szCs w:val="10"/>
                  <w:color w:val="0000EE"/>
                  <w:w w:val="71"/>
                </w:rPr>
                <w:t>12</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6.</w:t>
            </w:r>
          </w:p>
        </w:tc>
        <w:tc>
          <w:tcPr>
            <w:tcW w:w="280" w:type="dxa"/>
            <w:vAlign w:val="bottom"/>
          </w:tcPr>
          <w:p>
            <w:pPr>
              <w:spacing w:after="0"/>
              <w:rPr>
                <w:sz w:val="19"/>
                <w:szCs w:val="19"/>
                <w:color w:val="auto"/>
              </w:rPr>
            </w:pPr>
          </w:p>
        </w:tc>
        <w:tc>
          <w:tcPr>
            <w:tcW w:w="10340" w:type="dxa"/>
            <w:vAlign w:val="bottom"/>
            <w:gridSpan w:val="19"/>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Selected Financial Data</w:t>
              </w:r>
            </w:hyperlink>
          </w:p>
        </w:tc>
        <w:tc>
          <w:tcPr>
            <w:tcW w:w="100" w:type="dxa"/>
            <w:vAlign w:val="bottom"/>
          </w:tcPr>
          <w:p>
            <w:pPr>
              <w:jc w:val="right"/>
              <w:spacing w:after="0"/>
              <w:rPr>
                <w:rFonts w:ascii="Arial" w:cs="Arial" w:eastAsia="Arial" w:hAnsi="Arial"/>
                <w:sz w:val="10"/>
                <w:szCs w:val="10"/>
                <w:color w:val="0000EE"/>
                <w:w w:val="71"/>
              </w:rPr>
            </w:pPr>
            <w:hyperlink w:anchor="page18">
              <w:r>
                <w:rPr>
                  <w:rFonts w:ascii="Arial" w:cs="Arial" w:eastAsia="Arial" w:hAnsi="Arial"/>
                  <w:sz w:val="10"/>
                  <w:szCs w:val="10"/>
                  <w:color w:val="0000EE"/>
                  <w:w w:val="71"/>
                </w:rPr>
                <w:t>15</w:t>
              </w:r>
            </w:hyperlink>
          </w:p>
        </w:tc>
      </w:tr>
      <w:tr>
        <w:trPr>
          <w:trHeight w:val="20"/>
        </w:trPr>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7.</w:t>
            </w:r>
          </w:p>
        </w:tc>
        <w:tc>
          <w:tcPr>
            <w:tcW w:w="280" w:type="dxa"/>
            <w:vAlign w:val="bottom"/>
          </w:tcPr>
          <w:p>
            <w:pPr>
              <w:spacing w:after="0"/>
              <w:rPr>
                <w:sz w:val="19"/>
                <w:szCs w:val="19"/>
                <w:color w:val="auto"/>
              </w:rPr>
            </w:pPr>
          </w:p>
        </w:tc>
        <w:tc>
          <w:tcPr>
            <w:tcW w:w="10340" w:type="dxa"/>
            <w:vAlign w:val="bottom"/>
            <w:gridSpan w:val="19"/>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Management's Discussion and Analysis of Financial Condition and Results of Operations</w:t>
              </w:r>
            </w:hyperlink>
          </w:p>
        </w:tc>
        <w:tc>
          <w:tcPr>
            <w:tcW w:w="100" w:type="dxa"/>
            <w:vAlign w:val="bottom"/>
          </w:tcPr>
          <w:p>
            <w:pPr>
              <w:jc w:val="right"/>
              <w:spacing w:after="0"/>
              <w:rPr>
                <w:rFonts w:ascii="Arial" w:cs="Arial" w:eastAsia="Arial" w:hAnsi="Arial"/>
                <w:sz w:val="10"/>
                <w:szCs w:val="10"/>
                <w:color w:val="0000EE"/>
                <w:w w:val="71"/>
              </w:rPr>
            </w:pPr>
            <w:hyperlink w:anchor="page19">
              <w:r>
                <w:rPr>
                  <w:rFonts w:ascii="Arial" w:cs="Arial" w:eastAsia="Arial" w:hAnsi="Arial"/>
                  <w:sz w:val="10"/>
                  <w:szCs w:val="10"/>
                  <w:color w:val="0000EE"/>
                  <w:w w:val="71"/>
                </w:rPr>
                <w:t>16</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7A.</w:t>
            </w:r>
          </w:p>
        </w:tc>
        <w:tc>
          <w:tcPr>
            <w:tcW w:w="280" w:type="dxa"/>
            <w:vAlign w:val="bottom"/>
          </w:tcPr>
          <w:p>
            <w:pPr>
              <w:spacing w:after="0"/>
              <w:rPr>
                <w:sz w:val="19"/>
                <w:szCs w:val="19"/>
                <w:color w:val="auto"/>
              </w:rPr>
            </w:pPr>
          </w:p>
        </w:tc>
        <w:tc>
          <w:tcPr>
            <w:tcW w:w="4240" w:type="dxa"/>
            <w:vAlign w:val="bottom"/>
            <w:tcBorders>
              <w:top w:val="single" w:sz="8" w:color="0000EE"/>
              <w:bottom w:val="single" w:sz="8" w:color="0000EE"/>
            </w:tcBorders>
            <w:gridSpan w:val="13"/>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Quantitative and Qualitative Disclosures About Market Risk</w:t>
              </w:r>
            </w:hyperlink>
          </w:p>
        </w:tc>
        <w:tc>
          <w:tcPr>
            <w:tcW w:w="2120" w:type="dxa"/>
            <w:vAlign w:val="bottom"/>
            <w:tcBorders>
              <w:top w:val="single" w:sz="8" w:color="0000EE"/>
            </w:tcBorders>
            <w:gridSpan w:val="2"/>
          </w:tcPr>
          <w:p>
            <w:pPr>
              <w:spacing w:after="0"/>
              <w:rPr>
                <w:sz w:val="19"/>
                <w:szCs w:val="19"/>
                <w:color w:val="auto"/>
              </w:rPr>
            </w:pPr>
          </w:p>
        </w:tc>
        <w:tc>
          <w:tcPr>
            <w:tcW w:w="3980" w:type="dxa"/>
            <w:vAlign w:val="bottom"/>
            <w:gridSpan w:val="4"/>
          </w:tcPr>
          <w:p>
            <w:pPr>
              <w:spacing w:after="0"/>
              <w:rPr>
                <w:sz w:val="19"/>
                <w:szCs w:val="19"/>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0"/>
                <w:szCs w:val="10"/>
                <w:color w:val="0000EE"/>
                <w:w w:val="71"/>
              </w:rPr>
            </w:pPr>
            <w:hyperlink w:anchor="page28">
              <w:r>
                <w:rPr>
                  <w:rFonts w:ascii="Arial" w:cs="Arial" w:eastAsia="Arial" w:hAnsi="Arial"/>
                  <w:sz w:val="10"/>
                  <w:szCs w:val="10"/>
                  <w:color w:val="0000EE"/>
                  <w:w w:val="71"/>
                </w:rPr>
                <w:t>25</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8.</w:t>
            </w:r>
          </w:p>
        </w:tc>
        <w:tc>
          <w:tcPr>
            <w:tcW w:w="280" w:type="dxa"/>
            <w:vAlign w:val="bottom"/>
          </w:tcPr>
          <w:p>
            <w:pPr>
              <w:spacing w:after="0"/>
              <w:rPr>
                <w:sz w:val="19"/>
                <w:szCs w:val="19"/>
                <w:color w:val="auto"/>
              </w:rPr>
            </w:pPr>
          </w:p>
        </w:tc>
        <w:tc>
          <w:tcPr>
            <w:tcW w:w="10340" w:type="dxa"/>
            <w:vAlign w:val="bottom"/>
            <w:gridSpan w:val="19"/>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Financial Statements and Supplementary Data</w:t>
              </w:r>
            </w:hyperlink>
          </w:p>
        </w:tc>
        <w:tc>
          <w:tcPr>
            <w:tcW w:w="100" w:type="dxa"/>
            <w:vAlign w:val="bottom"/>
          </w:tcPr>
          <w:p>
            <w:pPr>
              <w:jc w:val="right"/>
              <w:spacing w:after="0"/>
              <w:rPr>
                <w:rFonts w:ascii="Arial" w:cs="Arial" w:eastAsia="Arial" w:hAnsi="Arial"/>
                <w:sz w:val="10"/>
                <w:szCs w:val="10"/>
                <w:color w:val="0000EE"/>
                <w:w w:val="71"/>
              </w:rPr>
            </w:pPr>
            <w:hyperlink w:anchor="page29">
              <w:r>
                <w:rPr>
                  <w:rFonts w:ascii="Arial" w:cs="Arial" w:eastAsia="Arial" w:hAnsi="Arial"/>
                  <w:sz w:val="10"/>
                  <w:szCs w:val="10"/>
                  <w:color w:val="0000EE"/>
                  <w:w w:val="71"/>
                </w:rPr>
                <w:t>26</w:t>
              </w:r>
            </w:hyperlink>
          </w:p>
        </w:tc>
      </w:tr>
      <w:tr>
        <w:trPr>
          <w:trHeight w:val="20"/>
        </w:trPr>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9.</w:t>
            </w:r>
          </w:p>
        </w:tc>
        <w:tc>
          <w:tcPr>
            <w:tcW w:w="280" w:type="dxa"/>
            <w:vAlign w:val="bottom"/>
          </w:tcPr>
          <w:p>
            <w:pPr>
              <w:spacing w:after="0"/>
              <w:rPr>
                <w:sz w:val="19"/>
                <w:szCs w:val="19"/>
                <w:color w:val="auto"/>
              </w:rPr>
            </w:pPr>
          </w:p>
        </w:tc>
        <w:tc>
          <w:tcPr>
            <w:tcW w:w="6420" w:type="dxa"/>
            <w:vAlign w:val="bottom"/>
            <w:tcBorders>
              <w:bottom w:val="single" w:sz="8" w:color="0000EE"/>
            </w:tcBorders>
            <w:gridSpan w:val="16"/>
          </w:tcPr>
          <w:p>
            <w:pPr>
              <w:spacing w:after="0"/>
              <w:rPr>
                <w:rFonts w:ascii="Arial" w:cs="Arial" w:eastAsia="Arial" w:hAnsi="Arial"/>
                <w:sz w:val="16"/>
                <w:szCs w:val="16"/>
                <w:color w:val="0000EE"/>
              </w:rPr>
            </w:pPr>
            <w:hyperlink w:anchor="page53">
              <w:r>
                <w:rPr>
                  <w:rFonts w:ascii="Arial" w:cs="Arial" w:eastAsia="Arial" w:hAnsi="Arial"/>
                  <w:sz w:val="16"/>
                  <w:szCs w:val="16"/>
                  <w:color w:val="0000EE"/>
                </w:rPr>
                <w:t>Changes in and Disagreements with Accountants on Accounting and Financial Disclosure</w:t>
              </w:r>
            </w:hyperlink>
          </w:p>
        </w:tc>
        <w:tc>
          <w:tcPr>
            <w:tcW w:w="3920" w:type="dxa"/>
            <w:vAlign w:val="bottom"/>
            <w:gridSpan w:val="3"/>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0"/>
                <w:szCs w:val="10"/>
                <w:color w:val="0000EE"/>
                <w:w w:val="71"/>
              </w:rPr>
            </w:pPr>
            <w:hyperlink w:anchor="page53">
              <w:r>
                <w:rPr>
                  <w:rFonts w:ascii="Arial" w:cs="Arial" w:eastAsia="Arial" w:hAnsi="Arial"/>
                  <w:sz w:val="10"/>
                  <w:szCs w:val="10"/>
                  <w:color w:val="0000EE"/>
                  <w:w w:val="71"/>
                </w:rPr>
                <w:t>50</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9A.</w:t>
            </w:r>
          </w:p>
        </w:tc>
        <w:tc>
          <w:tcPr>
            <w:tcW w:w="280" w:type="dxa"/>
            <w:vAlign w:val="bottom"/>
          </w:tcPr>
          <w:p>
            <w:pPr>
              <w:spacing w:after="0"/>
              <w:rPr>
                <w:sz w:val="19"/>
                <w:szCs w:val="19"/>
                <w:color w:val="auto"/>
              </w:rPr>
            </w:pPr>
          </w:p>
        </w:tc>
        <w:tc>
          <w:tcPr>
            <w:tcW w:w="10340" w:type="dxa"/>
            <w:vAlign w:val="bottom"/>
            <w:gridSpan w:val="19"/>
          </w:tcPr>
          <w:p>
            <w:pPr>
              <w:spacing w:after="0"/>
              <w:rPr>
                <w:rFonts w:ascii="Arial" w:cs="Arial" w:eastAsia="Arial" w:hAnsi="Arial"/>
                <w:sz w:val="16"/>
                <w:szCs w:val="16"/>
                <w:color w:val="0000EE"/>
              </w:rPr>
            </w:pPr>
            <w:hyperlink w:anchor="page53">
              <w:r>
                <w:rPr>
                  <w:rFonts w:ascii="Arial" w:cs="Arial" w:eastAsia="Arial" w:hAnsi="Arial"/>
                  <w:sz w:val="16"/>
                  <w:szCs w:val="16"/>
                  <w:color w:val="0000EE"/>
                </w:rPr>
                <w:t>Controls and Procedures</w:t>
              </w:r>
            </w:hyperlink>
          </w:p>
        </w:tc>
        <w:tc>
          <w:tcPr>
            <w:tcW w:w="100" w:type="dxa"/>
            <w:vAlign w:val="bottom"/>
          </w:tcPr>
          <w:p>
            <w:pPr>
              <w:jc w:val="right"/>
              <w:spacing w:after="0"/>
              <w:rPr>
                <w:rFonts w:ascii="Arial" w:cs="Arial" w:eastAsia="Arial" w:hAnsi="Arial"/>
                <w:sz w:val="10"/>
                <w:szCs w:val="10"/>
                <w:color w:val="0000EE"/>
                <w:w w:val="71"/>
              </w:rPr>
            </w:pPr>
            <w:hyperlink w:anchor="page53">
              <w:r>
                <w:rPr>
                  <w:rFonts w:ascii="Arial" w:cs="Arial" w:eastAsia="Arial" w:hAnsi="Arial"/>
                  <w:sz w:val="10"/>
                  <w:szCs w:val="10"/>
                  <w:color w:val="0000EE"/>
                  <w:w w:val="71"/>
                </w:rPr>
                <w:t>50</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9B.</w:t>
            </w:r>
          </w:p>
        </w:tc>
        <w:tc>
          <w:tcPr>
            <w:tcW w:w="280" w:type="dxa"/>
            <w:vAlign w:val="bottom"/>
          </w:tcPr>
          <w:p>
            <w:pPr>
              <w:spacing w:after="0"/>
              <w:rPr>
                <w:sz w:val="19"/>
                <w:szCs w:val="19"/>
                <w:color w:val="auto"/>
              </w:rPr>
            </w:pPr>
          </w:p>
        </w:tc>
        <w:tc>
          <w:tcPr>
            <w:tcW w:w="1780" w:type="dxa"/>
            <w:vAlign w:val="bottom"/>
            <w:tcBorders>
              <w:top w:val="single" w:sz="8" w:color="0000EE"/>
            </w:tcBorders>
            <w:gridSpan w:val="8"/>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Other Information</w:t>
              </w:r>
            </w:hyperlink>
          </w:p>
        </w:tc>
        <w:tc>
          <w:tcPr>
            <w:tcW w:w="8560" w:type="dxa"/>
            <w:vAlign w:val="bottom"/>
            <w:gridSpan w:val="11"/>
          </w:tcPr>
          <w:p>
            <w:pPr>
              <w:spacing w:after="0"/>
              <w:rPr>
                <w:sz w:val="19"/>
                <w:szCs w:val="19"/>
                <w:color w:val="auto"/>
              </w:rPr>
            </w:pPr>
          </w:p>
        </w:tc>
        <w:tc>
          <w:tcPr>
            <w:tcW w:w="100" w:type="dxa"/>
            <w:vAlign w:val="bottom"/>
            <w:tcBorders>
              <w:top w:val="single" w:sz="8" w:color="0000EE"/>
            </w:tcBorders>
          </w:tcPr>
          <w:p>
            <w:pPr>
              <w:jc w:val="right"/>
              <w:spacing w:after="0"/>
              <w:rPr>
                <w:rFonts w:ascii="Arial" w:cs="Arial" w:eastAsia="Arial" w:hAnsi="Arial"/>
                <w:sz w:val="10"/>
                <w:szCs w:val="10"/>
                <w:color w:val="0000EE"/>
                <w:w w:val="71"/>
              </w:rPr>
            </w:pPr>
            <w:hyperlink w:anchor="page54">
              <w:r>
                <w:rPr>
                  <w:rFonts w:ascii="Arial" w:cs="Arial" w:eastAsia="Arial" w:hAnsi="Arial"/>
                  <w:sz w:val="10"/>
                  <w:szCs w:val="10"/>
                  <w:color w:val="0000EE"/>
                  <w:w w:val="71"/>
                </w:rPr>
                <w:t>51</w:t>
              </w:r>
            </w:hyperlink>
          </w:p>
        </w:tc>
      </w:tr>
      <w:tr>
        <w:trPr>
          <w:trHeight w:val="520"/>
        </w:trPr>
        <w:tc>
          <w:tcPr>
            <w:tcW w:w="640" w:type="dxa"/>
            <w:vAlign w:val="bottom"/>
            <w:gridSpan w:val="5"/>
          </w:tcPr>
          <w:p>
            <w:pPr>
              <w:spacing w:after="0"/>
              <w:rPr>
                <w:rFonts w:ascii="Arial" w:cs="Arial" w:eastAsia="Arial" w:hAnsi="Arial"/>
                <w:sz w:val="16"/>
                <w:szCs w:val="16"/>
                <w:b w:val="1"/>
                <w:bCs w:val="1"/>
                <w:color w:val="0000EE"/>
              </w:rPr>
            </w:pPr>
            <w:hyperlink w:anchor="page54">
              <w:r>
                <w:rPr>
                  <w:rFonts w:ascii="Arial" w:cs="Arial" w:eastAsia="Arial" w:hAnsi="Arial"/>
                  <w:sz w:val="16"/>
                  <w:szCs w:val="16"/>
                  <w:b w:val="1"/>
                  <w:bCs w:val="1"/>
                  <w:color w:val="0000EE"/>
                </w:rPr>
                <w:t>PART III</w:t>
              </w:r>
            </w:hyperlink>
          </w:p>
        </w:tc>
        <w:tc>
          <w:tcPr>
            <w:tcW w:w="28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600" w:type="dxa"/>
            <w:vAlign w:val="bottom"/>
            <w:tcBorders>
              <w:top w:val="single" w:sz="8" w:color="0000EE"/>
            </w:tcBorders>
            <w:gridSpan w:val="3"/>
          </w:tcPr>
          <w:p>
            <w:pPr>
              <w:spacing w:after="0"/>
              <w:rPr>
                <w:sz w:val="20"/>
                <w:szCs w:val="20"/>
                <w:color w:val="auto"/>
              </w:rPr>
            </w:pPr>
            <w:r>
              <w:rPr>
                <w:rFonts w:ascii="Arial" w:cs="Arial" w:eastAsia="Arial" w:hAnsi="Arial"/>
                <w:sz w:val="16"/>
                <w:szCs w:val="16"/>
                <w:color w:val="auto"/>
              </w:rPr>
              <w:t>Item 10.</w:t>
            </w:r>
          </w:p>
        </w:tc>
        <w:tc>
          <w:tcPr>
            <w:tcW w:w="4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10340" w:type="dxa"/>
            <w:vAlign w:val="bottom"/>
            <w:gridSpan w:val="19"/>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Directors, Executive Officers and Corporate Governance</w:t>
              </w:r>
            </w:hyperlink>
          </w:p>
        </w:tc>
        <w:tc>
          <w:tcPr>
            <w:tcW w:w="100" w:type="dxa"/>
            <w:vAlign w:val="bottom"/>
          </w:tcPr>
          <w:p>
            <w:pPr>
              <w:jc w:val="right"/>
              <w:spacing w:after="0"/>
              <w:rPr>
                <w:rFonts w:ascii="Arial" w:cs="Arial" w:eastAsia="Arial" w:hAnsi="Arial"/>
                <w:sz w:val="10"/>
                <w:szCs w:val="10"/>
                <w:color w:val="0000EE"/>
                <w:w w:val="71"/>
              </w:rPr>
            </w:pPr>
            <w:hyperlink w:anchor="page54">
              <w:r>
                <w:rPr>
                  <w:rFonts w:ascii="Arial" w:cs="Arial" w:eastAsia="Arial" w:hAnsi="Arial"/>
                  <w:sz w:val="10"/>
                  <w:szCs w:val="10"/>
                  <w:color w:val="0000EE"/>
                  <w:w w:val="71"/>
                </w:rPr>
                <w:t>51</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11.</w:t>
            </w:r>
          </w:p>
        </w:tc>
        <w:tc>
          <w:tcPr>
            <w:tcW w:w="280" w:type="dxa"/>
            <w:vAlign w:val="bottom"/>
          </w:tcPr>
          <w:p>
            <w:pPr>
              <w:spacing w:after="0"/>
              <w:rPr>
                <w:sz w:val="19"/>
                <w:szCs w:val="19"/>
                <w:color w:val="auto"/>
              </w:rPr>
            </w:pPr>
          </w:p>
        </w:tc>
        <w:tc>
          <w:tcPr>
            <w:tcW w:w="4040" w:type="dxa"/>
            <w:vAlign w:val="bottom"/>
            <w:tcBorders>
              <w:top w:val="single" w:sz="8" w:color="0000EE"/>
            </w:tcBorders>
            <w:gridSpan w:val="12"/>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Executive Compensation</w:t>
              </w:r>
            </w:hyperlink>
          </w:p>
        </w:tc>
        <w:tc>
          <w:tcPr>
            <w:tcW w:w="6300" w:type="dxa"/>
            <w:vAlign w:val="bottom"/>
            <w:gridSpan w:val="7"/>
          </w:tcPr>
          <w:p>
            <w:pPr>
              <w:spacing w:after="0"/>
              <w:rPr>
                <w:sz w:val="19"/>
                <w:szCs w:val="19"/>
                <w:color w:val="auto"/>
              </w:rPr>
            </w:pPr>
          </w:p>
        </w:tc>
        <w:tc>
          <w:tcPr>
            <w:tcW w:w="100" w:type="dxa"/>
            <w:vAlign w:val="bottom"/>
            <w:tcBorders>
              <w:top w:val="single" w:sz="8" w:color="0000EE"/>
            </w:tcBorders>
          </w:tcPr>
          <w:p>
            <w:pPr>
              <w:jc w:val="right"/>
              <w:spacing w:after="0"/>
              <w:rPr>
                <w:rFonts w:ascii="Arial" w:cs="Arial" w:eastAsia="Arial" w:hAnsi="Arial"/>
                <w:sz w:val="10"/>
                <w:szCs w:val="10"/>
                <w:color w:val="0000EE"/>
                <w:w w:val="71"/>
              </w:rPr>
            </w:pPr>
            <w:hyperlink w:anchor="page54">
              <w:r>
                <w:rPr>
                  <w:rFonts w:ascii="Arial" w:cs="Arial" w:eastAsia="Arial" w:hAnsi="Arial"/>
                  <w:sz w:val="10"/>
                  <w:szCs w:val="10"/>
                  <w:color w:val="0000EE"/>
                  <w:w w:val="71"/>
                </w:rPr>
                <w:t>51</w:t>
              </w:r>
            </w:hyperlink>
          </w:p>
        </w:tc>
      </w:tr>
      <w:tr>
        <w:trPr>
          <w:trHeight w:val="20"/>
        </w:trPr>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gridSpan w:val="8"/>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31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12.</w:t>
            </w:r>
          </w:p>
        </w:tc>
        <w:tc>
          <w:tcPr>
            <w:tcW w:w="280" w:type="dxa"/>
            <w:vAlign w:val="bottom"/>
          </w:tcPr>
          <w:p>
            <w:pPr>
              <w:spacing w:after="0"/>
              <w:rPr>
                <w:sz w:val="19"/>
                <w:szCs w:val="19"/>
                <w:color w:val="auto"/>
              </w:rPr>
            </w:pPr>
          </w:p>
        </w:tc>
        <w:tc>
          <w:tcPr>
            <w:tcW w:w="10340" w:type="dxa"/>
            <w:vAlign w:val="bottom"/>
            <w:gridSpan w:val="19"/>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Security Ownership of Certain Beneficial Owners and Management and Related Stockholder Matters</w:t>
              </w:r>
            </w:hyperlink>
          </w:p>
        </w:tc>
        <w:tc>
          <w:tcPr>
            <w:tcW w:w="100" w:type="dxa"/>
            <w:vAlign w:val="bottom"/>
          </w:tcPr>
          <w:p>
            <w:pPr>
              <w:jc w:val="right"/>
              <w:spacing w:after="0"/>
              <w:rPr>
                <w:rFonts w:ascii="Arial" w:cs="Arial" w:eastAsia="Arial" w:hAnsi="Arial"/>
                <w:sz w:val="10"/>
                <w:szCs w:val="10"/>
                <w:color w:val="0000EE"/>
                <w:w w:val="71"/>
              </w:rPr>
            </w:pPr>
            <w:hyperlink w:anchor="page54">
              <w:r>
                <w:rPr>
                  <w:rFonts w:ascii="Arial" w:cs="Arial" w:eastAsia="Arial" w:hAnsi="Arial"/>
                  <w:sz w:val="10"/>
                  <w:szCs w:val="10"/>
                  <w:color w:val="0000EE"/>
                  <w:w w:val="71"/>
                </w:rPr>
                <w:t>51</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13.</w:t>
            </w:r>
          </w:p>
        </w:tc>
        <w:tc>
          <w:tcPr>
            <w:tcW w:w="280" w:type="dxa"/>
            <w:vAlign w:val="bottom"/>
          </w:tcPr>
          <w:p>
            <w:pPr>
              <w:spacing w:after="0"/>
              <w:rPr>
                <w:sz w:val="19"/>
                <w:szCs w:val="19"/>
                <w:color w:val="auto"/>
              </w:rPr>
            </w:pPr>
          </w:p>
        </w:tc>
        <w:tc>
          <w:tcPr>
            <w:tcW w:w="5420" w:type="dxa"/>
            <w:vAlign w:val="bottom"/>
            <w:tcBorders>
              <w:top w:val="single" w:sz="8" w:color="0000EE"/>
              <w:bottom w:val="single" w:sz="8" w:color="0000EE"/>
            </w:tcBorders>
            <w:gridSpan w:val="14"/>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Certain Relationships and Related Transactions and Director Independence</w:t>
              </w:r>
            </w:hyperlink>
          </w:p>
        </w:tc>
        <w:tc>
          <w:tcPr>
            <w:tcW w:w="1780" w:type="dxa"/>
            <w:vAlign w:val="bottom"/>
            <w:tcBorders>
              <w:top w:val="single" w:sz="8" w:color="0000EE"/>
            </w:tcBorders>
            <w:gridSpan w:val="3"/>
          </w:tcPr>
          <w:p>
            <w:pPr>
              <w:spacing w:after="0"/>
              <w:rPr>
                <w:sz w:val="19"/>
                <w:szCs w:val="19"/>
                <w:color w:val="auto"/>
              </w:rPr>
            </w:pPr>
          </w:p>
        </w:tc>
        <w:tc>
          <w:tcPr>
            <w:tcW w:w="3140" w:type="dxa"/>
            <w:vAlign w:val="bottom"/>
            <w:gridSpan w:val="2"/>
          </w:tcPr>
          <w:p>
            <w:pPr>
              <w:spacing w:after="0"/>
              <w:rPr>
                <w:sz w:val="19"/>
                <w:szCs w:val="19"/>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0"/>
                <w:szCs w:val="10"/>
                <w:color w:val="0000EE"/>
                <w:w w:val="71"/>
              </w:rPr>
            </w:pPr>
            <w:hyperlink w:anchor="page54">
              <w:r>
                <w:rPr>
                  <w:rFonts w:ascii="Arial" w:cs="Arial" w:eastAsia="Arial" w:hAnsi="Arial"/>
                  <w:sz w:val="10"/>
                  <w:szCs w:val="10"/>
                  <w:color w:val="0000EE"/>
                  <w:w w:val="71"/>
                </w:rPr>
                <w:t>51</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14.</w:t>
            </w:r>
          </w:p>
        </w:tc>
        <w:tc>
          <w:tcPr>
            <w:tcW w:w="280" w:type="dxa"/>
            <w:vAlign w:val="bottom"/>
          </w:tcPr>
          <w:p>
            <w:pPr>
              <w:spacing w:after="0"/>
              <w:rPr>
                <w:sz w:val="19"/>
                <w:szCs w:val="19"/>
                <w:color w:val="auto"/>
              </w:rPr>
            </w:pPr>
          </w:p>
        </w:tc>
        <w:tc>
          <w:tcPr>
            <w:tcW w:w="10340" w:type="dxa"/>
            <w:vAlign w:val="bottom"/>
            <w:gridSpan w:val="19"/>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Principal Accounting Fees and Services</w:t>
              </w:r>
            </w:hyperlink>
          </w:p>
        </w:tc>
        <w:tc>
          <w:tcPr>
            <w:tcW w:w="100" w:type="dxa"/>
            <w:vAlign w:val="bottom"/>
          </w:tcPr>
          <w:p>
            <w:pPr>
              <w:jc w:val="right"/>
              <w:spacing w:after="0"/>
              <w:rPr>
                <w:rFonts w:ascii="Arial" w:cs="Arial" w:eastAsia="Arial" w:hAnsi="Arial"/>
                <w:sz w:val="10"/>
                <w:szCs w:val="10"/>
                <w:color w:val="0000EE"/>
                <w:w w:val="71"/>
              </w:rPr>
            </w:pPr>
            <w:hyperlink w:anchor="page54">
              <w:r>
                <w:rPr>
                  <w:rFonts w:ascii="Arial" w:cs="Arial" w:eastAsia="Arial" w:hAnsi="Arial"/>
                  <w:sz w:val="10"/>
                  <w:szCs w:val="10"/>
                  <w:color w:val="0000EE"/>
                  <w:w w:val="71"/>
                </w:rPr>
                <w:t>51</w:t>
              </w:r>
            </w:hyperlink>
          </w:p>
        </w:tc>
      </w:tr>
      <w:tr>
        <w:trPr>
          <w:trHeight w:val="520"/>
        </w:trPr>
        <w:tc>
          <w:tcPr>
            <w:tcW w:w="640" w:type="dxa"/>
            <w:vAlign w:val="bottom"/>
            <w:gridSpan w:val="5"/>
          </w:tcPr>
          <w:p>
            <w:pPr>
              <w:spacing w:after="0"/>
              <w:rPr>
                <w:rFonts w:ascii="Arial" w:cs="Arial" w:eastAsia="Arial" w:hAnsi="Arial"/>
                <w:sz w:val="16"/>
                <w:szCs w:val="16"/>
                <w:b w:val="1"/>
                <w:bCs w:val="1"/>
                <w:color w:val="0000EE"/>
                <w:w w:val="98"/>
              </w:rPr>
            </w:pPr>
            <w:hyperlink w:anchor="page54">
              <w:r>
                <w:rPr>
                  <w:rFonts w:ascii="Arial" w:cs="Arial" w:eastAsia="Arial" w:hAnsi="Arial"/>
                  <w:sz w:val="16"/>
                  <w:szCs w:val="16"/>
                  <w:b w:val="1"/>
                  <w:bCs w:val="1"/>
                  <w:color w:val="0000EE"/>
                  <w:w w:val="98"/>
                </w:rPr>
                <w:t>PART IV</w:t>
              </w:r>
            </w:hyperlink>
          </w:p>
        </w:tc>
        <w:tc>
          <w:tcPr>
            <w:tcW w:w="28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620" w:type="dxa"/>
            <w:vAlign w:val="bottom"/>
            <w:tcBorders>
              <w:top w:val="single" w:sz="8" w:color="0000EE"/>
            </w:tcBorders>
            <w:gridSpan w:val="4"/>
          </w:tcPr>
          <w:p>
            <w:pPr>
              <w:spacing w:after="0"/>
              <w:rPr>
                <w:sz w:val="20"/>
                <w:szCs w:val="20"/>
                <w:color w:val="auto"/>
              </w:rPr>
            </w:pPr>
            <w:r>
              <w:rPr>
                <w:rFonts w:ascii="Arial" w:cs="Arial" w:eastAsia="Arial" w:hAnsi="Arial"/>
                <w:sz w:val="16"/>
                <w:szCs w:val="16"/>
                <w:color w:val="auto"/>
              </w:rPr>
              <w:t>Item 15.</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340" w:type="dxa"/>
            <w:vAlign w:val="bottom"/>
            <w:gridSpan w:val="19"/>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Exhibits, Financial Statement Schedules</w:t>
              </w:r>
            </w:hyperlink>
          </w:p>
        </w:tc>
        <w:tc>
          <w:tcPr>
            <w:tcW w:w="100" w:type="dxa"/>
            <w:vAlign w:val="bottom"/>
          </w:tcPr>
          <w:p>
            <w:pPr>
              <w:jc w:val="right"/>
              <w:spacing w:after="0"/>
              <w:rPr>
                <w:rFonts w:ascii="Arial" w:cs="Arial" w:eastAsia="Arial" w:hAnsi="Arial"/>
                <w:sz w:val="10"/>
                <w:szCs w:val="10"/>
                <w:color w:val="0000EE"/>
                <w:w w:val="71"/>
              </w:rPr>
            </w:pPr>
            <w:hyperlink w:anchor="page54">
              <w:r>
                <w:rPr>
                  <w:rFonts w:ascii="Arial" w:cs="Arial" w:eastAsia="Arial" w:hAnsi="Arial"/>
                  <w:sz w:val="10"/>
                  <w:szCs w:val="10"/>
                  <w:color w:val="0000EE"/>
                  <w:w w:val="71"/>
                </w:rPr>
                <w:t>51</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ii</w:t>
      </w:r>
    </w:p>
    <w:p>
      <w:pPr>
        <w:sectPr>
          <w:pgSz w:w="11900" w:h="16838" w:orient="portrait"/>
          <w:cols w:equalWidth="0" w:num="1">
            <w:col w:w="11360"/>
          </w:cols>
          <w:pgMar w:left="280" w:top="364" w:right="25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Glossary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terms and abbreviations appear in the text of this report and are defined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AOCI</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Income (Loss)</w:t>
            </w:r>
          </w:p>
        </w:tc>
        <w:tc>
          <w:tcPr>
            <w:tcW w:w="0" w:type="dxa"/>
            <w:vAlign w:val="bottom"/>
          </w:tcPr>
          <w:p>
            <w:pPr>
              <w:spacing w:after="0"/>
              <w:rPr>
                <w:sz w:val="1"/>
                <w:szCs w:val="1"/>
                <w:color w:val="auto"/>
              </w:rPr>
            </w:pPr>
          </w:p>
        </w:tc>
      </w:tr>
      <w:tr>
        <w:trPr>
          <w:trHeight w:val="218"/>
        </w:trPr>
        <w:tc>
          <w:tcPr>
            <w:tcW w:w="1680" w:type="dxa"/>
            <w:vAlign w:val="bottom"/>
          </w:tcPr>
          <w:p>
            <w:pPr>
              <w:ind w:left="40"/>
              <w:spacing w:after="0"/>
              <w:rPr>
                <w:sz w:val="20"/>
                <w:szCs w:val="20"/>
                <w:color w:val="auto"/>
              </w:rPr>
            </w:pPr>
            <w:r>
              <w:rPr>
                <w:rFonts w:ascii="Arial" w:cs="Arial" w:eastAsia="Arial" w:hAnsi="Arial"/>
                <w:sz w:val="16"/>
                <w:szCs w:val="16"/>
                <w:color w:val="auto"/>
              </w:rPr>
              <w:t>Amended Credit</w:t>
            </w:r>
          </w:p>
        </w:tc>
        <w:tc>
          <w:tcPr>
            <w:tcW w:w="9740" w:type="dxa"/>
            <w:vAlign w:val="bottom"/>
          </w:tcPr>
          <w:p>
            <w:pPr>
              <w:ind w:left="380"/>
              <w:spacing w:after="0"/>
              <w:rPr>
                <w:sz w:val="20"/>
                <w:szCs w:val="20"/>
                <w:color w:val="auto"/>
              </w:rPr>
            </w:pPr>
            <w:r>
              <w:rPr>
                <w:rFonts w:ascii="Arial" w:cs="Arial" w:eastAsia="Arial" w:hAnsi="Arial"/>
                <w:sz w:val="16"/>
                <w:szCs w:val="16"/>
                <w:color w:val="auto"/>
              </w:rPr>
              <w:t>Credit Agreement dated as of May 28, 2014 by and between Winnebago Industries, Inc and Winnebago of Indiana, LLC, as</w:t>
            </w:r>
          </w:p>
        </w:tc>
        <w:tc>
          <w:tcPr>
            <w:tcW w:w="0" w:type="dxa"/>
            <w:vAlign w:val="bottom"/>
          </w:tcPr>
          <w:p>
            <w:pPr>
              <w:spacing w:after="0"/>
              <w:rPr>
                <w:sz w:val="1"/>
                <w:szCs w:val="1"/>
                <w:color w:val="auto"/>
              </w:rPr>
            </w:pPr>
          </w:p>
        </w:tc>
      </w:tr>
      <w:tr>
        <w:trPr>
          <w:trHeight w:val="204"/>
        </w:trPr>
        <w:tc>
          <w:tcPr>
            <w:tcW w:w="1680" w:type="dxa"/>
            <w:vAlign w:val="bottom"/>
          </w:tcPr>
          <w:p>
            <w:pPr>
              <w:ind w:left="40"/>
              <w:spacing w:after="0"/>
              <w:rPr>
                <w:sz w:val="20"/>
                <w:szCs w:val="20"/>
                <w:color w:val="auto"/>
              </w:rPr>
            </w:pPr>
            <w:r>
              <w:rPr>
                <w:rFonts w:ascii="Arial" w:cs="Arial" w:eastAsia="Arial" w:hAnsi="Arial"/>
                <w:sz w:val="16"/>
                <w:szCs w:val="16"/>
                <w:color w:val="auto"/>
              </w:rPr>
              <w:t>Agreement</w:t>
            </w:r>
          </w:p>
        </w:tc>
        <w:tc>
          <w:tcPr>
            <w:tcW w:w="9740" w:type="dxa"/>
            <w:vAlign w:val="bottom"/>
          </w:tcPr>
          <w:p>
            <w:pPr>
              <w:ind w:left="380"/>
              <w:spacing w:after="0"/>
              <w:rPr>
                <w:sz w:val="20"/>
                <w:szCs w:val="20"/>
                <w:color w:val="auto"/>
              </w:rPr>
            </w:pPr>
            <w:r>
              <w:rPr>
                <w:rFonts w:ascii="Arial" w:cs="Arial" w:eastAsia="Arial" w:hAnsi="Arial"/>
                <w:sz w:val="16"/>
                <w:szCs w:val="16"/>
                <w:color w:val="auto"/>
              </w:rPr>
              <w:t>Borrowers, and Wells Fargo Capital Finance, as Agent</w:t>
            </w:r>
          </w:p>
        </w:tc>
        <w:tc>
          <w:tcPr>
            <w:tcW w:w="0" w:type="dxa"/>
            <w:vAlign w:val="bottom"/>
          </w:tcPr>
          <w:p>
            <w:pPr>
              <w:spacing w:after="0"/>
              <w:rPr>
                <w:sz w:val="1"/>
                <w:szCs w:val="1"/>
                <w:color w:val="auto"/>
              </w:rPr>
            </w:pPr>
          </w:p>
        </w:tc>
      </w:tr>
      <w:tr>
        <w:trPr>
          <w:trHeight w:val="25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ARS</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Auction Rate Securities</w:t>
            </w: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ASC</w:t>
            </w:r>
          </w:p>
        </w:tc>
        <w:tc>
          <w:tcPr>
            <w:tcW w:w="9740" w:type="dxa"/>
            <w:vAlign w:val="bottom"/>
          </w:tcPr>
          <w:p>
            <w:pPr>
              <w:ind w:left="380"/>
              <w:spacing w:after="0"/>
              <w:rPr>
                <w:sz w:val="20"/>
                <w:szCs w:val="20"/>
                <w:color w:val="auto"/>
              </w:rPr>
            </w:pPr>
            <w:r>
              <w:rPr>
                <w:rFonts w:ascii="Arial" w:cs="Arial" w:eastAsia="Arial" w:hAnsi="Arial"/>
                <w:sz w:val="16"/>
                <w:szCs w:val="16"/>
                <w:color w:val="auto"/>
              </w:rPr>
              <w:t>Accounting Standards Codification</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ASP</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Average Sales Price</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ASU</w:t>
            </w:r>
          </w:p>
        </w:tc>
        <w:tc>
          <w:tcPr>
            <w:tcW w:w="9740" w:type="dxa"/>
            <w:vAlign w:val="bottom"/>
          </w:tcPr>
          <w:p>
            <w:pPr>
              <w:ind w:left="380"/>
              <w:spacing w:after="0"/>
              <w:rPr>
                <w:sz w:val="20"/>
                <w:szCs w:val="20"/>
                <w:color w:val="auto"/>
              </w:rPr>
            </w:pPr>
            <w:r>
              <w:rPr>
                <w:rFonts w:ascii="Arial" w:cs="Arial" w:eastAsia="Arial" w:hAnsi="Arial"/>
                <w:sz w:val="16"/>
                <w:szCs w:val="16"/>
                <w:color w:val="auto"/>
              </w:rPr>
              <w:t>Accounting Standards Update</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COLI</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Company Owned Life Insurance</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1680" w:type="dxa"/>
            <w:vAlign w:val="bottom"/>
          </w:tcPr>
          <w:p>
            <w:pPr>
              <w:ind w:left="40"/>
              <w:spacing w:after="0"/>
              <w:rPr>
                <w:sz w:val="20"/>
                <w:szCs w:val="20"/>
                <w:color w:val="auto"/>
              </w:rPr>
            </w:pPr>
            <w:r>
              <w:rPr>
                <w:rFonts w:ascii="Arial" w:cs="Arial" w:eastAsia="Arial" w:hAnsi="Arial"/>
                <w:sz w:val="16"/>
                <w:szCs w:val="16"/>
                <w:color w:val="auto"/>
              </w:rPr>
              <w:t>Credit Agreement</w:t>
            </w:r>
          </w:p>
        </w:tc>
        <w:tc>
          <w:tcPr>
            <w:tcW w:w="9740" w:type="dxa"/>
            <w:vAlign w:val="bottom"/>
          </w:tcPr>
          <w:p>
            <w:pPr>
              <w:ind w:left="380"/>
              <w:spacing w:after="0"/>
              <w:rPr>
                <w:sz w:val="20"/>
                <w:szCs w:val="20"/>
                <w:color w:val="auto"/>
              </w:rPr>
            </w:pPr>
            <w:r>
              <w:rPr>
                <w:rFonts w:ascii="Arial" w:cs="Arial" w:eastAsia="Arial" w:hAnsi="Arial"/>
                <w:sz w:val="16"/>
                <w:szCs w:val="16"/>
                <w:color w:val="auto"/>
              </w:rPr>
              <w:t>Credit Agreement dated as of October 31, 2012 by and between Winnebago Industries, Inc. and Winnebago of Indiana, LLC, as</w:t>
            </w:r>
          </w:p>
        </w:tc>
        <w:tc>
          <w:tcPr>
            <w:tcW w:w="0" w:type="dxa"/>
            <w:vAlign w:val="bottom"/>
          </w:tcPr>
          <w:p>
            <w:pPr>
              <w:spacing w:after="0"/>
              <w:rPr>
                <w:sz w:val="1"/>
                <w:szCs w:val="1"/>
                <w:color w:val="auto"/>
              </w:rPr>
            </w:pPr>
          </w:p>
        </w:tc>
      </w:tr>
      <w:tr>
        <w:trPr>
          <w:trHeight w:val="195"/>
        </w:trPr>
        <w:tc>
          <w:tcPr>
            <w:tcW w:w="1680" w:type="dxa"/>
            <w:vAlign w:val="bottom"/>
          </w:tcPr>
          <w:p>
            <w:pPr>
              <w:spacing w:after="0"/>
              <w:rPr>
                <w:sz w:val="16"/>
                <w:szCs w:val="16"/>
                <w:color w:val="auto"/>
              </w:rPr>
            </w:pPr>
          </w:p>
        </w:tc>
        <w:tc>
          <w:tcPr>
            <w:tcW w:w="9740" w:type="dxa"/>
            <w:vAlign w:val="bottom"/>
          </w:tcPr>
          <w:p>
            <w:pPr>
              <w:ind w:left="380"/>
              <w:spacing w:after="0"/>
              <w:rPr>
                <w:sz w:val="20"/>
                <w:szCs w:val="20"/>
                <w:color w:val="auto"/>
              </w:rPr>
            </w:pPr>
            <w:r>
              <w:rPr>
                <w:rFonts w:ascii="Arial" w:cs="Arial" w:eastAsia="Arial" w:hAnsi="Arial"/>
                <w:sz w:val="16"/>
                <w:szCs w:val="16"/>
                <w:color w:val="auto"/>
              </w:rPr>
              <w:t>Borrowers, and General Electric Capital Corporation, as Agent (as amended May 28, 2014)</w:t>
            </w:r>
          </w:p>
        </w:tc>
        <w:tc>
          <w:tcPr>
            <w:tcW w:w="0" w:type="dxa"/>
            <w:vAlign w:val="bottom"/>
          </w:tcPr>
          <w:p>
            <w:pPr>
              <w:spacing w:after="0"/>
              <w:rPr>
                <w:sz w:val="1"/>
                <w:szCs w:val="1"/>
                <w:color w:val="auto"/>
              </w:rPr>
            </w:pPr>
          </w:p>
        </w:tc>
      </w:tr>
      <w:tr>
        <w:trPr>
          <w:trHeight w:val="74"/>
        </w:trPr>
        <w:tc>
          <w:tcPr>
            <w:tcW w:w="1680" w:type="dxa"/>
            <w:vAlign w:val="bottom"/>
          </w:tcPr>
          <w:p>
            <w:pPr>
              <w:spacing w:after="0"/>
              <w:rPr>
                <w:sz w:val="6"/>
                <w:szCs w:val="6"/>
                <w:color w:val="auto"/>
              </w:rPr>
            </w:pPr>
          </w:p>
        </w:tc>
        <w:tc>
          <w:tcPr>
            <w:tcW w:w="9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EPS</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Earnings Per Share</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ERP</w:t>
            </w:r>
          </w:p>
        </w:tc>
        <w:tc>
          <w:tcPr>
            <w:tcW w:w="9740" w:type="dxa"/>
            <w:vAlign w:val="bottom"/>
          </w:tcPr>
          <w:p>
            <w:pPr>
              <w:ind w:left="380"/>
              <w:spacing w:after="0"/>
              <w:rPr>
                <w:sz w:val="20"/>
                <w:szCs w:val="20"/>
                <w:color w:val="auto"/>
              </w:rPr>
            </w:pPr>
            <w:r>
              <w:rPr>
                <w:rFonts w:ascii="Arial" w:cs="Arial" w:eastAsia="Arial" w:hAnsi="Arial"/>
                <w:sz w:val="16"/>
                <w:szCs w:val="16"/>
                <w:color w:val="auto"/>
              </w:rPr>
              <w:t>Enterprise Resource Planning</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FASB</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Financial Accounting Standards Board</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FIFO</w:t>
            </w:r>
          </w:p>
        </w:tc>
        <w:tc>
          <w:tcPr>
            <w:tcW w:w="9740" w:type="dxa"/>
            <w:vAlign w:val="bottom"/>
          </w:tcPr>
          <w:p>
            <w:pPr>
              <w:ind w:left="380"/>
              <w:spacing w:after="0"/>
              <w:rPr>
                <w:sz w:val="20"/>
                <w:szCs w:val="20"/>
                <w:color w:val="auto"/>
              </w:rPr>
            </w:pPr>
            <w:r>
              <w:rPr>
                <w:rFonts w:ascii="Arial" w:cs="Arial" w:eastAsia="Arial" w:hAnsi="Arial"/>
                <w:sz w:val="16"/>
                <w:szCs w:val="16"/>
                <w:color w:val="auto"/>
              </w:rPr>
              <w:t>First In, First Out</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GAAP</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Generally Accepted Accounting Principles</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GECC</w:t>
            </w:r>
          </w:p>
        </w:tc>
        <w:tc>
          <w:tcPr>
            <w:tcW w:w="9740" w:type="dxa"/>
            <w:vAlign w:val="bottom"/>
          </w:tcPr>
          <w:p>
            <w:pPr>
              <w:ind w:left="380"/>
              <w:spacing w:after="0"/>
              <w:rPr>
                <w:sz w:val="20"/>
                <w:szCs w:val="20"/>
                <w:color w:val="auto"/>
              </w:rPr>
            </w:pPr>
            <w:r>
              <w:rPr>
                <w:rFonts w:ascii="Arial" w:cs="Arial" w:eastAsia="Arial" w:hAnsi="Arial"/>
                <w:sz w:val="16"/>
                <w:szCs w:val="16"/>
                <w:color w:val="auto"/>
              </w:rPr>
              <w:t>General Electric Capital Corporation</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Grand Design</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Grand Design RV, LLC</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IRS</w:t>
            </w:r>
          </w:p>
        </w:tc>
        <w:tc>
          <w:tcPr>
            <w:tcW w:w="9740" w:type="dxa"/>
            <w:vAlign w:val="bottom"/>
          </w:tcPr>
          <w:p>
            <w:pPr>
              <w:ind w:left="380"/>
              <w:spacing w:after="0"/>
              <w:rPr>
                <w:sz w:val="20"/>
                <w:szCs w:val="20"/>
                <w:color w:val="auto"/>
              </w:rPr>
            </w:pPr>
            <w:r>
              <w:rPr>
                <w:rFonts w:ascii="Arial" w:cs="Arial" w:eastAsia="Arial" w:hAnsi="Arial"/>
                <w:sz w:val="16"/>
                <w:szCs w:val="16"/>
                <w:color w:val="auto"/>
              </w:rPr>
              <w:t>Internal Revenue Service</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IT</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Information Technology</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JPMorgan</w:t>
            </w:r>
          </w:p>
        </w:tc>
        <w:tc>
          <w:tcPr>
            <w:tcW w:w="9740" w:type="dxa"/>
            <w:vAlign w:val="bottom"/>
          </w:tcPr>
          <w:p>
            <w:pPr>
              <w:ind w:left="380"/>
              <w:spacing w:after="0"/>
              <w:rPr>
                <w:sz w:val="20"/>
                <w:szCs w:val="20"/>
                <w:color w:val="auto"/>
              </w:rPr>
            </w:pPr>
            <w:r>
              <w:rPr>
                <w:rFonts w:ascii="Arial" w:cs="Arial" w:eastAsia="Arial" w:hAnsi="Arial"/>
                <w:sz w:val="16"/>
                <w:szCs w:val="16"/>
                <w:color w:val="auto"/>
              </w:rPr>
              <w:t>JPMorgan Chase Bank, N.A.</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LIBOR</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London Interbank Offered Rate</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tcPr>
          <w:p>
            <w:pPr>
              <w:ind w:left="40"/>
              <w:spacing w:after="0"/>
              <w:rPr>
                <w:sz w:val="20"/>
                <w:szCs w:val="20"/>
                <w:color w:val="auto"/>
              </w:rPr>
            </w:pPr>
            <w:r>
              <w:rPr>
                <w:rFonts w:ascii="Arial" w:cs="Arial" w:eastAsia="Arial" w:hAnsi="Arial"/>
                <w:sz w:val="16"/>
                <w:szCs w:val="16"/>
                <w:color w:val="auto"/>
              </w:rPr>
              <w:t>LIFO</w:t>
            </w:r>
          </w:p>
        </w:tc>
        <w:tc>
          <w:tcPr>
            <w:tcW w:w="9740" w:type="dxa"/>
            <w:vAlign w:val="bottom"/>
          </w:tcPr>
          <w:p>
            <w:pPr>
              <w:ind w:left="380"/>
              <w:spacing w:after="0"/>
              <w:rPr>
                <w:sz w:val="20"/>
                <w:szCs w:val="20"/>
                <w:color w:val="auto"/>
              </w:rPr>
            </w:pPr>
            <w:r>
              <w:rPr>
                <w:rFonts w:ascii="Arial" w:cs="Arial" w:eastAsia="Arial" w:hAnsi="Arial"/>
                <w:sz w:val="16"/>
                <w:szCs w:val="16"/>
                <w:color w:val="auto"/>
              </w:rPr>
              <w:t>Last In, First Out</w:t>
            </w:r>
          </w:p>
        </w:tc>
        <w:tc>
          <w:tcPr>
            <w:tcW w:w="0" w:type="dxa"/>
            <w:vAlign w:val="bottom"/>
          </w:tcPr>
          <w:p>
            <w:pPr>
              <w:spacing w:after="0"/>
              <w:rPr>
                <w:sz w:val="1"/>
                <w:szCs w:val="1"/>
                <w:color w:val="auto"/>
              </w:rPr>
            </w:pPr>
          </w:p>
        </w:tc>
      </w:tr>
      <w:tr>
        <w:trPr>
          <w:trHeight w:val="74"/>
        </w:trPr>
        <w:tc>
          <w:tcPr>
            <w:tcW w:w="1680" w:type="dxa"/>
            <w:vAlign w:val="bottom"/>
          </w:tcPr>
          <w:p>
            <w:pPr>
              <w:spacing w:after="0"/>
              <w:rPr>
                <w:sz w:val="6"/>
                <w:szCs w:val="6"/>
                <w:color w:val="auto"/>
              </w:rPr>
            </w:pPr>
          </w:p>
        </w:tc>
        <w:tc>
          <w:tcPr>
            <w:tcW w:w="9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LTIP</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Long-Term Incentive Plan</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MVA</w:t>
            </w:r>
          </w:p>
        </w:tc>
        <w:tc>
          <w:tcPr>
            <w:tcW w:w="9740" w:type="dxa"/>
            <w:vAlign w:val="bottom"/>
          </w:tcPr>
          <w:p>
            <w:pPr>
              <w:ind w:left="380"/>
              <w:spacing w:after="0"/>
              <w:rPr>
                <w:sz w:val="20"/>
                <w:szCs w:val="20"/>
                <w:color w:val="auto"/>
              </w:rPr>
            </w:pPr>
            <w:r>
              <w:rPr>
                <w:rFonts w:ascii="Arial" w:cs="Arial" w:eastAsia="Arial" w:hAnsi="Arial"/>
                <w:sz w:val="16"/>
                <w:szCs w:val="16"/>
                <w:color w:val="auto"/>
              </w:rPr>
              <w:t>Motor Vehicle Act</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NMF</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Non-Meaningful Figure</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NOL</w:t>
            </w:r>
          </w:p>
        </w:tc>
        <w:tc>
          <w:tcPr>
            <w:tcW w:w="9740" w:type="dxa"/>
            <w:vAlign w:val="bottom"/>
          </w:tcPr>
          <w:p>
            <w:pPr>
              <w:ind w:left="380"/>
              <w:spacing w:after="0"/>
              <w:rPr>
                <w:sz w:val="20"/>
                <w:szCs w:val="20"/>
                <w:color w:val="auto"/>
              </w:rPr>
            </w:pPr>
            <w:r>
              <w:rPr>
                <w:rFonts w:ascii="Arial" w:cs="Arial" w:eastAsia="Arial" w:hAnsi="Arial"/>
                <w:sz w:val="16"/>
                <w:szCs w:val="16"/>
                <w:color w:val="auto"/>
              </w:rPr>
              <w:t>Net Operating Loss</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NYSE</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OCI</w:t>
            </w:r>
          </w:p>
        </w:tc>
        <w:tc>
          <w:tcPr>
            <w:tcW w:w="9740" w:type="dxa"/>
            <w:vAlign w:val="bottom"/>
          </w:tcPr>
          <w:p>
            <w:pPr>
              <w:ind w:left="380"/>
              <w:spacing w:after="0"/>
              <w:rPr>
                <w:sz w:val="20"/>
                <w:szCs w:val="20"/>
                <w:color w:val="auto"/>
              </w:rPr>
            </w:pPr>
            <w:r>
              <w:rPr>
                <w:rFonts w:ascii="Arial" w:cs="Arial" w:eastAsia="Arial" w:hAnsi="Arial"/>
                <w:sz w:val="16"/>
                <w:szCs w:val="16"/>
                <w:color w:val="auto"/>
              </w:rPr>
              <w:t>Other Comprehensive Income</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Octavius</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Octavius Corporation, a wholly-owned subsidiary of Winnebago Industries, Inc.</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OEM</w:t>
            </w:r>
          </w:p>
        </w:tc>
        <w:tc>
          <w:tcPr>
            <w:tcW w:w="9740" w:type="dxa"/>
            <w:vAlign w:val="bottom"/>
          </w:tcPr>
          <w:p>
            <w:pPr>
              <w:ind w:left="380"/>
              <w:spacing w:after="0"/>
              <w:rPr>
                <w:sz w:val="20"/>
                <w:szCs w:val="20"/>
                <w:color w:val="auto"/>
              </w:rPr>
            </w:pPr>
            <w:r>
              <w:rPr>
                <w:rFonts w:ascii="Arial" w:cs="Arial" w:eastAsia="Arial" w:hAnsi="Arial"/>
                <w:sz w:val="16"/>
                <w:szCs w:val="16"/>
                <w:color w:val="auto"/>
              </w:rPr>
              <w:t>Original Equipment Manufacturing</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OSHA</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Occupational Safety and Health Administration</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ROE</w:t>
            </w:r>
          </w:p>
        </w:tc>
        <w:tc>
          <w:tcPr>
            <w:tcW w:w="9740" w:type="dxa"/>
            <w:vAlign w:val="bottom"/>
          </w:tcPr>
          <w:p>
            <w:pPr>
              <w:ind w:left="380"/>
              <w:spacing w:after="0"/>
              <w:rPr>
                <w:sz w:val="20"/>
                <w:szCs w:val="20"/>
                <w:color w:val="auto"/>
              </w:rPr>
            </w:pPr>
            <w:r>
              <w:rPr>
                <w:rFonts w:ascii="Arial" w:cs="Arial" w:eastAsia="Arial" w:hAnsi="Arial"/>
                <w:sz w:val="16"/>
                <w:szCs w:val="16"/>
                <w:color w:val="auto"/>
              </w:rPr>
              <w:t>Return on Equity</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ROIC</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Return on Invested Capital</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RV</w:t>
            </w:r>
          </w:p>
        </w:tc>
        <w:tc>
          <w:tcPr>
            <w:tcW w:w="9740" w:type="dxa"/>
            <w:vAlign w:val="bottom"/>
          </w:tcPr>
          <w:p>
            <w:pPr>
              <w:ind w:left="380"/>
              <w:spacing w:after="0"/>
              <w:rPr>
                <w:sz w:val="20"/>
                <w:szCs w:val="20"/>
                <w:color w:val="auto"/>
              </w:rPr>
            </w:pPr>
            <w:r>
              <w:rPr>
                <w:rFonts w:ascii="Arial" w:cs="Arial" w:eastAsia="Arial" w:hAnsi="Arial"/>
                <w:sz w:val="16"/>
                <w:szCs w:val="16"/>
                <w:color w:val="auto"/>
              </w:rPr>
              <w:t>Recreation Vehicle</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RVIA</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Recreation Vehicle Industry Association</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SEC</w:t>
            </w:r>
          </w:p>
        </w:tc>
        <w:tc>
          <w:tcPr>
            <w:tcW w:w="9740" w:type="dxa"/>
            <w:vAlign w:val="bottom"/>
          </w:tcPr>
          <w:p>
            <w:pPr>
              <w:ind w:left="380"/>
              <w:spacing w:after="0"/>
              <w:rPr>
                <w:sz w:val="20"/>
                <w:szCs w:val="20"/>
                <w:color w:val="auto"/>
              </w:rPr>
            </w:pPr>
            <w:r>
              <w:rPr>
                <w:rFonts w:ascii="Arial" w:cs="Arial" w:eastAsia="Arial" w:hAnsi="Arial"/>
                <w:sz w:val="16"/>
                <w:szCs w:val="16"/>
                <w:color w:val="auto"/>
              </w:rPr>
              <w:t>U.S. Securities and Exchange Commission</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SERP</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Supplemental Executive Retirement Plan</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tcPr>
          <w:p>
            <w:pPr>
              <w:ind w:left="40"/>
              <w:spacing w:after="0"/>
              <w:rPr>
                <w:sz w:val="20"/>
                <w:szCs w:val="20"/>
                <w:color w:val="auto"/>
              </w:rPr>
            </w:pPr>
            <w:r>
              <w:rPr>
                <w:rFonts w:ascii="Arial" w:cs="Arial" w:eastAsia="Arial" w:hAnsi="Arial"/>
                <w:sz w:val="16"/>
                <w:szCs w:val="16"/>
                <w:color w:val="auto"/>
              </w:rPr>
              <w:t>SIR</w:t>
            </w:r>
          </w:p>
        </w:tc>
        <w:tc>
          <w:tcPr>
            <w:tcW w:w="9740" w:type="dxa"/>
            <w:vAlign w:val="bottom"/>
          </w:tcPr>
          <w:p>
            <w:pPr>
              <w:ind w:left="380"/>
              <w:spacing w:after="0"/>
              <w:rPr>
                <w:sz w:val="20"/>
                <w:szCs w:val="20"/>
                <w:color w:val="auto"/>
              </w:rPr>
            </w:pPr>
            <w:r>
              <w:rPr>
                <w:rFonts w:ascii="Arial" w:cs="Arial" w:eastAsia="Arial" w:hAnsi="Arial"/>
                <w:sz w:val="16"/>
                <w:szCs w:val="16"/>
                <w:color w:val="auto"/>
              </w:rPr>
              <w:t>Self-Insured Retention</w:t>
            </w:r>
          </w:p>
        </w:tc>
        <w:tc>
          <w:tcPr>
            <w:tcW w:w="0" w:type="dxa"/>
            <w:vAlign w:val="bottom"/>
          </w:tcPr>
          <w:p>
            <w:pPr>
              <w:spacing w:after="0"/>
              <w:rPr>
                <w:sz w:val="1"/>
                <w:szCs w:val="1"/>
                <w:color w:val="auto"/>
              </w:rPr>
            </w:pPr>
          </w:p>
        </w:tc>
      </w:tr>
      <w:tr>
        <w:trPr>
          <w:trHeight w:val="74"/>
        </w:trPr>
        <w:tc>
          <w:tcPr>
            <w:tcW w:w="1680" w:type="dxa"/>
            <w:vAlign w:val="bottom"/>
          </w:tcPr>
          <w:p>
            <w:pPr>
              <w:spacing w:after="0"/>
              <w:rPr>
                <w:sz w:val="6"/>
                <w:szCs w:val="6"/>
                <w:color w:val="auto"/>
              </w:rPr>
            </w:pPr>
          </w:p>
        </w:tc>
        <w:tc>
          <w:tcPr>
            <w:tcW w:w="9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Stat Surveys</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Statistical Surveys, Inc.</w:t>
            </w:r>
          </w:p>
        </w:tc>
        <w:tc>
          <w:tcPr>
            <w:tcW w:w="0" w:type="dxa"/>
            <w:vAlign w:val="bottom"/>
          </w:tcPr>
          <w:p>
            <w:pPr>
              <w:spacing w:after="0"/>
              <w:rPr>
                <w:sz w:val="1"/>
                <w:szCs w:val="1"/>
                <w:color w:val="auto"/>
              </w:rPr>
            </w:pPr>
          </w:p>
        </w:tc>
      </w:tr>
      <w:tr>
        <w:trPr>
          <w:trHeight w:val="74"/>
        </w:trPr>
        <w:tc>
          <w:tcPr>
            <w:tcW w:w="1680" w:type="dxa"/>
            <w:vAlign w:val="bottom"/>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tcPr>
          <w:p>
            <w:pPr>
              <w:ind w:left="40"/>
              <w:spacing w:after="0"/>
              <w:rPr>
                <w:sz w:val="20"/>
                <w:szCs w:val="20"/>
                <w:color w:val="auto"/>
              </w:rPr>
            </w:pPr>
            <w:r>
              <w:rPr>
                <w:rFonts w:ascii="Arial" w:cs="Arial" w:eastAsia="Arial" w:hAnsi="Arial"/>
                <w:sz w:val="16"/>
                <w:szCs w:val="16"/>
                <w:color w:val="auto"/>
              </w:rPr>
              <w:t>SunnyBrook</w:t>
            </w:r>
          </w:p>
        </w:tc>
        <w:tc>
          <w:tcPr>
            <w:tcW w:w="9740" w:type="dxa"/>
            <w:vAlign w:val="bottom"/>
          </w:tcPr>
          <w:p>
            <w:pPr>
              <w:ind w:left="380"/>
              <w:spacing w:after="0"/>
              <w:rPr>
                <w:sz w:val="20"/>
                <w:szCs w:val="20"/>
                <w:color w:val="auto"/>
              </w:rPr>
            </w:pPr>
            <w:r>
              <w:rPr>
                <w:rFonts w:ascii="Arial" w:cs="Arial" w:eastAsia="Arial" w:hAnsi="Arial"/>
                <w:sz w:val="16"/>
                <w:szCs w:val="16"/>
                <w:color w:val="auto"/>
              </w:rPr>
              <w:t>SunnyBrook RV, Inc.</w:t>
            </w:r>
          </w:p>
        </w:tc>
        <w:tc>
          <w:tcPr>
            <w:tcW w:w="0" w:type="dxa"/>
            <w:vAlign w:val="bottom"/>
          </w:tcPr>
          <w:p>
            <w:pPr>
              <w:spacing w:after="0"/>
              <w:rPr>
                <w:sz w:val="1"/>
                <w:szCs w:val="1"/>
                <w:color w:val="auto"/>
              </w:rPr>
            </w:pPr>
          </w:p>
        </w:tc>
      </w:tr>
      <w:tr>
        <w:trPr>
          <w:trHeight w:val="74"/>
        </w:trPr>
        <w:tc>
          <w:tcPr>
            <w:tcW w:w="1680" w:type="dxa"/>
            <w:vAlign w:val="bottom"/>
          </w:tcPr>
          <w:p>
            <w:pPr>
              <w:spacing w:after="0"/>
              <w:rPr>
                <w:sz w:val="6"/>
                <w:szCs w:val="6"/>
                <w:color w:val="auto"/>
              </w:rPr>
            </w:pPr>
          </w:p>
        </w:tc>
        <w:tc>
          <w:tcPr>
            <w:tcW w:w="9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Towables</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Winnebago of Indiana, LLC, a wholly-owned subsidiary of Winnebago Industries, Inc.</w:t>
            </w:r>
          </w:p>
        </w:tc>
        <w:tc>
          <w:tcPr>
            <w:tcW w:w="0" w:type="dxa"/>
            <w:vAlign w:val="bottom"/>
          </w:tcPr>
          <w:p>
            <w:pPr>
              <w:spacing w:after="0"/>
              <w:rPr>
                <w:sz w:val="1"/>
                <w:szCs w:val="1"/>
                <w:color w:val="auto"/>
              </w:rPr>
            </w:pPr>
          </w:p>
        </w:tc>
      </w:tr>
      <w:tr>
        <w:trPr>
          <w:trHeight w:val="74"/>
        </w:trPr>
        <w:tc>
          <w:tcPr>
            <w:tcW w:w="1680" w:type="dxa"/>
            <w:vAlign w:val="bottom"/>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tcPr>
          <w:p>
            <w:pPr>
              <w:ind w:left="40"/>
              <w:spacing w:after="0"/>
              <w:rPr>
                <w:sz w:val="20"/>
                <w:szCs w:val="20"/>
                <w:color w:val="auto"/>
              </w:rPr>
            </w:pPr>
            <w:r>
              <w:rPr>
                <w:rFonts w:ascii="Arial" w:cs="Arial" w:eastAsia="Arial" w:hAnsi="Arial"/>
                <w:sz w:val="16"/>
                <w:szCs w:val="16"/>
                <w:color w:val="auto"/>
              </w:rPr>
              <w:t>US</w:t>
            </w:r>
          </w:p>
        </w:tc>
        <w:tc>
          <w:tcPr>
            <w:tcW w:w="9740" w:type="dxa"/>
            <w:vAlign w:val="bottom"/>
          </w:tcPr>
          <w:p>
            <w:pPr>
              <w:ind w:left="38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74"/>
        </w:trPr>
        <w:tc>
          <w:tcPr>
            <w:tcW w:w="1680" w:type="dxa"/>
            <w:vAlign w:val="bottom"/>
          </w:tcPr>
          <w:p>
            <w:pPr>
              <w:spacing w:after="0"/>
              <w:rPr>
                <w:sz w:val="6"/>
                <w:szCs w:val="6"/>
                <w:color w:val="auto"/>
              </w:rPr>
            </w:pPr>
          </w:p>
        </w:tc>
        <w:tc>
          <w:tcPr>
            <w:tcW w:w="9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XBRL</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eXtensible Business Reporting Language</w:t>
            </w:r>
          </w:p>
        </w:tc>
        <w:tc>
          <w:tcPr>
            <w:tcW w:w="0" w:type="dxa"/>
            <w:vAlign w:val="bottom"/>
          </w:tcPr>
          <w:p>
            <w:pPr>
              <w:spacing w:after="0"/>
              <w:rPr>
                <w:sz w:val="1"/>
                <w:szCs w:val="1"/>
                <w:color w:val="auto"/>
              </w:rPr>
            </w:pPr>
          </w:p>
        </w:tc>
      </w:tr>
      <w:tr>
        <w:trPr>
          <w:trHeight w:val="74"/>
        </w:trPr>
        <w:tc>
          <w:tcPr>
            <w:tcW w:w="1680" w:type="dxa"/>
            <w:vAlign w:val="bottom"/>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tcPr>
          <w:p>
            <w:pPr>
              <w:ind w:left="40"/>
              <w:spacing w:after="0"/>
              <w:rPr>
                <w:sz w:val="20"/>
                <w:szCs w:val="20"/>
                <w:color w:val="auto"/>
              </w:rPr>
            </w:pPr>
            <w:r>
              <w:rPr>
                <w:rFonts w:ascii="Arial" w:cs="Arial" w:eastAsia="Arial" w:hAnsi="Arial"/>
                <w:sz w:val="16"/>
                <w:szCs w:val="16"/>
                <w:color w:val="auto"/>
              </w:rPr>
              <w:t>YTD</w:t>
            </w:r>
          </w:p>
        </w:tc>
        <w:tc>
          <w:tcPr>
            <w:tcW w:w="9740" w:type="dxa"/>
            <w:vAlign w:val="bottom"/>
          </w:tcPr>
          <w:p>
            <w:pPr>
              <w:ind w:left="380"/>
              <w:spacing w:after="0"/>
              <w:rPr>
                <w:sz w:val="20"/>
                <w:szCs w:val="20"/>
                <w:color w:val="auto"/>
              </w:rPr>
            </w:pPr>
            <w:r>
              <w:rPr>
                <w:rFonts w:ascii="Arial" w:cs="Arial" w:eastAsia="Arial" w:hAnsi="Arial"/>
                <w:sz w:val="16"/>
                <w:szCs w:val="16"/>
                <w:color w:val="auto"/>
              </w:rPr>
              <w:t>Year to 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iii</w:t>
      </w:r>
    </w:p>
    <w:p>
      <w:pPr>
        <w:sectPr>
          <w:pgSz w:w="11900" w:h="16838" w:orient="portrait"/>
          <w:cols w:equalWidth="0" w:num="1">
            <w:col w:w="11420"/>
          </w:cols>
          <w:pgMar w:left="240" w:top="141" w:right="239" w:bottom="1440" w:gutter="0" w:footer="0" w:header="0"/>
          <w:type w:val="continuous"/>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INC.</w:t>
      </w:r>
    </w:p>
    <w:p>
      <w:pPr>
        <w:spacing w:after="0" w:line="187" w:lineRule="exact"/>
        <w:rPr>
          <w:sz w:val="20"/>
          <w:szCs w:val="20"/>
          <w:color w:val="auto"/>
        </w:rPr>
      </w:pPr>
    </w:p>
    <w:p>
      <w:pPr>
        <w:jc w:val="center"/>
        <w:ind w:right="-19"/>
        <w:spacing w:after="0" w:line="184" w:lineRule="exact"/>
        <w:rPr>
          <w:sz w:val="20"/>
          <w:szCs w:val="20"/>
          <w:color w:val="auto"/>
        </w:rPr>
      </w:pPr>
      <w:r>
        <w:rPr>
          <w:rFonts w:ascii="Arial" w:cs="Arial" w:eastAsia="Arial" w:hAnsi="Arial"/>
          <w:sz w:val="16"/>
          <w:szCs w:val="16"/>
          <w:color w:val="auto"/>
        </w:rPr>
        <w:t>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Report for the Fiscal Year Ended August 27, 2016</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187"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Certain of the matters discussed in this Annual Report on Form 10-K are "forward-looking statements" within the meaning of Section 27A of the Securities Act of 1933, as amended, and Section 21E of the Securities Exchange Act of 1934, as amended, which involve risks and uncertainties.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business interruptions, any unexpected expenses related to ERP, risks relating to the consummation of our acquisition of Grand Design including, the possibility that the closing conditions to the contemplated transaction may not be satisfied or waived, risks that a governmental entity may prohibit, delay or refuse to grant a necessary regulatory approval; delay in closing the transaction or the possibility of non-consummation of the transaction; the potential for regulatory authorities to require divestitures in connection with the proposed transaction, the failure to consummate the debt transactions contemplated by the transaction with Grand Design, the possibility that we might have to pay a $35 million termination fee to Grand Design or additional damages for failing to close the transaction; the occurrence of any event that could give rise to termination of the agreement; the risk that shareholder litigation in connection with the contemplated transaction may affect the timing or occurrence of the contemplated transaction or result in significant costs of defense, indemnification and liability; risks inherent in the achievement of cost synergies and the timing thereof; risks that the pendency, financing, and efforts to consummate the transaction may be disruptive to Winnebago Industries or Grand Design or their respective management; the effect of announcement of the transaction on Grand Design's ability to retain and hire key personnel and maintain relationships with customers, suppliers and other third parties, risks related to integration of the two companies and other factors which may be disclosed throughout this Annual Report on Form 10-K. Although we believe that the expectations reflected in the "forward-looking statements" are reasonable, we cannot guarantee future results,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NYSE. We advise you, however, to consult any further disclosures made on related subjects in future quarterly reports on Form 10-Q and current reports on Form 8-K that are filed or furnished with the SEC.</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color w:val="auto"/>
        </w:rPr>
        <w:t>Business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87"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"Company," "Winnebago Industries," "we," "our" and "us" are used interchangeably to refer to Winnebago Industries, Inc. and its subsidiary, Winnebago of Indiana, LLC, as appropriate in the context.</w:t>
      </w:r>
    </w:p>
    <w:p>
      <w:pPr>
        <w:spacing w:after="0" w:line="142"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Winnebago Industries, Inc., headquartered in Forest City, Iowa, is a leading United States manufacturer of RVs used primarily in leisure travel and outdoor recreation activities.</w:t>
      </w:r>
    </w:p>
    <w:p>
      <w:pPr>
        <w:spacing w:after="0" w:line="142" w:lineRule="exact"/>
        <w:rPr>
          <w:sz w:val="20"/>
          <w:szCs w:val="20"/>
          <w:color w:val="auto"/>
        </w:rPr>
      </w:pPr>
    </w:p>
    <w:p>
      <w:pPr>
        <w:ind w:right="800"/>
        <w:spacing w:after="0" w:line="260" w:lineRule="auto"/>
        <w:rPr>
          <w:sz w:val="20"/>
          <w:szCs w:val="20"/>
          <w:color w:val="auto"/>
        </w:rPr>
      </w:pPr>
      <w:r>
        <w:rPr>
          <w:rFonts w:ascii="Arial" w:cs="Arial" w:eastAsia="Arial" w:hAnsi="Arial"/>
          <w:sz w:val="16"/>
          <w:szCs w:val="16"/>
          <w:color w:val="auto"/>
        </w:rPr>
        <w:t>We own facilities in Middlebury, Indiana, where we manufacture travel trailers and fifth wheel RVs and Junction City, Oregon, where we manufacture motorhomes.</w:t>
      </w:r>
    </w:p>
    <w:p>
      <w:pPr>
        <w:spacing w:after="0" w:line="142"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We were incorporated under the laws of the state of Iowa on February 12, 1958, and adopted our present name on February 28, 1961. Our executive offices are located at 605 West Crystal Lake Road in Forest City, Iowa. Our telephone number is (641) 585-3535.</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87"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Our website, located at www.wgo.net, provides additional information about us. On our website, you can obtain, free of charge, this and prior year Annual Reports on Form 10-K, Quarterly Reports on Form 10-Q, Current Reports on Form 8-K and all of our other filings with the SEC. Our recent press releases are also available on our website. Our website also contains important information regarding our corporate governance practices. Information contained on our website is not incorporated into this Annual Report on Form 10-K. You may also read and copy any materials that we file with the SEC at the SEC's Public Reference Room at 100 F Street, NE, Room 1580, Washington, D.C. 20549. You may obtain information on the Public Reference Room by calling the SEC at 1-800-SEC-0330. In addition, the SEC maintains a website that contains reports, proxy statements and other information that is filed electronically with the SEC. The website can be accessed at www.sec.gov.</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00"/>
          </w:cols>
          <w:pgMar w:left="240" w:top="141" w:right="25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Products</w:t>
      </w:r>
    </w:p>
    <w:p>
      <w:pPr>
        <w:spacing w:after="0" w:line="201" w:lineRule="exact"/>
        <w:rPr>
          <w:sz w:val="20"/>
          <w:szCs w:val="20"/>
          <w:color w:val="auto"/>
        </w:rPr>
      </w:pPr>
    </w:p>
    <w:p>
      <w:pPr>
        <w:ind w:right="660"/>
        <w:spacing w:after="0" w:line="295" w:lineRule="auto"/>
        <w:rPr>
          <w:sz w:val="20"/>
          <w:szCs w:val="20"/>
          <w:color w:val="auto"/>
        </w:rPr>
      </w:pPr>
      <w:r>
        <w:rPr>
          <w:rFonts w:ascii="Arial" w:cs="Arial" w:eastAsia="Arial" w:hAnsi="Arial"/>
          <w:sz w:val="16"/>
          <w:szCs w:val="16"/>
          <w:color w:val="auto"/>
        </w:rPr>
        <w:t>We have one reportable segment, the RV market. We design, develop, manufacture and market motorized and towable recreation products along with supporting products and services. Net revenues by major product classes were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6"/>
                <w:szCs w:val="16"/>
                <w:b w:val="1"/>
                <w:bCs w:val="1"/>
                <w:color w:val="auto"/>
                <w:w w:val="96"/>
              </w:rPr>
              <w:t xml:space="preserve">Year Ended </w:t>
            </w:r>
            <w:r>
              <w:rPr>
                <w:rFonts w:ascii="Arial" w:cs="Arial" w:eastAsia="Arial" w:hAnsi="Arial"/>
                <w:sz w:val="21"/>
                <w:szCs w:val="21"/>
                <w:b w:val="1"/>
                <w:bCs w:val="1"/>
                <w:color w:val="auto"/>
                <w:w w:val="96"/>
                <w:vertAlign w:val="superscript"/>
              </w:rPr>
              <w:t>(1)</w:t>
            </w: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r>
      <w:tr>
        <w:trPr>
          <w:trHeight w:val="257"/>
        </w:trPr>
        <w:tc>
          <w:tcPr>
            <w:tcW w:w="17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22"/>
                <w:szCs w:val="22"/>
                <w:color w:val="auto"/>
              </w:rPr>
            </w:pPr>
          </w:p>
        </w:tc>
        <w:tc>
          <w:tcPr>
            <w:tcW w:w="1740" w:type="dxa"/>
            <w:vAlign w:val="bottom"/>
            <w:gridSpan w:val="3"/>
          </w:tcPr>
          <w:p>
            <w:pPr>
              <w:ind w:left="100"/>
              <w:spacing w:after="0"/>
              <w:rPr>
                <w:sz w:val="20"/>
                <w:szCs w:val="20"/>
                <w:color w:val="auto"/>
              </w:rPr>
            </w:pPr>
            <w:r>
              <w:rPr>
                <w:rFonts w:ascii="Arial" w:cs="Arial" w:eastAsia="Arial" w:hAnsi="Arial"/>
                <w:sz w:val="16"/>
                <w:szCs w:val="16"/>
                <w:b w:val="1"/>
                <w:bCs w:val="1"/>
                <w:color w:val="auto"/>
              </w:rPr>
              <w:t>August 27, 2016</w:t>
            </w:r>
          </w:p>
        </w:tc>
        <w:tc>
          <w:tcPr>
            <w:tcW w:w="220" w:type="dxa"/>
            <w:vAlign w:val="bottom"/>
          </w:tcPr>
          <w:p>
            <w:pPr>
              <w:spacing w:after="0"/>
              <w:rPr>
                <w:sz w:val="22"/>
                <w:szCs w:val="22"/>
                <w:color w:val="auto"/>
              </w:rPr>
            </w:pPr>
          </w:p>
        </w:tc>
        <w:tc>
          <w:tcPr>
            <w:tcW w:w="1740" w:type="dxa"/>
            <w:vAlign w:val="bottom"/>
            <w:gridSpan w:val="3"/>
          </w:tcPr>
          <w:p>
            <w:pPr>
              <w:ind w:left="100"/>
              <w:spacing w:after="0"/>
              <w:rPr>
                <w:sz w:val="20"/>
                <w:szCs w:val="20"/>
                <w:color w:val="auto"/>
              </w:rPr>
            </w:pPr>
            <w:r>
              <w:rPr>
                <w:rFonts w:ascii="Arial" w:cs="Arial" w:eastAsia="Arial" w:hAnsi="Arial"/>
                <w:sz w:val="16"/>
                <w:szCs w:val="16"/>
                <w:b w:val="1"/>
                <w:bCs w:val="1"/>
                <w:color w:val="auto"/>
              </w:rPr>
              <w:t>August 29, 2015</w:t>
            </w:r>
          </w:p>
        </w:tc>
        <w:tc>
          <w:tcPr>
            <w:tcW w:w="220" w:type="dxa"/>
            <w:vAlign w:val="bottom"/>
          </w:tcPr>
          <w:p>
            <w:pPr>
              <w:spacing w:after="0"/>
              <w:rPr>
                <w:sz w:val="22"/>
                <w:szCs w:val="22"/>
                <w:color w:val="auto"/>
              </w:rPr>
            </w:pPr>
          </w:p>
        </w:tc>
        <w:tc>
          <w:tcPr>
            <w:tcW w:w="174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rPr>
              <w:t>August 30, 2014</w:t>
            </w:r>
          </w:p>
        </w:tc>
        <w:tc>
          <w:tcPr>
            <w:tcW w:w="200" w:type="dxa"/>
            <w:vAlign w:val="bottom"/>
          </w:tcPr>
          <w:p>
            <w:pPr>
              <w:spacing w:after="0"/>
              <w:rPr>
                <w:sz w:val="22"/>
                <w:szCs w:val="22"/>
                <w:color w:val="auto"/>
              </w:rPr>
            </w:pPr>
          </w:p>
        </w:tc>
        <w:tc>
          <w:tcPr>
            <w:tcW w:w="1740" w:type="dxa"/>
            <w:vAlign w:val="bottom"/>
            <w:gridSpan w:val="3"/>
          </w:tcPr>
          <w:p>
            <w:pPr>
              <w:ind w:left="120"/>
              <w:spacing w:after="0"/>
              <w:rPr>
                <w:sz w:val="20"/>
                <w:szCs w:val="20"/>
                <w:color w:val="auto"/>
              </w:rPr>
            </w:pPr>
            <w:r>
              <w:rPr>
                <w:rFonts w:ascii="Arial" w:cs="Arial" w:eastAsia="Arial" w:hAnsi="Arial"/>
                <w:sz w:val="16"/>
                <w:szCs w:val="16"/>
                <w:b w:val="1"/>
                <w:bCs w:val="1"/>
                <w:color w:val="auto"/>
              </w:rPr>
              <w:t>August 31, 2013</w:t>
            </w:r>
          </w:p>
        </w:tc>
        <w:tc>
          <w:tcPr>
            <w:tcW w:w="220" w:type="dxa"/>
            <w:vAlign w:val="bottom"/>
          </w:tcPr>
          <w:p>
            <w:pPr>
              <w:spacing w:after="0"/>
              <w:rPr>
                <w:sz w:val="22"/>
                <w:szCs w:val="22"/>
                <w:color w:val="auto"/>
              </w:rPr>
            </w:pPr>
          </w:p>
        </w:tc>
        <w:tc>
          <w:tcPr>
            <w:tcW w:w="164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August 25, 2012</w:t>
            </w:r>
          </w:p>
        </w:tc>
      </w:tr>
      <w:tr>
        <w:trPr>
          <w:trHeight w:val="257"/>
        </w:trPr>
        <w:tc>
          <w:tcPr>
            <w:tcW w:w="17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 xml:space="preserve">Motorhomes </w:t>
            </w:r>
            <w:r>
              <w:rPr>
                <w:rFonts w:ascii="Arial" w:cs="Arial" w:eastAsia="Arial" w:hAnsi="Arial"/>
                <w:sz w:val="21"/>
                <w:szCs w:val="21"/>
                <w:color w:val="auto"/>
                <w:vertAlign w:val="superscript"/>
              </w:rPr>
              <w:t>(2)</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875,004</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872,915</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853,488</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718,580</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496,193</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w:t>
            </w:r>
          </w:p>
        </w:tc>
      </w:tr>
      <w:tr>
        <w:trPr>
          <w:trHeight w:val="270"/>
        </w:trPr>
        <w:tc>
          <w:tcPr>
            <w:tcW w:w="1740" w:type="dxa"/>
            <w:vAlign w:val="bottom"/>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(3)</w:t>
            </w:r>
          </w:p>
        </w:tc>
        <w:tc>
          <w:tcPr>
            <w:tcW w:w="220" w:type="dxa"/>
            <w:vAlign w:val="bottom"/>
          </w:tcPr>
          <w:p>
            <w:pPr>
              <w:spacing w:after="0"/>
              <w:rPr>
                <w:sz w:val="23"/>
                <w:szCs w:val="23"/>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89,412</w:t>
            </w:r>
          </w:p>
        </w:tc>
        <w:tc>
          <w:tcPr>
            <w:tcW w:w="76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71,684</w:t>
            </w:r>
          </w:p>
        </w:tc>
        <w:tc>
          <w:tcPr>
            <w:tcW w:w="76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58,123</w:t>
            </w:r>
          </w:p>
        </w:tc>
        <w:tc>
          <w:tcPr>
            <w:tcW w:w="76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54,683</w:t>
            </w:r>
          </w:p>
        </w:tc>
        <w:tc>
          <w:tcPr>
            <w:tcW w:w="76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56,784</w:t>
            </w:r>
          </w:p>
        </w:tc>
        <w:tc>
          <w:tcPr>
            <w:tcW w:w="76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18"/>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manufactured</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8"/>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products</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10,810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31,906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33,552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29,902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28,702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40"/>
        </w:trPr>
        <w:tc>
          <w:tcPr>
            <w:tcW w:w="1740" w:type="dxa"/>
            <w:vAlign w:val="bottom"/>
          </w:tcPr>
          <w:p>
            <w:pPr>
              <w:ind w:left="40"/>
              <w:spacing w:after="0"/>
              <w:rPr>
                <w:sz w:val="20"/>
                <w:szCs w:val="20"/>
                <w:color w:val="auto"/>
              </w:rPr>
            </w:pPr>
            <w:r>
              <w:rPr>
                <w:rFonts w:ascii="Arial" w:cs="Arial" w:eastAsia="Arial" w:hAnsi="Arial"/>
                <w:sz w:val="16"/>
                <w:szCs w:val="16"/>
                <w:color w:val="auto"/>
              </w:rPr>
              <w:t>Total net revenues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975,226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976,505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945,163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803,165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581,679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1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 w:lineRule="exact"/>
        <w:rPr>
          <w:sz w:val="20"/>
          <w:szCs w:val="20"/>
          <w:color w:val="auto"/>
        </w:rPr>
      </w:pPr>
    </w:p>
    <w:p>
      <w:pPr>
        <w:ind w:left="260" w:hanging="238"/>
        <w:spacing w:after="0"/>
        <w:tabs>
          <w:tab w:leader="none" w:pos="260" w:val="left"/>
        </w:tabs>
        <w:numPr>
          <w:ilvl w:val="0"/>
          <w:numId w:val="1"/>
        </w:numPr>
        <w:rPr>
          <w:rFonts w:ascii="Arial" w:cs="Arial" w:eastAsia="Arial" w:hAnsi="Arial"/>
          <w:sz w:val="18"/>
          <w:szCs w:val="18"/>
          <w:color w:val="auto"/>
          <w:vertAlign w:val="superscript"/>
        </w:rPr>
      </w:pPr>
      <w:r>
        <w:rPr>
          <w:rFonts w:ascii="Arial" w:cs="Arial" w:eastAsia="Arial" w:hAnsi="Arial"/>
          <w:sz w:val="14"/>
          <w:szCs w:val="14"/>
          <w:color w:val="auto"/>
        </w:rPr>
        <w:t>The fiscal year ended August 31, 2013 contained 53 weeks; all other fiscal years contained 52 weeks.</w:t>
      </w:r>
    </w:p>
    <w:p>
      <w:pPr>
        <w:ind w:left="260" w:hanging="238"/>
        <w:spacing w:after="0" w:line="187" w:lineRule="auto"/>
        <w:tabs>
          <w:tab w:leader="none" w:pos="260" w:val="left"/>
        </w:tabs>
        <w:numPr>
          <w:ilvl w:val="0"/>
          <w:numId w:val="1"/>
        </w:numPr>
        <w:rPr>
          <w:rFonts w:ascii="Arial" w:cs="Arial" w:eastAsia="Arial" w:hAnsi="Arial"/>
          <w:sz w:val="18"/>
          <w:szCs w:val="18"/>
          <w:color w:val="auto"/>
          <w:vertAlign w:val="superscript"/>
        </w:rPr>
      </w:pPr>
      <w:r>
        <w:rPr>
          <w:rFonts w:ascii="Arial" w:cs="Arial" w:eastAsia="Arial" w:hAnsi="Arial"/>
          <w:sz w:val="14"/>
          <w:szCs w:val="14"/>
          <w:color w:val="auto"/>
        </w:rPr>
        <w:t>Includes motorhome units, parts and services</w:t>
      </w:r>
    </w:p>
    <w:p>
      <w:pPr>
        <w:ind w:left="260" w:hanging="238"/>
        <w:spacing w:after="0" w:line="199" w:lineRule="auto"/>
        <w:tabs>
          <w:tab w:leader="none" w:pos="260" w:val="left"/>
        </w:tabs>
        <w:numPr>
          <w:ilvl w:val="0"/>
          <w:numId w:val="1"/>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97" w:lineRule="exact"/>
        <w:rPr>
          <w:sz w:val="20"/>
          <w:szCs w:val="20"/>
          <w:color w:val="auto"/>
        </w:rPr>
      </w:pPr>
    </w:p>
    <w:p>
      <w:pPr>
        <w:jc w:val="both"/>
        <w:ind w:right="280"/>
        <w:spacing w:after="0" w:line="301" w:lineRule="auto"/>
        <w:rPr>
          <w:sz w:val="20"/>
          <w:szCs w:val="20"/>
          <w:color w:val="auto"/>
        </w:rPr>
      </w:pPr>
      <w:r>
        <w:rPr>
          <w:rFonts w:ascii="Arial" w:cs="Arial" w:eastAsia="Arial" w:hAnsi="Arial"/>
          <w:sz w:val="16"/>
          <w:szCs w:val="16"/>
          <w:b w:val="1"/>
          <w:bCs w:val="1"/>
          <w:color w:val="auto"/>
        </w:rPr>
        <w:t>Motorhomes, parts and service</w:t>
      </w:r>
      <w:r>
        <w:rPr>
          <w:rFonts w:ascii="Arial" w:cs="Arial" w:eastAsia="Arial" w:hAnsi="Arial"/>
          <w:sz w:val="16"/>
          <w:szCs w:val="16"/>
          <w:color w:val="auto"/>
        </w:rPr>
        <w:t>. A motorhome is a self-propelled mobile dwelling used primarily as temporary living quarters during vacation and camping</w:t>
      </w:r>
      <w:r>
        <w:rPr>
          <w:rFonts w:ascii="Arial" w:cs="Arial" w:eastAsia="Arial" w:hAnsi="Arial"/>
          <w:sz w:val="16"/>
          <w:szCs w:val="16"/>
          <w:b w:val="1"/>
          <w:bCs w:val="1"/>
          <w:color w:val="auto"/>
        </w:rPr>
        <w:t xml:space="preserve"> </w:t>
      </w:r>
      <w:r>
        <w:rPr>
          <w:rFonts w:ascii="Arial" w:cs="Arial" w:eastAsia="Arial" w:hAnsi="Arial"/>
          <w:sz w:val="16"/>
          <w:szCs w:val="16"/>
          <w:color w:val="auto"/>
        </w:rPr>
        <w:t>trips, or to support some other active lifestyle. The RVIA classifies motorhomes into three types, all of which we manufacture and sell under the Winnebago brand name, which are defined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Type</w:t>
            </w:r>
          </w:p>
        </w:tc>
        <w:tc>
          <w:tcPr>
            <w:tcW w:w="572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Description</w:t>
            </w:r>
          </w:p>
        </w:tc>
        <w:tc>
          <w:tcPr>
            <w:tcW w:w="42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Winnebago products offerings</w:t>
            </w:r>
          </w:p>
        </w:tc>
        <w:tc>
          <w:tcPr>
            <w:tcW w:w="0" w:type="dxa"/>
            <w:vAlign w:val="bottom"/>
          </w:tcPr>
          <w:p>
            <w:pPr>
              <w:spacing w:after="0"/>
              <w:rPr>
                <w:sz w:val="1"/>
                <w:szCs w:val="1"/>
                <w:color w:val="auto"/>
              </w:rPr>
            </w:pPr>
          </w:p>
        </w:tc>
      </w:tr>
      <w:tr>
        <w:trPr>
          <w:trHeight w:val="218"/>
        </w:trPr>
        <w:tc>
          <w:tcPr>
            <w:tcW w:w="1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5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Conventional motorhomes constructed directly on medium- and heavy-duty</w:t>
            </w:r>
          </w:p>
        </w:tc>
        <w:tc>
          <w:tcPr>
            <w:tcW w:w="4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Gas: Adventurer, Sightseer, Suncruiser, Sunova, Sunstar,</w:t>
            </w: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spacing w:after="0"/>
              <w:rPr>
                <w:sz w:val="16"/>
                <w:szCs w:val="16"/>
                <w:color w:val="auto"/>
              </w:rPr>
            </w:pPr>
          </w:p>
        </w:tc>
        <w:tc>
          <w:tcPr>
            <w:tcW w:w="5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truck chassis, which include the engine and drivetrain components. The</w:t>
            </w:r>
          </w:p>
        </w:tc>
        <w:tc>
          <w:tcPr>
            <w:tcW w:w="4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Sunstar LX, Vista, Vista LX</w:t>
            </w: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spacing w:after="0"/>
              <w:rPr>
                <w:sz w:val="16"/>
                <w:szCs w:val="16"/>
                <w:color w:val="auto"/>
              </w:rPr>
            </w:pPr>
          </w:p>
        </w:tc>
        <w:tc>
          <w:tcPr>
            <w:tcW w:w="5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living area and driver's compartment are designed and produced by the</w:t>
            </w:r>
          </w:p>
        </w:tc>
        <w:tc>
          <w:tcPr>
            <w:tcW w:w="4240" w:type="dxa"/>
            <w:vAlign w:val="bottom"/>
            <w:vMerge w:val="restart"/>
            <w:shd w:val="clear" w:color="auto" w:fill="CCEEFF"/>
          </w:tcPr>
          <w:p>
            <w:pPr>
              <w:ind w:left="60"/>
              <w:spacing w:after="0"/>
              <w:rPr>
                <w:sz w:val="20"/>
                <w:szCs w:val="20"/>
                <w:color w:val="auto"/>
              </w:rPr>
            </w:pPr>
            <w:r>
              <w:rPr>
                <w:rFonts w:ascii="Arial" w:cs="Arial" w:eastAsia="Arial" w:hAnsi="Arial"/>
                <w:sz w:val="16"/>
                <w:szCs w:val="16"/>
                <w:color w:val="auto"/>
              </w:rPr>
              <w:t>Diesel: Forza, Grand Tour, Journey, Tour, Via</w:t>
            </w:r>
          </w:p>
        </w:tc>
        <w:tc>
          <w:tcPr>
            <w:tcW w:w="0" w:type="dxa"/>
            <w:vAlign w:val="bottom"/>
          </w:tcPr>
          <w:p>
            <w:pPr>
              <w:spacing w:after="0"/>
              <w:rPr>
                <w:sz w:val="1"/>
                <w:szCs w:val="1"/>
                <w:color w:val="auto"/>
              </w:rPr>
            </w:pPr>
          </w:p>
        </w:tc>
      </w:tr>
      <w:tr>
        <w:trPr>
          <w:trHeight w:val="141"/>
        </w:trPr>
        <w:tc>
          <w:tcPr>
            <w:tcW w:w="1460" w:type="dxa"/>
            <w:vAlign w:val="bottom"/>
            <w:shd w:val="clear" w:color="auto" w:fill="CCEEFF"/>
          </w:tcPr>
          <w:p>
            <w:pPr>
              <w:spacing w:after="0"/>
              <w:rPr>
                <w:sz w:val="12"/>
                <w:szCs w:val="12"/>
                <w:color w:val="auto"/>
              </w:rPr>
            </w:pPr>
          </w:p>
        </w:tc>
        <w:tc>
          <w:tcPr>
            <w:tcW w:w="5720" w:type="dxa"/>
            <w:vAlign w:val="bottom"/>
            <w:vMerge w:val="restart"/>
            <w:shd w:val="clear" w:color="auto" w:fill="CCEEFF"/>
          </w:tcPr>
          <w:p>
            <w:pPr>
              <w:ind w:left="300"/>
              <w:spacing w:after="0"/>
              <w:rPr>
                <w:sz w:val="20"/>
                <w:szCs w:val="20"/>
                <w:color w:val="auto"/>
              </w:rPr>
            </w:pPr>
            <w:r>
              <w:rPr>
                <w:rFonts w:ascii="Arial" w:cs="Arial" w:eastAsia="Arial" w:hAnsi="Arial"/>
                <w:sz w:val="16"/>
                <w:szCs w:val="16"/>
                <w:color w:val="auto"/>
              </w:rPr>
              <w:t>motorhome manufacturer.</w:t>
            </w:r>
          </w:p>
        </w:tc>
        <w:tc>
          <w:tcPr>
            <w:tcW w:w="42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460" w:type="dxa"/>
            <w:vAlign w:val="bottom"/>
            <w:shd w:val="clear" w:color="auto" w:fill="CCEEFF"/>
          </w:tcPr>
          <w:p>
            <w:pPr>
              <w:spacing w:after="0"/>
              <w:rPr>
                <w:sz w:val="6"/>
                <w:szCs w:val="6"/>
                <w:color w:val="auto"/>
              </w:rPr>
            </w:pPr>
          </w:p>
        </w:tc>
        <w:tc>
          <w:tcPr>
            <w:tcW w:w="5720" w:type="dxa"/>
            <w:vAlign w:val="bottom"/>
            <w:vMerge w:val="continue"/>
            <w:shd w:val="clear" w:color="auto" w:fill="CCEEFF"/>
          </w:tcPr>
          <w:p>
            <w:pPr>
              <w:spacing w:after="0"/>
              <w:rPr>
                <w:sz w:val="6"/>
                <w:szCs w:val="6"/>
                <w:color w:val="auto"/>
              </w:rPr>
            </w:pPr>
          </w:p>
        </w:tc>
        <w:tc>
          <w:tcPr>
            <w:tcW w:w="42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1460" w:type="dxa"/>
            <w:vAlign w:val="bottom"/>
          </w:tcPr>
          <w:p>
            <w:pPr>
              <w:ind w:left="40"/>
              <w:spacing w:after="0"/>
              <w:rPr>
                <w:sz w:val="20"/>
                <w:szCs w:val="20"/>
                <w:color w:val="auto"/>
              </w:rPr>
            </w:pPr>
            <w:r>
              <w:rPr>
                <w:rFonts w:ascii="Arial" w:cs="Arial" w:eastAsia="Arial" w:hAnsi="Arial"/>
                <w:sz w:val="16"/>
                <w:szCs w:val="16"/>
                <w:color w:val="auto"/>
              </w:rPr>
              <w:t>Class B</w:t>
            </w:r>
          </w:p>
        </w:tc>
        <w:tc>
          <w:tcPr>
            <w:tcW w:w="5720" w:type="dxa"/>
            <w:vAlign w:val="bottom"/>
          </w:tcPr>
          <w:p>
            <w:pPr>
              <w:ind w:left="300"/>
              <w:spacing w:after="0"/>
              <w:rPr>
                <w:sz w:val="20"/>
                <w:szCs w:val="20"/>
                <w:color w:val="auto"/>
              </w:rPr>
            </w:pPr>
            <w:r>
              <w:rPr>
                <w:rFonts w:ascii="Arial" w:cs="Arial" w:eastAsia="Arial" w:hAnsi="Arial"/>
                <w:sz w:val="16"/>
                <w:szCs w:val="16"/>
                <w:color w:val="auto"/>
              </w:rPr>
              <w:t>Panel-type vans to which sleeping, kitchen, and/or toilet facilities are</w:t>
            </w:r>
          </w:p>
        </w:tc>
        <w:tc>
          <w:tcPr>
            <w:tcW w:w="4240" w:type="dxa"/>
            <w:vAlign w:val="bottom"/>
          </w:tcPr>
          <w:p>
            <w:pPr>
              <w:ind w:left="60"/>
              <w:spacing w:after="0"/>
              <w:rPr>
                <w:sz w:val="20"/>
                <w:szCs w:val="20"/>
                <w:color w:val="auto"/>
              </w:rPr>
            </w:pPr>
            <w:r>
              <w:rPr>
                <w:rFonts w:ascii="Arial" w:cs="Arial" w:eastAsia="Arial" w:hAnsi="Arial"/>
                <w:sz w:val="16"/>
                <w:szCs w:val="16"/>
                <w:color w:val="auto"/>
              </w:rPr>
              <w:t>Winnebago Touring Coach (Era, Paseo, Travato)</w:t>
            </w:r>
          </w:p>
        </w:tc>
        <w:tc>
          <w:tcPr>
            <w:tcW w:w="0" w:type="dxa"/>
            <w:vAlign w:val="bottom"/>
          </w:tcPr>
          <w:p>
            <w:pPr>
              <w:spacing w:after="0"/>
              <w:rPr>
                <w:sz w:val="1"/>
                <w:szCs w:val="1"/>
                <w:color w:val="auto"/>
              </w:rPr>
            </w:pPr>
          </w:p>
        </w:tc>
      </w:tr>
      <w:tr>
        <w:trPr>
          <w:trHeight w:val="189"/>
        </w:trPr>
        <w:tc>
          <w:tcPr>
            <w:tcW w:w="1460" w:type="dxa"/>
            <w:vAlign w:val="bottom"/>
          </w:tcPr>
          <w:p>
            <w:pPr>
              <w:ind w:left="40"/>
              <w:spacing w:after="0"/>
              <w:rPr>
                <w:sz w:val="20"/>
                <w:szCs w:val="20"/>
                <w:color w:val="auto"/>
              </w:rPr>
            </w:pPr>
            <w:r>
              <w:rPr>
                <w:rFonts w:ascii="Arial" w:cs="Arial" w:eastAsia="Arial" w:hAnsi="Arial"/>
                <w:sz w:val="16"/>
                <w:szCs w:val="16"/>
                <w:color w:val="auto"/>
              </w:rPr>
              <w:t>(gas and diesel)</w:t>
            </w:r>
          </w:p>
        </w:tc>
        <w:tc>
          <w:tcPr>
            <w:tcW w:w="5720" w:type="dxa"/>
            <w:vAlign w:val="bottom"/>
          </w:tcPr>
          <w:p>
            <w:pPr>
              <w:ind w:left="300"/>
              <w:spacing w:after="0"/>
              <w:rPr>
                <w:sz w:val="20"/>
                <w:szCs w:val="20"/>
                <w:color w:val="auto"/>
              </w:rPr>
            </w:pPr>
            <w:r>
              <w:rPr>
                <w:rFonts w:ascii="Arial" w:cs="Arial" w:eastAsia="Arial" w:hAnsi="Arial"/>
                <w:sz w:val="16"/>
                <w:szCs w:val="16"/>
                <w:color w:val="auto"/>
              </w:rPr>
              <w:t>added. These models may also have a top extension to provide more</w:t>
            </w:r>
          </w:p>
        </w:tc>
        <w:tc>
          <w:tcPr>
            <w:tcW w:w="4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460" w:type="dxa"/>
            <w:vAlign w:val="bottom"/>
          </w:tcPr>
          <w:p>
            <w:pPr>
              <w:spacing w:after="0"/>
              <w:rPr>
                <w:sz w:val="16"/>
                <w:szCs w:val="16"/>
                <w:color w:val="auto"/>
              </w:rPr>
            </w:pPr>
          </w:p>
        </w:tc>
        <w:tc>
          <w:tcPr>
            <w:tcW w:w="5720" w:type="dxa"/>
            <w:vAlign w:val="bottom"/>
          </w:tcPr>
          <w:p>
            <w:pPr>
              <w:ind w:left="300"/>
              <w:spacing w:after="0"/>
              <w:rPr>
                <w:sz w:val="20"/>
                <w:szCs w:val="20"/>
                <w:color w:val="auto"/>
              </w:rPr>
            </w:pPr>
            <w:r>
              <w:rPr>
                <w:rFonts w:ascii="Arial" w:cs="Arial" w:eastAsia="Arial" w:hAnsi="Arial"/>
                <w:sz w:val="16"/>
                <w:szCs w:val="16"/>
                <w:color w:val="auto"/>
              </w:rPr>
              <w:t>headroom.</w:t>
            </w:r>
          </w:p>
        </w:tc>
        <w:tc>
          <w:tcPr>
            <w:tcW w:w="4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46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5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Motorhomes built on van-type chassis onto which the motorhome</w:t>
            </w:r>
          </w:p>
        </w:tc>
        <w:tc>
          <w:tcPr>
            <w:tcW w:w="4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Aspect, Cambria, Fuse, Minnie Winnie, Navion, Spirit,</w:t>
            </w: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(gas and diesel)</w:t>
            </w:r>
          </w:p>
        </w:tc>
        <w:tc>
          <w:tcPr>
            <w:tcW w:w="5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manufacturer constructs a living area with access to the driver's</w:t>
            </w:r>
          </w:p>
        </w:tc>
        <w:tc>
          <w:tcPr>
            <w:tcW w:w="4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Trend, View</w:t>
            </w:r>
          </w:p>
        </w:tc>
        <w:tc>
          <w:tcPr>
            <w:tcW w:w="0" w:type="dxa"/>
            <w:vAlign w:val="bottom"/>
          </w:tcPr>
          <w:p>
            <w:pPr>
              <w:spacing w:after="0"/>
              <w:rPr>
                <w:sz w:val="1"/>
                <w:szCs w:val="1"/>
                <w:color w:val="auto"/>
              </w:rPr>
            </w:pPr>
          </w:p>
        </w:tc>
      </w:tr>
      <w:tr>
        <w:trPr>
          <w:trHeight w:val="195"/>
        </w:trPr>
        <w:tc>
          <w:tcPr>
            <w:tcW w:w="1460" w:type="dxa"/>
            <w:vAlign w:val="bottom"/>
            <w:shd w:val="clear" w:color="auto" w:fill="CCEEFF"/>
          </w:tcPr>
          <w:p>
            <w:pPr>
              <w:spacing w:after="0"/>
              <w:rPr>
                <w:sz w:val="16"/>
                <w:szCs w:val="16"/>
                <w:color w:val="auto"/>
              </w:rPr>
            </w:pPr>
          </w:p>
        </w:tc>
        <w:tc>
          <w:tcPr>
            <w:tcW w:w="5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compartment.</w:t>
            </w:r>
          </w:p>
        </w:tc>
        <w:tc>
          <w:tcPr>
            <w:tcW w:w="4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46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right="160"/>
        <w:spacing w:after="0" w:line="230" w:lineRule="auto"/>
        <w:rPr>
          <w:sz w:val="20"/>
          <w:szCs w:val="20"/>
          <w:color w:val="auto"/>
        </w:rPr>
      </w:pPr>
      <w:r>
        <w:rPr>
          <w:rFonts w:ascii="Arial" w:cs="Arial" w:eastAsia="Arial" w:hAnsi="Arial"/>
          <w:sz w:val="16"/>
          <w:szCs w:val="16"/>
          <w:color w:val="auto"/>
        </w:rPr>
        <w:t>Motorhomes generally provide living accommodations for up to seven people and include kitchen, dining, sleeping and bath areas, and in some models, a lounge. Optional equipment accessories include, among other items, generators, home theater systems, king-size beds, and UltraLeather</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upholstery and a wide selection of interior equipment. With the purchase of any new motorhome, we offer a comprehensive 12-month/15,000-mile warranty on the coach and, for Class A and C motorhomes, a 3-year/36,000-mile structural warranty on sidewalls and floors.</w:t>
      </w:r>
    </w:p>
    <w:p>
      <w:pPr>
        <w:spacing w:after="0" w:line="158"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Our Class A, B and C motorhomes are sold by dealers in the retail market with manufacturer's suggested retail prices ranging from approximately $70,000 to $470,000, depending on size and model, plus optional equipment and delivery charges. Our motorhomes range in length from 21 to 44 feet.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Unit sales of our motorhomes for the last five fiscal years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6"/>
                <w:szCs w:val="16"/>
                <w:b w:val="1"/>
                <w:bCs w:val="1"/>
                <w:color w:val="auto"/>
                <w:w w:val="94"/>
              </w:rPr>
              <w:t xml:space="preserve">Year Ended </w:t>
            </w:r>
            <w:r>
              <w:rPr>
                <w:rFonts w:ascii="Arial" w:cs="Arial" w:eastAsia="Arial" w:hAnsi="Arial"/>
                <w:sz w:val="21"/>
                <w:szCs w:val="21"/>
                <w:b w:val="1"/>
                <w:bCs w:val="1"/>
                <w:color w:val="auto"/>
                <w:w w:val="94"/>
                <w:vertAlign w:val="superscript"/>
              </w:rPr>
              <w:t>(1)(2)</w:t>
            </w:r>
          </w:p>
        </w:tc>
        <w:tc>
          <w:tcPr>
            <w:tcW w:w="9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257"/>
        </w:trPr>
        <w:tc>
          <w:tcPr>
            <w:tcW w:w="2240" w:type="dxa"/>
            <w:vAlign w:val="bottom"/>
          </w:tcPr>
          <w:p>
            <w:pPr>
              <w:ind w:left="40"/>
              <w:spacing w:after="0"/>
              <w:rPr>
                <w:sz w:val="20"/>
                <w:szCs w:val="20"/>
                <w:color w:val="auto"/>
              </w:rPr>
            </w:pPr>
            <w:r>
              <w:rPr>
                <w:rFonts w:ascii="Arial" w:cs="Arial" w:eastAsia="Arial" w:hAnsi="Arial"/>
                <w:sz w:val="16"/>
                <w:szCs w:val="16"/>
                <w:b w:val="1"/>
                <w:bCs w:val="1"/>
                <w:color w:val="auto"/>
              </w:rPr>
              <w:t>Units</w:t>
            </w:r>
          </w:p>
        </w:tc>
        <w:tc>
          <w:tcPr>
            <w:tcW w:w="1800" w:type="dxa"/>
            <w:vAlign w:val="bottom"/>
            <w:gridSpan w:val="3"/>
          </w:tcPr>
          <w:p>
            <w:pPr>
              <w:ind w:left="240"/>
              <w:spacing w:after="0"/>
              <w:rPr>
                <w:sz w:val="20"/>
                <w:szCs w:val="20"/>
                <w:color w:val="auto"/>
              </w:rPr>
            </w:pPr>
            <w:r>
              <w:rPr>
                <w:rFonts w:ascii="Arial" w:cs="Arial" w:eastAsia="Arial" w:hAnsi="Arial"/>
                <w:sz w:val="16"/>
                <w:szCs w:val="16"/>
                <w:b w:val="1"/>
                <w:bCs w:val="1"/>
                <w:color w:val="auto"/>
              </w:rPr>
              <w:t>August 27, 2016</w:t>
            </w:r>
          </w:p>
        </w:tc>
        <w:tc>
          <w:tcPr>
            <w:tcW w:w="1800" w:type="dxa"/>
            <w:vAlign w:val="bottom"/>
            <w:gridSpan w:val="3"/>
          </w:tcPr>
          <w:p>
            <w:pPr>
              <w:ind w:left="240"/>
              <w:spacing w:after="0"/>
              <w:rPr>
                <w:sz w:val="20"/>
                <w:szCs w:val="20"/>
                <w:color w:val="auto"/>
              </w:rPr>
            </w:pPr>
            <w:r>
              <w:rPr>
                <w:rFonts w:ascii="Arial" w:cs="Arial" w:eastAsia="Arial" w:hAnsi="Arial"/>
                <w:sz w:val="16"/>
                <w:szCs w:val="16"/>
                <w:b w:val="1"/>
                <w:bCs w:val="1"/>
                <w:color w:val="auto"/>
              </w:rPr>
              <w:t>August 29, 2015</w:t>
            </w:r>
          </w:p>
        </w:tc>
        <w:tc>
          <w:tcPr>
            <w:tcW w:w="18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August 30, 2014</w:t>
            </w:r>
          </w:p>
        </w:tc>
        <w:tc>
          <w:tcPr>
            <w:tcW w:w="1800" w:type="dxa"/>
            <w:vAlign w:val="bottom"/>
            <w:gridSpan w:val="3"/>
          </w:tcPr>
          <w:p>
            <w:pPr>
              <w:ind w:left="240"/>
              <w:spacing w:after="0"/>
              <w:rPr>
                <w:sz w:val="20"/>
                <w:szCs w:val="20"/>
                <w:color w:val="auto"/>
              </w:rPr>
            </w:pPr>
            <w:r>
              <w:rPr>
                <w:rFonts w:ascii="Arial" w:cs="Arial" w:eastAsia="Arial" w:hAnsi="Arial"/>
                <w:sz w:val="16"/>
                <w:szCs w:val="16"/>
                <w:b w:val="1"/>
                <w:bCs w:val="1"/>
                <w:color w:val="auto"/>
              </w:rPr>
              <w:t>August 31, 2013</w:t>
            </w:r>
          </w:p>
        </w:tc>
        <w:tc>
          <w:tcPr>
            <w:tcW w:w="17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August 25, 2012</w:t>
            </w:r>
          </w:p>
        </w:tc>
      </w:tr>
      <w:tr>
        <w:trPr>
          <w:trHeight w:val="257"/>
        </w:trPr>
        <w:tc>
          <w:tcPr>
            <w:tcW w:w="2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9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2,925</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3,442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4,466</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2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3,761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2,579</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w:t>
            </w:r>
          </w:p>
        </w:tc>
      </w:tr>
      <w:tr>
        <w:trPr>
          <w:trHeight w:val="260"/>
        </w:trPr>
        <w:tc>
          <w:tcPr>
            <w:tcW w:w="2240" w:type="dxa"/>
            <w:vAlign w:val="bottom"/>
          </w:tcPr>
          <w:p>
            <w:pPr>
              <w:ind w:left="40"/>
              <w:spacing w:after="0"/>
              <w:rPr>
                <w:sz w:val="20"/>
                <w:szCs w:val="20"/>
                <w:color w:val="auto"/>
              </w:rPr>
            </w:pPr>
            <w:r>
              <w:rPr>
                <w:rFonts w:ascii="Arial" w:cs="Arial" w:eastAsia="Arial" w:hAnsi="Arial"/>
                <w:sz w:val="16"/>
                <w:szCs w:val="16"/>
                <w:color w:val="auto"/>
              </w:rPr>
              <w:t>Class B</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1,239</w:t>
            </w:r>
          </w:p>
        </w:tc>
        <w:tc>
          <w:tcPr>
            <w:tcW w:w="76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2"/>
                <w:szCs w:val="22"/>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991</w:t>
            </w:r>
          </w:p>
        </w:tc>
        <w:tc>
          <w:tcPr>
            <w:tcW w:w="76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2"/>
                <w:szCs w:val="22"/>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751</w:t>
            </w:r>
          </w:p>
        </w:tc>
        <w:tc>
          <w:tcPr>
            <w:tcW w:w="76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2"/>
                <w:szCs w:val="22"/>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372</w:t>
            </w:r>
          </w:p>
        </w:tc>
        <w:tc>
          <w:tcPr>
            <w:tcW w:w="76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2"/>
                <w:szCs w:val="22"/>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319</w:t>
            </w:r>
          </w:p>
        </w:tc>
        <w:tc>
          <w:tcPr>
            <w:tcW w:w="76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73"/>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5,143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4,664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3,538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2,688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1,744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w:t>
            </w:r>
          </w:p>
        </w:tc>
      </w:tr>
      <w:tr>
        <w:trPr>
          <w:trHeight w:val="237"/>
        </w:trPr>
        <w:tc>
          <w:tcPr>
            <w:tcW w:w="2240" w:type="dxa"/>
            <w:vAlign w:val="bottom"/>
          </w:tcPr>
          <w:p>
            <w:pPr>
              <w:ind w:left="40"/>
              <w:spacing w:after="0"/>
              <w:rPr>
                <w:sz w:val="20"/>
                <w:szCs w:val="20"/>
                <w:color w:val="auto"/>
              </w:rPr>
            </w:pPr>
            <w:r>
              <w:rPr>
                <w:rFonts w:ascii="Arial" w:cs="Arial" w:eastAsia="Arial" w:hAnsi="Arial"/>
                <w:sz w:val="16"/>
                <w:szCs w:val="16"/>
                <w:color w:val="auto"/>
              </w:rPr>
              <w:t>Total motorhomes</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9,307</w:t>
            </w: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9,097</w:t>
            </w: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8,755</w:t>
            </w: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6,821</w:t>
            </w: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4,642</w:t>
            </w: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3810</wp:posOffset>
            </wp:positionV>
            <wp:extent cx="567690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76900" cy="26035"/>
                    </a:xfrm>
                    <a:prstGeom prst="rect">
                      <a:avLst/>
                    </a:prstGeom>
                    <a:noFill/>
                  </pic:spPr>
                </pic:pic>
              </a:graphicData>
            </a:graphic>
          </wp:anchor>
        </w:drawing>
      </w:r>
    </w:p>
    <w:p>
      <w:pPr>
        <w:ind w:left="260" w:hanging="238"/>
        <w:spacing w:after="0"/>
        <w:tabs>
          <w:tab w:leader="none" w:pos="260"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The fiscal year ended August 31, 2013 contained 53 weeks; all other fiscal years contained 52 weeks.</w:t>
      </w:r>
    </w:p>
    <w:p>
      <w:pPr>
        <w:ind w:left="260" w:hanging="238"/>
        <w:spacing w:after="0" w:line="199" w:lineRule="auto"/>
        <w:tabs>
          <w:tab w:leader="none" w:pos="260"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50"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Motorhome parts and service activities represent revenues generated by service work we perform for retail customers at our Forest City, Iowa and Junction City, Oregon facilities as well as revenues from sales of RV parts. As of August 27, 2016, our parts inventory was approximately $3.5 million and is located in a 450,000-square foot warehouse with what we believe to be among the most sophisticated distribution and tracking systems in the industry. Our competitive strategy is to provide proprietary manufactured parts through our dealer network, which we believe increases customer satisfaction and the value of our motorhomes.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41" w:right="239" w:bottom="1440" w:gutter="0" w:footer="0" w:header="0"/>
          <w:type w:val="continuous"/>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b w:val="1"/>
          <w:bCs w:val="1"/>
          <w:color w:val="auto"/>
        </w:rPr>
        <w:t xml:space="preserve">Towables. </w:t>
      </w:r>
      <w:r>
        <w:rPr>
          <w:rFonts w:ascii="Arial" w:cs="Arial" w:eastAsia="Arial" w:hAnsi="Arial"/>
          <w:sz w:val="16"/>
          <w:szCs w:val="16"/>
          <w:color w:val="auto"/>
        </w:rPr>
        <w:t>A towable is a non-motorized vehicle that is designed to be towed by passenger automobiles, pickup trucks, SUVs or vans and is used as</w:t>
      </w:r>
      <w:r>
        <w:rPr>
          <w:rFonts w:ascii="Arial" w:cs="Arial" w:eastAsia="Arial" w:hAnsi="Arial"/>
          <w:sz w:val="16"/>
          <w:szCs w:val="16"/>
          <w:b w:val="1"/>
          <w:bCs w:val="1"/>
          <w:color w:val="auto"/>
        </w:rPr>
        <w:t xml:space="preserve"> </w:t>
      </w:r>
      <w:r>
        <w:rPr>
          <w:rFonts w:ascii="Arial" w:cs="Arial" w:eastAsia="Arial" w:hAnsi="Arial"/>
          <w:sz w:val="16"/>
          <w:szCs w:val="16"/>
          <w:color w:val="auto"/>
        </w:rPr>
        <w:t>temporary living quarters for recreational travel. The RVIA classifies towables in four types: conventional travel trailers, fifth wheels, folding camper trailers and truck campers; we manufacture and sell conventional travel trailers and fifth wheels under the Winnebago brand name, which are defined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Type</w:t>
            </w:r>
          </w:p>
        </w:tc>
        <w:tc>
          <w:tcPr>
            <w:tcW w:w="522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Description</w:t>
            </w:r>
          </w:p>
        </w:tc>
        <w:tc>
          <w:tcPr>
            <w:tcW w:w="47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Winnebago product offerings</w:t>
            </w:r>
          </w:p>
        </w:tc>
      </w:tr>
      <w:tr>
        <w:trPr>
          <w:trHeight w:val="218"/>
        </w:trPr>
        <w:tc>
          <w:tcPr>
            <w:tcW w:w="1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5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Conventional travel trailers are towed by means of a hitch attached</w:t>
            </w:r>
          </w:p>
        </w:tc>
        <w:tc>
          <w:tcPr>
            <w:tcW w:w="4700" w:type="dxa"/>
            <w:vAlign w:val="bottom"/>
            <w:shd w:val="clear" w:color="auto" w:fill="CCEEFF"/>
          </w:tcPr>
          <w:p>
            <w:pPr>
              <w:ind w:left="60"/>
              <w:spacing w:after="0"/>
              <w:rPr>
                <w:sz w:val="20"/>
                <w:szCs w:val="20"/>
                <w:color w:val="auto"/>
              </w:rPr>
            </w:pPr>
            <w:r>
              <w:rPr>
                <w:rFonts w:ascii="Arial" w:cs="Arial" w:eastAsia="Arial" w:hAnsi="Arial"/>
                <w:sz w:val="16"/>
                <w:szCs w:val="16"/>
                <w:color w:val="auto"/>
              </w:rPr>
              <w:t>Winnie Drop, Micro Minnie, Minnie, Ultralite, Instinct, Spyder</w:t>
            </w:r>
          </w:p>
        </w:tc>
      </w:tr>
      <w:tr>
        <w:trPr>
          <w:trHeight w:val="214"/>
        </w:trPr>
        <w:tc>
          <w:tcPr>
            <w:tcW w:w="1220" w:type="dxa"/>
            <w:vAlign w:val="bottom"/>
            <w:shd w:val="clear" w:color="auto" w:fill="CCEEFF"/>
          </w:tcPr>
          <w:p>
            <w:pPr>
              <w:spacing w:after="0"/>
              <w:rPr>
                <w:sz w:val="18"/>
                <w:szCs w:val="18"/>
                <w:color w:val="auto"/>
              </w:rPr>
            </w:pPr>
          </w:p>
        </w:tc>
        <w:tc>
          <w:tcPr>
            <w:tcW w:w="5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 the frame of the vehicle.</w:t>
            </w:r>
          </w:p>
        </w:tc>
        <w:tc>
          <w:tcPr>
            <w:tcW w:w="4700" w:type="dxa"/>
            <w:vAlign w:val="bottom"/>
            <w:shd w:val="clear" w:color="auto" w:fill="CCEEFF"/>
          </w:tcPr>
          <w:p>
            <w:pPr>
              <w:ind w:left="60"/>
              <w:spacing w:after="0"/>
              <w:rPr>
                <w:sz w:val="20"/>
                <w:szCs w:val="20"/>
                <w:color w:val="auto"/>
              </w:rPr>
            </w:pPr>
            <w:r>
              <w:rPr>
                <w:rFonts w:ascii="Arial" w:cs="Arial" w:eastAsia="Arial" w:hAnsi="Arial"/>
                <w:sz w:val="16"/>
                <w:szCs w:val="16"/>
                <w:color w:val="auto"/>
              </w:rPr>
              <w:t>(Toy Hauler)</w:t>
            </w:r>
          </w:p>
        </w:tc>
      </w:tr>
      <w:tr>
        <w:trPr>
          <w:trHeight w:val="218"/>
        </w:trPr>
        <w:tc>
          <w:tcPr>
            <w:tcW w:w="1220" w:type="dxa"/>
            <w:vAlign w:val="bottom"/>
          </w:tcPr>
          <w:p>
            <w:pPr>
              <w:ind w:left="40"/>
              <w:spacing w:after="0"/>
              <w:rPr>
                <w:sz w:val="20"/>
                <w:szCs w:val="20"/>
                <w:color w:val="auto"/>
              </w:rPr>
            </w:pPr>
            <w:r>
              <w:rPr>
                <w:rFonts w:ascii="Arial" w:cs="Arial" w:eastAsia="Arial" w:hAnsi="Arial"/>
                <w:sz w:val="16"/>
                <w:szCs w:val="16"/>
                <w:color w:val="auto"/>
              </w:rPr>
              <w:t>Fifth wheel</w:t>
            </w:r>
          </w:p>
        </w:tc>
        <w:tc>
          <w:tcPr>
            <w:tcW w:w="5220" w:type="dxa"/>
            <w:vAlign w:val="bottom"/>
          </w:tcPr>
          <w:p>
            <w:pPr>
              <w:ind w:left="280"/>
              <w:spacing w:after="0"/>
              <w:rPr>
                <w:sz w:val="20"/>
                <w:szCs w:val="20"/>
                <w:color w:val="auto"/>
              </w:rPr>
            </w:pPr>
            <w:r>
              <w:rPr>
                <w:rFonts w:ascii="Arial" w:cs="Arial" w:eastAsia="Arial" w:hAnsi="Arial"/>
                <w:sz w:val="16"/>
                <w:szCs w:val="16"/>
                <w:color w:val="auto"/>
              </w:rPr>
              <w:t>Fifth wheel trailers are constructed with a raised forward section that</w:t>
            </w:r>
          </w:p>
        </w:tc>
        <w:tc>
          <w:tcPr>
            <w:tcW w:w="4700" w:type="dxa"/>
            <w:vAlign w:val="bottom"/>
          </w:tcPr>
          <w:p>
            <w:pPr>
              <w:ind w:left="60"/>
              <w:spacing w:after="0"/>
              <w:rPr>
                <w:sz w:val="20"/>
                <w:szCs w:val="20"/>
                <w:color w:val="auto"/>
              </w:rPr>
            </w:pPr>
            <w:r>
              <w:rPr>
                <w:rFonts w:ascii="Arial" w:cs="Arial" w:eastAsia="Arial" w:hAnsi="Arial"/>
                <w:sz w:val="16"/>
                <w:szCs w:val="16"/>
                <w:color w:val="auto"/>
              </w:rPr>
              <w:t>Destination, Latitude, Voyage, Voyage XLT, Scorpion (Toy</w:t>
            </w:r>
          </w:p>
        </w:tc>
      </w:tr>
      <w:tr>
        <w:trPr>
          <w:trHeight w:val="195"/>
        </w:trPr>
        <w:tc>
          <w:tcPr>
            <w:tcW w:w="1220" w:type="dxa"/>
            <w:vAlign w:val="bottom"/>
          </w:tcPr>
          <w:p>
            <w:pPr>
              <w:spacing w:after="0"/>
              <w:rPr>
                <w:sz w:val="16"/>
                <w:szCs w:val="16"/>
                <w:color w:val="auto"/>
              </w:rPr>
            </w:pPr>
          </w:p>
        </w:tc>
        <w:tc>
          <w:tcPr>
            <w:tcW w:w="5220" w:type="dxa"/>
            <w:vAlign w:val="bottom"/>
          </w:tcPr>
          <w:p>
            <w:pPr>
              <w:ind w:left="280"/>
              <w:spacing w:after="0"/>
              <w:rPr>
                <w:sz w:val="20"/>
                <w:szCs w:val="20"/>
                <w:color w:val="auto"/>
              </w:rPr>
            </w:pPr>
            <w:r>
              <w:rPr>
                <w:rFonts w:ascii="Arial" w:cs="Arial" w:eastAsia="Arial" w:hAnsi="Arial"/>
                <w:sz w:val="16"/>
                <w:szCs w:val="16"/>
                <w:color w:val="auto"/>
              </w:rPr>
              <w:t>is connected to the vehicle with a special fifth wheel hitch.</w:t>
            </w:r>
          </w:p>
        </w:tc>
        <w:tc>
          <w:tcPr>
            <w:tcW w:w="4700" w:type="dxa"/>
            <w:vAlign w:val="bottom"/>
          </w:tcPr>
          <w:p>
            <w:pPr>
              <w:ind w:left="60"/>
              <w:spacing w:after="0"/>
              <w:rPr>
                <w:sz w:val="20"/>
                <w:szCs w:val="20"/>
                <w:color w:val="auto"/>
              </w:rPr>
            </w:pPr>
            <w:r>
              <w:rPr>
                <w:rFonts w:ascii="Arial" w:cs="Arial" w:eastAsia="Arial" w:hAnsi="Arial"/>
                <w:sz w:val="16"/>
                <w:szCs w:val="16"/>
                <w:color w:val="auto"/>
              </w:rPr>
              <w:t>Hauler)</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Unit sales of our towables for the last five fiscal years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09231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154"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 xml:space="preserve">Year Ended </w:t>
      </w:r>
      <w:r>
        <w:rPr>
          <w:rFonts w:ascii="Arial" w:cs="Arial" w:eastAsia="Arial" w:hAnsi="Arial"/>
          <w:sz w:val="21"/>
          <w:szCs w:val="21"/>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-3810</wp:posOffset>
            </wp:positionV>
            <wp:extent cx="56857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85790" cy="8890"/>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220" w:type="dxa"/>
            <w:vAlign w:val="bottom"/>
          </w:tcPr>
          <w:p>
            <w:pPr>
              <w:ind w:left="40"/>
              <w:spacing w:after="0"/>
              <w:rPr>
                <w:sz w:val="20"/>
                <w:szCs w:val="20"/>
                <w:color w:val="auto"/>
              </w:rPr>
            </w:pPr>
            <w:r>
              <w:rPr>
                <w:rFonts w:ascii="Arial" w:cs="Arial" w:eastAsia="Arial" w:hAnsi="Arial"/>
                <w:sz w:val="16"/>
                <w:szCs w:val="16"/>
                <w:b w:val="1"/>
                <w:bCs w:val="1"/>
                <w:color w:val="auto"/>
              </w:rPr>
              <w:t>Units</w:t>
            </w:r>
          </w:p>
        </w:tc>
        <w:tc>
          <w:tcPr>
            <w:tcW w:w="1820" w:type="dxa"/>
            <w:vAlign w:val="bottom"/>
            <w:gridSpan w:val="3"/>
          </w:tcPr>
          <w:p>
            <w:pPr>
              <w:ind w:left="260"/>
              <w:spacing w:after="0"/>
              <w:rPr>
                <w:sz w:val="20"/>
                <w:szCs w:val="20"/>
                <w:color w:val="auto"/>
              </w:rPr>
            </w:pPr>
            <w:r>
              <w:rPr>
                <w:rFonts w:ascii="Arial" w:cs="Arial" w:eastAsia="Arial" w:hAnsi="Arial"/>
                <w:sz w:val="16"/>
                <w:szCs w:val="16"/>
                <w:b w:val="1"/>
                <w:bCs w:val="1"/>
                <w:color w:val="auto"/>
              </w:rPr>
              <w:t>August 27, 2016</w:t>
            </w:r>
          </w:p>
        </w:tc>
        <w:tc>
          <w:tcPr>
            <w:tcW w:w="1800" w:type="dxa"/>
            <w:vAlign w:val="bottom"/>
            <w:gridSpan w:val="3"/>
          </w:tcPr>
          <w:p>
            <w:pPr>
              <w:ind w:left="240"/>
              <w:spacing w:after="0"/>
              <w:rPr>
                <w:sz w:val="20"/>
                <w:szCs w:val="20"/>
                <w:color w:val="auto"/>
              </w:rPr>
            </w:pPr>
            <w:r>
              <w:rPr>
                <w:rFonts w:ascii="Arial" w:cs="Arial" w:eastAsia="Arial" w:hAnsi="Arial"/>
                <w:sz w:val="16"/>
                <w:szCs w:val="16"/>
                <w:b w:val="1"/>
                <w:bCs w:val="1"/>
                <w:color w:val="auto"/>
              </w:rPr>
              <w:t>August 29, 2015</w:t>
            </w:r>
          </w:p>
        </w:tc>
        <w:tc>
          <w:tcPr>
            <w:tcW w:w="1820" w:type="dxa"/>
            <w:vAlign w:val="bottom"/>
            <w:gridSpan w:val="3"/>
          </w:tcPr>
          <w:p>
            <w:pPr>
              <w:ind w:left="240"/>
              <w:spacing w:after="0"/>
              <w:rPr>
                <w:sz w:val="20"/>
                <w:szCs w:val="20"/>
                <w:color w:val="auto"/>
              </w:rPr>
            </w:pPr>
            <w:r>
              <w:rPr>
                <w:rFonts w:ascii="Arial" w:cs="Arial" w:eastAsia="Arial" w:hAnsi="Arial"/>
                <w:sz w:val="16"/>
                <w:szCs w:val="16"/>
                <w:b w:val="1"/>
                <w:bCs w:val="1"/>
                <w:color w:val="auto"/>
              </w:rPr>
              <w:t>August 30, 2014</w:t>
            </w:r>
          </w:p>
        </w:tc>
        <w:tc>
          <w:tcPr>
            <w:tcW w:w="1800" w:type="dxa"/>
            <w:vAlign w:val="bottom"/>
            <w:gridSpan w:val="3"/>
          </w:tcPr>
          <w:p>
            <w:pPr>
              <w:ind w:left="240"/>
              <w:spacing w:after="0"/>
              <w:rPr>
                <w:sz w:val="20"/>
                <w:szCs w:val="20"/>
                <w:color w:val="auto"/>
              </w:rPr>
            </w:pPr>
            <w:r>
              <w:rPr>
                <w:rFonts w:ascii="Arial" w:cs="Arial" w:eastAsia="Arial" w:hAnsi="Arial"/>
                <w:sz w:val="16"/>
                <w:szCs w:val="16"/>
                <w:b w:val="1"/>
                <w:bCs w:val="1"/>
                <w:color w:val="auto"/>
              </w:rPr>
              <w:t>August 31, 2013</w:t>
            </w:r>
          </w:p>
        </w:tc>
        <w:tc>
          <w:tcPr>
            <w:tcW w:w="17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August 25, 2012</w:t>
            </w:r>
          </w:p>
        </w:tc>
      </w:tr>
      <w:tr>
        <w:trPr>
          <w:trHeight w:val="256"/>
        </w:trPr>
        <w:tc>
          <w:tcPr>
            <w:tcW w:w="2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9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3,613</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w:t>
            </w:r>
          </w:p>
        </w:tc>
        <w:tc>
          <w:tcPr>
            <w:tcW w:w="12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2,182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2,052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12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2,038</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10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1,372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w:t>
            </w:r>
          </w:p>
        </w:tc>
      </w:tr>
      <w:tr>
        <w:trPr>
          <w:trHeight w:val="264"/>
        </w:trPr>
        <w:tc>
          <w:tcPr>
            <w:tcW w:w="2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Fifth wheel</w:t>
            </w: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586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488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457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497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966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r>
      <w:tr>
        <w:trPr>
          <w:trHeight w:val="240"/>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towables</w:t>
            </w: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4,199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2,670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2,509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2,535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2,338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8890</wp:posOffset>
            </wp:positionV>
            <wp:extent cx="5685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85790" cy="8890"/>
                    </a:xfrm>
                    <a:prstGeom prst="rect">
                      <a:avLst/>
                    </a:prstGeom>
                    <a:noFill/>
                  </pic:spPr>
                </pic:pic>
              </a:graphicData>
            </a:graphic>
          </wp:anchor>
        </w:drawing>
      </w:r>
    </w:p>
    <w:p>
      <w:pPr>
        <w:ind w:left="260" w:hanging="238"/>
        <w:spacing w:after="0" w:line="224" w:lineRule="auto"/>
        <w:tabs>
          <w:tab w:leader="none" w:pos="2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The fiscal year ended August 31, 2013 contained 53 weeks; all other fiscal years contained 52 weeks.</w:t>
      </w:r>
    </w:p>
    <w:p>
      <w:pPr>
        <w:ind w:left="260" w:hanging="238"/>
        <w:spacing w:after="0" w:line="199" w:lineRule="auto"/>
        <w:tabs>
          <w:tab w:leader="none" w:pos="2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50" w:lineRule="exact"/>
        <w:rPr>
          <w:sz w:val="20"/>
          <w:szCs w:val="20"/>
          <w:color w:val="auto"/>
        </w:rPr>
      </w:pPr>
    </w:p>
    <w:p>
      <w:pPr>
        <w:ind w:right="680"/>
        <w:spacing w:after="0" w:line="246" w:lineRule="auto"/>
        <w:rPr>
          <w:sz w:val="20"/>
          <w:szCs w:val="20"/>
          <w:color w:val="auto"/>
        </w:rPr>
      </w:pPr>
      <w:r>
        <w:rPr>
          <w:rFonts w:ascii="Arial" w:cs="Arial" w:eastAsia="Arial" w:hAnsi="Arial"/>
          <w:sz w:val="16"/>
          <w:szCs w:val="16"/>
          <w:color w:val="auto"/>
        </w:rPr>
        <w:t>On October 2, 2016, we entered into a Securities Purchase Agreement pursuant to which we intend to acquire Grand Design, a fast-growing towables manufacturer in Middlebury, Indiana. Grand Design manufactures travel trailers and fifth wheel products.</w:t>
      </w:r>
    </w:p>
    <w:p>
      <w:pPr>
        <w:spacing w:after="0" w:line="1"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With this acquisition, we expect to have a broader and more balanced portfolio of motorized and towable products and intend to capitalize on the opportunities across the RV market and to drive improved profitability and long-term value for shareholders.</w:t>
      </w:r>
    </w:p>
    <w:p>
      <w:pPr>
        <w:spacing w:after="0" w:line="149"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b w:val="1"/>
          <w:bCs w:val="1"/>
          <w:color w:val="auto"/>
        </w:rPr>
        <w:t>Other Manufactured Products</w:t>
      </w:r>
      <w:r>
        <w:rPr>
          <w:rFonts w:ascii="Arial" w:cs="Arial" w:eastAsia="Arial" w:hAnsi="Arial"/>
          <w:sz w:val="16"/>
          <w:szCs w:val="16"/>
          <w:color w:val="auto"/>
        </w:rPr>
        <w:t>. As a result of our motorhome manufacturing capabilities, equipment and facilities, we use our incremental capacity to</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manufacture product for outside customers. To a limited extent, we manufacture other component parts sold to outside manufacturers. We also manufacture commercial vehicles which are motorhome shells, primarily custom designed for the buyer's special needs and requirements, such as law enforcement command centers, mobile medical clinics and mobile office space. These commercial vehicles are sold through our dealer network. In addition, we also provide commercial vehicles as bare shells to third-party upfitters for conversion at their facilities.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w:t>
      </w:r>
    </w:p>
    <w:p>
      <w:pPr>
        <w:spacing w:after="0" w:line="18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We generally produce motorhomes and towables to order from dealers. We have some ability to increase our capacity by scheduling overtime and/or hiring additional production employees or to decrease our capacity through the use of shortened workweeks and/or reducing head count. We have long been known as an industry leader in innovation as each year we introduce new or redesigned products. These changes generally include new floor plans and sizes as well as design and decor modifications.</w:t>
      </w:r>
    </w:p>
    <w:p>
      <w:pPr>
        <w:spacing w:after="0" w:line="149"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Our motorhomes are primarily produced in the state of Iowa at four different campuses. Our Forest City facilities are vertically integrated and provide mechanized assembly line manufacturing for Class A and C motorhomes. We assemble Class B motorhomes in our Lake Mills facilities. Hardwood cabinet, countertop and compartment door products are manufactured at our Charles City campus. Our Waverly facility is used for wire harness fabrication. Beginning in 2016, we also began assembling motorhomes in our Junction City, Oregon facility. Our motorhome bodies are made from various materials and structural components which are typically laminated into rigid, lightweight panels. Body designs are developed with computer aided design and manufacturing and subjected to a variety of tests and evaluations to meet our standards and requirements. We manufacture a number of components utilized in our motorhomes, with the principal exceptions being chassis, engines, generators and appliances that we purchase from reputable manufacturers.</w:t>
      </w:r>
    </w:p>
    <w:p>
      <w:pPr>
        <w:spacing w:after="0" w:line="15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Most of our raw materials such as steel, aluminum, fiberglass and wood products are obtainable from numerous sources. Certain parts, especially motorhome chassis, are available from a small group of suppliers. We are currently purchasing Class A and C chassis from Ford Motor Company, Mercedes-Benz USA (a Daimler company) and Mercedes-Benz Canada (a Daimler company) and Class A chassis from Freightliner Custom Chassis Corporation (a Daimler company). Class B chassis are purchased from Mercedes-Benz USA, Mercedes-Benz Canada, FCA US, LLC and FCA Canada, Inc.. Class C chassis are also purchased from FCA US, LLC and FCA Canada, Inc. In Fiscal 2016, only two vendors, Ford Motor Company and Mercedes-Benz (USA and Canada) individually accounted for more than 10% of our raw material purchases and approximating 35% in the aggregate.</w:t>
      </w:r>
    </w:p>
    <w:p>
      <w:pPr>
        <w:spacing w:after="0" w:line="17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Our towables are produced at an assembly plant located in Middlebury, Indiana. The majority of components are comprised of frames, appliances and furniture and are purchased from suppliers.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41"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Backlog</w:t>
      </w:r>
    </w:p>
    <w:p>
      <w:pPr>
        <w:spacing w:after="0" w:line="187"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We strive to balance timely order fulfillment to customers with the lead times suppliers require to efficiently source materials and manage costs. Production facility constraints at peak periods also lead to fluctuations in backlogged orders which we manage closely. The approximate revenue of our motorhome backlog was $107.6 million and $156.4 million as of August 27, 2016 and August 29, 2015, respectively. The approximate revenue of our towable backlog was $8.4 million and $6.2 million as of August 27, 2016 and August 29, 2015, respectively. A more detailed description of our motorhome and towable order backlog is included in Item 7, "Management's Discussion and Analysis of Financial Condition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Distribution and Financing</w:t>
      </w:r>
    </w:p>
    <w:p>
      <w:pPr>
        <w:spacing w:after="0" w:line="187" w:lineRule="exact"/>
        <w:rPr>
          <w:sz w:val="20"/>
          <w:szCs w:val="20"/>
          <w:color w:val="auto"/>
        </w:rPr>
      </w:pPr>
    </w:p>
    <w:p>
      <w:pPr>
        <w:jc w:val="both"/>
        <w:ind w:right="220"/>
        <w:spacing w:after="0" w:line="253" w:lineRule="auto"/>
        <w:rPr>
          <w:sz w:val="20"/>
          <w:szCs w:val="20"/>
          <w:color w:val="auto"/>
        </w:rPr>
      </w:pPr>
      <w:r>
        <w:rPr>
          <w:rFonts w:ascii="Arial" w:cs="Arial" w:eastAsia="Arial" w:hAnsi="Arial"/>
          <w:sz w:val="16"/>
          <w:szCs w:val="16"/>
          <w:color w:val="auto"/>
        </w:rPr>
        <w:t>We market our RVs on a wholesale basis to a diversified independent dealer network located throughout the US and, to a limited extent, in Canada. Foreign sales, including Canada, were 8% or less of net revenues during each of the past three fiscal years. See Note 12 to our Financial Statements of this Annual Report on Form 10-K.</w:t>
      </w:r>
    </w:p>
    <w:p>
      <w:pPr>
        <w:spacing w:after="0" w:line="147"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As of August 27, 2016, our RV dealer network in the US and Canada included 295 motorized and 161 towable physical dealer locations, 74 of these locations carried both Winnebago motorized and towable product. One of our dealer organizations, FreedomRoads, LLC, accounted for 16.6% of our net revenue for Fiscal 2016, as this dealer sold our products in 78 of their dealership locations across 28 US states. A second dealer organization, La Mesa RV Center, Inc., accounted for 13.0% of our net revenue for Fiscal 2016, as this dealer sold our products in 11 dealership locations across 4 US states.</w:t>
      </w:r>
    </w:p>
    <w:p>
      <w:pPr>
        <w:spacing w:after="0" w:line="14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have sales and service agreements with dealers which are subject to annual review. Many of the dealers are also engaged in other areas of business, including the sale of automobiles, trailers or boats, and many dealers carry one or more competitive lines of RVs. We continue to place high emphasis on the capability of our dealers to provide complete service for our RVs. Dealers are obligated to provide full service for owners of our RVs or, in lieu thereof, to secure such service from other authorized providers.</w:t>
      </w:r>
    </w:p>
    <w:p>
      <w:pPr>
        <w:spacing w:after="0" w:line="149"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We advertise and promote our products through national RV magazines, the distribution of product brochures, the Go RVing national advertising campaign sponsored by RVIA, direct-mail advertising campaigns, various national promotional opportunities and on a local basis through trade shows, television, radio and newspapers, primarily in connection with area dealers.</w:t>
      </w:r>
    </w:p>
    <w:p>
      <w:pPr>
        <w:spacing w:after="0" w:line="14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RV sales to dealers are made on cash terms. Most dealers are financed on a "floorplan" basis under which a bank or finance company lends the dealer all, or substantially all, of the purchase price, collateralized by a security interest in the merchandise purchased. As is customary in the RV industry, we typically enter into a repurchase agreement with a lending institution financing a dealer's purchase of our product upon the lending institution's request and after completion of a credit check of the dealer involved. Our repurchase agreements provide that for up to 18 months after a unit is financed, in the event of default by the dealer on the agreement to pay the lending institution and repossession of the unit(s) by the lending institution, we will repurchase the financed merchandise from the lender at dealer invoice. Our maximum exposure for repurchases varies significantly from time to time, depending upon general economic conditions, seasonal shipments, competition, demand for RVs, dealer organization, gasoline availability and access to and the cost of financing. See Note 9.</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87" w:lineRule="exact"/>
        <w:rPr>
          <w:sz w:val="20"/>
          <w:szCs w:val="20"/>
          <w:color w:val="auto"/>
        </w:rPr>
      </w:pPr>
    </w:p>
    <w:p>
      <w:pPr>
        <w:ind w:right="280"/>
        <w:spacing w:after="0" w:line="250" w:lineRule="auto"/>
        <w:rPr>
          <w:sz w:val="20"/>
          <w:szCs w:val="20"/>
          <w:color w:val="auto"/>
        </w:rPr>
      </w:pPr>
      <w:r>
        <w:rPr>
          <w:rFonts w:ascii="Arial" w:cs="Arial" w:eastAsia="Arial" w:hAnsi="Arial"/>
          <w:sz w:val="16"/>
          <w:szCs w:val="16"/>
          <w:color w:val="auto"/>
        </w:rPr>
        <w:t>The RV market is highly competitive with many other manufacturers selling products which compete directly with our products. Some of our competitors are much larger than us, most notably in the towable RV market, which may provide these competitors additional purchasing power. The competition in the RV industry is based upon design, price, quality and service of the products. We believe our principal competitive advantages are our brand strength, product quality and our service after the sale. We also believe that our motorhome products have historically commanded a price premium as a result of these competitive advantages.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214"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The primary use of RVs for leisure travel and outdoor recreation has historically led to a peak retail selling season concentrated in the spring and summer months and lower sales during winter months. Our sales of RVs are generally influenced by this pattern in retail sales, but sales can also be affected by the level of dealer inventory. As a result, RV sales are historically lowest during our second fiscal quarter, which ends in February.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and Trademarks</w:t>
      </w:r>
    </w:p>
    <w:p>
      <w:pPr>
        <w:spacing w:after="0" w:line="18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are subject to a variety of federal, state and local laws and regulations, including the MVA, under which the National Highway Traffic Safety Administration may require manufacturers to recall RVs that contain safety-related defects, and numerous state consumer protection laws and regulations relating to the operation of motor vehicles, including so-called "Lemon Laws." We are also subject to regulations established by OSHA. Our facilities are periodically inspected by federal and state agencies, such as OSHA. We are a member of RVIA, a voluntary association of RV manufacturers which promulgates RV safety standards. We place an RVIA seal on each of our RVs to certify that the RVIA standards have been met. We believe that our products and facilities comply in all material respects with the applicable vehicle safety, consumer protection, RVIA and OSHA regulations and standards.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00"/>
          </w:cols>
          <w:pgMar w:left="240" w:top="141" w:right="25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jc w:val="both"/>
        <w:ind w:right="280"/>
        <w:spacing w:after="0" w:line="253" w:lineRule="auto"/>
        <w:rPr>
          <w:sz w:val="20"/>
          <w:szCs w:val="20"/>
          <w:color w:val="auto"/>
        </w:rPr>
      </w:pPr>
      <w:r>
        <w:rPr>
          <w:rFonts w:ascii="Arial" w:cs="Arial" w:eastAsia="Arial" w:hAnsi="Arial"/>
          <w:sz w:val="16"/>
          <w:szCs w:val="16"/>
          <w:color w:val="auto"/>
        </w:rPr>
        <w:t>Our operations are subject to a variety of federal and state environmental laws and regulations relating to the use, generation, storage, treatment, emission, labeling, and disposal of hazardous materials and wastes and noise pollution. We believe that we currently are in compliance with applicable environmental laws and regulations in all material aspects.</w:t>
      </w:r>
    </w:p>
    <w:p>
      <w:pPr>
        <w:spacing w:after="0" w:line="14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have several domestic and foreign trademark registrations associated with our motorhome and towable products which include: Winnebago, Aspect, Brave, Cambria, Chalet, Destination, Ellipse, Era, Forza, Fuse, Glide &amp; Dine, Inlounge, Instinct, Intable, Itasca, Journey, Meridian, Micro Minnie, Minnie, Minnie Winnie, Sightseer, Solei, Spirit, Spyder, Suncruiser, Sunova, Sunstar, Travato, Trend, Tribute, View, Vista, Viva!, Voyage, W, Flying W (logo), WIT Club, Winnebago Ind (logo), Winnebago Towables (logo) and Winnebago Touring Coach. We believe that our trademarks and trade names are significant to our business and we have in the past and will in the future vigorously protect them against infringement by third parties. We are not dependent upon any patents or technology licenses of others for the conduct of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187"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Research and development expenditures are expensed as incurred. During Fiscal 2016, 2015 and 2014, we spent approximately $4.0 million, $3.9 million and $4.3 million, respectively on research and development activities.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Resources</w:t>
      </w:r>
    </w:p>
    <w:p>
      <w:pPr>
        <w:spacing w:after="0" w:line="187"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At the end of Fiscal 2016, 2015 and 2014, we employed approximately 3,050, 2,900 and 2,850 persons, respectively. None of our employees are covered under a collective bargaining agreement. We believe our relations with our employees are good.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60" w:type="dxa"/>
            <w:vAlign w:val="bottom"/>
          </w:tcPr>
          <w:p>
            <w:pPr>
              <w:spacing w:after="0"/>
              <w:rPr>
                <w:sz w:val="20"/>
                <w:szCs w:val="20"/>
                <w:color w:val="auto"/>
              </w:rPr>
            </w:pPr>
            <w:r>
              <w:rPr>
                <w:rFonts w:ascii="Arial" w:cs="Arial" w:eastAsia="Arial" w:hAnsi="Arial"/>
                <w:sz w:val="16"/>
                <w:szCs w:val="16"/>
                <w:b w:val="1"/>
                <w:bCs w:val="1"/>
                <w:color w:val="auto"/>
              </w:rPr>
              <w:t>Executive Officers of the Registrant</w:t>
            </w:r>
          </w:p>
        </w:tc>
        <w:tc>
          <w:tcPr>
            <w:tcW w:w="67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64"/>
        </w:trPr>
        <w:tc>
          <w:tcPr>
            <w:tcW w:w="30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672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Office (Year First Elected an Officer)</w:t>
            </w:r>
          </w:p>
        </w:tc>
        <w:tc>
          <w:tcPr>
            <w:tcW w:w="1640" w:type="dxa"/>
            <w:vAlign w:val="bottom"/>
            <w:tcBorders>
              <w:bottom w:val="single" w:sz="8" w:color="auto"/>
            </w:tcBorders>
          </w:tcPr>
          <w:p>
            <w:pPr>
              <w:jc w:val="center"/>
              <w:ind w:left="759"/>
              <w:spacing w:after="0"/>
              <w:rPr>
                <w:sz w:val="20"/>
                <w:szCs w:val="20"/>
                <w:color w:val="auto"/>
              </w:rPr>
            </w:pPr>
            <w:r>
              <w:rPr>
                <w:rFonts w:ascii="Arial" w:cs="Arial" w:eastAsia="Arial" w:hAnsi="Arial"/>
                <w:sz w:val="16"/>
                <w:szCs w:val="16"/>
                <w:b w:val="1"/>
                <w:bCs w:val="1"/>
                <w:color w:val="auto"/>
              </w:rPr>
              <w:t>Age</w:t>
            </w:r>
          </w:p>
        </w:tc>
      </w:tr>
      <w:tr>
        <w:trPr>
          <w:trHeight w:val="243"/>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Michael J. Happe</w:t>
            </w:r>
          </w:p>
        </w:tc>
        <w:tc>
          <w:tcPr>
            <w:tcW w:w="6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President and Chief Executive Officer (2016)</w:t>
            </w:r>
          </w:p>
        </w:tc>
        <w:tc>
          <w:tcPr>
            <w:tcW w:w="1640" w:type="dxa"/>
            <w:vAlign w:val="bottom"/>
            <w:shd w:val="clear" w:color="auto" w:fill="CCEEFF"/>
          </w:tcPr>
          <w:p>
            <w:pPr>
              <w:jc w:val="center"/>
              <w:ind w:left="779"/>
              <w:spacing w:after="0"/>
              <w:rPr>
                <w:sz w:val="20"/>
                <w:szCs w:val="20"/>
                <w:color w:val="auto"/>
              </w:rPr>
            </w:pPr>
            <w:r>
              <w:rPr>
                <w:rFonts w:ascii="Arial" w:cs="Arial" w:eastAsia="Arial" w:hAnsi="Arial"/>
                <w:sz w:val="16"/>
                <w:szCs w:val="16"/>
                <w:color w:val="auto"/>
              </w:rPr>
              <w:t>45</w:t>
            </w:r>
          </w:p>
        </w:tc>
      </w:tr>
      <w:tr>
        <w:trPr>
          <w:trHeight w:val="233"/>
        </w:trPr>
        <w:tc>
          <w:tcPr>
            <w:tcW w:w="3060" w:type="dxa"/>
            <w:vAlign w:val="bottom"/>
          </w:tcPr>
          <w:p>
            <w:pPr>
              <w:ind w:left="40"/>
              <w:spacing w:after="0"/>
              <w:rPr>
                <w:sz w:val="20"/>
                <w:szCs w:val="20"/>
                <w:color w:val="auto"/>
              </w:rPr>
            </w:pPr>
            <w:r>
              <w:rPr>
                <w:rFonts w:ascii="Arial" w:cs="Arial" w:eastAsia="Arial" w:hAnsi="Arial"/>
                <w:sz w:val="16"/>
                <w:szCs w:val="16"/>
                <w:color w:val="auto"/>
              </w:rPr>
              <w:t>Ashis N. Bhattacharya</w:t>
            </w:r>
          </w:p>
        </w:tc>
        <w:tc>
          <w:tcPr>
            <w:tcW w:w="6720" w:type="dxa"/>
            <w:vAlign w:val="bottom"/>
          </w:tcPr>
          <w:p>
            <w:pPr>
              <w:ind w:left="300"/>
              <w:spacing w:after="0"/>
              <w:rPr>
                <w:sz w:val="20"/>
                <w:szCs w:val="20"/>
                <w:color w:val="auto"/>
              </w:rPr>
            </w:pPr>
            <w:r>
              <w:rPr>
                <w:rFonts w:ascii="Arial" w:cs="Arial" w:eastAsia="Arial" w:hAnsi="Arial"/>
                <w:sz w:val="16"/>
                <w:szCs w:val="16"/>
                <w:color w:val="auto"/>
              </w:rPr>
              <w:t>Vice President, Strategic Planning and Development (2016)</w:t>
            </w:r>
          </w:p>
        </w:tc>
        <w:tc>
          <w:tcPr>
            <w:tcW w:w="1640" w:type="dxa"/>
            <w:vAlign w:val="bottom"/>
          </w:tcPr>
          <w:p>
            <w:pPr>
              <w:jc w:val="center"/>
              <w:ind w:left="779"/>
              <w:spacing w:after="0"/>
              <w:rPr>
                <w:sz w:val="20"/>
                <w:szCs w:val="20"/>
                <w:color w:val="auto"/>
              </w:rPr>
            </w:pPr>
            <w:r>
              <w:rPr>
                <w:rFonts w:ascii="Arial" w:cs="Arial" w:eastAsia="Arial" w:hAnsi="Arial"/>
                <w:sz w:val="16"/>
                <w:szCs w:val="16"/>
                <w:color w:val="auto"/>
              </w:rPr>
              <w:t>53</w:t>
            </w:r>
          </w:p>
        </w:tc>
      </w:tr>
      <w:tr>
        <w:trPr>
          <w:trHeight w:val="253"/>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 Scott Degnan</w:t>
            </w:r>
          </w:p>
        </w:tc>
        <w:tc>
          <w:tcPr>
            <w:tcW w:w="6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Vice President and General Manager, Towables Business (2012)</w:t>
            </w:r>
          </w:p>
        </w:tc>
        <w:tc>
          <w:tcPr>
            <w:tcW w:w="1640" w:type="dxa"/>
            <w:vAlign w:val="bottom"/>
            <w:shd w:val="clear" w:color="auto" w:fill="CCEEFF"/>
          </w:tcPr>
          <w:p>
            <w:pPr>
              <w:jc w:val="center"/>
              <w:ind w:left="779"/>
              <w:spacing w:after="0"/>
              <w:rPr>
                <w:sz w:val="20"/>
                <w:szCs w:val="20"/>
                <w:color w:val="auto"/>
              </w:rPr>
            </w:pPr>
            <w:r>
              <w:rPr>
                <w:rFonts w:ascii="Arial" w:cs="Arial" w:eastAsia="Arial" w:hAnsi="Arial"/>
                <w:sz w:val="16"/>
                <w:szCs w:val="16"/>
                <w:color w:val="auto"/>
              </w:rPr>
              <w:t>51</w:t>
            </w:r>
          </w:p>
        </w:tc>
      </w:tr>
      <w:tr>
        <w:trPr>
          <w:trHeight w:val="233"/>
        </w:trPr>
        <w:tc>
          <w:tcPr>
            <w:tcW w:w="3060" w:type="dxa"/>
            <w:vAlign w:val="bottom"/>
          </w:tcPr>
          <w:p>
            <w:pPr>
              <w:ind w:left="40"/>
              <w:spacing w:after="0"/>
              <w:rPr>
                <w:sz w:val="20"/>
                <w:szCs w:val="20"/>
                <w:color w:val="auto"/>
              </w:rPr>
            </w:pPr>
            <w:r>
              <w:rPr>
                <w:rFonts w:ascii="Arial" w:cs="Arial" w:eastAsia="Arial" w:hAnsi="Arial"/>
                <w:sz w:val="16"/>
                <w:szCs w:val="16"/>
                <w:color w:val="auto"/>
              </w:rPr>
              <w:t>Steven R. Dummett</w:t>
            </w:r>
          </w:p>
        </w:tc>
        <w:tc>
          <w:tcPr>
            <w:tcW w:w="6720" w:type="dxa"/>
            <w:vAlign w:val="bottom"/>
          </w:tcPr>
          <w:p>
            <w:pPr>
              <w:ind w:left="300"/>
              <w:spacing w:after="0"/>
              <w:rPr>
                <w:sz w:val="20"/>
                <w:szCs w:val="20"/>
                <w:color w:val="auto"/>
              </w:rPr>
            </w:pPr>
            <w:r>
              <w:rPr>
                <w:rFonts w:ascii="Arial" w:cs="Arial" w:eastAsia="Arial" w:hAnsi="Arial"/>
                <w:sz w:val="16"/>
                <w:szCs w:val="16"/>
                <w:color w:val="auto"/>
              </w:rPr>
              <w:t>Vice President, Product Development (2015 - September 2016)</w:t>
            </w:r>
          </w:p>
        </w:tc>
        <w:tc>
          <w:tcPr>
            <w:tcW w:w="1640" w:type="dxa"/>
            <w:vAlign w:val="bottom"/>
          </w:tcPr>
          <w:p>
            <w:pPr>
              <w:jc w:val="center"/>
              <w:ind w:left="779"/>
              <w:spacing w:after="0"/>
              <w:rPr>
                <w:sz w:val="20"/>
                <w:szCs w:val="20"/>
                <w:color w:val="auto"/>
              </w:rPr>
            </w:pPr>
            <w:r>
              <w:rPr>
                <w:rFonts w:ascii="Arial" w:cs="Arial" w:eastAsia="Arial" w:hAnsi="Arial"/>
                <w:sz w:val="16"/>
                <w:szCs w:val="16"/>
                <w:color w:val="auto"/>
              </w:rPr>
              <w:t>61</w:t>
            </w:r>
          </w:p>
        </w:tc>
      </w:tr>
      <w:tr>
        <w:trPr>
          <w:trHeight w:val="253"/>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Scott C. Folkers</w:t>
            </w:r>
          </w:p>
        </w:tc>
        <w:tc>
          <w:tcPr>
            <w:tcW w:w="6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Vice President, General Counsel &amp; Secretary (2012)</w:t>
            </w:r>
          </w:p>
        </w:tc>
        <w:tc>
          <w:tcPr>
            <w:tcW w:w="1640" w:type="dxa"/>
            <w:vAlign w:val="bottom"/>
            <w:shd w:val="clear" w:color="auto" w:fill="CCEEFF"/>
          </w:tcPr>
          <w:p>
            <w:pPr>
              <w:jc w:val="center"/>
              <w:ind w:left="779"/>
              <w:spacing w:after="0"/>
              <w:rPr>
                <w:sz w:val="20"/>
                <w:szCs w:val="20"/>
                <w:color w:val="auto"/>
              </w:rPr>
            </w:pPr>
            <w:r>
              <w:rPr>
                <w:rFonts w:ascii="Arial" w:cs="Arial" w:eastAsia="Arial" w:hAnsi="Arial"/>
                <w:sz w:val="16"/>
                <w:szCs w:val="16"/>
                <w:color w:val="auto"/>
              </w:rPr>
              <w:t>54</w:t>
            </w:r>
          </w:p>
        </w:tc>
      </w:tr>
      <w:tr>
        <w:trPr>
          <w:trHeight w:val="233"/>
        </w:trPr>
        <w:tc>
          <w:tcPr>
            <w:tcW w:w="3060" w:type="dxa"/>
            <w:vAlign w:val="bottom"/>
          </w:tcPr>
          <w:p>
            <w:pPr>
              <w:ind w:left="40"/>
              <w:spacing w:after="0"/>
              <w:rPr>
                <w:sz w:val="20"/>
                <w:szCs w:val="20"/>
                <w:color w:val="auto"/>
              </w:rPr>
            </w:pPr>
            <w:r>
              <w:rPr>
                <w:rFonts w:ascii="Arial" w:cs="Arial" w:eastAsia="Arial" w:hAnsi="Arial"/>
                <w:sz w:val="16"/>
                <w:szCs w:val="16"/>
                <w:color w:val="auto"/>
              </w:rPr>
              <w:t>Brian D. Hazelton</w:t>
            </w:r>
          </w:p>
        </w:tc>
        <w:tc>
          <w:tcPr>
            <w:tcW w:w="6720" w:type="dxa"/>
            <w:vAlign w:val="bottom"/>
          </w:tcPr>
          <w:p>
            <w:pPr>
              <w:ind w:left="300"/>
              <w:spacing w:after="0"/>
              <w:rPr>
                <w:sz w:val="20"/>
                <w:szCs w:val="20"/>
                <w:color w:val="auto"/>
              </w:rPr>
            </w:pPr>
            <w:r>
              <w:rPr>
                <w:rFonts w:ascii="Arial" w:cs="Arial" w:eastAsia="Arial" w:hAnsi="Arial"/>
                <w:sz w:val="16"/>
                <w:szCs w:val="16"/>
                <w:color w:val="auto"/>
              </w:rPr>
              <w:t>Vice President and General Manager, Motorhome Business (August 2016)</w:t>
            </w:r>
          </w:p>
        </w:tc>
        <w:tc>
          <w:tcPr>
            <w:tcW w:w="1640" w:type="dxa"/>
            <w:vAlign w:val="bottom"/>
          </w:tcPr>
          <w:p>
            <w:pPr>
              <w:jc w:val="center"/>
              <w:ind w:left="779"/>
              <w:spacing w:after="0"/>
              <w:rPr>
                <w:sz w:val="20"/>
                <w:szCs w:val="20"/>
                <w:color w:val="auto"/>
              </w:rPr>
            </w:pPr>
            <w:r>
              <w:rPr>
                <w:rFonts w:ascii="Arial" w:cs="Arial" w:eastAsia="Arial" w:hAnsi="Arial"/>
                <w:sz w:val="16"/>
                <w:szCs w:val="16"/>
                <w:color w:val="auto"/>
              </w:rPr>
              <w:t>51</w:t>
            </w:r>
          </w:p>
        </w:tc>
      </w:tr>
      <w:tr>
        <w:trPr>
          <w:trHeight w:val="253"/>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Daryl W. Krieger</w:t>
            </w:r>
          </w:p>
        </w:tc>
        <w:tc>
          <w:tcPr>
            <w:tcW w:w="6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Vice President, Manufacturing (2010 - September 2016)</w:t>
            </w:r>
          </w:p>
        </w:tc>
        <w:tc>
          <w:tcPr>
            <w:tcW w:w="1640" w:type="dxa"/>
            <w:vAlign w:val="bottom"/>
            <w:shd w:val="clear" w:color="auto" w:fill="CCEEFF"/>
          </w:tcPr>
          <w:p>
            <w:pPr>
              <w:jc w:val="center"/>
              <w:ind w:left="779"/>
              <w:spacing w:after="0"/>
              <w:rPr>
                <w:sz w:val="20"/>
                <w:szCs w:val="20"/>
                <w:color w:val="auto"/>
              </w:rPr>
            </w:pPr>
            <w:r>
              <w:rPr>
                <w:rFonts w:ascii="Arial" w:cs="Arial" w:eastAsia="Arial" w:hAnsi="Arial"/>
                <w:sz w:val="16"/>
                <w:szCs w:val="16"/>
                <w:color w:val="auto"/>
              </w:rPr>
              <w:t>53</w:t>
            </w:r>
          </w:p>
        </w:tc>
      </w:tr>
      <w:tr>
        <w:trPr>
          <w:trHeight w:val="233"/>
        </w:trPr>
        <w:tc>
          <w:tcPr>
            <w:tcW w:w="306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6720" w:type="dxa"/>
            <w:vAlign w:val="bottom"/>
          </w:tcPr>
          <w:p>
            <w:pPr>
              <w:ind w:left="300"/>
              <w:spacing w:after="0"/>
              <w:rPr>
                <w:sz w:val="20"/>
                <w:szCs w:val="20"/>
                <w:color w:val="auto"/>
              </w:rPr>
            </w:pPr>
            <w:r>
              <w:rPr>
                <w:rFonts w:ascii="Arial" w:cs="Arial" w:eastAsia="Arial" w:hAnsi="Arial"/>
                <w:sz w:val="16"/>
                <w:szCs w:val="16"/>
                <w:color w:val="auto"/>
              </w:rPr>
              <w:t>Vice President, Chief Financial Officer (2005)</w:t>
            </w:r>
          </w:p>
        </w:tc>
        <w:tc>
          <w:tcPr>
            <w:tcW w:w="1640" w:type="dxa"/>
            <w:vAlign w:val="bottom"/>
          </w:tcPr>
          <w:p>
            <w:pPr>
              <w:jc w:val="center"/>
              <w:ind w:left="779"/>
              <w:spacing w:after="0"/>
              <w:rPr>
                <w:sz w:val="20"/>
                <w:szCs w:val="20"/>
                <w:color w:val="auto"/>
              </w:rPr>
            </w:pPr>
            <w:r>
              <w:rPr>
                <w:rFonts w:ascii="Arial" w:cs="Arial" w:eastAsia="Arial" w:hAnsi="Arial"/>
                <w:sz w:val="16"/>
                <w:szCs w:val="16"/>
                <w:color w:val="auto"/>
              </w:rPr>
              <w:t>43</w:t>
            </w:r>
          </w:p>
        </w:tc>
      </w:tr>
      <w:tr>
        <w:trPr>
          <w:trHeight w:val="253"/>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Christopher D. West</w:t>
            </w:r>
          </w:p>
        </w:tc>
        <w:tc>
          <w:tcPr>
            <w:tcW w:w="6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Vice President, Operations (September 2016)</w:t>
            </w:r>
          </w:p>
        </w:tc>
        <w:tc>
          <w:tcPr>
            <w:tcW w:w="1640" w:type="dxa"/>
            <w:vAlign w:val="bottom"/>
            <w:shd w:val="clear" w:color="auto" w:fill="CCEEFF"/>
          </w:tcPr>
          <w:p>
            <w:pPr>
              <w:jc w:val="center"/>
              <w:ind w:left="779"/>
              <w:spacing w:after="0"/>
              <w:rPr>
                <w:sz w:val="20"/>
                <w:szCs w:val="20"/>
                <w:color w:val="auto"/>
              </w:rPr>
            </w:pPr>
            <w:r>
              <w:rPr>
                <w:rFonts w:ascii="Arial" w:cs="Arial" w:eastAsia="Arial" w:hAnsi="Arial"/>
                <w:sz w:val="16"/>
                <w:szCs w:val="16"/>
                <w:color w:val="auto"/>
              </w:rPr>
              <w:t>44</w:t>
            </w:r>
          </w:p>
        </w:tc>
      </w:tr>
      <w:tr>
        <w:trPr>
          <w:trHeight w:val="233"/>
        </w:trPr>
        <w:tc>
          <w:tcPr>
            <w:tcW w:w="3060" w:type="dxa"/>
            <w:vAlign w:val="bottom"/>
          </w:tcPr>
          <w:p>
            <w:pPr>
              <w:ind w:left="40"/>
              <w:spacing w:after="0"/>
              <w:rPr>
                <w:sz w:val="20"/>
                <w:szCs w:val="20"/>
                <w:color w:val="auto"/>
              </w:rPr>
            </w:pPr>
            <w:r>
              <w:rPr>
                <w:rFonts w:ascii="Arial" w:cs="Arial" w:eastAsia="Arial" w:hAnsi="Arial"/>
                <w:sz w:val="16"/>
                <w:szCs w:val="16"/>
                <w:color w:val="auto"/>
              </w:rPr>
              <w:t>Bret A. Woodson</w:t>
            </w:r>
          </w:p>
        </w:tc>
        <w:tc>
          <w:tcPr>
            <w:tcW w:w="6720" w:type="dxa"/>
            <w:vAlign w:val="bottom"/>
          </w:tcPr>
          <w:p>
            <w:pPr>
              <w:ind w:left="300"/>
              <w:spacing w:after="0"/>
              <w:rPr>
                <w:sz w:val="20"/>
                <w:szCs w:val="20"/>
                <w:color w:val="auto"/>
              </w:rPr>
            </w:pPr>
            <w:r>
              <w:rPr>
                <w:rFonts w:ascii="Arial" w:cs="Arial" w:eastAsia="Arial" w:hAnsi="Arial"/>
                <w:sz w:val="16"/>
                <w:szCs w:val="16"/>
                <w:color w:val="auto"/>
              </w:rPr>
              <w:t>Vice President, Administration (2015)</w:t>
            </w:r>
          </w:p>
        </w:tc>
        <w:tc>
          <w:tcPr>
            <w:tcW w:w="1640" w:type="dxa"/>
            <w:vAlign w:val="bottom"/>
          </w:tcPr>
          <w:p>
            <w:pPr>
              <w:jc w:val="center"/>
              <w:ind w:left="779"/>
              <w:spacing w:after="0"/>
              <w:rPr>
                <w:sz w:val="20"/>
                <w:szCs w:val="20"/>
                <w:color w:val="auto"/>
              </w:rPr>
            </w:pPr>
            <w:r>
              <w:rPr>
                <w:rFonts w:ascii="Arial" w:cs="Arial" w:eastAsia="Arial" w:hAnsi="Arial"/>
                <w:sz w:val="16"/>
                <w:szCs w:val="16"/>
                <w:color w:val="auto"/>
              </w:rPr>
              <w:t>46</w:t>
            </w:r>
          </w:p>
        </w:tc>
      </w:tr>
      <w:tr>
        <w:trPr>
          <w:trHeight w:val="253"/>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Donald L. Heidemann</w:t>
            </w:r>
          </w:p>
        </w:tc>
        <w:tc>
          <w:tcPr>
            <w:tcW w:w="6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Treasurer and Director of Finance (2007)</w:t>
            </w:r>
          </w:p>
        </w:tc>
        <w:tc>
          <w:tcPr>
            <w:tcW w:w="1640" w:type="dxa"/>
            <w:vAlign w:val="bottom"/>
            <w:shd w:val="clear" w:color="auto" w:fill="CCEEFF"/>
          </w:tcPr>
          <w:p>
            <w:pPr>
              <w:jc w:val="center"/>
              <w:ind w:left="779"/>
              <w:spacing w:after="0"/>
              <w:rPr>
                <w:sz w:val="20"/>
                <w:szCs w:val="20"/>
                <w:color w:val="auto"/>
              </w:rPr>
            </w:pPr>
            <w:r>
              <w:rPr>
                <w:rFonts w:ascii="Arial" w:cs="Arial" w:eastAsia="Arial" w:hAnsi="Arial"/>
                <w:sz w:val="16"/>
                <w:szCs w:val="16"/>
                <w:color w:val="auto"/>
              </w:rPr>
              <w:t>44</w:t>
            </w:r>
          </w:p>
        </w:tc>
      </w:tr>
    </w:tbl>
    <w:p>
      <w:pPr>
        <w:spacing w:after="0" w:line="218" w:lineRule="exact"/>
        <w:rPr>
          <w:sz w:val="20"/>
          <w:szCs w:val="20"/>
          <w:color w:val="auto"/>
        </w:rPr>
      </w:pPr>
    </w:p>
    <w:p>
      <w:pPr>
        <w:jc w:val="both"/>
        <w:ind w:right="240"/>
        <w:spacing w:after="0" w:line="260" w:lineRule="auto"/>
        <w:rPr>
          <w:sz w:val="20"/>
          <w:szCs w:val="20"/>
          <w:color w:val="auto"/>
        </w:rPr>
      </w:pPr>
      <w:r>
        <w:rPr>
          <w:rFonts w:ascii="Arial" w:cs="Arial" w:eastAsia="Arial" w:hAnsi="Arial"/>
          <w:sz w:val="16"/>
          <w:szCs w:val="16"/>
          <w:color w:val="auto"/>
        </w:rPr>
        <w:t>Officers are elected annually by the Board of Directors. There are no family relationships between or among any of the Corporate Officers or Directors of the Company.</w:t>
      </w:r>
    </w:p>
    <w:p>
      <w:pPr>
        <w:spacing w:after="0" w:line="142" w:lineRule="exact"/>
        <w:rPr>
          <w:sz w:val="20"/>
          <w:szCs w:val="20"/>
          <w:color w:val="auto"/>
        </w:rPr>
      </w:pPr>
    </w:p>
    <w:p>
      <w:pPr>
        <w:jc w:val="both"/>
        <w:ind w:right="200"/>
        <w:spacing w:after="0" w:line="251" w:lineRule="auto"/>
        <w:rPr>
          <w:sz w:val="20"/>
          <w:szCs w:val="20"/>
          <w:color w:val="auto"/>
        </w:rPr>
      </w:pPr>
      <w:r>
        <w:rPr>
          <w:rFonts w:ascii="Arial" w:cs="Arial" w:eastAsia="Arial" w:hAnsi="Arial"/>
          <w:sz w:val="16"/>
          <w:szCs w:val="16"/>
          <w:color w:val="auto"/>
        </w:rPr>
        <w:t>Mr. Happe joined Winnebago Industries in January 2016 as President and Chief Executive Officer (CEO). Prior to joining Winnebago, he had been employed by Toro Company from 1997 to 2016. He served as Executive Officer and Group Vice President of Toro's Residential and Contractor businesses from March 2012 to December 2015. From August 2010 to March 2012 he served as Vice President, Residential and Landscape Contractor Businesses. Prior to that he held a series of senior leadership positions throughout his career across a variety of Toro's domestic and international divisions.</w:t>
      </w:r>
    </w:p>
    <w:p>
      <w:pPr>
        <w:spacing w:after="0" w:line="149"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Mr. Bhattacharya joined Winnebago Industries in May 2016 as Vice President of Strategic Planning and Development. Prior to joining Winnebago, Mr. Bhattacharya served at Honeywell as Vice President, Strategy, Alliances &amp; Internet of Things (IoT) for the Sensing and Productivity Solutions division from 2010 to 2016. Prior to that, he was employed with Moog, Motorola, and Bain &amp; Company in a variety of roles.</w:t>
      </w:r>
    </w:p>
    <w:p>
      <w:pPr>
        <w:spacing w:after="0" w:line="147"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Mr. Degnan joined Winnebago Industries in May 2012 as Vice President of Sales and Product Management. He moved into the role of Vice President and General Manager, Towables Business in July 2016. Prior to joining Winnebago, Mr. Degnan served as Vice President of Sales for Riverside, California's MVP RV from 2010 to 2012. He also previously served in management and sales positions with Coachmen RV from 2008 to 2010, with National RV from 2007 to 2008, and Fleetwood Enterprises from 1987 to 2007.</w:t>
      </w:r>
    </w:p>
    <w:p>
      <w:pPr>
        <w:spacing w:after="0" w:line="14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Mr. Dummett has over 30 years of experience with Winnebago Industries. He was elected to the position of Vice President, Product Development in January 2015. Prior to that time, he served as Design Engineering Manager from 2010 to 2015 and as Project Engineering Coordinator and Product Designer. Effective September 16, 2016 Mr. Dummett was named Managing Director of Engineering, reporting to Mr. Hazelton.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Mr. Folkers joined Winnebago Industries in August 2010 as assistant general counsel. He was elected to the position of Vice President, General Counsel and Secretary in June 2012. Prior to joining Winnebago, Mr. Folkers was employed as in-house counsel for John Morrell &amp; Co., in Sioux Falls, SD from 1998 to 2010. Mr. Folkers is a member of the Iowa Bar Association.</w:t>
      </w:r>
    </w:p>
    <w:p>
      <w:pPr>
        <w:spacing w:after="0" w:line="147"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Mr. Hazelton joined Winnebago Industries in August 2016 as Vice President and General Manager, Motorhome Business. He previously was CEO of Schwing America, Inc. from 2009 to 2016. Schwing declared Chapter 11 bankruptcy in 2009 emerging in 2010 with a reorganization plan. Prior to his employment with Schwing, he worked for Terex Corporation and Detroit Diesel Corporation in various executive roles.</w:t>
      </w:r>
    </w:p>
    <w:p>
      <w:pPr>
        <w:spacing w:after="0" w:line="147"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Mr. Krieger has over 30 years of experience with Winnebago Industries. He has been Vice President, Manufacturing since May 2010. Prior to that time, he served as Director of Manufacturing from November 2009 to May 2010 and General Manager - Fabrication from February 2002 to November 2009. Effective September 16, 2016 Mr. Krieger was named Managing Director of Iowa Operations, reporting to Mr. West.</w:t>
      </w:r>
    </w:p>
    <w:p>
      <w:pPr>
        <w:spacing w:after="0" w:line="147" w:lineRule="exact"/>
        <w:rPr>
          <w:sz w:val="20"/>
          <w:szCs w:val="20"/>
          <w:color w:val="auto"/>
        </w:rPr>
      </w:pPr>
    </w:p>
    <w:p>
      <w:pPr>
        <w:ind w:right="440"/>
        <w:spacing w:after="0" w:line="253" w:lineRule="auto"/>
        <w:rPr>
          <w:sz w:val="20"/>
          <w:szCs w:val="20"/>
          <w:color w:val="auto"/>
        </w:rPr>
      </w:pPr>
      <w:r>
        <w:rPr>
          <w:rFonts w:ascii="Arial" w:cs="Arial" w:eastAsia="Arial" w:hAnsi="Arial"/>
          <w:sz w:val="16"/>
          <w:szCs w:val="16"/>
          <w:color w:val="auto"/>
        </w:rPr>
        <w:t>Ms. Nielsen has 11 years of experience with Winnebago Industries. She has been Vice President and Chief Financial Officer since November 2005. Ms. Nielsen joined Winnebago in August 2005 as Director of Special Projects and Training. Prior to that time, she was employed as a senior audit manager at Deloitte &amp; Touche LLP, where she worked from 1995 to 2005. Ms. Nielsen is a Certified Public Accountant.</w:t>
      </w:r>
    </w:p>
    <w:p>
      <w:pPr>
        <w:spacing w:after="0" w:line="93" w:lineRule="exact"/>
        <w:rPr>
          <w:sz w:val="20"/>
          <w:szCs w:val="20"/>
          <w:color w:val="auto"/>
        </w:rPr>
      </w:pPr>
    </w:p>
    <w:p>
      <w:pPr>
        <w:ind w:right="360"/>
        <w:spacing w:after="0" w:line="251" w:lineRule="auto"/>
        <w:rPr>
          <w:sz w:val="20"/>
          <w:szCs w:val="20"/>
          <w:color w:val="auto"/>
        </w:rPr>
      </w:pPr>
      <w:r>
        <w:rPr>
          <w:rFonts w:ascii="Arial" w:cs="Arial" w:eastAsia="Arial" w:hAnsi="Arial"/>
          <w:sz w:val="16"/>
          <w:szCs w:val="16"/>
          <w:color w:val="auto"/>
        </w:rPr>
        <w:t>Mr. West joined Winnebago Industries in September 2016 as Vice President, Operations. He previously was Vice President of Global Supply Chain for Joy Global (a worldwide equipment manufacturer) from 2014 to 2016, and Operations Director from 2012 to 2014. Other positions Mr. West has held include Director of Manufacturing for AGCO Corporation (an agricultural equipment manufacturer) from 2008 to 2012 and Director of Operations and other management positions for the Nordam Group (a manufacturer of aircraft interiors) from 1999 to 2009.</w:t>
      </w:r>
    </w:p>
    <w:p>
      <w:pPr>
        <w:spacing w:after="0" w:line="95"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Mr. Woodson joined Winnebago Industries in January 2015 as Vice President, Administration. Prior to joining Winnebago, Mr. Woodson was Vice President of Human Resources at Corbion from 2007 to 2014 and Director, Human Resources at Sara Lee from 1999 to 2007 and has over 23 years of business and human resources experience.</w:t>
      </w:r>
    </w:p>
    <w:p>
      <w:pPr>
        <w:spacing w:after="0" w:line="9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Mr. Heidemann has nine years of experience with Winnebago Industries. He was elected to the position of Treasurer in August 2007 and added Director of Finance responsibilities in August 2011. Prior to joining the Company, Mr. Heidemann served in various treasury positions for Select Comfort Corporation from 2003 to July 2007 and served in various treasury positions for Rent-A-Center Incorporated from 1998 to 2003.</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1A. </w:t>
      </w:r>
      <w:r>
        <w:rPr>
          <w:rFonts w:ascii="Arial" w:cs="Arial" w:eastAsia="Arial" w:hAnsi="Arial"/>
          <w:sz w:val="16"/>
          <w:szCs w:val="16"/>
          <w:color w:val="auto"/>
        </w:rPr>
        <w:t>Risk Factors</w:t>
      </w:r>
    </w:p>
    <w:p>
      <w:pPr>
        <w:spacing w:after="0" w:line="18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following risk factors should be considered carefully in addition to the other information contained in this Annual Report on Form 10-K. The risks and uncertainties described below are not the only ones we face, but represent the most significant risk factors that we believe may adversely affect the RV industry and our business, operations or financial position. The risks and uncertainties discussed in this report are not exclusive and other risk factors that we may consider immaterial or do not anticipate may emerge as significant risks and uncertainties.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market for RVs is very competitive. Competitive factors in this industry include price, design, value, quality, service, brand awareness and reputation. There can be no assurance that existing or new competitors will not develop products that are superior to our RVs or that achieve better consumer acceptance, thereby adversely affecting our market share, sales volume and profit margins. Some of our competitors are much larger than us, most notably in the towable RV market, which provide these competitors with more financial resources and access to capital as well as additional purchasing power. In addition, competition could increase if new companies enter the market, existing competitors consolidate their operations or if existing competitors expand their product lines or intensify efforts within existing product lines. Our current products, products under development, and our ability to develop new and improved products may be insufficient to enable us to compete effectively with our competitors. These competitive pressures may have a material adverse effect on our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Hiring Constraints and Retaining Key Employees</w:t>
      </w:r>
    </w:p>
    <w:p>
      <w:pPr>
        <w:spacing w:after="0" w:line="25"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Our ability to meet our strategic objectives and otherwise grow our business will depend to a significant extent on the continued contributions of our leadership team. Our future success will also depend in large part on our ability to identify, attract, and retain other highly qualified managerial, technical, sales and marketing, operations, and customer service personnel. Our main motorhome operation is located in northern Iowa, a largely rural area. Competition for these individuals is intense and supply is limited. We may not succeed in identifying, attracting, or retaining qualified personnel on a cost-effective basis. The loss or interruption of services of any of our key personnel, inability to identify, attract, or retain qualified personnel in the future, delays in hiring qualified personnel, or any employee work slowdowns, strikes, or similar actions could make it difficult for us to conduct and manage our business and meet key objectives, which could harm our business, financial condition, and operating results.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 Disruptions</w:t>
      </w:r>
    </w:p>
    <w:p>
      <w:pPr>
        <w:spacing w:after="0" w:line="25"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auto"/>
        </w:rPr>
        <w:t>We currently manufacture most of our products at two locations in the U.S. One of these locations produces approximately 80% of our products. These facilities may be affected by natural or man-made disasters and other external events. In the event that one of our manufacturing facilities was affected by a disaster or other event, we could be forced to shift production to one of our other manufacturing facilities or to cease operations. Although we maintain insurance for damage to our property and disruption of our</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41"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business from casualties, such insurance may not be sufficient to cover all of our potential losses. Any disruption in our manufacturing capacity could have an adverse impact on our ability to produce sufficient inventory of our products or may require us to incur additional expenses in order to produce sufficient inventory, and therefore, may adversely affect our net sales and operating results. Any disruption or delay at our manufacturing facilities could impair our ability to meet the demands of our customers, and our customers may cancel orders or purchase products from our competitors, which could adversely affect our business and operating results.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Recently Announced Potential Acquisition</w:t>
      </w:r>
    </w:p>
    <w:p>
      <w:pPr>
        <w:spacing w:after="0" w:line="2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 connection with our recently announced agreement to acquire Grand Design, there are significant risks relating to the consummation of our acquisition including, the possibility that the closing conditions to the contemplated transaction may not be satisfied or waived, including that a governmental entity may prohibit, delay or refuse to grant a necessary regulatory approval; delay in closing the transaction or the possibility of non-consummation of the transaction; the potential for regulatory authorities to require divestitures in connection with the proposed transaction, the failure to consummate the debt transactions contemplated by the transaction with Grand Design, the possibility that we might have to pay a $35.0 million termination fee to Grand Design or additional damages for failing to close the transaction; the occurrence of any event that could give rise to termination of the agreement; the risk that shareholder litigation in connection with the contemplated transaction may affect the timing or occurrence of the contemplated transaction or result in significant costs of defense, indemnification and liability; risks inherent in the achievement of cost synergies and the timing thereof; risks that the pendency, financing, and efforts to consummate the transaction may be disruptive to Winnebago Industries or Grand Design RV or their respective management; the effect of announcement of the transaction on Grand Design’s ability to retain and hire key personnel and maintain relationships with customers, suppliers and other third parties, and risks related to integration of the two companies.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Company’s Stock Price is Subject to Volatility</w:t>
      </w:r>
    </w:p>
    <w:p>
      <w:pPr>
        <w:spacing w:after="0" w:line="25"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Our stock price may fluctuate based on many factors. Our recently announced and pending acquisition of Grand Design, for example, provides important strategic positioning and earnings growth potential and will also result in the issuance of new shares of common stock to partially finance the transaction. We have agreed to issue $105.0 million worth of common stock to the owners of Grand Design and register these shares for resale after the transaction closes. Stock issuance may cause dilution of earnings per share or put selling pressure on our share price. Changing credit agreements and leverage ratios may also impact stock price. In general, analysts expectations and our ability to meet those expectations quarterly may cause stock price fluctuations. If we fail to meet expectations related to future growth, profitability, debt repayment, dividends, share issuance or repurchase or other market expectations our stock price may decline significantly.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Facility Expansion and Diversification</w:t>
      </w:r>
    </w:p>
    <w:p>
      <w:pPr>
        <w:spacing w:after="0" w:line="25"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We are expanding our production capabilities at our site in Junction City, Oregon. The expansion and renovation entails risks that could cause disruption in the operations of our business and unanticipated cost increases. Should we experience production variances, quality or safety issues as we ramp up these operations our business and operating results could be adversely affected.</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Adverse Effects of Union Activities</w:t>
      </w:r>
    </w:p>
    <w:p>
      <w:pPr>
        <w:spacing w:after="0" w:line="25"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Although none of our employees are currently represented by a labor union, unionization could result in higher employee costs and increased risk of work stoppages. We are, directly or indirectly, dependent upon companies with unionized work forces, such as parts suppliers and trucking and freight companies, and work stoppages or strikes organized by such unions could have a material adverse impact on our business, financial condition or operating results. If a work stoppage occurs, it could delay the manufacture and sale of our recreational vehicles and have a material adverse effect on our business, prospects, operating results or financial condition.</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Economic Conditions and Certain Other External Factors</w:t>
      </w:r>
    </w:p>
    <w:p>
      <w:pPr>
        <w:spacing w:after="0" w:line="2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Companies within the RV industry are subject to volatility in operating results due primarily to general economic conditions because the purchase of an RV is often viewed as a consumer discretionary purchase. Demand for discretionary goods in general can fluctuate with recessionary conditions; slow or negative economic growth rates; negative consumer confidence; reduced consumer spending levels resulting from tax increases or other factors; prolonged high unemployment rates; higher commodity and component costs; fuel prices; inflationary or deflationary pressures; reduced credit availability or unfavorable credit terms for dealers and end-user customers; higher short-term interest rates; and general economic and political conditions and expectations. Specific factors affecting the RV industry include:</w:t>
      </w:r>
    </w:p>
    <w:p>
      <w:pPr>
        <w:spacing w:after="0" w:line="12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overall consumer confidence and the level of discretionary consumer spending;</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employment trends;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adverse impact of global tensions on consumer spending and travel-related activities; and</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adverse impact on margins due to increases in raw material costs which we are unable to pass on to customers without negatively affecting sales.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Dependence on Credit Availability and Interest Rates to Dealers and Retail Purchasers</w:t>
      </w:r>
    </w:p>
    <w:p>
      <w:pPr>
        <w:spacing w:after="0" w:line="25"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Our business is affected by the availability and terms of the financing to dealers. Generally, RV dealers finance their purchases of inventory with financing provided by lending institutions. Three financial flooring institutions held 61% of our total financed dealer inventory dollars that were outstanding at August 27, 2016. In the event that any of these lending institutions limit or discontinue dealer financing, we could experience a material adverse effect on our results of operations.</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00"/>
          </w:cols>
          <w:pgMar w:left="240" w:top="141" w:right="25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Our business is also affected by the availability and terms of financing to retail purchasers. Retail buyers purchasing a motorhome or towable may elect to finance their purchase through the dealership or a financial institution of their choice. Substantial increases in interest rates or decreases in the general availability of credit for our dealers or for the retail purchaser may have an adverse impact upon our business and results of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Cyclicality and Seasonality</w:t>
      </w:r>
    </w:p>
    <w:p>
      <w:pPr>
        <w:spacing w:after="0" w:line="2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RV industry has been characterized by cycles of growth and contraction in consumer demand, reflecting prevailing economic and demographic conditions, which affect disposable income for leisure-time activities. Consequently, the results for any prior period may not be indicative of results for any future period.</w:t>
      </w:r>
    </w:p>
    <w:p>
      <w:pPr>
        <w:spacing w:after="0" w:line="115"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Seasonal factors, over which we have no control, also have an effect on the demand for our products. Demand in the RV industry generally declines over the winter season, while sales are generally highest during the spring and summer months. Also, unusually severe weather conditions in some markets may impact demand. Our business also does well when the US housing market is strong and our business weakens when the US housing market weakens.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Managing Growth Opportunities</w:t>
      </w:r>
    </w:p>
    <w:p>
      <w:pPr>
        <w:spacing w:after="0" w:line="25"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One of our growth strategies is to drive growth through targeted acquisitions and alliances, stronger customer relations, and new joint ventures and partnerships that add value while supplementing our existing brands and product portfolio. Our ability to grow through acquisitions will depend, in part, on the availability of suitable candidates at acceptable prices, terms, and conditions, our ability to compete effectively for acquisition candidates, and the availability of capital and personnel to complete such acquisitions and run the acquired business effectively. Any acquisition, alliance, joint venture, or partnership could impair our business, financial condition, reputation, and operating results. The benefits of an acquisition or new alliance, joint venture, or partnership may take more time than expected to develop or integrate into our operations, and we cannot guarantee that previous or future acquisitions, alliances, joint ventures, or partnerships will, in fact, produce any benefits. Such acquisitions, alliances, joint ventures, and partnerships may involve a number of risks, including:</w:t>
      </w:r>
    </w:p>
    <w:p>
      <w:pPr>
        <w:spacing w:after="0" w:line="12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diversion of management’s attention;</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disruption to our existing operations and plans;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inability to effectively manage our expanded operations;</w:t>
      </w:r>
    </w:p>
    <w:p>
      <w:pPr>
        <w:spacing w:after="0" w:line="5" w:lineRule="exact"/>
        <w:rPr>
          <w:rFonts w:ascii="Arial" w:cs="Arial" w:eastAsia="Arial" w:hAnsi="Arial"/>
          <w:sz w:val="16"/>
          <w:szCs w:val="16"/>
          <w:color w:val="auto"/>
        </w:rPr>
      </w:pPr>
    </w:p>
    <w:p>
      <w:pPr>
        <w:ind w:left="660" w:right="500" w:hanging="328"/>
        <w:spacing w:after="0" w:line="246"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difficulties or delays in integrating and assimilating information and financial systems, operations, and products of an acquired business or other business venture or in realizing projected efficiencies, growth prospects, cost savings, and synergies;</w:t>
      </w: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inability to successfully integrate or develop a distribution channel for acquired product lines;</w:t>
      </w:r>
    </w:p>
    <w:p>
      <w:pPr>
        <w:spacing w:after="0" w:line="5" w:lineRule="exact"/>
        <w:rPr>
          <w:rFonts w:ascii="Arial" w:cs="Arial" w:eastAsia="Arial" w:hAnsi="Arial"/>
          <w:sz w:val="16"/>
          <w:szCs w:val="16"/>
          <w:color w:val="auto"/>
        </w:rPr>
      </w:pPr>
    </w:p>
    <w:p>
      <w:pPr>
        <w:ind w:left="660" w:right="220" w:hanging="328"/>
        <w:spacing w:after="0" w:line="246"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potential loss of key employees, customers, distributors, or dealers of the acquired businesses or adverse effects on existing business relationships with suppliers, customers, distributors, and dealers;</w:t>
      </w: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adverse impact on overall profitability if our expanded operations do not achieve the financial results projected in our valuation model;</w:t>
      </w:r>
    </w:p>
    <w:p>
      <w:pPr>
        <w:spacing w:after="0" w:line="5" w:lineRule="exact"/>
        <w:rPr>
          <w:rFonts w:ascii="Arial" w:cs="Arial" w:eastAsia="Arial" w:hAnsi="Arial"/>
          <w:sz w:val="16"/>
          <w:szCs w:val="16"/>
          <w:color w:val="auto"/>
        </w:rPr>
      </w:pPr>
    </w:p>
    <w:p>
      <w:pPr>
        <w:ind w:left="660" w:right="420" w:hanging="328"/>
        <w:spacing w:after="0" w:line="246"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inaccurate assessment of additional post-acquisition or business venture investments, undisclosed, contingent or other liabilities or problems, unanticipated costs associated with an acquisition or other business venture, and an inability to recover or manage such liabilities and costs; and</w:t>
      </w:r>
    </w:p>
    <w:p>
      <w:pPr>
        <w:ind w:left="660" w:right="300" w:hanging="328"/>
        <w:spacing w:after="0" w:line="260"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incorrect estimates made in the accounting for acquisitions, incurrence of non-recurring charges, and write-off of significant amounts of goodwill or other assets that could adversely affect our operating results.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Arrangements and Leverage</w:t>
      </w:r>
    </w:p>
    <w:p>
      <w:pPr>
        <w:spacing w:after="0" w:line="2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order to achieve our growth strategies, we plan to establish new credit arrangements and increase our leverage. This capital will allow us to finance targeted acquisitions including the recently announced agreement to acquire Grand Design, as well as fund the working capital requirements of organic growth. In connection with our agreement to acquire Grand Design we executed a customary debt commitment letter with JPMorgan pursuant to which, subject to customary exceptions and conditions, JPMorgan has committed to provide a seven-year $300 million secured term loan B facility, and a five-year $125 million asset-based revolving credit facility (collectively the “Credit Facilities”). We intend to use the proceeds from the term loan and a portion of the revolving credit facility together with $60 million in cash and issue $105 million of common stock to complete the acquisition. The remainder of the revolving credit facility will be used to fund our working capital needs. The Credit Facilities are expected to be secured by all or substantially all of our assets, and will replace our current credit facility with Wells Fargo Bank, N.A.</w:t>
      </w:r>
    </w:p>
    <w:p>
      <w:pPr>
        <w:spacing w:after="0" w:line="127" w:lineRule="exact"/>
        <w:rPr>
          <w:sz w:val="20"/>
          <w:szCs w:val="20"/>
          <w:color w:val="auto"/>
        </w:rPr>
      </w:pPr>
    </w:p>
    <w:p>
      <w:pPr>
        <w:ind w:right="260"/>
        <w:spacing w:after="0" w:line="249" w:lineRule="auto"/>
        <w:rPr>
          <w:sz w:val="20"/>
          <w:szCs w:val="20"/>
          <w:color w:val="auto"/>
        </w:rPr>
      </w:pPr>
      <w:r>
        <w:rPr>
          <w:rFonts w:ascii="Arial" w:cs="Arial" w:eastAsia="Arial" w:hAnsi="Arial"/>
          <w:sz w:val="16"/>
          <w:szCs w:val="16"/>
          <w:color w:val="auto"/>
        </w:rPr>
        <w:t>If we cannot negotiate favorable agreements and related covenants, restrictive provisions may limit our ability to conduct our business, take advantage of business opportunities, and respond to changing business, market, and economic conditions. We must generate sufficient cash to pay our debt service and support our business in an industry that is cyclical. In addition, they may place us at a competitive disadvantage relative to other companies that may be subject to fewer, if any, restrictions or may otherwise adversely affect our business. Transactions that we may view as important opportunities, such as significant acquisitions, may be subject to the consent of the lenders under future credit arrangements, which consent may be withheld or granted subject to conditions specified at the time that may affect the attractiveness or viability of the transaction.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Demand Forecasting and Inventory Management</w:t>
      </w:r>
    </w:p>
    <w:p>
      <w:pPr>
        <w:spacing w:after="0" w:line="25"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Our ability to manage our inventory levels to meet our customer's demand for our products is important for our business. For example, certain dealers are focused on the rental market which spikes over the summer vacation period while other dealers are focused on direct sales to the consumer at various price points. Our production levels and inventory management are based on</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141"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demand estimates six to twelve months forward taking into account supply lead times, production capacity, timing of shipments, and dealer inventory levels. If we overestimate or underestimate demand for any of our products during a given season, we may not maintain appropriate inventory levels, which could negatively impact our net sales or working capital, hinder our ability to meet customer demand, or cause us to incur excess and obsolete inventory charges.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Distribution Channel Management</w:t>
      </w:r>
    </w:p>
    <w:p>
      <w:pPr>
        <w:spacing w:after="0" w:line="25"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We sell many of our products through distribution channels and are subject to risks relating to their inventory management decisions and operational and sourcing practices. Our distribution channel customers carry inventories of our products as part of their ongoing operations and adjust those inventories based on their assessments of future needs. Such adjustments may impact our inventory management and working capital goals as well as operating results. If the inventory levels of our distribution channel customers are higher than they desire, they may postpone product purchases from us, which could cause our sales to be lower than the end-user demand for our products and negatively impact our inventory management and working capital goals as well as our operating results.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Responsiveness to Market Changes</w:t>
      </w:r>
    </w:p>
    <w:p>
      <w:pPr>
        <w:spacing w:after="0" w:line="25"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One of our growth strategies is to develop innovative, customer-valued products to generate revenue growth. We may not be able to compete as effectively with our competitors, and ultimately satisfy the needs and preferences of our customers, unless we can continue to enhance existing products and develop new innovative products for the markets in which we compete. Product development requires significant financial, technological, and other resources. Product improvements and new product introductions also require significant research, planning, design, development, engineering, and testing at the technological, product, and manufacturing process levels and we may not be able to timely develop and introduce product improvements or new products. Our competitors' new products may beat our products to market, be higher quality or more reliable, be more effective with more features and/or less expensive than our products, obtain better market acceptance, or render our products obsolete. Any new products that we develop may not receive market acceptance or otherwise generate any meaningful net sales or profits for us relative to our expectations based on, among other things, existing and anticipated investments in manufacturing capacity and commitments to fund advertising, marketing, promotional programs, and research and development.</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Loss of a Large Dealer Organization</w:t>
      </w:r>
    </w:p>
    <w:p>
      <w:pPr>
        <w:spacing w:after="0" w:line="2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One of our dealer organizations accounted for 16.6% of our net revenue for Fiscal 2016. A second dealer organization, accounted for 13.0% of our net revenue for Fiscal 2016. The loss of either or both of these dealer organizations could have a significant adverse effect on our business. In addition, deterioration in the liquidity or creditworthiness of either or both of these dealers could negatively impact our sales and could trigger repurchase obligations under our repurchase agreements.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Repurchase Liabilities</w:t>
      </w:r>
    </w:p>
    <w:p>
      <w:pPr>
        <w:spacing w:after="0" w:line="25"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In accordance with customary practice in the RV industry, upon request we enter into formal repurchase agreements with lending institutions financing a dealer's purchase of our products. In these repurchase agreements we agree, in the event of a default by an independent dealer in its obligation to a lender and repossession of the unit(s) by the lending institution, to repurchase units at declining prices over the term of the agreements, which can last up to 18 months. The difference between the gross repurchase price and the price at which the repurchased product can then be resold, which is typically at a discount to the gross repurchase price, represents a potential expense to us. In certain instances, we also repurchase inventory from our dealers due to state law or regulatory requirements that govern voluntary or involuntary terminations. If we are obligated to repurchase a substantially larger number of RVs in the future, this would increase our costs and could have a material adverse effect on our results of operations, financial condition, and cash flows.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Fuel Availability and Price Volatility</w:t>
      </w:r>
    </w:p>
    <w:p>
      <w:pPr>
        <w:spacing w:after="0" w:line="2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Gasoline or diesel fuel is required for the operation of motorized RVs. There can be no assurance that the supply of these petroleum products will continue uninterrupted or that the price or tax on these petroleum products will not significantly increase in the future. RVs, however, are not generally purchased for fuel efficiency. Fuel shortages and substantial increases in fuel prices have had a material adverse effect on the RV industry as a whole in the past and could have a material adverse effect on us in the future.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Dependence on Suppliers</w:t>
      </w:r>
    </w:p>
    <w:p>
      <w:pPr>
        <w:spacing w:after="0" w:line="2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Most of our RV components are readily available from numerous sources. However, a few of our components are produced by a small group of suppliers. In the case of motorhome chassis, Ford Motor Company, Freightliner Custom Chassis Corporation, Mercedes-Benz (USA and Canada) and FCA (US and Canada) are our major suppliers. Our relationship with our chassis suppliers is similar to our other supplier relationships in that no special contractual commitments are engaged in by either party. This means that we do not have minimum purchase requirements and our chassis suppliers do not have minimum supply requirements. Our chassis suppliers also supply to our competitors. Historically, chassis suppliers resort to an industry-wide allocation system during periods when supply is restricted. These allocations have been based on the volume of chassis previously purchased. Sales of motorhomes rely on chassis supply and are affected by shortages from time to time. Decisions by our suppliers to decrease production, production delays, or work stoppages by the employees of such suppliers, or price increases could have a material adverse effect on our ability to produce motorhomes and ultimately, on our results of operations, financial condition and cash flows.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Raw Material Costs</w:t>
      </w:r>
    </w:p>
    <w:p>
      <w:pPr>
        <w:spacing w:after="0" w:line="25"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We purchase raw materials such as steel, aluminum, and other commodities, and components, such as chassis, refrigerators, and televisions, for use in our products. In addition, we are a purchaser of components and parts containing various commodities,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14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including steel, aluminum, copper, lead, rubber, and others that are integrated into our end products. To the extent that commodity prices increase and we do not have firm pricing from our suppliers, or our suppliers are not able to honor such prices, increases in the cost of such raw materials and components and parts may adversely affect our profit margins if we are unable to pass along to our customers these cost increases in the form of price increases or otherwise reduce our cost of goods sold. In addition, increases in other costs of doing business may also adversely affect our profit margins and businesses. For example, an increase in fuel costs may result in an increase in our transportation costs, which also could adversely affect our operating results and businesses. Historically, we have mitigated cost increases, in part, by collaborating with suppliers, reviewing alternative sourcing options, substituting materials, engaging in internal cost reduction efforts, and increasing prices on some of our products, all as appropriate. However, we may not be able to fully offset such increased costs in the future. Further, if our price increases are not accepted by our customers and the market, our net sales, profit margins, earnings, and market share could be adversely affected.</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Warranty Claims</w:t>
      </w:r>
    </w:p>
    <w:p>
      <w:pPr>
        <w:spacing w:after="0" w:line="2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We receive warranty claims from our dealers in the ordinary course of our business. Although we maintain reserves for such claims, which to date have been adequate, there can be no assurance that warranty expense levels will remain at current levels or that such reserves will continue to be adequate. A significant increase in warranty claims exceeding our current warranty expense levels could have a material adverse effect on our results of operations, financial condition and cash flows.</w:t>
      </w:r>
    </w:p>
    <w:p>
      <w:pPr>
        <w:spacing w:after="0" w:line="122"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In addition to the costs associated with the contractual warranty coverage provided on our products,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Protection of our Brand</w:t>
      </w:r>
    </w:p>
    <w:p>
      <w:pPr>
        <w:spacing w:after="0" w:line="25"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We believe that one of the strengths of our business is our brand which is widely known around the world. We vigorously defend our brand and our other intellectual property rights against third parties on a global basis. We have, from time to time, had to bring claims against third parties to protect or prevent unauthorized use of our brand. If we are unable to protect and defend our brand or other intellectual property, it could have a material adverse effect on our results or financial condition.</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Liability</w:t>
      </w:r>
    </w:p>
    <w:p>
      <w:pPr>
        <w:spacing w:after="0" w:line="25"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We are subject, in the ordinary course of business, to litigation including a variety of warranty, "Lemon Law" and product liability claims typical in the RV industry. Although we have an insurance policy with a $35.0 million limit covering product liability, we are self-insured for the first $2.5 million of product liability claims on a per occurrence basis, with a $6.0 million aggregate per policy year. We cannot be certain that our insurance coverage will be sufficient to cover all future claims against us, which may have a material adverse effect on our results of operations and financial condition. Any increase in the frequency and size of these claims, as compared to our experience in prior years, may cause the premium that we are required to pay for insurance to rise significantly. Product liability claims may also cause us to pay punitive damages, not all of which are covered by our insurance. In addition, if product liability claims rise to a level of frequency or size that are significantly higher than similar claims made against our competitors, our reputation and business may be harmed.</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Systems and Web Applications</w:t>
      </w:r>
    </w:p>
    <w:p>
      <w:pPr>
        <w:spacing w:after="0" w:line="25" w:lineRule="exact"/>
        <w:rPr>
          <w:sz w:val="20"/>
          <w:szCs w:val="20"/>
          <w:color w:val="auto"/>
        </w:rPr>
      </w:pPr>
    </w:p>
    <w:p>
      <w:pPr>
        <w:ind w:right="400"/>
        <w:spacing w:after="0" w:line="250" w:lineRule="auto"/>
        <w:rPr>
          <w:sz w:val="20"/>
          <w:szCs w:val="20"/>
          <w:color w:val="auto"/>
        </w:rPr>
      </w:pPr>
      <w:r>
        <w:rPr>
          <w:rFonts w:ascii="Arial" w:cs="Arial" w:eastAsia="Arial" w:hAnsi="Arial"/>
          <w:sz w:val="16"/>
          <w:szCs w:val="16"/>
          <w:color w:val="auto"/>
        </w:rPr>
        <w:t>We rely on our information systems and web applications to support our business operations, including but not limited to procurement, supply chain, manufacturing, distribution, warranty administration, invoicing and collection of payments. We use information systems to report and audit our operational results. Additionally, we rely upon information systems in our sales, marketing, human resources and communication efforts. Due to our reliance on our information systems, our business processes may be negatively impacted in the event of substantial disruption of service. Further, misuse, leakage or falsification of information could result in a violation of privacy laws and damage our reputation which could, in turn, have a negative impact on our results.</w:t>
      </w:r>
    </w:p>
    <w:p>
      <w:pPr>
        <w:spacing w:after="0" w:line="122"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In addition to our general reliance on information systems, we began implementation of a new ERP system at the end of fiscal year 2015. The implementation has been staged in several subprojects and many have been completed. The final phases of the project relate to motorhome products and are planned for late Fiscal 2017. Though we perform planning and testing to reduce risks associated with such a complex, enterprise-wide systems change, failure to meet requirements of the business could disrupt our business and harm our reputation, which may result in decreased sales, increased overhead costs, excess or obsolete inventory, and product shortages, causing our business, reputation, financial condition, and operating results to suffer.</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Data Security</w:t>
      </w:r>
    </w:p>
    <w:p>
      <w:pPr>
        <w:spacing w:after="0" w:line="2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have security systems in place with the intent of maintaining the physical security of our facilities and protecting our customers', clients' and suppliers' confidential information and information related to identifiable individuals against unauthorized access through our information systems or by other electronic transmission or through the misdirection, theft or loss of physical media. These include, for example, the appropriate encryption of information. Despite such efforts, we are subject to breach of security systems which may result in unauthorized access to our facilities or the information we are trying to protect. Because the technologies used to obtain unauthorized access are constantly changing and becoming increasingly more sophisticated and often are not recognized until launched against a target, we may be unable to anticipate these techniques or implement sufficient preventative measures. If unauthorized parties gain physical access to one of our facilities or electronic access to our information systems or such information is misdirected, lost or stolen during transmission or transport, any theft or misuse of such information could result in, among other things, unfavorable publicity, governmental inquiry and oversight, difficulty in marketing our services, allegations by our customers and clients that we have not performed our contractual obligations, litigation by affected parties and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possible financial obligations for damages related to the theft or misuse of such information, any of which could have a material adverse effect on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We are subject to numerous federal, state and local regulations and the following summarizes some, but not all, of the laws and regulations that apply to us.</w:t>
      </w:r>
    </w:p>
    <w:p>
      <w:pPr>
        <w:spacing w:after="0" w:line="140"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Federal Motor Vehicle Safety Standards govern the design, manufacture and sale of our products, which standards are promulgated by the National Highway Safety Administration (NHTSA). NHTSA requires manufacturers to recall and repair vehicles which are non-compliant with a Federal Motor Vehicle Safety Standard or contain safety defects. Any major recalls of our vehicles, voluntary or involuntary, could have a material adverse effect on our results of operations, financial condition and cash flows. While we believe we are substantially in compliance with the foregoing laws and regulations as they currently exist, amendments to any of these regulations or the implementation of new regulations could significantly increase the cost of testing, manufacturing, purchasing, operating or selling our products and could have a material adverse effect on our results of operations, financial condition, and cash flows. In addition, our failure to comply with present or future regulations could result in Federal fines being imposed on us, potential civil and criminal liability, suspension of sales or production or cessation of operations</w:t>
      </w:r>
    </w:p>
    <w:p>
      <w:pPr>
        <w:spacing w:after="0" w:line="12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We are also subject to federal and numerous state consumer protection and unfair trade practice laws and regulations relating to the sale, transportation and marketing of motor vehicles, including so-called "Lemon Laws." Federal and state laws and regulations also impose upon vehicle operators various restrictions on the weight, length and width of motor vehicles, including motorhomes that may be operated in certain jurisdictions or on certain roadways. Certain jurisdictions also prohibit the sale of vehicles exceeding length restrictions.</w:t>
      </w:r>
    </w:p>
    <w:p>
      <w:pPr>
        <w:spacing w:after="0" w:line="122"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Failure to comply with NYSE and SEC laws or regulations could have an adverse impact on our business. Additionally, amendments to these regulations and the implementation of new regulations could increase the cost of manufacturing, purchasing, operating or selling our products and therefore could have an adverse impact on our business.</w:t>
      </w:r>
    </w:p>
    <w:p>
      <w:pPr>
        <w:spacing w:after="0" w:line="120"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SEC adopted rules pursuant to Section 1502 of the Dodd-Frank Wall Street Reform and Consumer Protection Act setting forth new disclosure requirements concerning the use or potential use of certain minerals, deemed conflict minerals (tantalum, tin, gold and tungsten), that are mined from the Democratic Republic of Congo and adjoining countries. These requirements necessitate due diligence efforts on our part to assess whether such minerals are used in our products in order to make the relevant required disclosures that began in May 2014. We incurred costs and diverted internal resource to comply with these new disclosure requirements, including for diligence to determine the sources of those minerals that may be used or necessary to the production of our products. Compliance costs may increase in future periods. We may face reputational challenges that could impact future sales if we determine that certain of our products contain minerals not determined to be conflict free or if we are unable to sufficiently verify the origins for all conflict minerals used in our products.</w:t>
      </w:r>
    </w:p>
    <w:p>
      <w:pPr>
        <w:spacing w:after="0" w:line="31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Finally, federal and state authorities also have various environmental control standards relating to air, water, noise pollution and hazardous waste generation and disposal which affect us and our operations. Failure by us to comply with present or future laws and regulations could result in fines being imposed on us, potential civil and criminal liability, suspension of production or operations, alterations to the manufacturing process, or costly cleanup or capital expenditures, any or all of which could have a material adverse effect on our results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Climate Change and Related Regulation</w:t>
      </w:r>
    </w:p>
    <w:p>
      <w:pPr>
        <w:spacing w:after="0" w:line="2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There is growing concern from members of the scientific community and the general public that an increase in global average temperatures due to emissions of greenhouse gases ("GHG") and other human activities have or will cause significant changes in weather patterns and increase the frequency and severity of natural disasters. We are currently subject to rules limiting emissions and other climate related rules and regulations in certain jurisdictions where we operate. In addition, we may become subject to additional legislation and regulation regarding climate change, and compliance with any new rules could be difficult and costly. Concerned parties, such as legislators, regulators, and non-governmental organizations, are considering ways to reduce GHG emissions. Foreign, federal, state, and local regulatory and legislative bodies have proposed various legislative and regulatory measures relating to climate change, regulating GHG emissions, and energy policies. If such legislation is enacted, we could incur increased energy, environmental, and other costs and capital expenditures to comply with the limitations. Due to uncertainty in the regulatory and legislative processes, as well as the scope of such requirements and initiatives, we cannot currently determine the effect such legislation and regulation may have on our products and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Effect</w:t>
      </w:r>
    </w:p>
    <w:p>
      <w:pPr>
        <w:spacing w:after="0" w:line="25"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Provisions of our articles of incorporation, by-laws, the Iowa Business Corporation Act and provisions in our credit facilities and certain of our compensation programs that we may enter into from time to time could make it more difficult for a third party to acquire us, even if doing so would be perceived to be beneficial by our shareholders. As part of our acquisition of Grand Design, we will issue $105 million of common stock to the owners of Grand Design. As part of the transaction, the owners have agreed to standstill covenants that prohibit these parties from taking certain hostile actions against us for up to one year. The combination of these provisions effectively inhibits a non-negotiated merger or other business combination, which, in turn, could adversely affect the market price of our common stock.</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40" w:top="141" w:right="25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1B. </w:t>
      </w:r>
      <w:r>
        <w:rPr>
          <w:rFonts w:ascii="Arial" w:cs="Arial" w:eastAsia="Arial" w:hAnsi="Arial"/>
          <w:sz w:val="16"/>
          <w:szCs w:val="16"/>
          <w:color w:val="auto"/>
        </w:rPr>
        <w:t>Unresolved Staff Comments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Properties</w:t>
      </w:r>
    </w:p>
    <w:p>
      <w:pPr>
        <w:spacing w:after="0" w:line="201"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Our principal manufacturing, maintenance and service operations are conducted in multi-building complexes owned or leased by us. The following sets forth our material facilities as of August 27, 2016:</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280" w:type="dxa"/>
            <w:vAlign w:val="bottom"/>
          </w:tcPr>
          <w:p>
            <w:pPr>
              <w:jc w:val="right"/>
              <w:ind w:right="419"/>
              <w:spacing w:after="0"/>
              <w:rPr>
                <w:sz w:val="20"/>
                <w:szCs w:val="20"/>
                <w:color w:val="auto"/>
              </w:rPr>
            </w:pPr>
            <w:r>
              <w:rPr>
                <w:rFonts w:ascii="Arial" w:cs="Arial" w:eastAsia="Arial" w:hAnsi="Arial"/>
                <w:sz w:val="16"/>
                <w:szCs w:val="16"/>
                <w:b w:val="1"/>
                <w:bCs w:val="1"/>
                <w:color w:val="auto"/>
              </w:rPr>
              <w:t># of</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Owned or</w:t>
            </w: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Square</w:t>
            </w:r>
          </w:p>
        </w:tc>
      </w:tr>
      <w:tr>
        <w:trPr>
          <w:trHeight w:val="228"/>
        </w:trPr>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Location</w:t>
            </w:r>
          </w:p>
        </w:tc>
        <w:tc>
          <w:tcPr>
            <w:tcW w:w="534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Facility Type/Use</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Buildings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Leased</w:t>
            </w: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Footage</w:t>
            </w:r>
          </w:p>
        </w:tc>
      </w:tr>
      <w:tr>
        <w:trPr>
          <w:trHeight w:val="243"/>
        </w:trPr>
        <w:tc>
          <w:tcPr>
            <w:tcW w:w="2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Forest City, Iowa</w:t>
            </w:r>
          </w:p>
        </w:tc>
        <w:tc>
          <w:tcPr>
            <w:tcW w:w="53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Manufacturing, maintenance, service and office</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1,546,000</w:t>
            </w:r>
          </w:p>
        </w:tc>
      </w:tr>
      <w:tr>
        <w:trPr>
          <w:trHeight w:val="233"/>
        </w:trPr>
        <w:tc>
          <w:tcPr>
            <w:tcW w:w="2320" w:type="dxa"/>
            <w:vAlign w:val="bottom"/>
          </w:tcPr>
          <w:p>
            <w:pPr>
              <w:ind w:left="40"/>
              <w:spacing w:after="0"/>
              <w:rPr>
                <w:sz w:val="20"/>
                <w:szCs w:val="20"/>
                <w:color w:val="auto"/>
              </w:rPr>
            </w:pPr>
            <w:r>
              <w:rPr>
                <w:rFonts w:ascii="Arial" w:cs="Arial" w:eastAsia="Arial" w:hAnsi="Arial"/>
                <w:sz w:val="16"/>
                <w:szCs w:val="16"/>
                <w:color w:val="auto"/>
              </w:rPr>
              <w:t>Forest City, Iowa</w:t>
            </w:r>
          </w:p>
        </w:tc>
        <w:tc>
          <w:tcPr>
            <w:tcW w:w="5340" w:type="dxa"/>
            <w:vAlign w:val="bottom"/>
          </w:tcPr>
          <w:p>
            <w:pPr>
              <w:ind w:left="580"/>
              <w:spacing w:after="0"/>
              <w:rPr>
                <w:sz w:val="20"/>
                <w:szCs w:val="20"/>
                <w:color w:val="auto"/>
              </w:rPr>
            </w:pPr>
            <w:r>
              <w:rPr>
                <w:rFonts w:ascii="Arial" w:cs="Arial" w:eastAsia="Arial" w:hAnsi="Arial"/>
                <w:sz w:val="16"/>
                <w:szCs w:val="16"/>
                <w:color w:val="auto"/>
              </w:rPr>
              <w:t>Warehouse</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40" w:type="dxa"/>
            <w:vAlign w:val="bottom"/>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459,000</w:t>
            </w:r>
          </w:p>
        </w:tc>
      </w:tr>
      <w:tr>
        <w:trPr>
          <w:trHeight w:val="253"/>
        </w:trPr>
        <w:tc>
          <w:tcPr>
            <w:tcW w:w="2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Charles City, Iowa</w:t>
            </w:r>
          </w:p>
        </w:tc>
        <w:tc>
          <w:tcPr>
            <w:tcW w:w="53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Manufacturing</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161,000</w:t>
            </w:r>
          </w:p>
        </w:tc>
      </w:tr>
      <w:tr>
        <w:trPr>
          <w:trHeight w:val="233"/>
        </w:trPr>
        <w:tc>
          <w:tcPr>
            <w:tcW w:w="2320" w:type="dxa"/>
            <w:vAlign w:val="bottom"/>
          </w:tcPr>
          <w:p>
            <w:pPr>
              <w:ind w:left="40"/>
              <w:spacing w:after="0"/>
              <w:rPr>
                <w:sz w:val="20"/>
                <w:szCs w:val="20"/>
                <w:color w:val="auto"/>
              </w:rPr>
            </w:pPr>
            <w:r>
              <w:rPr>
                <w:rFonts w:ascii="Arial" w:cs="Arial" w:eastAsia="Arial" w:hAnsi="Arial"/>
                <w:sz w:val="16"/>
                <w:szCs w:val="16"/>
                <w:color w:val="auto"/>
              </w:rPr>
              <w:t>Waverly, Iowa</w:t>
            </w:r>
          </w:p>
        </w:tc>
        <w:tc>
          <w:tcPr>
            <w:tcW w:w="5340" w:type="dxa"/>
            <w:vAlign w:val="bottom"/>
          </w:tcPr>
          <w:p>
            <w:pPr>
              <w:ind w:left="580"/>
              <w:spacing w:after="0"/>
              <w:rPr>
                <w:sz w:val="20"/>
                <w:szCs w:val="20"/>
                <w:color w:val="auto"/>
              </w:rPr>
            </w:pPr>
            <w:r>
              <w:rPr>
                <w:rFonts w:ascii="Arial" w:cs="Arial" w:eastAsia="Arial" w:hAnsi="Arial"/>
                <w:sz w:val="16"/>
                <w:szCs w:val="16"/>
                <w:color w:val="auto"/>
              </w:rPr>
              <w:t>Manufacturing</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40" w:type="dxa"/>
            <w:vAlign w:val="bottom"/>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33,000</w:t>
            </w:r>
          </w:p>
        </w:tc>
      </w:tr>
      <w:tr>
        <w:trPr>
          <w:trHeight w:val="253"/>
        </w:trPr>
        <w:tc>
          <w:tcPr>
            <w:tcW w:w="2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Junction City, Oregon</w:t>
            </w:r>
          </w:p>
        </w:tc>
        <w:tc>
          <w:tcPr>
            <w:tcW w:w="53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Manufacturing, service and office</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305,000</w:t>
            </w:r>
          </w:p>
        </w:tc>
      </w:tr>
      <w:tr>
        <w:trPr>
          <w:trHeight w:val="233"/>
        </w:trPr>
        <w:tc>
          <w:tcPr>
            <w:tcW w:w="2320" w:type="dxa"/>
            <w:vAlign w:val="bottom"/>
          </w:tcPr>
          <w:p>
            <w:pPr>
              <w:ind w:left="40"/>
              <w:spacing w:after="0"/>
              <w:rPr>
                <w:sz w:val="20"/>
                <w:szCs w:val="20"/>
                <w:color w:val="auto"/>
              </w:rPr>
            </w:pPr>
            <w:r>
              <w:rPr>
                <w:rFonts w:ascii="Arial" w:cs="Arial" w:eastAsia="Arial" w:hAnsi="Arial"/>
                <w:sz w:val="16"/>
                <w:szCs w:val="16"/>
                <w:color w:val="auto"/>
              </w:rPr>
              <w:t>Middlebury, Indiana</w:t>
            </w:r>
          </w:p>
        </w:tc>
        <w:tc>
          <w:tcPr>
            <w:tcW w:w="5340" w:type="dxa"/>
            <w:vAlign w:val="bottom"/>
          </w:tcPr>
          <w:p>
            <w:pPr>
              <w:ind w:left="580"/>
              <w:spacing w:after="0"/>
              <w:rPr>
                <w:sz w:val="20"/>
                <w:szCs w:val="20"/>
                <w:color w:val="auto"/>
              </w:rPr>
            </w:pPr>
            <w:r>
              <w:rPr>
                <w:rFonts w:ascii="Arial" w:cs="Arial" w:eastAsia="Arial" w:hAnsi="Arial"/>
                <w:sz w:val="16"/>
                <w:szCs w:val="16"/>
                <w:color w:val="auto"/>
              </w:rPr>
              <w:t>Manufacturing and office</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40" w:type="dxa"/>
            <w:vAlign w:val="bottom"/>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277,000</w:t>
            </w:r>
          </w:p>
        </w:tc>
      </w:tr>
      <w:tr>
        <w:trPr>
          <w:trHeight w:val="253"/>
        </w:trPr>
        <w:tc>
          <w:tcPr>
            <w:tcW w:w="2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Lake Mills, Iowa </w:t>
            </w:r>
            <w:r>
              <w:rPr>
                <w:rFonts w:ascii="Arial" w:cs="Arial" w:eastAsia="Arial" w:hAnsi="Arial"/>
                <w:sz w:val="17"/>
                <w:szCs w:val="17"/>
                <w:color w:val="auto"/>
                <w:vertAlign w:val="superscript"/>
              </w:rPr>
              <w:t>(1)</w:t>
            </w:r>
          </w:p>
        </w:tc>
        <w:tc>
          <w:tcPr>
            <w:tcW w:w="53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Manufacturing</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Leased</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99,000</w:t>
            </w:r>
          </w:p>
        </w:tc>
      </w:tr>
      <w:tr>
        <w:trPr>
          <w:trHeight w:val="243"/>
        </w:trPr>
        <w:tc>
          <w:tcPr>
            <w:tcW w:w="2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Burnsville, Minnesota </w:t>
            </w:r>
            <w:r>
              <w:rPr>
                <w:rFonts w:ascii="Arial" w:cs="Arial" w:eastAsia="Arial" w:hAnsi="Arial"/>
                <w:sz w:val="17"/>
                <w:szCs w:val="17"/>
                <w:color w:val="auto"/>
                <w:vertAlign w:val="superscript"/>
              </w:rPr>
              <w:t>(2)</w:t>
            </w:r>
          </w:p>
        </w:tc>
        <w:tc>
          <w:tcPr>
            <w:tcW w:w="5340" w:type="dxa"/>
            <w:vAlign w:val="bottom"/>
            <w:tcBorders>
              <w:bottom w:val="single" w:sz="8" w:color="CCEEFF"/>
            </w:tcBorders>
          </w:tcPr>
          <w:p>
            <w:pPr>
              <w:ind w:left="580"/>
              <w:spacing w:after="0"/>
              <w:rPr>
                <w:sz w:val="20"/>
                <w:szCs w:val="20"/>
                <w:color w:val="auto"/>
              </w:rPr>
            </w:pPr>
            <w:r>
              <w:rPr>
                <w:rFonts w:ascii="Arial" w:cs="Arial" w:eastAsia="Arial" w:hAnsi="Arial"/>
                <w:sz w:val="16"/>
                <w:szCs w:val="16"/>
                <w:color w:val="auto"/>
              </w:rPr>
              <w:t>Office</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8"/>
              </w:rPr>
              <w:t>Leased</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2,000</w:t>
            </w:r>
          </w:p>
        </w:tc>
      </w:tr>
      <w:tr>
        <w:trPr>
          <w:trHeight w:val="230"/>
        </w:trPr>
        <w:tc>
          <w:tcPr>
            <w:tcW w:w="2320" w:type="dxa"/>
            <w:vAlign w:val="bottom"/>
            <w:tcBorders>
              <w:bottom w:val="single" w:sz="8" w:color="CCEEFF"/>
            </w:tcBorders>
            <w:shd w:val="clear" w:color="auto" w:fill="CCEEFF"/>
          </w:tcPr>
          <w:p>
            <w:pPr>
              <w:spacing w:after="0"/>
              <w:rPr>
                <w:sz w:val="20"/>
                <w:szCs w:val="20"/>
                <w:color w:val="auto"/>
              </w:rPr>
            </w:pPr>
          </w:p>
        </w:tc>
        <w:tc>
          <w:tcPr>
            <w:tcW w:w="5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2,882,000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6462395</wp:posOffset>
            </wp:positionH>
            <wp:positionV relativeFrom="paragraph">
              <wp:posOffset>8890</wp:posOffset>
            </wp:positionV>
            <wp:extent cx="7886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8890</wp:posOffset>
            </wp:positionV>
            <wp:extent cx="8058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7" w:lineRule="exact"/>
        <w:rPr>
          <w:sz w:val="20"/>
          <w:szCs w:val="20"/>
          <w:color w:val="auto"/>
        </w:rPr>
      </w:pPr>
    </w:p>
    <w:p>
      <w:pPr>
        <w:ind w:left="140" w:hanging="132"/>
        <w:spacing w:after="0"/>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In November 2013 we entered into a five-year lease with the city of Lake Mills, Iowa for a manufacturing plant with two options to renew for five years each.</w:t>
      </w:r>
    </w:p>
    <w:p>
      <w:pPr>
        <w:spacing w:after="0" w:line="25" w:lineRule="exact"/>
        <w:rPr>
          <w:rFonts w:ascii="Arial" w:cs="Arial" w:eastAsia="Arial" w:hAnsi="Arial"/>
          <w:sz w:val="16"/>
          <w:szCs w:val="16"/>
          <w:color w:val="auto"/>
          <w:vertAlign w:val="superscript"/>
        </w:rPr>
      </w:pPr>
    </w:p>
    <w:p>
      <w:pPr>
        <w:ind w:left="140" w:hanging="132"/>
        <w:spacing w:after="0" w:line="231" w:lineRule="auto"/>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In April, 2016 we entered into a 13-month lease, expiring in April 2017, for an office facility in Burnsville, Minnesota.</w:t>
      </w:r>
    </w:p>
    <w:p>
      <w:pPr>
        <w:spacing w:after="0" w:line="163" w:lineRule="exact"/>
        <w:rPr>
          <w:sz w:val="20"/>
          <w:szCs w:val="20"/>
          <w:color w:val="auto"/>
        </w:rPr>
      </w:pPr>
    </w:p>
    <w:p>
      <w:pPr>
        <w:ind w:right="100"/>
        <w:spacing w:after="0" w:line="191" w:lineRule="exact"/>
        <w:rPr>
          <w:sz w:val="20"/>
          <w:szCs w:val="20"/>
          <w:color w:val="auto"/>
        </w:rPr>
      </w:pPr>
      <w:r>
        <w:rPr>
          <w:rFonts w:ascii="Arial" w:cs="Arial" w:eastAsia="Arial" w:hAnsi="Arial"/>
          <w:sz w:val="16"/>
          <w:szCs w:val="16"/>
          <w:color w:val="auto"/>
        </w:rPr>
        <w:t>The facilities that we own in Forest City, Charles City and Waverly are located on a total of approximately 320 acres of land. The facilities that we own in Middlebury, Indiana are located on approximately 30 acres of land. Most of our buildings are of steel or steel and concrete construction and are protected from fire with high</w:t>
      </w:r>
      <w:r>
        <w:rPr>
          <w:rFonts w:ascii="MS PGothic" w:cs="MS PGothic" w:eastAsia="MS PGothic" w:hAnsi="MS PGothic"/>
          <w:sz w:val="16"/>
          <w:szCs w:val="16"/>
          <w:color w:val="auto"/>
        </w:rPr>
        <w:t>‑</w:t>
      </w:r>
      <w:r>
        <w:rPr>
          <w:rFonts w:ascii="Arial" w:cs="Arial" w:eastAsia="Arial" w:hAnsi="Arial"/>
          <w:sz w:val="16"/>
          <w:szCs w:val="16"/>
          <w:color w:val="auto"/>
        </w:rPr>
        <w:t>pressure sprinkler systems, dust collector systems, automatic fire doors and alarm systems. We believe that our facilities and equipment are well maintained, in excellent condition and suitable for the purposes for which they are intended.</w:t>
      </w:r>
    </w:p>
    <w:p>
      <w:pPr>
        <w:spacing w:after="0" w:line="185"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In December 2015, we purchased 6 buildings and approximately 34 acres of land in Junction City, Oregon. The buildings are being utilized to manufacture motorhomes. In January 2016, we purchased an additional 4 buildings and approximately 8 acres of land in Junction City to be utilized as a motorhome parts and services facility.</w:t>
      </w:r>
    </w:p>
    <w:p>
      <w:pPr>
        <w:spacing w:after="0" w:line="174"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Under terms of our credit facility, as further described in Note 6, we have encumbered substantially all of our real property for the benefit of the lender under such facility.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6"/>
          <w:szCs w:val="16"/>
          <w:color w:val="auto"/>
        </w:rPr>
        <w:t>Legal Proceedings</w:t>
      </w:r>
    </w:p>
    <w:p>
      <w:pPr>
        <w:spacing w:after="0" w:line="187"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We are involved in various legal proceedings which are ordinary and routine litigation incidental to our business, some of which are covered in whole or in part by insurance. We believe,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color w:val="auto"/>
        </w:rPr>
        <w:t>Mine Safety Disclosure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5. </w:t>
      </w:r>
      <w:r>
        <w:rPr>
          <w:rFonts w:ascii="Arial" w:cs="Arial" w:eastAsia="Arial" w:hAnsi="Arial"/>
          <w:sz w:val="16"/>
          <w:szCs w:val="16"/>
          <w:color w:val="auto"/>
        </w:rPr>
        <w:t>Market for the Registrant's Common Equity, Related Stockholder Matters and Issuer Purchases of Equity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listed on the New York and Chicago Stock Exchanges with the ticker symbol of WGO.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41"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62"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Below are the New York Stock Exchange high, low and closing prices of Winnebago Industries, Inc. common stock for each quarter of Fiscal 2016 and Fiscal 2015:</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Fiscal 2016</w:t>
            </w:r>
          </w:p>
        </w:tc>
        <w:tc>
          <w:tcPr>
            <w:tcW w:w="8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High</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Low</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Close</w:t>
            </w:r>
          </w:p>
        </w:tc>
        <w:tc>
          <w:tcPr>
            <w:tcW w:w="200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Fiscal 2015</w:t>
            </w:r>
          </w:p>
        </w:tc>
        <w:tc>
          <w:tcPr>
            <w:tcW w:w="8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High</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Low</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Close</w:t>
            </w:r>
          </w:p>
        </w:tc>
      </w:tr>
      <w:tr>
        <w:trPr>
          <w:trHeight w:val="270"/>
        </w:trPr>
        <w:tc>
          <w:tcPr>
            <w:tcW w:w="1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22.59</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17.80</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22.23</w:t>
            </w:r>
          </w:p>
        </w:tc>
        <w:tc>
          <w:tcPr>
            <w:tcW w:w="2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First Quarter</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25.79</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25.18</w:t>
            </w:r>
          </w:p>
        </w:tc>
      </w:tr>
      <w:tr>
        <w:trPr>
          <w:trHeight w:val="260"/>
        </w:trPr>
        <w:tc>
          <w:tcPr>
            <w:tcW w:w="1860" w:type="dxa"/>
            <w:vAlign w:val="bottom"/>
          </w:tcPr>
          <w:p>
            <w:pPr>
              <w:ind w:left="40"/>
              <w:spacing w:after="0"/>
              <w:rPr>
                <w:sz w:val="20"/>
                <w:szCs w:val="20"/>
                <w:color w:val="auto"/>
              </w:rPr>
            </w:pPr>
            <w:r>
              <w:rPr>
                <w:rFonts w:ascii="Arial" w:cs="Arial" w:eastAsia="Arial" w:hAnsi="Arial"/>
                <w:sz w:val="16"/>
                <w:szCs w:val="16"/>
                <w:color w:val="auto"/>
              </w:rPr>
              <w:t>Second Quarter</w:t>
            </w:r>
          </w:p>
        </w:tc>
        <w:tc>
          <w:tcPr>
            <w:tcW w:w="8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23.30</w:t>
            </w: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15.41</w:t>
            </w:r>
          </w:p>
        </w:tc>
        <w:tc>
          <w:tcPr>
            <w:tcW w:w="260" w:type="dxa"/>
            <w:vAlign w:val="bottom"/>
          </w:tcPr>
          <w:p>
            <w:pPr>
              <w:spacing w:after="0"/>
              <w:rPr>
                <w:sz w:val="22"/>
                <w:szCs w:val="22"/>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18.80</w:t>
            </w:r>
          </w:p>
        </w:tc>
        <w:tc>
          <w:tcPr>
            <w:tcW w:w="2000" w:type="dxa"/>
            <w:vAlign w:val="bottom"/>
          </w:tcPr>
          <w:p>
            <w:pPr>
              <w:ind w:left="240"/>
              <w:spacing w:after="0"/>
              <w:rPr>
                <w:sz w:val="20"/>
                <w:szCs w:val="20"/>
                <w:color w:val="auto"/>
              </w:rPr>
            </w:pPr>
            <w:r>
              <w:rPr>
                <w:rFonts w:ascii="Arial" w:cs="Arial" w:eastAsia="Arial" w:hAnsi="Arial"/>
                <w:sz w:val="16"/>
                <w:szCs w:val="16"/>
                <w:color w:val="auto"/>
              </w:rPr>
              <w:t>Second Quarter</w:t>
            </w:r>
          </w:p>
        </w:tc>
        <w:tc>
          <w:tcPr>
            <w:tcW w:w="8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26.44</w:t>
            </w:r>
          </w:p>
        </w:tc>
        <w:tc>
          <w:tcPr>
            <w:tcW w:w="2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18.82</w:t>
            </w:r>
          </w:p>
        </w:tc>
        <w:tc>
          <w:tcPr>
            <w:tcW w:w="2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23.21</w:t>
            </w:r>
          </w:p>
        </w:tc>
      </w:tr>
      <w:tr>
        <w:trPr>
          <w:trHeight w:val="280"/>
        </w:trPr>
        <w:tc>
          <w:tcPr>
            <w:tcW w:w="1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8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23.09</w:t>
            </w: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18.68</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18.73</w:t>
            </w:r>
          </w:p>
        </w:tc>
        <w:tc>
          <w:tcPr>
            <w:tcW w:w="2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Third Quarter</w:t>
            </w:r>
          </w:p>
        </w:tc>
        <w:tc>
          <w:tcPr>
            <w:tcW w:w="8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24.26</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21.73</w:t>
            </w:r>
          </w:p>
        </w:tc>
      </w:tr>
      <w:tr>
        <w:trPr>
          <w:trHeight w:val="251"/>
        </w:trPr>
        <w:tc>
          <w:tcPr>
            <w:tcW w:w="1860" w:type="dxa"/>
            <w:vAlign w:val="bottom"/>
          </w:tcPr>
          <w:p>
            <w:pPr>
              <w:ind w:left="40"/>
              <w:spacing w:after="0"/>
              <w:rPr>
                <w:sz w:val="20"/>
                <w:szCs w:val="20"/>
                <w:color w:val="auto"/>
              </w:rPr>
            </w:pPr>
            <w:r>
              <w:rPr>
                <w:rFonts w:ascii="Arial" w:cs="Arial" w:eastAsia="Arial" w:hAnsi="Arial"/>
                <w:sz w:val="16"/>
                <w:szCs w:val="16"/>
                <w:color w:val="auto"/>
              </w:rPr>
              <w:t>Fourth Quarter</w:t>
            </w:r>
          </w:p>
        </w:tc>
        <w:tc>
          <w:tcPr>
            <w:tcW w:w="8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24.39</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20.32</w:t>
            </w:r>
          </w:p>
        </w:tc>
        <w:tc>
          <w:tcPr>
            <w:tcW w:w="260" w:type="dxa"/>
            <w:vAlign w:val="bottom"/>
          </w:tcPr>
          <w:p>
            <w:pPr>
              <w:spacing w:after="0"/>
              <w:rPr>
                <w:sz w:val="21"/>
                <w:szCs w:val="21"/>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23.91</w:t>
            </w:r>
          </w:p>
        </w:tc>
        <w:tc>
          <w:tcPr>
            <w:tcW w:w="2000" w:type="dxa"/>
            <w:vAlign w:val="bottom"/>
          </w:tcPr>
          <w:p>
            <w:pPr>
              <w:ind w:left="240"/>
              <w:spacing w:after="0"/>
              <w:rPr>
                <w:sz w:val="20"/>
                <w:szCs w:val="20"/>
                <w:color w:val="auto"/>
              </w:rPr>
            </w:pPr>
            <w:r>
              <w:rPr>
                <w:rFonts w:ascii="Arial" w:cs="Arial" w:eastAsia="Arial" w:hAnsi="Arial"/>
                <w:sz w:val="16"/>
                <w:szCs w:val="16"/>
                <w:color w:val="auto"/>
              </w:rPr>
              <w:t>Fourth Quarter</w:t>
            </w:r>
          </w:p>
        </w:tc>
        <w:tc>
          <w:tcPr>
            <w:tcW w:w="8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24.73</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18.98</w:t>
            </w:r>
          </w:p>
        </w:tc>
        <w:tc>
          <w:tcPr>
            <w:tcW w:w="240" w:type="dxa"/>
            <w:vAlign w:val="bottom"/>
          </w:tcPr>
          <w:p>
            <w:pPr>
              <w:spacing w:after="0"/>
              <w:rPr>
                <w:sz w:val="21"/>
                <w:szCs w:val="21"/>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20.42</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Holders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Shareholders of record as of October 10, 2016: 2,893</w:t>
      </w:r>
    </w:p>
    <w:p>
      <w:pPr>
        <w:sectPr>
          <w:pgSz w:w="11900" w:h="16838" w:orient="portrait"/>
          <w:cols w:equalWidth="0" w:num="1">
            <w:col w:w="11420"/>
          </w:cols>
          <w:pgMar w:left="240" w:top="141" w:right="23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 Paid Per Share</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Date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November 25, 2015</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January 27,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April 27, 2016</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July 27,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ind w:left="467"/>
        <w:spacing w:after="0"/>
        <w:rPr>
          <w:sz w:val="20"/>
          <w:szCs w:val="20"/>
          <w:color w:val="auto"/>
        </w:rPr>
      </w:pPr>
      <w:r>
        <w:rPr>
          <w:rFonts w:ascii="Arial" w:cs="Arial" w:eastAsia="Arial" w:hAnsi="Arial"/>
          <w:sz w:val="16"/>
          <w:szCs w:val="16"/>
          <w:b w:val="1"/>
          <w:bCs w:val="1"/>
          <w:color w:val="auto"/>
        </w:rPr>
        <w:t>Amount</w:t>
      </w:r>
    </w:p>
    <w:p>
      <w:pPr>
        <w:spacing w:after="0" w:line="106" w:lineRule="exact"/>
        <w:rPr>
          <w:sz w:val="20"/>
          <w:szCs w:val="20"/>
          <w:color w:val="auto"/>
        </w:rPr>
      </w:pPr>
    </w:p>
    <w:p>
      <w:pPr>
        <w:ind w:left="1147" w:hanging="1147"/>
        <w:spacing w:after="0"/>
        <w:tabs>
          <w:tab w:leader="none" w:pos="1147" w:val="left"/>
        </w:tabs>
        <w:numPr>
          <w:ilvl w:val="0"/>
          <w:numId w:val="7"/>
        </w:numPr>
        <w:rPr>
          <w:rFonts w:ascii="Arial" w:cs="Arial" w:eastAsia="Arial" w:hAnsi="Arial"/>
          <w:sz w:val="16"/>
          <w:szCs w:val="16"/>
          <w:color w:val="auto"/>
        </w:rPr>
      </w:pPr>
      <w:r>
        <w:rPr>
          <w:rFonts w:ascii="Arial" w:cs="Arial" w:eastAsia="Arial" w:hAnsi="Arial"/>
          <w:sz w:val="16"/>
          <w:szCs w:val="16"/>
          <w:color w:val="auto"/>
        </w:rPr>
        <w:t>0.10</w:t>
      </w:r>
    </w:p>
    <w:p>
      <w:pPr>
        <w:spacing w:after="0" w:line="86" w:lineRule="exact"/>
        <w:rPr>
          <w:rFonts w:ascii="Arial" w:cs="Arial" w:eastAsia="Arial" w:hAnsi="Arial"/>
          <w:sz w:val="16"/>
          <w:szCs w:val="16"/>
          <w:color w:val="auto"/>
        </w:rPr>
      </w:pPr>
    </w:p>
    <w:p>
      <w:pPr>
        <w:ind w:left="1147"/>
        <w:spacing w:after="0"/>
        <w:rPr>
          <w:rFonts w:ascii="Arial" w:cs="Arial" w:eastAsia="Arial" w:hAnsi="Arial"/>
          <w:sz w:val="16"/>
          <w:szCs w:val="16"/>
          <w:color w:val="auto"/>
        </w:rPr>
      </w:pPr>
      <w:r>
        <w:rPr>
          <w:rFonts w:ascii="Arial" w:cs="Arial" w:eastAsia="Arial" w:hAnsi="Arial"/>
          <w:sz w:val="16"/>
          <w:szCs w:val="16"/>
          <w:color w:val="auto"/>
        </w:rPr>
        <w:t>0.10</w:t>
      </w:r>
    </w:p>
    <w:p>
      <w:pPr>
        <w:spacing w:after="0" w:line="86" w:lineRule="exact"/>
        <w:rPr>
          <w:rFonts w:ascii="Arial" w:cs="Arial" w:eastAsia="Arial" w:hAnsi="Arial"/>
          <w:sz w:val="16"/>
          <w:szCs w:val="16"/>
          <w:color w:val="auto"/>
        </w:rPr>
      </w:pPr>
    </w:p>
    <w:p>
      <w:pPr>
        <w:ind w:left="1147"/>
        <w:spacing w:after="0"/>
        <w:rPr>
          <w:rFonts w:ascii="Arial" w:cs="Arial" w:eastAsia="Arial" w:hAnsi="Arial"/>
          <w:sz w:val="16"/>
          <w:szCs w:val="16"/>
          <w:color w:val="auto"/>
        </w:rPr>
      </w:pPr>
      <w:r>
        <w:rPr>
          <w:rFonts w:ascii="Arial" w:cs="Arial" w:eastAsia="Arial" w:hAnsi="Arial"/>
          <w:sz w:val="16"/>
          <w:szCs w:val="16"/>
          <w:color w:val="auto"/>
        </w:rPr>
        <w:t>0.10</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0.10</w:t>
      </w:r>
    </w:p>
    <w:p>
      <w:pPr>
        <w:spacing w:after="0" w:line="73" w:lineRule="exact"/>
        <w:rPr>
          <w:sz w:val="20"/>
          <w:szCs w:val="20"/>
          <w:color w:val="auto"/>
        </w:rPr>
      </w:pPr>
    </w:p>
    <w:p>
      <w:pPr>
        <w:ind w:left="1147" w:hanging="1147"/>
        <w:spacing w:after="0"/>
        <w:tabs>
          <w:tab w:leader="none" w:pos="1147" w:val="left"/>
        </w:tabs>
        <w:numPr>
          <w:ilvl w:val="0"/>
          <w:numId w:val="8"/>
        </w:numPr>
        <w:rPr>
          <w:rFonts w:ascii="Arial" w:cs="Arial" w:eastAsia="Arial" w:hAnsi="Arial"/>
          <w:sz w:val="16"/>
          <w:szCs w:val="16"/>
          <w:color w:val="auto"/>
        </w:rPr>
      </w:pPr>
      <w:r>
        <w:rPr>
          <w:rFonts w:ascii="Arial" w:cs="Arial" w:eastAsia="Arial" w:hAnsi="Arial"/>
          <w:sz w:val="16"/>
          <w:szCs w:val="16"/>
          <w:color w:val="auto"/>
        </w:rPr>
        <w:t>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36195</wp:posOffset>
            </wp:positionV>
            <wp:extent cx="10121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9133" w:space="720"/>
            <w:col w:w="1567"/>
          </w:cols>
          <w:pgMar w:left="240" w:top="141" w:right="239" w:bottom="1440" w:gutter="0" w:footer="0" w:header="0"/>
          <w:type w:val="continuous"/>
        </w:sectPr>
      </w:pPr>
    </w:p>
    <w:p>
      <w:pPr>
        <w:spacing w:after="0" w:line="21"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On October 12, 2016, our Board of Directors declared a cash dividend of $0.10 per outstanding share of common stock. The Board currently intends to continue to pay quarterly cash dividends payments in the future; however, declaration of future dividends, if any, will be based on several factors including our financial performance, outlook and liquidity.</w:t>
      </w:r>
    </w:p>
    <w:p>
      <w:pPr>
        <w:spacing w:after="0" w:line="147" w:lineRule="exact"/>
        <w:rPr>
          <w:sz w:val="20"/>
          <w:szCs w:val="20"/>
          <w:color w:val="auto"/>
        </w:rPr>
      </w:pPr>
    </w:p>
    <w:p>
      <w:pPr>
        <w:ind w:right="700"/>
        <w:spacing w:after="0" w:line="260" w:lineRule="auto"/>
        <w:rPr>
          <w:sz w:val="20"/>
          <w:szCs w:val="20"/>
          <w:color w:val="auto"/>
        </w:rPr>
      </w:pPr>
      <w:r>
        <w:rPr>
          <w:rFonts w:ascii="Arial" w:cs="Arial" w:eastAsia="Arial" w:hAnsi="Arial"/>
          <w:sz w:val="16"/>
          <w:szCs w:val="16"/>
          <w:color w:val="auto"/>
        </w:rPr>
        <w:t>Our credit facility, as further described in Note 6, contains covenants that limit our ability to pay certain cash dividends without impacting financial ratio covenants.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187"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Our credit facility, as further described in Note 6, contains covenants that limits our ability, among other things, except for limited purchases of our common stock from employees, to make distributions or payments with respect to or purchases of our common stock without consent of the lenders.</w:t>
      </w:r>
    </w:p>
    <w:p>
      <w:pPr>
        <w:spacing w:after="0" w:line="142"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On December 19, 2007, the Board of Directors authorized the repurchase of outstanding shares of our common stock, depending on market conditions, for an aggregate consideration of up to $60 million. There is no time restriction on this authorization. During Fiscal 2016, 163,237 shares were repurchased under the authorization, at an aggregate cost of approximately $3.1 million, or $18.78 per share. Of these shares, 36,513 were repurchased from employees who vested in Winnebago Industries shares during the fiscal year and elected to pay their payroll tax via delivery of common stock as opposed to cash. As of August 27, 2016, there was approximately $4.0 million remaining under this authorization.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This table provides information with respect to purchases by us of shares of our common stock during each fiscal month of the fourth quarter of Fiscal 2016:</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120" w:type="dxa"/>
            <w:vAlign w:val="bottom"/>
          </w:tcPr>
          <w:p>
            <w:pPr>
              <w:jc w:val="center"/>
              <w:ind w:right="39"/>
              <w:spacing w:after="0"/>
              <w:rPr>
                <w:sz w:val="20"/>
                <w:szCs w:val="20"/>
                <w:color w:val="auto"/>
              </w:rPr>
            </w:pPr>
            <w:r>
              <w:rPr>
                <w:rFonts w:ascii="Arial" w:cs="Arial" w:eastAsia="Arial" w:hAnsi="Arial"/>
                <w:sz w:val="16"/>
                <w:szCs w:val="16"/>
                <w:b w:val="1"/>
                <w:bCs w:val="1"/>
                <w:color w:val="auto"/>
              </w:rPr>
              <w:t>Number of Shares</w:t>
            </w:r>
          </w:p>
        </w:tc>
        <w:tc>
          <w:tcPr>
            <w:tcW w:w="400" w:type="dxa"/>
            <w:vAlign w:val="bottom"/>
          </w:tcPr>
          <w:p>
            <w:pPr>
              <w:spacing w:after="0"/>
              <w:rPr>
                <w:sz w:val="16"/>
                <w:szCs w:val="16"/>
                <w:color w:val="auto"/>
              </w:rPr>
            </w:pPr>
          </w:p>
        </w:tc>
        <w:tc>
          <w:tcPr>
            <w:tcW w:w="2500" w:type="dxa"/>
            <w:vAlign w:val="bottom"/>
          </w:tcPr>
          <w:p>
            <w:pPr>
              <w:jc w:val="center"/>
              <w:ind w:right="379"/>
              <w:spacing w:after="0"/>
              <w:rPr>
                <w:sz w:val="20"/>
                <w:szCs w:val="20"/>
                <w:color w:val="auto"/>
              </w:rPr>
            </w:pPr>
            <w:r>
              <w:rPr>
                <w:rFonts w:ascii="Arial" w:cs="Arial" w:eastAsia="Arial" w:hAnsi="Arial"/>
                <w:sz w:val="16"/>
                <w:szCs w:val="16"/>
                <w:b w:val="1"/>
                <w:bCs w:val="1"/>
                <w:color w:val="auto"/>
              </w:rPr>
              <w:t>Approximate Dollar Value</w:t>
            </w:r>
          </w:p>
        </w:tc>
      </w:tr>
      <w:tr>
        <w:trPr>
          <w:trHeight w:val="189"/>
        </w:trPr>
        <w:tc>
          <w:tcPr>
            <w:tcW w:w="2640" w:type="dxa"/>
            <w:vAlign w:val="bottom"/>
          </w:tcPr>
          <w:p>
            <w:pPr>
              <w:spacing w:after="0"/>
              <w:rPr>
                <w:sz w:val="16"/>
                <w:szCs w:val="16"/>
                <w:color w:val="auto"/>
              </w:rPr>
            </w:pPr>
          </w:p>
        </w:tc>
        <w:tc>
          <w:tcPr>
            <w:tcW w:w="1440" w:type="dxa"/>
            <w:vAlign w:val="bottom"/>
          </w:tcPr>
          <w:p>
            <w:pPr>
              <w:jc w:val="center"/>
              <w:ind w:left="319"/>
              <w:spacing w:after="0"/>
              <w:rPr>
                <w:sz w:val="20"/>
                <w:szCs w:val="20"/>
                <w:color w:val="auto"/>
              </w:rPr>
            </w:pPr>
            <w:r>
              <w:rPr>
                <w:rFonts w:ascii="Arial" w:cs="Arial" w:eastAsia="Arial" w:hAnsi="Arial"/>
                <w:sz w:val="16"/>
                <w:szCs w:val="16"/>
                <w:b w:val="1"/>
                <w:bCs w:val="1"/>
                <w:color w:val="auto"/>
              </w:rPr>
              <w:t>Total Number</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120" w:type="dxa"/>
            <w:vAlign w:val="bottom"/>
          </w:tcPr>
          <w:p>
            <w:pPr>
              <w:jc w:val="center"/>
              <w:ind w:right="39"/>
              <w:spacing w:after="0"/>
              <w:rPr>
                <w:sz w:val="20"/>
                <w:szCs w:val="20"/>
                <w:color w:val="auto"/>
              </w:rPr>
            </w:pPr>
            <w:r>
              <w:rPr>
                <w:rFonts w:ascii="Arial" w:cs="Arial" w:eastAsia="Arial" w:hAnsi="Arial"/>
                <w:sz w:val="16"/>
                <w:szCs w:val="16"/>
                <w:b w:val="1"/>
                <w:bCs w:val="1"/>
                <w:color w:val="auto"/>
              </w:rPr>
              <w:t>Purchased as Part of</w:t>
            </w:r>
          </w:p>
        </w:tc>
        <w:tc>
          <w:tcPr>
            <w:tcW w:w="400" w:type="dxa"/>
            <w:vAlign w:val="bottom"/>
          </w:tcPr>
          <w:p>
            <w:pPr>
              <w:spacing w:after="0"/>
              <w:rPr>
                <w:sz w:val="16"/>
                <w:szCs w:val="16"/>
                <w:color w:val="auto"/>
              </w:rPr>
            </w:pPr>
          </w:p>
        </w:tc>
        <w:tc>
          <w:tcPr>
            <w:tcW w:w="2500" w:type="dxa"/>
            <w:vAlign w:val="bottom"/>
          </w:tcPr>
          <w:p>
            <w:pPr>
              <w:jc w:val="center"/>
              <w:ind w:right="379"/>
              <w:spacing w:after="0"/>
              <w:rPr>
                <w:sz w:val="20"/>
                <w:szCs w:val="20"/>
                <w:color w:val="auto"/>
              </w:rPr>
            </w:pPr>
            <w:r>
              <w:rPr>
                <w:rFonts w:ascii="Arial" w:cs="Arial" w:eastAsia="Arial" w:hAnsi="Arial"/>
                <w:sz w:val="16"/>
                <w:szCs w:val="16"/>
                <w:b w:val="1"/>
                <w:bCs w:val="1"/>
                <w:color w:val="auto"/>
              </w:rPr>
              <w:t>of Shares That May Yet Be</w:t>
            </w:r>
          </w:p>
        </w:tc>
      </w:tr>
      <w:tr>
        <w:trPr>
          <w:trHeight w:val="189"/>
        </w:trPr>
        <w:tc>
          <w:tcPr>
            <w:tcW w:w="2640" w:type="dxa"/>
            <w:vAlign w:val="bottom"/>
          </w:tcPr>
          <w:p>
            <w:pPr>
              <w:spacing w:after="0"/>
              <w:rPr>
                <w:sz w:val="16"/>
                <w:szCs w:val="16"/>
                <w:color w:val="auto"/>
              </w:rPr>
            </w:pPr>
          </w:p>
        </w:tc>
        <w:tc>
          <w:tcPr>
            <w:tcW w:w="1440" w:type="dxa"/>
            <w:vAlign w:val="bottom"/>
          </w:tcPr>
          <w:p>
            <w:pPr>
              <w:jc w:val="center"/>
              <w:ind w:left="319"/>
              <w:spacing w:after="0"/>
              <w:rPr>
                <w:sz w:val="20"/>
                <w:szCs w:val="20"/>
                <w:color w:val="auto"/>
              </w:rPr>
            </w:pPr>
            <w:r>
              <w:rPr>
                <w:rFonts w:ascii="Arial" w:cs="Arial" w:eastAsia="Arial" w:hAnsi="Arial"/>
                <w:sz w:val="16"/>
                <w:szCs w:val="16"/>
                <w:b w:val="1"/>
                <w:bCs w:val="1"/>
                <w:color w:val="auto"/>
                <w:w w:val="98"/>
              </w:rPr>
              <w:t>of Shares</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jc w:val="right"/>
              <w:ind w:right="379"/>
              <w:spacing w:after="0"/>
              <w:rPr>
                <w:sz w:val="20"/>
                <w:szCs w:val="20"/>
                <w:color w:val="auto"/>
              </w:rPr>
            </w:pPr>
            <w:r>
              <w:rPr>
                <w:rFonts w:ascii="Arial" w:cs="Arial" w:eastAsia="Arial" w:hAnsi="Arial"/>
                <w:sz w:val="16"/>
                <w:szCs w:val="16"/>
                <w:b w:val="1"/>
                <w:bCs w:val="1"/>
                <w:color w:val="auto"/>
              </w:rPr>
              <w:t>Average Price</w:t>
            </w:r>
          </w:p>
        </w:tc>
        <w:tc>
          <w:tcPr>
            <w:tcW w:w="2120" w:type="dxa"/>
            <w:vAlign w:val="bottom"/>
          </w:tcPr>
          <w:p>
            <w:pPr>
              <w:jc w:val="center"/>
              <w:ind w:right="39"/>
              <w:spacing w:after="0"/>
              <w:rPr>
                <w:sz w:val="20"/>
                <w:szCs w:val="20"/>
                <w:color w:val="auto"/>
              </w:rPr>
            </w:pPr>
            <w:r>
              <w:rPr>
                <w:rFonts w:ascii="Arial" w:cs="Arial" w:eastAsia="Arial" w:hAnsi="Arial"/>
                <w:sz w:val="16"/>
                <w:szCs w:val="16"/>
                <w:b w:val="1"/>
                <w:bCs w:val="1"/>
                <w:color w:val="auto"/>
              </w:rPr>
              <w:t>Publicly Announced</w:t>
            </w:r>
          </w:p>
        </w:tc>
        <w:tc>
          <w:tcPr>
            <w:tcW w:w="400" w:type="dxa"/>
            <w:vAlign w:val="bottom"/>
          </w:tcPr>
          <w:p>
            <w:pPr>
              <w:spacing w:after="0"/>
              <w:rPr>
                <w:sz w:val="16"/>
                <w:szCs w:val="16"/>
                <w:color w:val="auto"/>
              </w:rPr>
            </w:pPr>
          </w:p>
        </w:tc>
        <w:tc>
          <w:tcPr>
            <w:tcW w:w="2500" w:type="dxa"/>
            <w:vAlign w:val="bottom"/>
          </w:tcPr>
          <w:p>
            <w:pPr>
              <w:jc w:val="center"/>
              <w:ind w:right="379"/>
              <w:spacing w:after="0"/>
              <w:rPr>
                <w:sz w:val="20"/>
                <w:szCs w:val="20"/>
                <w:color w:val="auto"/>
              </w:rPr>
            </w:pPr>
            <w:r>
              <w:rPr>
                <w:rFonts w:ascii="Arial" w:cs="Arial" w:eastAsia="Arial" w:hAnsi="Arial"/>
                <w:sz w:val="16"/>
                <w:szCs w:val="16"/>
                <w:b w:val="1"/>
                <w:bCs w:val="1"/>
                <w:color w:val="auto"/>
              </w:rPr>
              <w:t>Purchased Under the</w:t>
            </w:r>
          </w:p>
        </w:tc>
      </w:tr>
      <w:tr>
        <w:trPr>
          <w:trHeight w:val="228"/>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440" w:type="dxa"/>
            <w:vAlign w:val="bottom"/>
            <w:tcBorders>
              <w:bottom w:val="single" w:sz="8" w:color="auto"/>
            </w:tcBorders>
          </w:tcPr>
          <w:p>
            <w:pPr>
              <w:jc w:val="center"/>
              <w:ind w:left="319"/>
              <w:spacing w:after="0"/>
              <w:rPr>
                <w:sz w:val="20"/>
                <w:szCs w:val="20"/>
                <w:color w:val="auto"/>
              </w:rPr>
            </w:pPr>
            <w:r>
              <w:rPr>
                <w:rFonts w:ascii="Arial" w:cs="Arial" w:eastAsia="Arial" w:hAnsi="Arial"/>
                <w:sz w:val="16"/>
                <w:szCs w:val="16"/>
                <w:b w:val="1"/>
                <w:bCs w:val="1"/>
                <w:color w:val="auto"/>
              </w:rPr>
              <w:t>Purchased</w:t>
            </w: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Paid per Share</w:t>
            </w:r>
          </w:p>
        </w:tc>
        <w:tc>
          <w:tcPr>
            <w:tcW w:w="21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Plans or Programs</w:t>
            </w:r>
          </w:p>
        </w:tc>
        <w:tc>
          <w:tcPr>
            <w:tcW w:w="4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b w:val="1"/>
                <w:bCs w:val="1"/>
                <w:color w:val="auto"/>
              </w:rPr>
              <w:t>Plans or Programs</w:t>
            </w: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05/29/16 - 07/02/16</w:t>
            </w:r>
          </w:p>
        </w:tc>
        <w:tc>
          <w:tcPr>
            <w:tcW w:w="1440" w:type="dxa"/>
            <w:vAlign w:val="bottom"/>
            <w:shd w:val="clear" w:color="auto" w:fill="CCEEFF"/>
          </w:tcPr>
          <w:p>
            <w:pPr>
              <w:spacing w:after="0"/>
              <w:rPr>
                <w:sz w:val="23"/>
                <w:szCs w:val="2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364</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21.52</w:t>
            </w:r>
          </w:p>
        </w:tc>
        <w:tc>
          <w:tcPr>
            <w:tcW w:w="21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364</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5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3,997,000</w:t>
            </w:r>
          </w:p>
        </w:tc>
      </w:tr>
      <w:tr>
        <w:trPr>
          <w:trHeight w:val="260"/>
        </w:trPr>
        <w:tc>
          <w:tcPr>
            <w:tcW w:w="2640" w:type="dxa"/>
            <w:vAlign w:val="bottom"/>
          </w:tcPr>
          <w:p>
            <w:pPr>
              <w:ind w:left="40"/>
              <w:spacing w:after="0"/>
              <w:rPr>
                <w:sz w:val="20"/>
                <w:szCs w:val="20"/>
                <w:color w:val="auto"/>
              </w:rPr>
            </w:pPr>
            <w:r>
              <w:rPr>
                <w:rFonts w:ascii="Arial" w:cs="Arial" w:eastAsia="Arial" w:hAnsi="Arial"/>
                <w:sz w:val="16"/>
                <w:szCs w:val="16"/>
                <w:color w:val="auto"/>
              </w:rPr>
              <w:t>07/03/16 - 07/30/16</w:t>
            </w:r>
          </w:p>
        </w:tc>
        <w:tc>
          <w:tcPr>
            <w:tcW w:w="14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12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359"/>
              <w:spacing w:after="0"/>
              <w:rPr>
                <w:sz w:val="20"/>
                <w:szCs w:val="20"/>
                <w:color w:val="auto"/>
              </w:rPr>
            </w:pPr>
            <w:r>
              <w:rPr>
                <w:rFonts w:ascii="Arial" w:cs="Arial" w:eastAsia="Arial" w:hAnsi="Arial"/>
                <w:sz w:val="16"/>
                <w:szCs w:val="16"/>
                <w:color w:val="auto"/>
              </w:rPr>
              <w:t>3,997,000</w:t>
            </w:r>
          </w:p>
        </w:tc>
      </w:tr>
      <w:tr>
        <w:trPr>
          <w:trHeight w:val="273"/>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07/31/16 - 08/27/16</w:t>
            </w:r>
          </w:p>
        </w:tc>
        <w:tc>
          <w:tcPr>
            <w:tcW w:w="144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3,997,000</w:t>
            </w:r>
          </w:p>
        </w:tc>
      </w:tr>
      <w:tr>
        <w:trPr>
          <w:trHeight w:val="267"/>
        </w:trPr>
        <w:tc>
          <w:tcPr>
            <w:tcW w:w="2640" w:type="dxa"/>
            <w:vAlign w:val="bottom"/>
          </w:tcPr>
          <w:p>
            <w:pPr>
              <w:ind w:left="40"/>
              <w:spacing w:after="0"/>
              <w:rPr>
                <w:sz w:val="20"/>
                <w:szCs w:val="20"/>
                <w:color w:val="auto"/>
              </w:rPr>
            </w:pPr>
            <w:r>
              <w:rPr>
                <w:rFonts w:ascii="Arial" w:cs="Arial" w:eastAsia="Arial" w:hAnsi="Arial"/>
                <w:sz w:val="16"/>
                <w:szCs w:val="16"/>
                <w:color w:val="auto"/>
              </w:rPr>
              <w:t>Total</w:t>
            </w:r>
          </w:p>
        </w:tc>
        <w:tc>
          <w:tcPr>
            <w:tcW w:w="14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364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21.52</w:t>
            </w:r>
          </w:p>
        </w:tc>
        <w:tc>
          <w:tcPr>
            <w:tcW w:w="21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364</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3,997,000</w:t>
            </w:r>
          </w:p>
        </w:tc>
      </w:tr>
      <w:tr>
        <w:trPr>
          <w:trHeight w:val="20"/>
        </w:trPr>
        <w:tc>
          <w:tcPr>
            <w:tcW w:w="26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r>
        <w:trPr>
          <w:trHeight w:val="585"/>
        </w:trPr>
        <w:tc>
          <w:tcPr>
            <w:tcW w:w="2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jc w:val="right"/>
              <w:ind w:right="519"/>
              <w:spacing w:after="0"/>
              <w:rPr>
                <w:sz w:val="20"/>
                <w:szCs w:val="20"/>
                <w:color w:val="auto"/>
              </w:rPr>
            </w:pPr>
            <w:r>
              <w:rPr>
                <w:rFonts w:ascii="Arial" w:cs="Arial" w:eastAsia="Arial" w:hAnsi="Arial"/>
                <w:sz w:val="16"/>
                <w:szCs w:val="16"/>
                <w:color w:val="auto"/>
              </w:rPr>
              <w:t>13</w:t>
            </w: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01" w:lineRule="exact"/>
        <w:rPr>
          <w:sz w:val="20"/>
          <w:szCs w:val="20"/>
          <w:color w:val="auto"/>
        </w:rPr>
      </w:pPr>
    </w:p>
    <w:p>
      <w:pPr>
        <w:ind w:right="540"/>
        <w:spacing w:after="0" w:line="295" w:lineRule="auto"/>
        <w:rPr>
          <w:sz w:val="20"/>
          <w:szCs w:val="20"/>
          <w:color w:val="auto"/>
        </w:rPr>
      </w:pPr>
      <w:r>
        <w:rPr>
          <w:rFonts w:ascii="Arial" w:cs="Arial" w:eastAsia="Arial" w:hAnsi="Arial"/>
          <w:sz w:val="16"/>
          <w:szCs w:val="16"/>
          <w:color w:val="auto"/>
        </w:rPr>
        <w:t>The following table provides information as of August 27, 2016 with respect to shares of our common stock that may be issued under our existing equity compensation plans: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0" w:type="dxa"/>
            <w:vAlign w:val="bottom"/>
          </w:tcPr>
          <w:p>
            <w:pPr>
              <w:spacing w:after="0"/>
              <w:rPr>
                <w:sz w:val="19"/>
                <w:szCs w:val="19"/>
                <w:color w:val="auto"/>
              </w:rPr>
            </w:pPr>
          </w:p>
        </w:tc>
        <w:tc>
          <w:tcPr>
            <w:tcW w:w="198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b w:val="1"/>
                <w:bCs w:val="1"/>
                <w:color w:val="auto"/>
              </w:rPr>
              <w:t>(a)</w:t>
            </w: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(b)</w:t>
            </w:r>
          </w:p>
        </w:tc>
        <w:tc>
          <w:tcPr>
            <w:tcW w:w="4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rPr>
              <w:t>(c)</w:t>
            </w: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20" w:type="dxa"/>
            <w:vAlign w:val="bottom"/>
          </w:tcPr>
          <w:p>
            <w:pPr>
              <w:jc w:val="center"/>
              <w:ind w:left="179"/>
              <w:spacing w:after="0"/>
              <w:rPr>
                <w:sz w:val="20"/>
                <w:szCs w:val="20"/>
                <w:color w:val="auto"/>
              </w:rPr>
            </w:pPr>
            <w:r>
              <w:rPr>
                <w:rFonts w:ascii="Arial" w:cs="Arial" w:eastAsia="Arial" w:hAnsi="Arial"/>
                <w:sz w:val="16"/>
                <w:szCs w:val="16"/>
                <w:b w:val="1"/>
                <w:bCs w:val="1"/>
                <w:color w:val="auto"/>
              </w:rPr>
              <w:t>Number of Securities</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00" w:type="dxa"/>
            <w:vAlign w:val="bottom"/>
          </w:tcPr>
          <w:p>
            <w:pPr>
              <w:spacing w:after="0"/>
              <w:rPr>
                <w:sz w:val="16"/>
                <w:szCs w:val="16"/>
                <w:color w:val="auto"/>
              </w:rPr>
            </w:pPr>
          </w:p>
        </w:tc>
        <w:tc>
          <w:tcPr>
            <w:tcW w:w="1980" w:type="dxa"/>
            <w:vAlign w:val="bottom"/>
          </w:tcPr>
          <w:p>
            <w:pPr>
              <w:jc w:val="center"/>
              <w:ind w:left="279"/>
              <w:spacing w:after="0"/>
              <w:rPr>
                <w:sz w:val="20"/>
                <w:szCs w:val="20"/>
                <w:color w:val="auto"/>
              </w:rPr>
            </w:pPr>
            <w:r>
              <w:rPr>
                <w:rFonts w:ascii="Arial" w:cs="Arial" w:eastAsia="Arial" w:hAnsi="Arial"/>
                <w:sz w:val="16"/>
                <w:szCs w:val="16"/>
                <w:b w:val="1"/>
                <w:bCs w:val="1"/>
                <w:color w:val="auto"/>
              </w:rPr>
              <w:t>Number of Securities</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20" w:type="dxa"/>
            <w:vAlign w:val="bottom"/>
          </w:tcPr>
          <w:p>
            <w:pPr>
              <w:jc w:val="center"/>
              <w:ind w:left="219"/>
              <w:spacing w:after="0"/>
              <w:rPr>
                <w:sz w:val="20"/>
                <w:szCs w:val="20"/>
                <w:color w:val="auto"/>
              </w:rPr>
            </w:pPr>
            <w:r>
              <w:rPr>
                <w:rFonts w:ascii="Arial" w:cs="Arial" w:eastAsia="Arial" w:hAnsi="Arial"/>
                <w:sz w:val="16"/>
                <w:szCs w:val="16"/>
                <w:b w:val="1"/>
                <w:bCs w:val="1"/>
                <w:color w:val="auto"/>
              </w:rPr>
              <w:t>Remaining Available for</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tcPr>
          <w:p>
            <w:pPr>
              <w:spacing w:after="0"/>
              <w:rPr>
                <w:sz w:val="16"/>
                <w:szCs w:val="16"/>
                <w:color w:val="auto"/>
              </w:rPr>
            </w:pPr>
          </w:p>
        </w:tc>
        <w:tc>
          <w:tcPr>
            <w:tcW w:w="1980" w:type="dxa"/>
            <w:vAlign w:val="bottom"/>
          </w:tcPr>
          <w:p>
            <w:pPr>
              <w:jc w:val="center"/>
              <w:ind w:left="299"/>
              <w:spacing w:after="0"/>
              <w:rPr>
                <w:sz w:val="20"/>
                <w:szCs w:val="20"/>
                <w:color w:val="auto"/>
              </w:rPr>
            </w:pPr>
            <w:r>
              <w:rPr>
                <w:rFonts w:ascii="Arial" w:cs="Arial" w:eastAsia="Arial" w:hAnsi="Arial"/>
                <w:sz w:val="16"/>
                <w:szCs w:val="16"/>
                <w:b w:val="1"/>
                <w:bCs w:val="1"/>
                <w:color w:val="auto"/>
              </w:rPr>
              <w:t>to be Issued Upon</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jc w:val="center"/>
              <w:ind w:left="19"/>
              <w:spacing w:after="0"/>
              <w:rPr>
                <w:sz w:val="20"/>
                <w:szCs w:val="20"/>
                <w:color w:val="auto"/>
              </w:rPr>
            </w:pPr>
            <w:r>
              <w:rPr>
                <w:rFonts w:ascii="Arial" w:cs="Arial" w:eastAsia="Arial" w:hAnsi="Arial"/>
                <w:sz w:val="16"/>
                <w:szCs w:val="16"/>
                <w:b w:val="1"/>
                <w:bCs w:val="1"/>
                <w:color w:val="auto"/>
              </w:rPr>
              <w:t>Weighted Average</w:t>
            </w:r>
          </w:p>
        </w:tc>
        <w:tc>
          <w:tcPr>
            <w:tcW w:w="400" w:type="dxa"/>
            <w:vAlign w:val="bottom"/>
          </w:tcPr>
          <w:p>
            <w:pPr>
              <w:spacing w:after="0"/>
              <w:rPr>
                <w:sz w:val="16"/>
                <w:szCs w:val="16"/>
                <w:color w:val="auto"/>
              </w:rPr>
            </w:pPr>
          </w:p>
        </w:tc>
        <w:tc>
          <w:tcPr>
            <w:tcW w:w="2420" w:type="dxa"/>
            <w:vAlign w:val="bottom"/>
          </w:tcPr>
          <w:p>
            <w:pPr>
              <w:jc w:val="center"/>
              <w:ind w:left="179"/>
              <w:spacing w:after="0"/>
              <w:rPr>
                <w:sz w:val="20"/>
                <w:szCs w:val="20"/>
                <w:color w:val="auto"/>
              </w:rPr>
            </w:pPr>
            <w:r>
              <w:rPr>
                <w:rFonts w:ascii="Arial" w:cs="Arial" w:eastAsia="Arial" w:hAnsi="Arial"/>
                <w:sz w:val="16"/>
                <w:szCs w:val="16"/>
                <w:b w:val="1"/>
                <w:bCs w:val="1"/>
                <w:color w:val="auto"/>
              </w:rPr>
              <w:t>Future Issuance Under</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tcPr>
          <w:p>
            <w:pPr>
              <w:spacing w:after="0"/>
              <w:rPr>
                <w:sz w:val="16"/>
                <w:szCs w:val="16"/>
                <w:color w:val="auto"/>
              </w:rPr>
            </w:pPr>
          </w:p>
        </w:tc>
        <w:tc>
          <w:tcPr>
            <w:tcW w:w="1980" w:type="dxa"/>
            <w:vAlign w:val="bottom"/>
          </w:tcPr>
          <w:p>
            <w:pPr>
              <w:jc w:val="center"/>
              <w:ind w:left="279"/>
              <w:spacing w:after="0"/>
              <w:rPr>
                <w:sz w:val="20"/>
                <w:szCs w:val="20"/>
                <w:color w:val="auto"/>
              </w:rPr>
            </w:pPr>
            <w:r>
              <w:rPr>
                <w:rFonts w:ascii="Arial" w:cs="Arial" w:eastAsia="Arial" w:hAnsi="Arial"/>
                <w:sz w:val="16"/>
                <w:szCs w:val="16"/>
                <w:b w:val="1"/>
                <w:bCs w:val="1"/>
                <w:color w:val="auto"/>
              </w:rPr>
              <w:t>Exercise of</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jc w:val="center"/>
              <w:ind w:left="19"/>
              <w:spacing w:after="0"/>
              <w:rPr>
                <w:sz w:val="20"/>
                <w:szCs w:val="20"/>
                <w:color w:val="auto"/>
              </w:rPr>
            </w:pPr>
            <w:r>
              <w:rPr>
                <w:rFonts w:ascii="Arial" w:cs="Arial" w:eastAsia="Arial" w:hAnsi="Arial"/>
                <w:sz w:val="16"/>
                <w:szCs w:val="16"/>
                <w:b w:val="1"/>
                <w:bCs w:val="1"/>
                <w:color w:val="auto"/>
              </w:rPr>
              <w:t>Exercise Price of</w:t>
            </w:r>
          </w:p>
        </w:tc>
        <w:tc>
          <w:tcPr>
            <w:tcW w:w="400" w:type="dxa"/>
            <w:vAlign w:val="bottom"/>
          </w:tcPr>
          <w:p>
            <w:pPr>
              <w:spacing w:after="0"/>
              <w:rPr>
                <w:sz w:val="16"/>
                <w:szCs w:val="16"/>
                <w:color w:val="auto"/>
              </w:rPr>
            </w:pPr>
          </w:p>
        </w:tc>
        <w:tc>
          <w:tcPr>
            <w:tcW w:w="2420" w:type="dxa"/>
            <w:vAlign w:val="bottom"/>
          </w:tcPr>
          <w:p>
            <w:pPr>
              <w:jc w:val="center"/>
              <w:ind w:left="159"/>
              <w:spacing w:after="0"/>
              <w:rPr>
                <w:sz w:val="20"/>
                <w:szCs w:val="20"/>
                <w:color w:val="auto"/>
              </w:rPr>
            </w:pPr>
            <w:r>
              <w:rPr>
                <w:rFonts w:ascii="Arial" w:cs="Arial" w:eastAsia="Arial" w:hAnsi="Arial"/>
                <w:sz w:val="16"/>
                <w:szCs w:val="16"/>
                <w:b w:val="1"/>
                <w:bCs w:val="1"/>
                <w:color w:val="auto"/>
              </w:rPr>
              <w:t>Equity Compensation Plans</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tcPr>
          <w:p>
            <w:pPr>
              <w:spacing w:after="0"/>
              <w:rPr>
                <w:sz w:val="16"/>
                <w:szCs w:val="16"/>
                <w:color w:val="auto"/>
              </w:rPr>
            </w:pPr>
          </w:p>
        </w:tc>
        <w:tc>
          <w:tcPr>
            <w:tcW w:w="224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rPr>
              <w:t>Outstanding Options,</w:t>
            </w:r>
          </w:p>
        </w:tc>
        <w:tc>
          <w:tcPr>
            <w:tcW w:w="300" w:type="dxa"/>
            <w:vAlign w:val="bottom"/>
          </w:tcPr>
          <w:p>
            <w:pPr>
              <w:spacing w:after="0"/>
              <w:rPr>
                <w:sz w:val="16"/>
                <w:szCs w:val="16"/>
                <w:color w:val="auto"/>
              </w:rPr>
            </w:pPr>
          </w:p>
        </w:tc>
        <w:tc>
          <w:tcPr>
            <w:tcW w:w="2140" w:type="dxa"/>
            <w:vAlign w:val="bottom"/>
            <w:gridSpan w:val="2"/>
          </w:tcPr>
          <w:p>
            <w:pPr>
              <w:jc w:val="center"/>
              <w:ind w:right="226"/>
              <w:spacing w:after="0"/>
              <w:rPr>
                <w:sz w:val="20"/>
                <w:szCs w:val="20"/>
                <w:color w:val="auto"/>
              </w:rPr>
            </w:pPr>
            <w:r>
              <w:rPr>
                <w:rFonts w:ascii="Arial" w:cs="Arial" w:eastAsia="Arial" w:hAnsi="Arial"/>
                <w:sz w:val="16"/>
                <w:szCs w:val="16"/>
                <w:b w:val="1"/>
                <w:bCs w:val="1"/>
                <w:color w:val="auto"/>
              </w:rPr>
              <w:t>Outstanding Options,</w:t>
            </w:r>
          </w:p>
        </w:tc>
        <w:tc>
          <w:tcPr>
            <w:tcW w:w="2420" w:type="dxa"/>
            <w:vAlign w:val="bottom"/>
          </w:tcPr>
          <w:p>
            <w:pPr>
              <w:jc w:val="center"/>
              <w:ind w:left="219"/>
              <w:spacing w:after="0"/>
              <w:rPr>
                <w:sz w:val="20"/>
                <w:szCs w:val="20"/>
                <w:color w:val="auto"/>
              </w:rPr>
            </w:pPr>
            <w:r>
              <w:rPr>
                <w:rFonts w:ascii="Arial" w:cs="Arial" w:eastAsia="Arial" w:hAnsi="Arial"/>
                <w:sz w:val="16"/>
                <w:szCs w:val="16"/>
                <w:b w:val="1"/>
                <w:bCs w:val="1"/>
                <w:color w:val="auto"/>
              </w:rPr>
              <w:t>(Excluding Securities</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Plan Category</w:t>
            </w:r>
          </w:p>
        </w:tc>
        <w:tc>
          <w:tcPr>
            <w:tcW w:w="1980" w:type="dxa"/>
            <w:vAlign w:val="bottom"/>
          </w:tcPr>
          <w:p>
            <w:pPr>
              <w:jc w:val="center"/>
              <w:ind w:left="319"/>
              <w:spacing w:after="0"/>
              <w:rPr>
                <w:sz w:val="20"/>
                <w:szCs w:val="20"/>
                <w:color w:val="auto"/>
              </w:rPr>
            </w:pPr>
            <w:r>
              <w:rPr>
                <w:rFonts w:ascii="Arial" w:cs="Arial" w:eastAsia="Arial" w:hAnsi="Arial"/>
                <w:sz w:val="16"/>
                <w:szCs w:val="16"/>
                <w:b w:val="1"/>
                <w:bCs w:val="1"/>
                <w:color w:val="auto"/>
              </w:rPr>
              <w:t>Warrants and Rights</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center"/>
              <w:ind w:left="79"/>
              <w:spacing w:after="0"/>
              <w:rPr>
                <w:sz w:val="20"/>
                <w:szCs w:val="20"/>
                <w:color w:val="auto"/>
              </w:rPr>
            </w:pPr>
            <w:r>
              <w:rPr>
                <w:rFonts w:ascii="Arial" w:cs="Arial" w:eastAsia="Arial" w:hAnsi="Arial"/>
                <w:sz w:val="16"/>
                <w:szCs w:val="16"/>
                <w:b w:val="1"/>
                <w:bCs w:val="1"/>
                <w:color w:val="auto"/>
              </w:rPr>
              <w:t>Warrants and Rights</w:t>
            </w:r>
          </w:p>
        </w:tc>
        <w:tc>
          <w:tcPr>
            <w:tcW w:w="400" w:type="dxa"/>
            <w:vAlign w:val="bottom"/>
          </w:tcPr>
          <w:p>
            <w:pPr>
              <w:spacing w:after="0"/>
              <w:rPr>
                <w:sz w:val="19"/>
                <w:szCs w:val="19"/>
                <w:color w:val="auto"/>
              </w:rPr>
            </w:pPr>
          </w:p>
        </w:tc>
        <w:tc>
          <w:tcPr>
            <w:tcW w:w="2420" w:type="dxa"/>
            <w:vAlign w:val="bottom"/>
          </w:tcPr>
          <w:p>
            <w:pPr>
              <w:jc w:val="center"/>
              <w:ind w:left="219"/>
              <w:spacing w:after="0"/>
              <w:rPr>
                <w:sz w:val="20"/>
                <w:szCs w:val="20"/>
                <w:color w:val="auto"/>
              </w:rPr>
            </w:pPr>
            <w:r>
              <w:rPr>
                <w:rFonts w:ascii="Arial" w:cs="Arial" w:eastAsia="Arial" w:hAnsi="Arial"/>
                <w:sz w:val="16"/>
                <w:szCs w:val="16"/>
                <w:b w:val="1"/>
                <w:bCs w:val="1"/>
                <w:color w:val="auto"/>
                <w:w w:val="99"/>
              </w:rPr>
              <w:t>Reflected in (a))</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compensation plans</w:t>
            </w:r>
          </w:p>
        </w:tc>
        <w:tc>
          <w:tcPr>
            <w:tcW w:w="1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20"/>
              <w:spacing w:after="0" w:line="219" w:lineRule="exact"/>
              <w:rPr>
                <w:sz w:val="20"/>
                <w:szCs w:val="20"/>
                <w:color w:val="auto"/>
              </w:rPr>
            </w:pPr>
            <w:r>
              <w:rPr>
                <w:rFonts w:ascii="Arial" w:cs="Arial" w:eastAsia="Arial" w:hAnsi="Arial"/>
                <w:sz w:val="16"/>
                <w:szCs w:val="16"/>
                <w:color w:val="auto"/>
              </w:rPr>
              <w:t xml:space="preserve">approved by shareholders - 2004 Plan </w:t>
            </w:r>
            <w:r>
              <w:rPr>
                <w:rFonts w:ascii="Arial" w:cs="Arial" w:eastAsia="Arial" w:hAnsi="Arial"/>
                <w:sz w:val="21"/>
                <w:szCs w:val="21"/>
                <w:color w:val="auto"/>
                <w:vertAlign w:val="superscript"/>
              </w:rPr>
              <w:t>(1)</w:t>
            </w:r>
          </w:p>
        </w:tc>
        <w:tc>
          <w:tcPr>
            <w:tcW w:w="1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43,127</w:t>
            </w:r>
          </w:p>
        </w:tc>
        <w:tc>
          <w:tcPr>
            <w:tcW w:w="2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88"/>
              </w:rPr>
              <w:t>(1)</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w w:val="74"/>
              </w:rPr>
              <w:t>(3)</w:t>
            </w:r>
          </w:p>
        </w:tc>
        <w:tc>
          <w:tcPr>
            <w:tcW w:w="2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00" w:type="dxa"/>
            <w:vAlign w:val="bottom"/>
          </w:tcPr>
          <w:p>
            <w:pPr>
              <w:ind w:left="40"/>
              <w:spacing w:after="0"/>
              <w:rPr>
                <w:sz w:val="20"/>
                <w:szCs w:val="20"/>
                <w:color w:val="auto"/>
              </w:rPr>
            </w:pPr>
            <w:r>
              <w:rPr>
                <w:rFonts w:ascii="Arial" w:cs="Arial" w:eastAsia="Arial" w:hAnsi="Arial"/>
                <w:sz w:val="16"/>
                <w:szCs w:val="16"/>
                <w:color w:val="auto"/>
              </w:rPr>
              <w:t>Equity compensation plans</w:t>
            </w:r>
          </w:p>
        </w:tc>
        <w:tc>
          <w:tcPr>
            <w:tcW w:w="1980" w:type="dxa"/>
            <w:vAlign w:val="bottom"/>
          </w:tcPr>
          <w:p>
            <w:pPr>
              <w:spacing w:after="0"/>
              <w:rPr>
                <w:sz w:val="18"/>
                <w:szCs w:val="18"/>
                <w:color w:val="auto"/>
              </w:rPr>
            </w:pPr>
          </w:p>
        </w:tc>
        <w:tc>
          <w:tcPr>
            <w:tcW w:w="260" w:type="dxa"/>
            <w:vAlign w:val="bottom"/>
            <w:vMerge w:val="restart"/>
          </w:tcPr>
          <w:p>
            <w:pPr>
              <w:jc w:val="right"/>
              <w:ind w:right="66"/>
              <w:spacing w:after="0"/>
              <w:rPr>
                <w:sz w:val="20"/>
                <w:szCs w:val="20"/>
                <w:color w:val="auto"/>
              </w:rPr>
            </w:pPr>
            <w:r>
              <w:rPr>
                <w:rFonts w:ascii="Arial" w:cs="Arial" w:eastAsia="Arial" w:hAnsi="Arial"/>
                <w:sz w:val="11"/>
                <w:szCs w:val="11"/>
                <w:color w:val="auto"/>
                <w:w w:val="88"/>
              </w:rPr>
              <w:t>(2)</w:t>
            </w: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0" w:type="dxa"/>
            <w:vAlign w:val="bottom"/>
            <w:vMerge w:val="restart"/>
          </w:tcPr>
          <w:p>
            <w:pPr>
              <w:jc w:val="right"/>
              <w:ind w:right="226"/>
              <w:spacing w:after="0"/>
              <w:rPr>
                <w:sz w:val="20"/>
                <w:szCs w:val="20"/>
                <w:color w:val="auto"/>
              </w:rPr>
            </w:pPr>
            <w:r>
              <w:rPr>
                <w:rFonts w:ascii="Arial" w:cs="Arial" w:eastAsia="Arial" w:hAnsi="Arial"/>
                <w:sz w:val="11"/>
                <w:szCs w:val="11"/>
                <w:color w:val="auto"/>
                <w:w w:val="74"/>
              </w:rPr>
              <w:t>(3)</w:t>
            </w:r>
          </w:p>
        </w:tc>
        <w:tc>
          <w:tcPr>
            <w:tcW w:w="2420" w:type="dxa"/>
            <w:vAlign w:val="bottom"/>
          </w:tcPr>
          <w:p>
            <w:pPr>
              <w:spacing w:after="0"/>
              <w:rPr>
                <w:sz w:val="18"/>
                <w:szCs w:val="18"/>
                <w:color w:val="auto"/>
              </w:rPr>
            </w:pPr>
          </w:p>
        </w:tc>
        <w:tc>
          <w:tcPr>
            <w:tcW w:w="320" w:type="dxa"/>
            <w:vAlign w:val="bottom"/>
            <w:vMerge w:val="restart"/>
          </w:tcPr>
          <w:p>
            <w:pPr>
              <w:jc w:val="right"/>
              <w:ind w:right="126"/>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204"/>
        </w:trPr>
        <w:tc>
          <w:tcPr>
            <w:tcW w:w="4000" w:type="dxa"/>
            <w:vAlign w:val="bottom"/>
          </w:tcPr>
          <w:p>
            <w:pPr>
              <w:ind w:left="120"/>
              <w:spacing w:after="0"/>
              <w:rPr>
                <w:sz w:val="20"/>
                <w:szCs w:val="20"/>
                <w:color w:val="auto"/>
              </w:rPr>
            </w:pPr>
            <w:r>
              <w:rPr>
                <w:rFonts w:ascii="Arial" w:cs="Arial" w:eastAsia="Arial" w:hAnsi="Arial"/>
                <w:sz w:val="16"/>
                <w:szCs w:val="16"/>
                <w:color w:val="auto"/>
              </w:rPr>
              <w:t>approved by shareholders - 2014 Plan</w:t>
            </w:r>
          </w:p>
        </w:tc>
        <w:tc>
          <w:tcPr>
            <w:tcW w:w="1980" w:type="dxa"/>
            <w:vAlign w:val="bottom"/>
          </w:tcPr>
          <w:p>
            <w:pPr>
              <w:jc w:val="right"/>
              <w:ind w:right="59"/>
              <w:spacing w:after="0"/>
              <w:rPr>
                <w:sz w:val="20"/>
                <w:szCs w:val="20"/>
                <w:color w:val="auto"/>
              </w:rPr>
            </w:pPr>
            <w:r>
              <w:rPr>
                <w:rFonts w:ascii="Arial" w:cs="Arial" w:eastAsia="Arial" w:hAnsi="Arial"/>
                <w:sz w:val="16"/>
                <w:szCs w:val="16"/>
                <w:color w:val="auto"/>
              </w:rPr>
              <w:t>250,754</w:t>
            </w:r>
          </w:p>
        </w:tc>
        <w:tc>
          <w:tcPr>
            <w:tcW w:w="260" w:type="dxa"/>
            <w:vAlign w:val="bottom"/>
            <w:vMerge w:val="continue"/>
          </w:tcPr>
          <w:p>
            <w:pPr>
              <w:spacing w:after="0"/>
              <w:rPr>
                <w:sz w:val="17"/>
                <w:szCs w:val="17"/>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59"/>
              <w:spacing w:after="0"/>
              <w:rPr>
                <w:sz w:val="20"/>
                <w:szCs w:val="20"/>
                <w:color w:val="auto"/>
              </w:rPr>
            </w:pPr>
            <w:r>
              <w:rPr>
                <w:rFonts w:ascii="Arial" w:cs="Arial" w:eastAsia="Arial" w:hAnsi="Arial"/>
                <w:sz w:val="16"/>
                <w:szCs w:val="16"/>
                <w:color w:val="auto"/>
              </w:rPr>
              <w:t>16.67</w:t>
            </w:r>
          </w:p>
        </w:tc>
        <w:tc>
          <w:tcPr>
            <w:tcW w:w="400" w:type="dxa"/>
            <w:vAlign w:val="bottom"/>
            <w:vMerge w:val="continue"/>
          </w:tcPr>
          <w:p>
            <w:pPr>
              <w:spacing w:after="0"/>
              <w:rPr>
                <w:sz w:val="17"/>
                <w:szCs w:val="17"/>
                <w:color w:val="auto"/>
              </w:rPr>
            </w:pPr>
          </w:p>
        </w:tc>
        <w:tc>
          <w:tcPr>
            <w:tcW w:w="2420" w:type="dxa"/>
            <w:vAlign w:val="bottom"/>
          </w:tcPr>
          <w:p>
            <w:pPr>
              <w:jc w:val="right"/>
              <w:ind w:right="39"/>
              <w:spacing w:after="0"/>
              <w:rPr>
                <w:sz w:val="20"/>
                <w:szCs w:val="20"/>
                <w:color w:val="auto"/>
              </w:rPr>
            </w:pPr>
            <w:r>
              <w:rPr>
                <w:rFonts w:ascii="Arial" w:cs="Arial" w:eastAsia="Arial" w:hAnsi="Arial"/>
                <w:sz w:val="16"/>
                <w:szCs w:val="16"/>
                <w:color w:val="auto"/>
              </w:rPr>
              <w:t>2,599,258</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compensation plans not</w:t>
            </w:r>
          </w:p>
        </w:tc>
        <w:tc>
          <w:tcPr>
            <w:tcW w:w="1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20"/>
              <w:spacing w:after="0" w:line="219" w:lineRule="exact"/>
              <w:rPr>
                <w:sz w:val="20"/>
                <w:szCs w:val="20"/>
                <w:color w:val="auto"/>
              </w:rPr>
            </w:pPr>
            <w:r>
              <w:rPr>
                <w:rFonts w:ascii="Arial" w:cs="Arial" w:eastAsia="Arial" w:hAnsi="Arial"/>
                <w:sz w:val="16"/>
                <w:szCs w:val="16"/>
                <w:color w:val="auto"/>
              </w:rPr>
              <w:t xml:space="preserve">approved by shareholders </w:t>
            </w:r>
            <w:r>
              <w:rPr>
                <w:rFonts w:ascii="Arial" w:cs="Arial" w:eastAsia="Arial" w:hAnsi="Arial"/>
                <w:sz w:val="21"/>
                <w:szCs w:val="21"/>
                <w:color w:val="auto"/>
                <w:vertAlign w:val="superscript"/>
              </w:rPr>
              <w:t>(5)</w:t>
            </w:r>
          </w:p>
        </w:tc>
        <w:tc>
          <w:tcPr>
            <w:tcW w:w="19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86,506</w:t>
            </w:r>
          </w:p>
        </w:tc>
        <w:tc>
          <w:tcPr>
            <w:tcW w:w="2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88"/>
              </w:rPr>
              <w:t>(6)</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1"/>
                <w:szCs w:val="11"/>
                <w:color w:val="auto"/>
                <w:w w:val="74"/>
              </w:rPr>
              <w:t>(3)</w:t>
            </w:r>
          </w:p>
        </w:tc>
        <w:tc>
          <w:tcPr>
            <w:tcW w:w="2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w w:val="88"/>
              </w:rPr>
              <w:t>(7)</w:t>
            </w:r>
          </w:p>
        </w:tc>
        <w:tc>
          <w:tcPr>
            <w:tcW w:w="0" w:type="dxa"/>
            <w:vAlign w:val="bottom"/>
          </w:tcPr>
          <w:p>
            <w:pPr>
              <w:spacing w:after="0"/>
              <w:rPr>
                <w:sz w:val="1"/>
                <w:szCs w:val="1"/>
                <w:color w:val="auto"/>
              </w:rPr>
            </w:pPr>
          </w:p>
        </w:tc>
      </w:tr>
      <w:tr>
        <w:trPr>
          <w:trHeight w:val="261"/>
        </w:trPr>
        <w:tc>
          <w:tcPr>
            <w:tcW w:w="4000" w:type="dxa"/>
            <w:vAlign w:val="bottom"/>
          </w:tcPr>
          <w:p>
            <w:pPr>
              <w:ind w:left="40"/>
              <w:spacing w:after="0"/>
              <w:rPr>
                <w:sz w:val="20"/>
                <w:szCs w:val="20"/>
                <w:color w:val="auto"/>
              </w:rPr>
            </w:pPr>
            <w:r>
              <w:rPr>
                <w:rFonts w:ascii="Arial" w:cs="Arial" w:eastAsia="Arial" w:hAnsi="Arial"/>
                <w:sz w:val="16"/>
                <w:szCs w:val="16"/>
                <w:color w:val="auto"/>
              </w:rPr>
              <w:t>Total</w:t>
            </w:r>
          </w:p>
        </w:tc>
        <w:tc>
          <w:tcPr>
            <w:tcW w:w="1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380,387</w:t>
            </w:r>
          </w:p>
        </w:tc>
        <w:tc>
          <w:tcPr>
            <w:tcW w:w="2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16.67</w:t>
            </w:r>
          </w:p>
        </w:tc>
        <w:tc>
          <w:tcPr>
            <w:tcW w:w="40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2,599,258</w:t>
            </w:r>
          </w:p>
        </w:tc>
        <w:tc>
          <w:tcPr>
            <w:tcW w:w="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260" w:hanging="238"/>
        <w:spacing w:after="0"/>
        <w:tabs>
          <w:tab w:leader="none" w:pos="260" w:val="left"/>
        </w:tabs>
        <w:numPr>
          <w:ilvl w:val="1"/>
          <w:numId w:val="9"/>
        </w:numPr>
        <w:rPr>
          <w:rFonts w:ascii="Arial" w:cs="Arial" w:eastAsia="Arial" w:hAnsi="Arial"/>
          <w:sz w:val="18"/>
          <w:szCs w:val="18"/>
          <w:color w:val="auto"/>
          <w:vertAlign w:val="superscript"/>
        </w:rPr>
      </w:pPr>
      <w:r>
        <w:rPr>
          <w:rFonts w:ascii="Arial" w:cs="Arial" w:eastAsia="Arial" w:hAnsi="Arial"/>
          <w:sz w:val="14"/>
          <w:szCs w:val="14"/>
          <w:color w:val="auto"/>
        </w:rPr>
        <w:t>This number represents unvested share awards granted under the 2004 Plan. No new grants may be made under the 2004 Plan.</w:t>
      </w:r>
    </w:p>
    <w:p>
      <w:pPr>
        <w:ind w:left="260" w:right="60" w:hanging="252"/>
        <w:spacing w:after="0" w:line="218" w:lineRule="auto"/>
        <w:tabs>
          <w:tab w:leader="none" w:pos="152" w:val="left"/>
        </w:tabs>
        <w:numPr>
          <w:ilvl w:val="0"/>
          <w:numId w:val="10"/>
        </w:numPr>
        <w:rPr>
          <w:rFonts w:ascii="Arial" w:cs="Arial" w:eastAsia="Arial" w:hAnsi="Arial"/>
          <w:sz w:val="17"/>
          <w:szCs w:val="17"/>
          <w:color w:val="auto"/>
          <w:vertAlign w:val="superscript"/>
        </w:rPr>
      </w:pPr>
      <w:r>
        <w:rPr>
          <w:rFonts w:ascii="Arial" w:cs="Arial" w:eastAsia="Arial" w:hAnsi="Arial"/>
          <w:sz w:val="14"/>
          <w:szCs w:val="14"/>
          <w:color w:val="auto"/>
        </w:rPr>
        <w:t>This number represents stock options and unvested stock awards granted under the 2014 Omnibus Equity, Performance Award, and Incentive Compensation Plan, as amended ("2014 Plan"). The 2014 Plan replaced the 2004 Plan effective January 1, 2014.</w:t>
      </w:r>
    </w:p>
    <w:p>
      <w:pPr>
        <w:ind w:left="260" w:right="120" w:hanging="238"/>
        <w:spacing w:after="0" w:line="211" w:lineRule="auto"/>
        <w:tabs>
          <w:tab w:leader="none" w:pos="260" w:val="left"/>
        </w:tabs>
        <w:numPr>
          <w:ilvl w:val="1"/>
          <w:numId w:val="10"/>
        </w:numPr>
        <w:rPr>
          <w:rFonts w:ascii="Arial" w:cs="Arial" w:eastAsia="Arial" w:hAnsi="Arial"/>
          <w:sz w:val="18"/>
          <w:szCs w:val="18"/>
          <w:color w:val="auto"/>
          <w:vertAlign w:val="superscript"/>
        </w:rPr>
      </w:pPr>
      <w:r>
        <w:rPr>
          <w:rFonts w:ascii="Arial" w:cs="Arial" w:eastAsia="Arial" w:hAnsi="Arial"/>
          <w:sz w:val="14"/>
          <w:szCs w:val="14"/>
          <w:color w:val="auto"/>
        </w:rPr>
        <w:t>This number represents the weighted average exercise price of outstanding stock options only. Restricted share awards do not have an exercise price so weighted average is not applicable.</w:t>
      </w:r>
    </w:p>
    <w:p>
      <w:pPr>
        <w:ind w:left="260" w:hanging="238"/>
        <w:spacing w:after="0" w:line="187" w:lineRule="auto"/>
        <w:tabs>
          <w:tab w:leader="none" w:pos="260" w:val="left"/>
        </w:tabs>
        <w:numPr>
          <w:ilvl w:val="1"/>
          <w:numId w:val="10"/>
        </w:numPr>
        <w:rPr>
          <w:rFonts w:ascii="Arial" w:cs="Arial" w:eastAsia="Arial" w:hAnsi="Arial"/>
          <w:sz w:val="18"/>
          <w:szCs w:val="18"/>
          <w:color w:val="auto"/>
          <w:vertAlign w:val="superscript"/>
        </w:rPr>
      </w:pPr>
      <w:r>
        <w:rPr>
          <w:rFonts w:ascii="Arial" w:cs="Arial" w:eastAsia="Arial" w:hAnsi="Arial"/>
          <w:sz w:val="14"/>
          <w:szCs w:val="14"/>
          <w:color w:val="auto"/>
        </w:rPr>
        <w:t>This number represents stock options available for grant under the 2014 Plan as of August 27, 2016.</w:t>
      </w:r>
    </w:p>
    <w:p>
      <w:pPr>
        <w:ind w:left="260" w:right="280" w:hanging="238"/>
        <w:spacing w:after="0" w:line="211" w:lineRule="auto"/>
        <w:tabs>
          <w:tab w:leader="none" w:pos="260" w:val="left"/>
        </w:tabs>
        <w:numPr>
          <w:ilvl w:val="1"/>
          <w:numId w:val="10"/>
        </w:numPr>
        <w:rPr>
          <w:rFonts w:ascii="Arial" w:cs="Arial" w:eastAsia="Arial" w:hAnsi="Arial"/>
          <w:sz w:val="18"/>
          <w:szCs w:val="18"/>
          <w:color w:val="auto"/>
          <w:vertAlign w:val="superscript"/>
        </w:rPr>
      </w:pPr>
      <w:r>
        <w:rPr>
          <w:rFonts w:ascii="Arial" w:cs="Arial" w:eastAsia="Arial" w:hAnsi="Arial"/>
          <w:sz w:val="14"/>
          <w:szCs w:val="14"/>
          <w:color w:val="auto"/>
        </w:rPr>
        <w:t>Our sole equity compensation plan not previously submitted to our shareholders for approval is the Directors' Deferred Compensation Plan, as amended ("Directors' Plan"). The Board of Directors may terminate the Directors' Plan at any time. If not terminated earlier, the Directors' Plan will automatically terminate on June 30, 2023. For a</w:t>
      </w:r>
    </w:p>
    <w:p>
      <w:pPr>
        <w:spacing w:after="0" w:line="1" w:lineRule="exact"/>
        <w:rPr>
          <w:sz w:val="20"/>
          <w:szCs w:val="20"/>
          <w:color w:val="auto"/>
        </w:rPr>
      </w:pPr>
    </w:p>
    <w:p>
      <w:pPr>
        <w:ind w:left="260" w:right="80"/>
        <w:spacing w:after="0" w:line="237" w:lineRule="auto"/>
        <w:rPr>
          <w:sz w:val="20"/>
          <w:szCs w:val="20"/>
          <w:color w:val="auto"/>
        </w:rPr>
      </w:pPr>
      <w:r>
        <w:rPr>
          <w:rFonts w:ascii="Arial" w:cs="Arial" w:eastAsia="Arial" w:hAnsi="Arial"/>
          <w:sz w:val="14"/>
          <w:szCs w:val="14"/>
          <w:color w:val="auto"/>
        </w:rPr>
        <w:t>description of the key provisions of the Directors' Plan, see the information in our Proxy Statement for the Annual Meeting of Shareholders scheduled to be held December 13, 2016 under the caption "Director Compensation," which information is incorporated by reference herein.</w:t>
      </w:r>
    </w:p>
    <w:p>
      <w:pPr>
        <w:ind w:left="260" w:hanging="238"/>
        <w:spacing w:after="0" w:line="206" w:lineRule="auto"/>
        <w:tabs>
          <w:tab w:leader="none" w:pos="2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Represents shares of common stock issued to a trust which underlie stock units, payable on a one-for-one basis, credited to stock unit accounts as of August 27, 2016 under</w:t>
      </w:r>
    </w:p>
    <w:p>
      <w:pPr>
        <w:spacing w:after="0" w:line="153" w:lineRule="exact"/>
        <w:rPr>
          <w:sz w:val="20"/>
          <w:szCs w:val="20"/>
          <w:color w:val="auto"/>
        </w:rPr>
      </w:pPr>
    </w:p>
    <w:p>
      <w:pPr>
        <w:ind w:left="260" w:right="20" w:hanging="238"/>
        <w:spacing w:after="0" w:line="225" w:lineRule="auto"/>
        <w:tabs>
          <w:tab w:leader="none" w:pos="2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The table does not reflect a specific number of stock units which may be distributed pursuant to the Directors' Plan. The Directors' Plan does not limit the number of stock units issuable thereunder. The number of stock units to be distributed pursuant to the Directors' Plan will be based on the amount of the director's compensation deferred and the per share price of our common stock at the time of deferral.</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4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Graph</w:t>
      </w:r>
    </w:p>
    <w:p>
      <w:pPr>
        <w:spacing w:after="0" w:line="187"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The following graph compares our five-year cumulative total shareholder return (including reinvestment of dividends) with the cumulative total return on the Standard &amp; Poor's 500 Index and a peer group. The peer group companies consisting of Thor Industries, Inc., Polaris Industries, Inc. and Brunswick Corporation were selected by us as they also manufacture recreation products. It is assumed in the graph that $100 was invested in our common stock, in the Standard &amp; Poor's 500 Index and in the stocks of the peer group companies on August 28, 2010 and that all dividends received within a quarter were reinvested in that quarter. In accordance with the guidelines of the SEC, the shareholder return for each entity in the peer group index has been weighted on the basis of market capitalization as of each annual measurement date set forth in the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969000" cy="3430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00"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Base Period</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76"/>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Company/Index</w:t>
            </w:r>
          </w:p>
        </w:tc>
        <w:tc>
          <w:tcPr>
            <w:tcW w:w="12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8/27/11</w:t>
            </w:r>
          </w:p>
        </w:tc>
        <w:tc>
          <w:tcPr>
            <w:tcW w:w="116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rPr>
              <w:t>8/25/12</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8/31/13</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8/30/14</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8/29/15</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8/27/16</w:t>
            </w:r>
          </w:p>
        </w:tc>
      </w:tr>
      <w:tr>
        <w:trPr>
          <w:trHeight w:val="270"/>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Winnebago Industries, Inc.</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158.96</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321.54</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357.05</w:t>
            </w: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299.84</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357.95</w:t>
            </w:r>
          </w:p>
        </w:tc>
      </w:tr>
      <w:tr>
        <w:trPr>
          <w:trHeight w:val="260"/>
        </w:trPr>
        <w:tc>
          <w:tcPr>
            <w:tcW w:w="3960" w:type="dxa"/>
            <w:vAlign w:val="bottom"/>
          </w:tcPr>
          <w:p>
            <w:pPr>
              <w:ind w:left="40"/>
              <w:spacing w:after="0"/>
              <w:rPr>
                <w:sz w:val="20"/>
                <w:szCs w:val="20"/>
                <w:color w:val="auto"/>
              </w:rPr>
            </w:pPr>
            <w:r>
              <w:rPr>
                <w:rFonts w:ascii="Arial" w:cs="Arial" w:eastAsia="Arial" w:hAnsi="Arial"/>
                <w:sz w:val="16"/>
                <w:szCs w:val="16"/>
                <w:color w:val="auto"/>
              </w:rPr>
              <w:t>S&amp;P 500 Index</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100.00</w:t>
            </w: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122.47</w:t>
            </w: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144.97</w:t>
            </w: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181.57</w:t>
            </w:r>
          </w:p>
        </w:tc>
        <w:tc>
          <w:tcPr>
            <w:tcW w:w="18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183.96</w:t>
            </w:r>
          </w:p>
        </w:tc>
        <w:tc>
          <w:tcPr>
            <w:tcW w:w="200" w:type="dxa"/>
            <w:vAlign w:val="bottom"/>
          </w:tcPr>
          <w:p>
            <w:pPr>
              <w:spacing w:after="0"/>
              <w:rPr>
                <w:sz w:val="22"/>
                <w:szCs w:val="22"/>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205.06</w:t>
            </w:r>
          </w:p>
        </w:tc>
      </w:tr>
      <w:tr>
        <w:trPr>
          <w:trHeight w:val="280"/>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Peer Group</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151.94</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234.38</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294.85</w:t>
            </w: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294.23</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267.91</w:t>
            </w:r>
          </w:p>
        </w:tc>
      </w:tr>
      <w:tr>
        <w:trPr>
          <w:trHeight w:val="386"/>
        </w:trPr>
        <w:tc>
          <w:tcPr>
            <w:tcW w:w="3960" w:type="dxa"/>
            <w:vAlign w:val="bottom"/>
          </w:tcPr>
          <w:p>
            <w:pPr>
              <w:spacing w:after="0"/>
              <w:rPr>
                <w:sz w:val="20"/>
                <w:szCs w:val="20"/>
                <w:color w:val="auto"/>
              </w:rPr>
            </w:pPr>
            <w:r>
              <w:rPr>
                <w:rFonts w:ascii="Arial" w:cs="Arial" w:eastAsia="Arial" w:hAnsi="Arial"/>
                <w:sz w:val="16"/>
                <w:szCs w:val="16"/>
                <w:b w:val="1"/>
                <w:bCs w:val="1"/>
                <w:color w:val="auto"/>
              </w:rPr>
              <w:t xml:space="preserve">Item 6. </w:t>
            </w:r>
            <w:r>
              <w:rPr>
                <w:rFonts w:ascii="Arial" w:cs="Arial" w:eastAsia="Arial" w:hAnsi="Arial"/>
                <w:sz w:val="16"/>
                <w:szCs w:val="16"/>
                <w:color w:val="auto"/>
              </w:rPr>
              <w:t>Selected Financial Data</w:t>
            </w: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91"/>
        </w:trPr>
        <w:tc>
          <w:tcPr>
            <w:tcW w:w="3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6"/>
                <w:szCs w:val="16"/>
                <w:b w:val="1"/>
                <w:bCs w:val="1"/>
                <w:color w:val="auto"/>
                <w:w w:val="99"/>
              </w:rPr>
              <w:t>Fiscal Years Ended</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70"/>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EPS)</w:t>
            </w:r>
          </w:p>
        </w:tc>
        <w:tc>
          <w:tcPr>
            <w:tcW w:w="20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6"/>
                <w:szCs w:val="16"/>
                <w:b w:val="1"/>
                <w:bCs w:val="1"/>
                <w:color w:val="auto"/>
              </w:rPr>
              <w:t>8/27/16</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8/29/15</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8/30/14</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 xml:space="preserve">8/31/13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 xml:space="preserve">8/25/12 </w:t>
            </w:r>
            <w:r>
              <w:rPr>
                <w:rFonts w:ascii="Arial" w:cs="Arial" w:eastAsia="Arial" w:hAnsi="Arial"/>
                <w:sz w:val="21"/>
                <w:szCs w:val="21"/>
                <w:b w:val="1"/>
                <w:bCs w:val="1"/>
                <w:color w:val="auto"/>
                <w:vertAlign w:val="superscript"/>
              </w:rPr>
              <w:t>(2)</w:t>
            </w:r>
          </w:p>
        </w:tc>
      </w:tr>
      <w:tr>
        <w:trPr>
          <w:trHeight w:val="264"/>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statement data:</w:t>
            </w:r>
          </w:p>
        </w:tc>
        <w:tc>
          <w:tcPr>
            <w:tcW w:w="7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60"/>
        </w:trPr>
        <w:tc>
          <w:tcPr>
            <w:tcW w:w="3960" w:type="dxa"/>
            <w:vAlign w:val="bottom"/>
          </w:tcPr>
          <w:p>
            <w:pPr>
              <w:ind w:left="180"/>
              <w:spacing w:after="0"/>
              <w:rPr>
                <w:sz w:val="20"/>
                <w:szCs w:val="20"/>
                <w:color w:val="auto"/>
              </w:rPr>
            </w:pPr>
            <w:r>
              <w:rPr>
                <w:rFonts w:ascii="Arial" w:cs="Arial" w:eastAsia="Arial" w:hAnsi="Arial"/>
                <w:sz w:val="16"/>
                <w:szCs w:val="16"/>
                <w:color w:val="auto"/>
              </w:rPr>
              <w:t>Net revenues</w:t>
            </w:r>
          </w:p>
        </w:tc>
        <w:tc>
          <w:tcPr>
            <w:tcW w:w="12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975,226</w:t>
            </w:r>
          </w:p>
        </w:tc>
        <w:tc>
          <w:tcPr>
            <w:tcW w:w="120" w:type="dxa"/>
            <w:vAlign w:val="bottom"/>
          </w:tcPr>
          <w:p>
            <w:pPr>
              <w:spacing w:after="0"/>
              <w:rPr>
                <w:sz w:val="22"/>
                <w:szCs w:val="22"/>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976,505</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945,163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803,165</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581,679</w:t>
            </w:r>
          </w:p>
        </w:tc>
      </w:tr>
      <w:tr>
        <w:trPr>
          <w:trHeight w:val="280"/>
        </w:trPr>
        <w:tc>
          <w:tcPr>
            <w:tcW w:w="3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7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45,496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41,210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45,053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31,953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44,972</w:t>
            </w:r>
          </w:p>
        </w:tc>
      </w:tr>
      <w:tr>
        <w:trPr>
          <w:trHeight w:val="270"/>
        </w:trPr>
        <w:tc>
          <w:tcPr>
            <w:tcW w:w="3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 share data:</w:t>
            </w:r>
          </w:p>
        </w:tc>
        <w:tc>
          <w:tcPr>
            <w:tcW w:w="7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60"/>
        </w:trPr>
        <w:tc>
          <w:tcPr>
            <w:tcW w:w="3960" w:type="dxa"/>
            <w:vAlign w:val="bottom"/>
          </w:tcPr>
          <w:p>
            <w:pPr>
              <w:ind w:left="180"/>
              <w:spacing w:after="0"/>
              <w:rPr>
                <w:sz w:val="20"/>
                <w:szCs w:val="20"/>
                <w:color w:val="auto"/>
              </w:rPr>
            </w:pPr>
            <w:r>
              <w:rPr>
                <w:rFonts w:ascii="Arial" w:cs="Arial" w:eastAsia="Arial" w:hAnsi="Arial"/>
                <w:sz w:val="16"/>
                <w:szCs w:val="16"/>
                <w:color w:val="auto"/>
              </w:rPr>
              <w:t>Net income - basic</w:t>
            </w: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1.54</w:t>
            </w:r>
          </w:p>
        </w:tc>
      </w:tr>
      <w:tr>
        <w:trPr>
          <w:trHeight w:val="280"/>
        </w:trPr>
        <w:tc>
          <w:tcPr>
            <w:tcW w:w="3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 diluted</w:t>
            </w:r>
          </w:p>
        </w:tc>
        <w:tc>
          <w:tcPr>
            <w:tcW w:w="7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1.54</w:t>
            </w:r>
          </w:p>
        </w:tc>
      </w:tr>
      <w:tr>
        <w:trPr>
          <w:trHeight w:val="260"/>
        </w:trPr>
        <w:tc>
          <w:tcPr>
            <w:tcW w:w="3960" w:type="dxa"/>
            <w:vAlign w:val="bottom"/>
          </w:tcPr>
          <w:p>
            <w:pPr>
              <w:ind w:left="180"/>
              <w:spacing w:after="0"/>
              <w:rPr>
                <w:sz w:val="20"/>
                <w:szCs w:val="20"/>
                <w:color w:val="auto"/>
              </w:rPr>
            </w:pPr>
            <w:r>
              <w:rPr>
                <w:rFonts w:ascii="Arial" w:cs="Arial" w:eastAsia="Arial" w:hAnsi="Arial"/>
                <w:sz w:val="16"/>
                <w:szCs w:val="16"/>
                <w:color w:val="auto"/>
              </w:rPr>
              <w:t>Dividends declared and paid per common share</w:t>
            </w: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0.40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0"/>
        </w:trPr>
        <w:tc>
          <w:tcPr>
            <w:tcW w:w="39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51"/>
        </w:trPr>
        <w:tc>
          <w:tcPr>
            <w:tcW w:w="3960" w:type="dxa"/>
            <w:vAlign w:val="bottom"/>
          </w:tcPr>
          <w:p>
            <w:pPr>
              <w:ind w:left="40"/>
              <w:spacing w:after="0"/>
              <w:rPr>
                <w:sz w:val="20"/>
                <w:szCs w:val="20"/>
                <w:color w:val="auto"/>
              </w:rPr>
            </w:pPr>
            <w:r>
              <w:rPr>
                <w:rFonts w:ascii="Arial" w:cs="Arial" w:eastAsia="Arial" w:hAnsi="Arial"/>
                <w:sz w:val="16"/>
                <w:szCs w:val="16"/>
                <w:color w:val="auto"/>
              </w:rPr>
              <w:t>Balance sheet data:</w:t>
            </w: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3960" w:type="dxa"/>
            <w:vAlign w:val="bottom"/>
          </w:tcPr>
          <w:p>
            <w:pPr>
              <w:ind w:left="180"/>
              <w:spacing w:after="0"/>
              <w:rPr>
                <w:sz w:val="20"/>
                <w:szCs w:val="20"/>
                <w:color w:val="auto"/>
              </w:rPr>
            </w:pPr>
            <w:r>
              <w:rPr>
                <w:rFonts w:ascii="Arial" w:cs="Arial" w:eastAsia="Arial" w:hAnsi="Arial"/>
                <w:sz w:val="16"/>
                <w:szCs w:val="16"/>
                <w:color w:val="auto"/>
              </w:rPr>
              <w:t>Total assets</w:t>
            </w: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390,718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362,174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358,302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309,145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286,072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40" w:hanging="132"/>
        <w:spacing w:after="0"/>
        <w:tabs>
          <w:tab w:leader="none" w:pos="140"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The fiscal year ended August 31, 2013 contained 53 weeks; all other fiscal years contained 52 weeks.</w:t>
      </w:r>
    </w:p>
    <w:p>
      <w:pPr>
        <w:ind w:left="140" w:hanging="132"/>
        <w:spacing w:after="0" w:line="224" w:lineRule="auto"/>
        <w:tabs>
          <w:tab w:leader="none" w:pos="140"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In Fiscal 2012, we recorded a non-cash tax benefit of $37.7 million through the reduction of our Fiscal 2009 deferred tax asset valuation allowance.</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41" w:right="239" w:bottom="1440" w:gutter="0" w:footer="0" w:header="0"/>
          <w:type w:val="continuous"/>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7. </w:t>
      </w:r>
      <w:r>
        <w:rPr>
          <w:rFonts w:ascii="Arial" w:cs="Arial" w:eastAsia="Arial" w:hAnsi="Arial"/>
          <w:sz w:val="16"/>
          <w:szCs w:val="16"/>
          <w:color w:val="auto"/>
        </w:rPr>
        <w:t>Management's Discussion and Analysis of Financial Condition and Results of Operations</w:t>
      </w:r>
    </w:p>
    <w:p>
      <w:pPr>
        <w:spacing w:after="0" w:line="187"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Our MD&amp;A is presented in eight sections:</w:t>
      </w:r>
    </w:p>
    <w:p>
      <w:pPr>
        <w:spacing w:after="0" w:line="174"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6"/>
          <w:szCs w:val="16"/>
          <w:u w:val="single" w:color="auto"/>
          <w:color w:val="0000EE"/>
        </w:rPr>
      </w:pPr>
      <w:hyperlink w:anchor="page19">
        <w:r>
          <w:rPr>
            <w:rFonts w:ascii="Arial" w:cs="Arial" w:eastAsia="Arial" w:hAnsi="Arial"/>
            <w:sz w:val="16"/>
            <w:szCs w:val="16"/>
            <w:u w:val="single" w:color="auto"/>
            <w:color w:val="0000EE"/>
          </w:rPr>
          <w:t>Executive Overview</w:t>
        </w:r>
      </w:hyperlink>
    </w:p>
    <w:p>
      <w:pPr>
        <w:spacing w:after="0" w:line="5" w:lineRule="exact"/>
        <w:rPr>
          <w:rFonts w:ascii="Arial" w:cs="Arial" w:eastAsia="Arial" w:hAnsi="Arial"/>
          <w:sz w:val="16"/>
          <w:szCs w:val="16"/>
          <w:u w:val="single" w:color="auto"/>
          <w:color w:val="0000EE"/>
        </w:rPr>
      </w:pPr>
    </w:p>
    <w:p>
      <w:pPr>
        <w:ind w:left="340" w:hanging="332"/>
        <w:spacing w:after="0"/>
        <w:tabs>
          <w:tab w:leader="none" w:pos="340" w:val="left"/>
        </w:tabs>
        <w:numPr>
          <w:ilvl w:val="0"/>
          <w:numId w:val="14"/>
        </w:numPr>
        <w:rPr>
          <w:rFonts w:ascii="Arial" w:cs="Arial" w:eastAsia="Arial" w:hAnsi="Arial"/>
          <w:sz w:val="16"/>
          <w:szCs w:val="16"/>
          <w:u w:val="single" w:color="auto"/>
          <w:color w:val="0000EE"/>
        </w:rPr>
      </w:pPr>
      <w:hyperlink w:anchor="page20">
        <w:r>
          <w:rPr>
            <w:rFonts w:ascii="Arial" w:cs="Arial" w:eastAsia="Arial" w:hAnsi="Arial"/>
            <w:sz w:val="16"/>
            <w:szCs w:val="16"/>
            <w:u w:val="single" w:color="auto"/>
            <w:color w:val="0000EE"/>
          </w:rPr>
          <w:t>Industry Outlook</w:t>
        </w:r>
      </w:hyperlink>
    </w:p>
    <w:p>
      <w:pPr>
        <w:spacing w:after="0" w:line="5" w:lineRule="exact"/>
        <w:rPr>
          <w:rFonts w:ascii="Arial" w:cs="Arial" w:eastAsia="Arial" w:hAnsi="Arial"/>
          <w:sz w:val="16"/>
          <w:szCs w:val="16"/>
          <w:u w:val="single" w:color="auto"/>
          <w:color w:val="0000EE"/>
        </w:rPr>
      </w:pPr>
    </w:p>
    <w:p>
      <w:pPr>
        <w:ind w:left="340" w:hanging="332"/>
        <w:spacing w:after="0"/>
        <w:tabs>
          <w:tab w:leader="none" w:pos="340" w:val="left"/>
        </w:tabs>
        <w:numPr>
          <w:ilvl w:val="0"/>
          <w:numId w:val="14"/>
        </w:numPr>
        <w:rPr>
          <w:rFonts w:ascii="Arial" w:cs="Arial" w:eastAsia="Arial" w:hAnsi="Arial"/>
          <w:sz w:val="16"/>
          <w:szCs w:val="16"/>
          <w:u w:val="single" w:color="auto"/>
          <w:color w:val="0000EE"/>
        </w:rPr>
      </w:pPr>
      <w:hyperlink w:anchor="page20">
        <w:r>
          <w:rPr>
            <w:rFonts w:ascii="Arial" w:cs="Arial" w:eastAsia="Arial" w:hAnsi="Arial"/>
            <w:sz w:val="16"/>
            <w:szCs w:val="16"/>
            <w:u w:val="single" w:color="auto"/>
            <w:color w:val="0000EE"/>
          </w:rPr>
          <w:t>Company Outlook</w:t>
        </w:r>
      </w:hyperlink>
    </w:p>
    <w:p>
      <w:pPr>
        <w:spacing w:after="0" w:line="5" w:lineRule="exact"/>
        <w:rPr>
          <w:rFonts w:ascii="Arial" w:cs="Arial" w:eastAsia="Arial" w:hAnsi="Arial"/>
          <w:sz w:val="16"/>
          <w:szCs w:val="16"/>
          <w:u w:val="single" w:color="auto"/>
          <w:color w:val="0000EE"/>
        </w:rPr>
      </w:pPr>
    </w:p>
    <w:p>
      <w:pPr>
        <w:ind w:left="340" w:hanging="332"/>
        <w:spacing w:after="0"/>
        <w:tabs>
          <w:tab w:leader="none" w:pos="340" w:val="left"/>
        </w:tabs>
        <w:numPr>
          <w:ilvl w:val="0"/>
          <w:numId w:val="14"/>
        </w:numPr>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Results of Operations</w:t>
        </w:r>
      </w:hyperlink>
    </w:p>
    <w:p>
      <w:pPr>
        <w:spacing w:after="0" w:line="5" w:lineRule="exact"/>
        <w:rPr>
          <w:rFonts w:ascii="Arial" w:cs="Arial" w:eastAsia="Arial" w:hAnsi="Arial"/>
          <w:sz w:val="16"/>
          <w:szCs w:val="16"/>
          <w:u w:val="single" w:color="auto"/>
          <w:color w:val="0000EE"/>
        </w:rPr>
      </w:pPr>
    </w:p>
    <w:p>
      <w:pPr>
        <w:ind w:left="340" w:hanging="332"/>
        <w:spacing w:after="0"/>
        <w:tabs>
          <w:tab w:leader="none" w:pos="340" w:val="left"/>
        </w:tabs>
        <w:numPr>
          <w:ilvl w:val="0"/>
          <w:numId w:val="14"/>
        </w:numPr>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Analysis of Financial Condition, Liquidity and Capital Resources</w:t>
        </w:r>
      </w:hyperlink>
    </w:p>
    <w:p>
      <w:pPr>
        <w:spacing w:after="0" w:line="5" w:lineRule="exact"/>
        <w:rPr>
          <w:rFonts w:ascii="Arial" w:cs="Arial" w:eastAsia="Arial" w:hAnsi="Arial"/>
          <w:sz w:val="16"/>
          <w:szCs w:val="16"/>
          <w:u w:val="single" w:color="auto"/>
          <w:color w:val="0000EE"/>
        </w:rPr>
      </w:pPr>
    </w:p>
    <w:p>
      <w:pPr>
        <w:ind w:left="340" w:hanging="332"/>
        <w:spacing w:after="0"/>
        <w:tabs>
          <w:tab w:leader="none" w:pos="340" w:val="left"/>
        </w:tabs>
        <w:numPr>
          <w:ilvl w:val="0"/>
          <w:numId w:val="14"/>
        </w:numPr>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Contractual Obligations and Commercial Commitments</w:t>
        </w:r>
      </w:hyperlink>
    </w:p>
    <w:p>
      <w:pPr>
        <w:spacing w:after="0" w:line="5" w:lineRule="exact"/>
        <w:rPr>
          <w:rFonts w:ascii="Arial" w:cs="Arial" w:eastAsia="Arial" w:hAnsi="Arial"/>
          <w:sz w:val="16"/>
          <w:szCs w:val="16"/>
          <w:u w:val="single" w:color="auto"/>
          <w:color w:val="0000EE"/>
        </w:rPr>
      </w:pPr>
    </w:p>
    <w:p>
      <w:pPr>
        <w:ind w:left="340" w:hanging="332"/>
        <w:spacing w:after="0"/>
        <w:tabs>
          <w:tab w:leader="none" w:pos="340" w:val="left"/>
        </w:tabs>
        <w:numPr>
          <w:ilvl w:val="0"/>
          <w:numId w:val="14"/>
        </w:numPr>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Critical Accounting Policies</w:t>
        </w:r>
      </w:hyperlink>
    </w:p>
    <w:p>
      <w:pPr>
        <w:spacing w:after="0" w:line="5" w:lineRule="exact"/>
        <w:rPr>
          <w:rFonts w:ascii="Arial" w:cs="Arial" w:eastAsia="Arial" w:hAnsi="Arial"/>
          <w:sz w:val="16"/>
          <w:szCs w:val="16"/>
          <w:u w:val="single" w:color="auto"/>
          <w:color w:val="0000EE"/>
        </w:rPr>
      </w:pPr>
    </w:p>
    <w:p>
      <w:pPr>
        <w:ind w:left="340" w:hanging="332"/>
        <w:spacing w:after="0"/>
        <w:tabs>
          <w:tab w:leader="none" w:pos="340" w:val="left"/>
        </w:tabs>
        <w:numPr>
          <w:ilvl w:val="0"/>
          <w:numId w:val="14"/>
        </w:numPr>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New Accounting Pronouncements</w:t>
        </w:r>
      </w:hyperlink>
    </w:p>
    <w:p>
      <w:pPr>
        <w:spacing w:after="0" w:line="194" w:lineRule="exact"/>
        <w:rPr>
          <w:rFonts w:ascii="Arial" w:cs="Arial" w:eastAsia="Arial" w:hAnsi="Arial"/>
          <w:sz w:val="16"/>
          <w:szCs w:val="16"/>
          <w:color w:val="auto"/>
        </w:rPr>
      </w:pPr>
    </w:p>
    <w:p>
      <w:pPr>
        <w:spacing w:after="0" w:line="260" w:lineRule="auto"/>
        <w:rPr>
          <w:sz w:val="20"/>
          <w:szCs w:val="20"/>
          <w:color w:val="auto"/>
        </w:rPr>
      </w:pPr>
      <w:r>
        <w:rPr>
          <w:rFonts w:ascii="Arial" w:cs="Arial" w:eastAsia="Arial" w:hAnsi="Arial"/>
          <w:sz w:val="16"/>
          <w:szCs w:val="16"/>
          <w:color w:val="auto"/>
        </w:rPr>
        <w:t>Our MD&amp;A should be read in conjunction with the Financial Statements and related Notes included in Item 8, Financial Statements and Supplementary Data, of this Annual Report on Form 10-K.</w:t>
      </w:r>
    </w:p>
    <w:p>
      <w:pPr>
        <w:spacing w:after="0" w:line="14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b w:val="1"/>
          <w:bCs w:val="1"/>
          <w:color w:val="auto"/>
        </w:rPr>
        <w:t>Executive Overview</w:t>
      </w:r>
    </w:p>
    <w:p>
      <w:pPr>
        <w:spacing w:after="0" w:line="268" w:lineRule="exact"/>
        <w:rPr>
          <w:rFonts w:ascii="Arial" w:cs="Arial" w:eastAsia="Arial" w:hAnsi="Arial"/>
          <w:sz w:val="16"/>
          <w:szCs w:val="16"/>
          <w:color w:val="auto"/>
        </w:rPr>
      </w:pPr>
    </w:p>
    <w:p>
      <w:pPr>
        <w:ind w:right="20"/>
        <w:spacing w:after="0" w:line="251" w:lineRule="auto"/>
        <w:rPr>
          <w:sz w:val="20"/>
          <w:szCs w:val="20"/>
          <w:color w:val="auto"/>
        </w:rPr>
      </w:pPr>
      <w:r>
        <w:rPr>
          <w:rFonts w:ascii="Arial" w:cs="Arial" w:eastAsia="Arial" w:hAnsi="Arial"/>
          <w:sz w:val="16"/>
          <w:szCs w:val="16"/>
          <w:color w:val="auto"/>
        </w:rPr>
        <w:t>Winnebago Industries, Inc. is a leading US manufacturer of RVs with a proud history of manufacturing RV products for more than 55 years. We currently produce a large majority of our motorhomes in vertically integrated manufacturing facilities in Iowa and we produce all of our travel trailer and fifth wheel trailers in Indiana. We are in the process of expanding some motorhome manufacturing to Junction City, Oregon. We distribute our products primarily through independent dealers throughout the US and Canada, who then retail the products to the end consumer.</w:t>
      </w:r>
    </w:p>
    <w:p>
      <w:pPr>
        <w:spacing w:after="0" w:line="176" w:lineRule="exact"/>
        <w:rPr>
          <w:rFonts w:ascii="Arial" w:cs="Arial" w:eastAsia="Arial" w:hAnsi="Arial"/>
          <w:sz w:val="16"/>
          <w:szCs w:val="16"/>
          <w:color w:val="auto"/>
        </w:rPr>
      </w:pPr>
    </w:p>
    <w:p>
      <w:pPr>
        <w:ind w:right="20"/>
        <w:spacing w:after="0" w:line="251" w:lineRule="auto"/>
        <w:rPr>
          <w:sz w:val="20"/>
          <w:szCs w:val="20"/>
          <w:color w:val="auto"/>
        </w:rPr>
      </w:pPr>
      <w:r>
        <w:rPr>
          <w:rFonts w:ascii="Arial" w:cs="Arial" w:eastAsia="Arial" w:hAnsi="Arial"/>
          <w:sz w:val="16"/>
          <w:szCs w:val="16"/>
          <w:color w:val="auto"/>
        </w:rPr>
        <w:t>We recently announced our entry into a Securities Purchase Agreement pursuant to which we intend to acquire Grand Design, a fast-growing towables manufacturer in Middlebury, Indiana for approximately $500 million. Grand Design manufactures travel trailers and fifth wheel products. With this acquisition, we expect to have a broader and more balanced portfolio of motorized and towable products and intend to capitalize on the opportunities across the RV market and to drive improved profitability and long-term value for shareholders.</w:t>
      </w:r>
    </w:p>
    <w:p>
      <w:pPr>
        <w:spacing w:after="0" w:line="189" w:lineRule="exact"/>
        <w:rPr>
          <w:rFonts w:ascii="Arial" w:cs="Arial" w:eastAsia="Arial" w:hAnsi="Arial"/>
          <w:sz w:val="16"/>
          <w:szCs w:val="16"/>
          <w:color w:val="auto"/>
        </w:rPr>
      </w:pPr>
    </w:p>
    <w:p>
      <w:pPr>
        <w:ind w:right="640"/>
        <w:spacing w:after="0" w:line="295" w:lineRule="auto"/>
        <w:rPr>
          <w:sz w:val="20"/>
          <w:szCs w:val="20"/>
          <w:color w:val="auto"/>
        </w:rPr>
      </w:pPr>
      <w:r>
        <w:rPr>
          <w:rFonts w:ascii="Arial" w:cs="Arial" w:eastAsia="Arial" w:hAnsi="Arial"/>
          <w:sz w:val="16"/>
          <w:szCs w:val="16"/>
          <w:color w:val="auto"/>
        </w:rPr>
        <w:t>Our retail unit market share, as reported by Stat Surveys based on state records, is illustrated below. Note that this data is subject to adjustment and is continuously updated.</w:t>
      </w:r>
    </w:p>
    <w:p>
      <w:pPr>
        <w:spacing w:after="0" w:line="167"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196"/>
        </w:trPr>
        <w:tc>
          <w:tcPr>
            <w:tcW w:w="4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gridSpan w:val="3"/>
          </w:tcPr>
          <w:p>
            <w:pPr>
              <w:ind w:left="60"/>
              <w:spacing w:after="0"/>
              <w:rPr>
                <w:sz w:val="20"/>
                <w:szCs w:val="20"/>
                <w:color w:val="auto"/>
              </w:rPr>
            </w:pPr>
            <w:r>
              <w:rPr>
                <w:rFonts w:ascii="Arial" w:cs="Arial" w:eastAsia="Arial" w:hAnsi="Arial"/>
                <w:sz w:val="14"/>
                <w:szCs w:val="14"/>
                <w:b w:val="1"/>
                <w:bCs w:val="1"/>
                <w:color w:val="auto"/>
              </w:rPr>
              <w:t>Rolling 12 Months Through August</w:t>
            </w:r>
          </w:p>
        </w:tc>
        <w:tc>
          <w:tcPr>
            <w:tcW w:w="1300" w:type="dxa"/>
            <w:vAlign w:val="bottom"/>
          </w:tcPr>
          <w:p>
            <w:pPr>
              <w:spacing w:after="0"/>
              <w:rPr>
                <w:sz w:val="17"/>
                <w:szCs w:val="17"/>
                <w:color w:val="auto"/>
              </w:rPr>
            </w:pPr>
          </w:p>
        </w:tc>
        <w:tc>
          <w:tcPr>
            <w:tcW w:w="1540" w:type="dxa"/>
            <w:vAlign w:val="bottom"/>
          </w:tcPr>
          <w:p>
            <w:pPr>
              <w:jc w:val="right"/>
              <w:ind w:right="263"/>
              <w:spacing w:after="0"/>
              <w:rPr>
                <w:sz w:val="20"/>
                <w:szCs w:val="20"/>
                <w:color w:val="auto"/>
              </w:rPr>
            </w:pPr>
            <w:r>
              <w:rPr>
                <w:rFonts w:ascii="Arial" w:cs="Arial" w:eastAsia="Arial" w:hAnsi="Arial"/>
                <w:sz w:val="14"/>
                <w:szCs w:val="14"/>
                <w:b w:val="1"/>
                <w:bCs w:val="1"/>
                <w:color w:val="auto"/>
              </w:rPr>
              <w:t>Calendar Year</w:t>
            </w:r>
          </w:p>
        </w:tc>
        <w:tc>
          <w:tcPr>
            <w:tcW w:w="1180" w:type="dxa"/>
            <w:vAlign w:val="bottom"/>
          </w:tcPr>
          <w:p>
            <w:pPr>
              <w:spacing w:after="0"/>
              <w:rPr>
                <w:sz w:val="17"/>
                <w:szCs w:val="17"/>
                <w:color w:val="auto"/>
              </w:rPr>
            </w:pPr>
          </w:p>
        </w:tc>
      </w:tr>
      <w:tr>
        <w:trPr>
          <w:trHeight w:val="250"/>
        </w:trPr>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US and Canada</w:t>
            </w:r>
          </w:p>
        </w:tc>
        <w:tc>
          <w:tcPr>
            <w:tcW w:w="10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2016</w:t>
            </w:r>
          </w:p>
        </w:tc>
        <w:tc>
          <w:tcPr>
            <w:tcW w:w="108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2015</w:t>
            </w:r>
          </w:p>
        </w:tc>
        <w:tc>
          <w:tcPr>
            <w:tcW w:w="1540" w:type="dxa"/>
            <w:vAlign w:val="bottom"/>
            <w:tcBorders>
              <w:top w:val="single" w:sz="8" w:color="auto"/>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2014</w:t>
            </w:r>
          </w:p>
        </w:tc>
        <w:tc>
          <w:tcPr>
            <w:tcW w:w="118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2013</w:t>
            </w:r>
          </w:p>
        </w:tc>
      </w:tr>
      <w:tr>
        <w:trPr>
          <w:trHeight w:val="256"/>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Motorized A, B, C</w:t>
            </w:r>
          </w:p>
        </w:tc>
        <w:tc>
          <w:tcPr>
            <w:tcW w:w="1380" w:type="dxa"/>
            <w:vAlign w:val="bottom"/>
            <w:shd w:val="clear" w:color="auto" w:fill="CCEEFF"/>
          </w:tcPr>
          <w:p>
            <w:pPr>
              <w:jc w:val="right"/>
              <w:ind w:right="223"/>
              <w:spacing w:after="0"/>
              <w:rPr>
                <w:sz w:val="20"/>
                <w:szCs w:val="20"/>
                <w:color w:val="auto"/>
              </w:rPr>
            </w:pPr>
            <w:r>
              <w:rPr>
                <w:rFonts w:ascii="Arial" w:cs="Arial" w:eastAsia="Arial" w:hAnsi="Arial"/>
                <w:sz w:val="16"/>
                <w:szCs w:val="16"/>
                <w:color w:val="auto"/>
              </w:rPr>
              <w:t>18.6%</w:t>
            </w:r>
          </w:p>
        </w:tc>
        <w:tc>
          <w:tcPr>
            <w:tcW w:w="10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20.8%</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20.4%</w:t>
            </w:r>
          </w:p>
        </w:tc>
        <w:tc>
          <w:tcPr>
            <w:tcW w:w="1540" w:type="dxa"/>
            <w:vAlign w:val="bottom"/>
            <w:shd w:val="clear" w:color="auto" w:fill="CCEEFF"/>
          </w:tcPr>
          <w:p>
            <w:pPr>
              <w:jc w:val="right"/>
              <w:ind w:right="363"/>
              <w:spacing w:after="0"/>
              <w:rPr>
                <w:sz w:val="20"/>
                <w:szCs w:val="20"/>
                <w:color w:val="auto"/>
              </w:rPr>
            </w:pPr>
            <w:r>
              <w:rPr>
                <w:rFonts w:ascii="Arial" w:cs="Arial" w:eastAsia="Arial" w:hAnsi="Arial"/>
                <w:sz w:val="16"/>
                <w:szCs w:val="16"/>
                <w:color w:val="auto"/>
              </w:rPr>
              <w:t>20.7%</w:t>
            </w:r>
          </w:p>
        </w:tc>
        <w:tc>
          <w:tcPr>
            <w:tcW w:w="11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18.6%</w:t>
            </w:r>
          </w:p>
        </w:tc>
      </w:tr>
      <w:tr>
        <w:trPr>
          <w:trHeight w:val="270"/>
        </w:trPr>
        <w:tc>
          <w:tcPr>
            <w:tcW w:w="4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 and fifth wheels</w:t>
            </w:r>
          </w:p>
        </w:tc>
        <w:tc>
          <w:tcPr>
            <w:tcW w:w="1380" w:type="dxa"/>
            <w:vAlign w:val="bottom"/>
            <w:shd w:val="clear" w:color="auto" w:fill="CCEEFF"/>
          </w:tcPr>
          <w:p>
            <w:pPr>
              <w:jc w:val="right"/>
              <w:ind w:right="223"/>
              <w:spacing w:after="0"/>
              <w:rPr>
                <w:sz w:val="20"/>
                <w:szCs w:val="20"/>
                <w:color w:val="auto"/>
              </w:rPr>
            </w:pPr>
            <w:r>
              <w:rPr>
                <w:rFonts w:ascii="Arial" w:cs="Arial" w:eastAsia="Arial" w:hAnsi="Arial"/>
                <w:sz w:val="16"/>
                <w:szCs w:val="16"/>
                <w:color w:val="auto"/>
              </w:rPr>
              <w:t>1.1%</w:t>
            </w:r>
          </w:p>
        </w:tc>
        <w:tc>
          <w:tcPr>
            <w:tcW w:w="10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0.9%</w:t>
            </w:r>
          </w:p>
        </w:tc>
        <w:tc>
          <w:tcPr>
            <w:tcW w:w="1540" w:type="dxa"/>
            <w:vAlign w:val="bottom"/>
            <w:shd w:val="clear" w:color="auto" w:fill="CCEEFF"/>
          </w:tcPr>
          <w:p>
            <w:pPr>
              <w:jc w:val="right"/>
              <w:ind w:right="363"/>
              <w:spacing w:after="0"/>
              <w:rPr>
                <w:sz w:val="20"/>
                <w:szCs w:val="20"/>
                <w:color w:val="auto"/>
              </w:rPr>
            </w:pPr>
            <w:r>
              <w:rPr>
                <w:rFonts w:ascii="Arial" w:cs="Arial" w:eastAsia="Arial" w:hAnsi="Arial"/>
                <w:sz w:val="16"/>
                <w:szCs w:val="16"/>
                <w:color w:val="auto"/>
              </w:rPr>
              <w:t>0.8%</w:t>
            </w:r>
          </w:p>
        </w:tc>
        <w:tc>
          <w:tcPr>
            <w:tcW w:w="11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1.0%</w:t>
            </w:r>
          </w:p>
        </w:tc>
      </w:tr>
    </w:tbl>
    <w:p>
      <w:pPr>
        <w:spacing w:after="0" w:line="171"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b w:val="1"/>
          <w:bCs w:val="1"/>
          <w:color w:val="auto"/>
        </w:rPr>
        <w:t>Highlights of Fiscal 2016:</w:t>
      </w:r>
    </w:p>
    <w:p>
      <w:pPr>
        <w:spacing w:after="0" w:line="25" w:lineRule="exact"/>
        <w:rPr>
          <w:rFonts w:ascii="Arial" w:cs="Arial" w:eastAsia="Arial" w:hAnsi="Arial"/>
          <w:sz w:val="16"/>
          <w:szCs w:val="16"/>
          <w:color w:val="auto"/>
        </w:rPr>
      </w:pPr>
    </w:p>
    <w:p>
      <w:pPr>
        <w:ind w:right="360"/>
        <w:spacing w:after="0" w:line="260" w:lineRule="auto"/>
        <w:rPr>
          <w:sz w:val="20"/>
          <w:szCs w:val="20"/>
          <w:color w:val="auto"/>
        </w:rPr>
      </w:pPr>
      <w:r>
        <w:rPr>
          <w:rFonts w:ascii="Arial" w:cs="Arial" w:eastAsia="Arial" w:hAnsi="Arial"/>
          <w:sz w:val="16"/>
          <w:szCs w:val="16"/>
          <w:color w:val="auto"/>
        </w:rPr>
        <w:t>Consolidated revenues, gross profit, and operating income were comparable for Fiscal 2016 as compared to Fiscal 2015. Quarterly results for the past two fiscal years are illustrated as follows:</w:t>
      </w:r>
    </w:p>
    <w:p>
      <w:pPr>
        <w:spacing w:after="0" w:line="122"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189"/>
        </w:trPr>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4"/>
          </w:tcPr>
          <w:p>
            <w:pPr>
              <w:ind w:left="300"/>
              <w:spacing w:after="0"/>
              <w:rPr>
                <w:sz w:val="20"/>
                <w:szCs w:val="20"/>
                <w:color w:val="auto"/>
              </w:rPr>
            </w:pPr>
            <w:r>
              <w:rPr>
                <w:rFonts w:ascii="Arial" w:cs="Arial" w:eastAsia="Arial" w:hAnsi="Arial"/>
                <w:sz w:val="16"/>
                <w:szCs w:val="16"/>
                <w:b w:val="1"/>
                <w:bCs w:val="1"/>
                <w:color w:val="auto"/>
              </w:rPr>
              <w:t>Operating</w:t>
            </w:r>
          </w:p>
        </w:tc>
        <w:tc>
          <w:tcPr>
            <w:tcW w:w="206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Operating</w:t>
            </w:r>
          </w:p>
        </w:tc>
      </w:tr>
      <w:tr>
        <w:trPr>
          <w:trHeight w:val="228"/>
        </w:trPr>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4"/>
          </w:tcPr>
          <w:p>
            <w:pPr>
              <w:ind w:left="460"/>
              <w:spacing w:after="0"/>
              <w:rPr>
                <w:sz w:val="20"/>
                <w:szCs w:val="20"/>
                <w:color w:val="auto"/>
              </w:rPr>
            </w:pPr>
            <w:r>
              <w:rPr>
                <w:rFonts w:ascii="Arial" w:cs="Arial" w:eastAsia="Arial" w:hAnsi="Arial"/>
                <w:sz w:val="16"/>
                <w:szCs w:val="16"/>
                <w:b w:val="1"/>
                <w:bCs w:val="1"/>
                <w:color w:val="auto"/>
              </w:rPr>
              <w:t>Revenues</w:t>
            </w:r>
          </w:p>
        </w:tc>
        <w:tc>
          <w:tcPr>
            <w:tcW w:w="220" w:type="dxa"/>
            <w:vAlign w:val="bottom"/>
          </w:tcPr>
          <w:p>
            <w:pPr>
              <w:spacing w:after="0"/>
              <w:rPr>
                <w:sz w:val="19"/>
                <w:szCs w:val="19"/>
                <w:color w:val="auto"/>
              </w:rPr>
            </w:pPr>
          </w:p>
        </w:tc>
        <w:tc>
          <w:tcPr>
            <w:tcW w:w="1860" w:type="dxa"/>
            <w:vAlign w:val="bottom"/>
            <w:gridSpan w:val="4"/>
          </w:tcPr>
          <w:p>
            <w:pPr>
              <w:ind w:left="320"/>
              <w:spacing w:after="0"/>
              <w:rPr>
                <w:sz w:val="20"/>
                <w:szCs w:val="20"/>
                <w:color w:val="auto"/>
              </w:rPr>
            </w:pPr>
            <w:r>
              <w:rPr>
                <w:rFonts w:ascii="Arial" w:cs="Arial" w:eastAsia="Arial" w:hAnsi="Arial"/>
                <w:sz w:val="16"/>
                <w:szCs w:val="16"/>
                <w:b w:val="1"/>
                <w:bCs w:val="1"/>
                <w:color w:val="auto"/>
              </w:rPr>
              <w:t>Gross Profit</w:t>
            </w:r>
          </w:p>
        </w:tc>
        <w:tc>
          <w:tcPr>
            <w:tcW w:w="2180" w:type="dxa"/>
            <w:vAlign w:val="bottom"/>
            <w:gridSpan w:val="3"/>
          </w:tcPr>
          <w:p>
            <w:pPr>
              <w:ind w:left="520"/>
              <w:spacing w:after="0"/>
              <w:rPr>
                <w:sz w:val="20"/>
                <w:szCs w:val="20"/>
                <w:color w:val="auto"/>
              </w:rPr>
            </w:pPr>
            <w:r>
              <w:rPr>
                <w:rFonts w:ascii="Arial" w:cs="Arial" w:eastAsia="Arial" w:hAnsi="Arial"/>
                <w:sz w:val="16"/>
                <w:szCs w:val="16"/>
                <w:b w:val="1"/>
                <w:bCs w:val="1"/>
                <w:color w:val="auto"/>
              </w:rPr>
              <w:t>Gross Margin</w:t>
            </w:r>
          </w:p>
        </w:tc>
        <w:tc>
          <w:tcPr>
            <w:tcW w:w="180" w:type="dxa"/>
            <w:vAlign w:val="bottom"/>
          </w:tcPr>
          <w:p>
            <w:pPr>
              <w:spacing w:after="0"/>
              <w:rPr>
                <w:sz w:val="19"/>
                <w:szCs w:val="19"/>
                <w:color w:val="auto"/>
              </w:rPr>
            </w:pPr>
          </w:p>
        </w:tc>
        <w:tc>
          <w:tcPr>
            <w:tcW w:w="1640" w:type="dxa"/>
            <w:vAlign w:val="bottom"/>
            <w:gridSpan w:val="4"/>
          </w:tcPr>
          <w:p>
            <w:pPr>
              <w:ind w:left="400"/>
              <w:spacing w:after="0"/>
              <w:rPr>
                <w:sz w:val="20"/>
                <w:szCs w:val="20"/>
                <w:color w:val="auto"/>
              </w:rPr>
            </w:pPr>
            <w:r>
              <w:rPr>
                <w:rFonts w:ascii="Arial" w:cs="Arial" w:eastAsia="Arial" w:hAnsi="Arial"/>
                <w:sz w:val="16"/>
                <w:szCs w:val="16"/>
                <w:b w:val="1"/>
                <w:bCs w:val="1"/>
                <w:color w:val="auto"/>
              </w:rPr>
              <w:t>Income</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Margin</w:t>
            </w:r>
          </w:p>
        </w:tc>
        <w:tc>
          <w:tcPr>
            <w:tcW w:w="720" w:type="dxa"/>
            <w:vAlign w:val="bottom"/>
          </w:tcPr>
          <w:p>
            <w:pPr>
              <w:spacing w:after="0"/>
              <w:rPr>
                <w:sz w:val="19"/>
                <w:szCs w:val="19"/>
                <w:color w:val="auto"/>
              </w:rPr>
            </w:pPr>
          </w:p>
        </w:tc>
      </w:tr>
      <w:tr>
        <w:trPr>
          <w:trHeight w:val="251"/>
        </w:trPr>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2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9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7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2015</w:t>
            </w:r>
          </w:p>
        </w:tc>
      </w:tr>
      <w:tr>
        <w:trPr>
          <w:trHeight w:val="256"/>
        </w:trPr>
        <w:tc>
          <w:tcPr>
            <w:tcW w:w="1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214,223</w:t>
            </w:r>
          </w:p>
        </w:tc>
        <w:tc>
          <w:tcPr>
            <w:tcW w:w="2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224,403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25,249</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24,386</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11.8%</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ind w:left="80"/>
              <w:spacing w:after="0"/>
              <w:rPr>
                <w:sz w:val="20"/>
                <w:szCs w:val="20"/>
                <w:color w:val="auto"/>
              </w:rPr>
            </w:pPr>
            <w:r>
              <w:rPr>
                <w:rFonts w:ascii="Arial" w:cs="Arial" w:eastAsia="Arial" w:hAnsi="Arial"/>
                <w:sz w:val="16"/>
                <w:szCs w:val="16"/>
                <w:color w:val="auto"/>
              </w:rPr>
              <w:t>12,759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14,442</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6.0%</w:t>
            </w: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6.4%</w:t>
            </w:r>
          </w:p>
        </w:tc>
      </w:tr>
      <w:tr>
        <w:trPr>
          <w:trHeight w:val="260"/>
        </w:trPr>
        <w:tc>
          <w:tcPr>
            <w:tcW w:w="1060" w:type="dxa"/>
            <w:vAlign w:val="bottom"/>
          </w:tcPr>
          <w:p>
            <w:pPr>
              <w:ind w:left="40"/>
              <w:spacing w:after="0"/>
              <w:rPr>
                <w:sz w:val="20"/>
                <w:szCs w:val="20"/>
                <w:color w:val="auto"/>
              </w:rPr>
            </w:pPr>
            <w:r>
              <w:rPr>
                <w:rFonts w:ascii="Arial" w:cs="Arial" w:eastAsia="Arial" w:hAnsi="Arial"/>
                <w:sz w:val="16"/>
                <w:szCs w:val="16"/>
                <w:color w:val="auto"/>
              </w:rPr>
              <w:t>Q2</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225,672</w:t>
            </w:r>
          </w:p>
        </w:tc>
        <w:tc>
          <w:tcPr>
            <w:tcW w:w="28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234,543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25,276</w:t>
            </w:r>
          </w:p>
        </w:tc>
        <w:tc>
          <w:tcPr>
            <w:tcW w:w="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24,258</w:t>
            </w:r>
          </w:p>
        </w:tc>
        <w:tc>
          <w:tcPr>
            <w:tcW w:w="12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11.2%</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ind w:left="80"/>
              <w:spacing w:after="0"/>
              <w:rPr>
                <w:sz w:val="20"/>
                <w:szCs w:val="20"/>
                <w:color w:val="auto"/>
              </w:rPr>
            </w:pPr>
            <w:r>
              <w:rPr>
                <w:rFonts w:ascii="Arial" w:cs="Arial" w:eastAsia="Arial" w:hAnsi="Arial"/>
                <w:sz w:val="16"/>
                <w:szCs w:val="16"/>
                <w:color w:val="auto"/>
              </w:rPr>
              <w:t>13,503</w:t>
            </w:r>
          </w:p>
        </w:tc>
        <w:tc>
          <w:tcPr>
            <w:tcW w:w="22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6"/>
                <w:szCs w:val="16"/>
                <w:color w:val="auto"/>
              </w:rPr>
              <w:t>11,948</w:t>
            </w:r>
          </w:p>
        </w:tc>
        <w:tc>
          <w:tcPr>
            <w:tcW w:w="100" w:type="dxa"/>
            <w:vAlign w:val="bottom"/>
          </w:tcPr>
          <w:p>
            <w:pPr>
              <w:spacing w:after="0"/>
              <w:rPr>
                <w:sz w:val="22"/>
                <w:szCs w:val="22"/>
                <w:color w:val="auto"/>
              </w:rPr>
            </w:pPr>
          </w:p>
        </w:tc>
        <w:tc>
          <w:tcPr>
            <w:tcW w:w="1340" w:type="dxa"/>
            <w:vAlign w:val="bottom"/>
          </w:tcPr>
          <w:p>
            <w:pPr>
              <w:jc w:val="right"/>
              <w:ind w:right="399"/>
              <w:spacing w:after="0"/>
              <w:rPr>
                <w:sz w:val="20"/>
                <w:szCs w:val="20"/>
                <w:color w:val="auto"/>
              </w:rPr>
            </w:pPr>
            <w:r>
              <w:rPr>
                <w:rFonts w:ascii="Arial" w:cs="Arial" w:eastAsia="Arial" w:hAnsi="Arial"/>
                <w:sz w:val="16"/>
                <w:szCs w:val="16"/>
                <w:color w:val="auto"/>
              </w:rPr>
              <w:t>6.0%</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5.1%</w:t>
            </w:r>
          </w:p>
        </w:tc>
      </w:tr>
      <w:tr>
        <w:trPr>
          <w:trHeight w:val="280"/>
        </w:trPr>
        <w:tc>
          <w:tcPr>
            <w:tcW w:w="1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272,077</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266,510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30,257</w:t>
            </w: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28,183</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11.1%</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20,593</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16,118</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7.6%</w:t>
            </w: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6.0%</w:t>
            </w:r>
          </w:p>
        </w:tc>
      </w:tr>
      <w:tr>
        <w:trPr>
          <w:trHeight w:val="264"/>
        </w:trPr>
        <w:tc>
          <w:tcPr>
            <w:tcW w:w="1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Q4</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263,254</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251,049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31,867</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28,053</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12.1%</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18,886</w:t>
            </w: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16,911</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7.2%</w:t>
            </w: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6.7%</w:t>
            </w:r>
          </w:p>
        </w:tc>
      </w:tr>
      <w:tr>
        <w:trPr>
          <w:trHeight w:val="240"/>
        </w:trPr>
        <w:tc>
          <w:tcPr>
            <w:tcW w:w="1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975,226</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976,505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112,649</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104,880</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11.6%</w:t>
            </w:r>
          </w:p>
        </w:tc>
        <w:tc>
          <w:tcPr>
            <w:tcW w:w="9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65,741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59,419</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6.7%</w:t>
            </w:r>
          </w:p>
        </w:tc>
        <w:tc>
          <w:tcPr>
            <w:tcW w:w="7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6.1%</w:t>
            </w:r>
          </w:p>
        </w:tc>
      </w:tr>
      <w:tr>
        <w:trPr>
          <w:trHeight w:val="20"/>
        </w:trPr>
        <w:tc>
          <w:tcPr>
            <w:tcW w:w="1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71"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b w:val="1"/>
          <w:bCs w:val="1"/>
          <w:color w:val="auto"/>
        </w:rPr>
        <w:t>Operational and financial performance</w:t>
      </w:r>
      <w:r>
        <w:rPr>
          <w:rFonts w:ascii="Arial" w:cs="Arial" w:eastAsia="Arial" w:hAnsi="Arial"/>
          <w:sz w:val="16"/>
          <w:szCs w:val="16"/>
          <w:color w:val="auto"/>
        </w:rPr>
        <w:t>:</w:t>
      </w:r>
    </w:p>
    <w:p>
      <w:pPr>
        <w:spacing w:after="0" w:line="25" w:lineRule="exact"/>
        <w:rPr>
          <w:rFonts w:ascii="Arial" w:cs="Arial" w:eastAsia="Arial" w:hAnsi="Arial"/>
          <w:sz w:val="16"/>
          <w:szCs w:val="16"/>
          <w:color w:val="auto"/>
        </w:rPr>
      </w:pPr>
    </w:p>
    <w:p>
      <w:pPr>
        <w:ind w:left="340" w:right="320" w:hanging="332"/>
        <w:spacing w:after="0" w:line="260"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motorized wholesale deliveries increased by approximately 2.3% in Fiscal 2016 as compared to Fiscal 2015. Strong demand for our Class B and Class C products was partially offset by weaker demand in Class A products. We anticipate continued strong demand in the Class B and C categories.</w:t>
      </w:r>
    </w:p>
    <w:p>
      <w:pPr>
        <w:spacing w:after="0" w:line="155" w:lineRule="exact"/>
        <w:rPr>
          <w:rFonts w:ascii="Arial" w:cs="Arial" w:eastAsia="Arial" w:hAnsi="Arial"/>
          <w:sz w:val="16"/>
          <w:szCs w:val="16"/>
          <w:color w:val="auto"/>
        </w:rPr>
      </w:pPr>
    </w:p>
    <w:p>
      <w:pPr>
        <w:ind w:left="340" w:right="220" w:hanging="332"/>
        <w:spacing w:after="0" w:line="253"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Towables operation generated operating income of $4.6 million in Fiscal 2016 compared to operating income of $2.6 million in Fiscal 2015. Towable net revenue experienced growth of approximately 25%, this was a significant driver in the 77% increase in operating income. Net revenue growth was enhanced in part by the increase in our dealer network. The growth in</w:t>
      </w:r>
    </w:p>
    <w:p>
      <w:pPr>
        <w:spacing w:after="0" w:line="200" w:lineRule="exact"/>
        <w:rPr>
          <w:rFonts w:ascii="Arial" w:cs="Arial" w:eastAsia="Arial" w:hAnsi="Arial"/>
          <w:sz w:val="16"/>
          <w:szCs w:val="16"/>
          <w:color w:val="auto"/>
        </w:rPr>
      </w:pPr>
    </w:p>
    <w:p>
      <w:pPr>
        <w:spacing w:after="0" w:line="204"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41"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operating income was also aided by the operating leverage within the business model and a reduction in our raw material costs.</w:t>
      </w:r>
    </w:p>
    <w:p>
      <w:pPr>
        <w:spacing w:after="0" w:line="221" w:lineRule="exact"/>
        <w:rPr>
          <w:sz w:val="20"/>
          <w:szCs w:val="20"/>
          <w:color w:val="auto"/>
        </w:rPr>
      </w:pPr>
    </w:p>
    <w:p>
      <w:pPr>
        <w:ind w:left="340" w:right="40" w:hanging="332"/>
        <w:spacing w:after="0" w:line="251"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Total revenue declined modestly in 2016 due mainly to other manufactured products revenues which decreased by $21.1 million. This was primarily due to our exit of the aluminum extrusion and bus businesses. Both of these operations provided very low margins. Although total revenues did decline, gross profit and operating income increased in part due to the exit of these low margin operations as well as operating improvement in motorized and towable operations.</w:t>
      </w:r>
    </w:p>
    <w:p>
      <w:pPr>
        <w:spacing w:after="0" w:line="162" w:lineRule="exact"/>
        <w:rPr>
          <w:rFonts w:ascii="Arial" w:cs="Arial" w:eastAsia="Arial" w:hAnsi="Arial"/>
          <w:sz w:val="16"/>
          <w:szCs w:val="16"/>
          <w:color w:val="auto"/>
        </w:rPr>
      </w:pPr>
    </w:p>
    <w:p>
      <w:pPr>
        <w:ind w:left="340" w:right="40" w:hanging="332"/>
        <w:spacing w:after="0" w:line="260"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continued strong financial performance of our business has allowed us to make substantial investments in Fiscal 2016 including the implementation of an ERP system and purchase of our Junction City, Oregon plant.</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Outlook</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Key reported statistics for the North American RV industry are as follows:</w:t>
      </w:r>
    </w:p>
    <w:p>
      <w:pPr>
        <w:spacing w:after="0" w:line="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Wholesale unit shipments: RV product delivered to the dealers, which is reported monthly by RVIA</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Retail unit registrations: consumer purchases of RVs from dealers, which is reported by Stat Surveys</w:t>
      </w:r>
    </w:p>
    <w:p>
      <w:pPr>
        <w:spacing w:after="0" w:line="20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track RV Industry conditions using these key statistics to monitor trends and evaluate and understand our performance relative to the overall industry. The rolling twelve months shipment and retail information for 2016 and 2015, as noted below, illustrates that the RV industry continues to grow at the wholesale and retail level. We believe retail demand is the key driver to continued growth in the industry.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16"/>
                <w:szCs w:val="16"/>
                <w:b w:val="1"/>
                <w:bCs w:val="1"/>
                <w:color w:val="auto"/>
              </w:rPr>
              <w:t>US and Canada Industry</w:t>
            </w:r>
          </w:p>
        </w:tc>
        <w:tc>
          <w:tcPr>
            <w:tcW w:w="1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58"/>
        </w:trPr>
        <w:tc>
          <w:tcPr>
            <w:tcW w:w="1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560" w:type="dxa"/>
            <w:vAlign w:val="bottom"/>
            <w:gridSpan w:val="2"/>
          </w:tcPr>
          <w:p>
            <w:pPr>
              <w:jc w:val="right"/>
              <w:spacing w:after="0"/>
              <w:rPr>
                <w:sz w:val="20"/>
                <w:szCs w:val="20"/>
                <w:color w:val="auto"/>
              </w:rPr>
            </w:pPr>
            <w:r>
              <w:rPr>
                <w:rFonts w:ascii="Arial" w:cs="Arial" w:eastAsia="Arial" w:hAnsi="Arial"/>
                <w:sz w:val="14"/>
                <w:szCs w:val="14"/>
                <w:b w:val="1"/>
                <w:bCs w:val="1"/>
                <w:color w:val="auto"/>
              </w:rPr>
              <w:t>Wholesale Unit Shipments per RVIA</w:t>
            </w: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80" w:type="dxa"/>
            <w:vAlign w:val="bottom"/>
            <w:gridSpan w:val="4"/>
          </w:tcPr>
          <w:p>
            <w:pPr>
              <w:jc w:val="right"/>
              <w:ind w:right="819"/>
              <w:spacing w:after="0"/>
              <w:rPr>
                <w:sz w:val="20"/>
                <w:szCs w:val="20"/>
                <w:color w:val="auto"/>
              </w:rPr>
            </w:pPr>
            <w:r>
              <w:rPr>
                <w:rFonts w:ascii="Arial" w:cs="Arial" w:eastAsia="Arial" w:hAnsi="Arial"/>
                <w:sz w:val="14"/>
                <w:szCs w:val="14"/>
                <w:b w:val="1"/>
                <w:bCs w:val="1"/>
                <w:color w:val="auto"/>
              </w:rPr>
              <w:t>Retail Unit Registrations per Stat Surveys</w:t>
            </w:r>
          </w:p>
        </w:tc>
      </w:tr>
      <w:tr>
        <w:trPr>
          <w:trHeight w:val="276"/>
        </w:trPr>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Rolling 12 Months through August</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Rolling 12 Months through August</w:t>
            </w:r>
          </w:p>
        </w:tc>
        <w:tc>
          <w:tcPr>
            <w:tcW w:w="1060" w:type="dxa"/>
            <w:vAlign w:val="bottom"/>
            <w:tcBorders>
              <w:bottom w:val="single" w:sz="8" w:color="auto"/>
            </w:tcBorders>
          </w:tcPr>
          <w:p>
            <w:pPr>
              <w:spacing w:after="0"/>
              <w:rPr>
                <w:sz w:val="24"/>
                <w:szCs w:val="24"/>
                <w:color w:val="auto"/>
              </w:rPr>
            </w:pPr>
          </w:p>
        </w:tc>
      </w:tr>
      <w:tr>
        <w:trPr>
          <w:trHeight w:val="250"/>
        </w:trPr>
        <w:tc>
          <w:tcPr>
            <w:tcW w:w="18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118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2015</w:t>
            </w:r>
          </w:p>
        </w:tc>
        <w:tc>
          <w:tcPr>
            <w:tcW w:w="13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Increase</w:t>
            </w: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2016</w:t>
            </w:r>
          </w:p>
        </w:tc>
        <w:tc>
          <w:tcPr>
            <w:tcW w:w="11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2015</w:t>
            </w:r>
          </w:p>
        </w:tc>
        <w:tc>
          <w:tcPr>
            <w:tcW w:w="13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Increase</w:t>
            </w:r>
          </w:p>
        </w:tc>
        <w:tc>
          <w:tcPr>
            <w:tcW w:w="10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w:t>
            </w:r>
          </w:p>
        </w:tc>
      </w:tr>
      <w:tr>
        <w:trPr>
          <w:trHeight w:val="257"/>
        </w:trPr>
        <w:tc>
          <w:tcPr>
            <w:tcW w:w="2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Towable </w:t>
            </w:r>
            <w:r>
              <w:rPr>
                <w:rFonts w:ascii="Arial" w:cs="Arial" w:eastAsia="Arial" w:hAnsi="Arial"/>
                <w:sz w:val="17"/>
                <w:szCs w:val="17"/>
                <w:b w:val="1"/>
                <w:bCs w:val="1"/>
                <w:color w:val="auto"/>
                <w:vertAlign w:val="superscript"/>
              </w:rPr>
              <w:t>(1)</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342,154</w:t>
            </w:r>
          </w:p>
        </w:tc>
        <w:tc>
          <w:tcPr>
            <w:tcW w:w="11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309,039</w:t>
            </w:r>
          </w:p>
        </w:tc>
        <w:tc>
          <w:tcPr>
            <w:tcW w:w="13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33,115</w:t>
            </w: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336,604</w:t>
            </w:r>
          </w:p>
        </w:tc>
        <w:tc>
          <w:tcPr>
            <w:tcW w:w="11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306,987</w:t>
            </w:r>
          </w:p>
        </w:tc>
        <w:tc>
          <w:tcPr>
            <w:tcW w:w="13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29,617</w:t>
            </w: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9.6%</w:t>
            </w:r>
          </w:p>
        </w:tc>
      </w:tr>
      <w:tr>
        <w:trPr>
          <w:trHeight w:val="270"/>
        </w:trPr>
        <w:tc>
          <w:tcPr>
            <w:tcW w:w="20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 xml:space="preserve">Motorized </w:t>
            </w:r>
            <w:r>
              <w:rPr>
                <w:rFonts w:ascii="Arial" w:cs="Arial" w:eastAsia="Arial" w:hAnsi="Arial"/>
                <w:sz w:val="17"/>
                <w:szCs w:val="17"/>
                <w:b w:val="1"/>
                <w:bCs w:val="1"/>
                <w:color w:val="auto"/>
                <w:vertAlign w:val="superscript"/>
              </w:rPr>
              <w:t>(2)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52,648</w:t>
            </w:r>
          </w:p>
        </w:tc>
        <w:tc>
          <w:tcPr>
            <w:tcW w:w="11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45,248</w:t>
            </w:r>
          </w:p>
        </w:tc>
        <w:tc>
          <w:tcPr>
            <w:tcW w:w="13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7,400</w:t>
            </w: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47,953</w:t>
            </w:r>
          </w:p>
        </w:tc>
        <w:tc>
          <w:tcPr>
            <w:tcW w:w="11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43,370</w:t>
            </w:r>
          </w:p>
        </w:tc>
        <w:tc>
          <w:tcPr>
            <w:tcW w:w="13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4,583</w:t>
            </w: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10.6%</w:t>
            </w:r>
          </w:p>
        </w:tc>
      </w:tr>
      <w:tr>
        <w:trPr>
          <w:trHeight w:val="234"/>
        </w:trPr>
        <w:tc>
          <w:tcPr>
            <w:tcW w:w="2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Combined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394,802</w:t>
            </w:r>
          </w:p>
        </w:tc>
        <w:tc>
          <w:tcPr>
            <w:tcW w:w="11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354,287</w:t>
            </w:r>
          </w:p>
        </w:tc>
        <w:tc>
          <w:tcPr>
            <w:tcW w:w="13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40,515</w:t>
            </w: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384,557</w:t>
            </w:r>
          </w:p>
        </w:tc>
        <w:tc>
          <w:tcPr>
            <w:tcW w:w="11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350,357</w:t>
            </w:r>
          </w:p>
        </w:tc>
        <w:tc>
          <w:tcPr>
            <w:tcW w:w="13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34,200</w:t>
            </w: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9.8%</w:t>
            </w:r>
          </w:p>
        </w:tc>
      </w:tr>
      <w:tr>
        <w:trPr>
          <w:trHeight w:val="20"/>
        </w:trPr>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Towable: Fifth wheel and travel trailer products</w:t>
      </w:r>
    </w:p>
    <w:p>
      <w:pPr>
        <w:ind w:left="340" w:hanging="332"/>
        <w:spacing w:after="0" w:line="199" w:lineRule="auto"/>
        <w:tabs>
          <w:tab w:leader="none" w:pos="34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Motorized: Class A, B and C products</w:t>
      </w:r>
    </w:p>
    <w:p>
      <w:pPr>
        <w:spacing w:after="0" w:line="150"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The most recent towable and motorized RVIA wholesale shipment forecasts for calendar year 2016 and 2017 as noted in the table below illustrates continued projected growth of the industry. The outlook for future growth in RV sales is based on continued modest gains in job and disposable income prospects as well as low inflation, and takes into account the impact of slowly rising interest rates, a strong U.S. dollar and continued weakness in energy production and prices.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2"/>
          </w:tcPr>
          <w:p>
            <w:pPr>
              <w:jc w:val="right"/>
              <w:ind w:right="521"/>
              <w:spacing w:after="0"/>
              <w:rPr>
                <w:sz w:val="20"/>
                <w:szCs w:val="20"/>
                <w:color w:val="auto"/>
              </w:rPr>
            </w:pPr>
            <w:r>
              <w:rPr>
                <w:rFonts w:ascii="Arial" w:cs="Arial" w:eastAsia="Arial" w:hAnsi="Arial"/>
                <w:sz w:val="14"/>
                <w:szCs w:val="14"/>
                <w:b w:val="1"/>
                <w:bCs w:val="1"/>
                <w:color w:val="auto"/>
              </w:rPr>
              <w:t>Calendar Year</w:t>
            </w:r>
          </w:p>
        </w:tc>
        <w:tc>
          <w:tcPr>
            <w:tcW w:w="1300" w:type="dxa"/>
            <w:vAlign w:val="bottom"/>
            <w:tcBorders>
              <w:bottom w:val="single" w:sz="8" w:color="auto"/>
            </w:tcBorders>
          </w:tcPr>
          <w:p>
            <w:pPr>
              <w:spacing w:after="0"/>
              <w:rPr>
                <w:sz w:val="17"/>
                <w:szCs w:val="17"/>
                <w:color w:val="auto"/>
              </w:rPr>
            </w:pPr>
          </w:p>
        </w:tc>
      </w:tr>
      <w:tr>
        <w:trPr>
          <w:trHeight w:val="256"/>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Wholesale Unit Shipment Forecast per RVIA </w:t>
            </w:r>
            <w:r>
              <w:rPr>
                <w:rFonts w:ascii="Arial" w:cs="Arial" w:eastAsia="Arial" w:hAnsi="Arial"/>
                <w:sz w:val="17"/>
                <w:szCs w:val="17"/>
                <w:b w:val="1"/>
                <w:bCs w:val="1"/>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2017</w:t>
            </w: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2016</w:t>
            </w:r>
          </w:p>
        </w:tc>
        <w:tc>
          <w:tcPr>
            <w:tcW w:w="12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Unit Change</w:t>
            </w:r>
          </w:p>
        </w:tc>
        <w:tc>
          <w:tcPr>
            <w:tcW w:w="13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12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344,300</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340,600</w:t>
            </w:r>
          </w:p>
        </w:tc>
        <w:tc>
          <w:tcPr>
            <w:tcW w:w="12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3,700</w:t>
            </w:r>
          </w:p>
        </w:tc>
        <w:tc>
          <w:tcPr>
            <w:tcW w:w="13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1.1%</w:t>
            </w:r>
          </w:p>
        </w:tc>
      </w:tr>
      <w:tr>
        <w:trPr>
          <w:trHeight w:val="264"/>
        </w:trPr>
        <w:tc>
          <w:tcPr>
            <w:tcW w:w="66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Motorized</w:t>
            </w: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53,900</w:t>
            </w: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52,200</w:t>
            </w:r>
          </w:p>
        </w:tc>
        <w:tc>
          <w:tcPr>
            <w:tcW w:w="12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1,700</w:t>
            </w:r>
          </w:p>
        </w:tc>
        <w:tc>
          <w:tcPr>
            <w:tcW w:w="13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3.3%</w:t>
            </w:r>
          </w:p>
        </w:tc>
      </w:tr>
      <w:tr>
        <w:trPr>
          <w:trHeight w:val="257"/>
        </w:trPr>
        <w:tc>
          <w:tcPr>
            <w:tcW w:w="6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Combined</w:t>
            </w:r>
          </w:p>
        </w:tc>
        <w:tc>
          <w:tcPr>
            <w:tcW w:w="12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398,200</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392,800</w:t>
            </w:r>
          </w:p>
        </w:tc>
        <w:tc>
          <w:tcPr>
            <w:tcW w:w="12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5,400</w:t>
            </w:r>
          </w:p>
        </w:tc>
        <w:tc>
          <w:tcPr>
            <w:tcW w:w="13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1.4%</w:t>
            </w:r>
          </w:p>
        </w:tc>
      </w:tr>
    </w:tbl>
    <w:p>
      <w:pPr>
        <w:spacing w:after="0" w:line="59" w:lineRule="exact"/>
        <w:rPr>
          <w:sz w:val="20"/>
          <w:szCs w:val="20"/>
          <w:color w:val="auto"/>
        </w:rPr>
      </w:pPr>
    </w:p>
    <w:p>
      <w:pPr>
        <w:ind w:left="340" w:right="380" w:hanging="332"/>
        <w:spacing w:after="0" w:line="218" w:lineRule="auto"/>
        <w:tabs>
          <w:tab w:leader="none" w:pos="34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Prepared by Dr. Richard Curtin of the University of Michigan Consumer Survey Research Center for RVIA and reported in the Roadsigns RV Fall 2016 Industry Forecast Issue.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Outlook</w:t>
      </w:r>
    </w:p>
    <w:p>
      <w:pPr>
        <w:spacing w:after="0" w:line="187"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Based on our profitable operating results in recent years, we believe that we have demonstrated our ability to maintain our liquidity, cover operations costs, recover fixed assets, and maintain physical capacity at present levels. Our entrance into the towable market has been successful and we are seeing high growth rates in revenues and earnings in a market significantly larger than the motorized market.</w:t>
      </w:r>
    </w:p>
    <w:p>
      <w:pPr>
        <w:spacing w:after="0" w:line="174"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Our motorized production facilities are located in largely rural areas of northern Iowa. In addition, the unemployment rate in these areas is currently low. To the extent that we have been able to increase the production rate, we have also incurred incremental operating expenses associated with overtime and workers compensation expense. To overcome these labor shortages we first expanded within the state of Iowa. In Fiscal 2014, we leased an additional manufacturing facility in Lake Mills, Iowa and in the third quarter of Fiscal 2015 we purchased a separate facility in Waverly, Iowa which is also in production. We also exited our bus and aluminum extrusion operation to better deploy our labor in Forest City, Iowa.</w:t>
      </w:r>
    </w:p>
    <w:p>
      <w:pPr>
        <w:spacing w:after="0" w:line="190"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In the second quarter of 2016, we purchased a production facility in Junction City, Oregon from a former motorized RV producer. We are expanding some motorhome manufacturing to Junction City in order to diversify our geographical locations. The site also provides a west coast service option for our customers.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41"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We expect to continue investing and building for Winnebago’s future. We anticipate modest motorized deliveries growth, which is in line with RVIA’s projection of 3% growth for the industry. We’ve taken steps to improve motorized labor efficiency and expect to see continued improvement in Fiscal 2017. In Towables, we anticipate continued double digit growth, with further penetration of our new products and further expansion of our distribution base. We believe our acquisition of Grand Design, if consummated, will also help fuel this growth.</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gridSpan w:val="2"/>
          </w:tcPr>
          <w:p>
            <w:pPr>
              <w:spacing w:after="0"/>
              <w:rPr>
                <w:sz w:val="20"/>
                <w:szCs w:val="20"/>
                <w:color w:val="auto"/>
              </w:rPr>
            </w:pPr>
            <w:r>
              <w:rPr>
                <w:rFonts w:ascii="Arial" w:cs="Arial" w:eastAsia="Arial" w:hAnsi="Arial"/>
                <w:sz w:val="16"/>
                <w:szCs w:val="16"/>
                <w:color w:val="auto"/>
              </w:rPr>
              <w:t>Our order backlog was as follows:</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391"/>
        </w:trPr>
        <w:tc>
          <w:tcPr>
            <w:tcW w:w="5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right"/>
              <w:ind w:right="1219"/>
              <w:spacing w:after="0"/>
              <w:rPr>
                <w:sz w:val="20"/>
                <w:szCs w:val="20"/>
                <w:color w:val="auto"/>
              </w:rPr>
            </w:pPr>
            <w:r>
              <w:rPr>
                <w:rFonts w:ascii="Arial" w:cs="Arial" w:eastAsia="Arial" w:hAnsi="Arial"/>
                <w:sz w:val="16"/>
                <w:szCs w:val="16"/>
                <w:b w:val="1"/>
                <w:bCs w:val="1"/>
                <w:color w:val="auto"/>
              </w:rPr>
              <w:t>As Of</w:t>
            </w:r>
          </w:p>
        </w:tc>
        <w:tc>
          <w:tcPr>
            <w:tcW w:w="1620" w:type="dxa"/>
            <w:vAlign w:val="bottom"/>
            <w:tcBorders>
              <w:bottom w:val="single" w:sz="8" w:color="auto"/>
            </w:tcBorders>
          </w:tcPr>
          <w:p>
            <w:pPr>
              <w:spacing w:after="0"/>
              <w:rPr>
                <w:sz w:val="24"/>
                <w:szCs w:val="24"/>
                <w:color w:val="auto"/>
              </w:rPr>
            </w:pPr>
          </w:p>
        </w:tc>
      </w:tr>
      <w:tr>
        <w:trPr>
          <w:trHeight w:val="198"/>
        </w:trPr>
        <w:tc>
          <w:tcPr>
            <w:tcW w:w="5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219"/>
              <w:spacing w:after="0"/>
              <w:rPr>
                <w:sz w:val="20"/>
                <w:szCs w:val="20"/>
                <w:color w:val="auto"/>
              </w:rPr>
            </w:pPr>
            <w:r>
              <w:rPr>
                <w:rFonts w:ascii="Arial" w:cs="Arial" w:eastAsia="Arial" w:hAnsi="Arial"/>
                <w:sz w:val="16"/>
                <w:szCs w:val="16"/>
                <w:b w:val="1"/>
                <w:bCs w:val="1"/>
                <w:color w:val="auto"/>
              </w:rPr>
              <w:t>August 27,</w:t>
            </w:r>
          </w:p>
        </w:tc>
        <w:tc>
          <w:tcPr>
            <w:tcW w:w="240" w:type="dxa"/>
            <w:vAlign w:val="bottom"/>
          </w:tcPr>
          <w:p>
            <w:pPr>
              <w:spacing w:after="0"/>
              <w:rPr>
                <w:sz w:val="17"/>
                <w:szCs w:val="17"/>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b w:val="1"/>
                <w:bCs w:val="1"/>
                <w:color w:val="auto"/>
              </w:rPr>
              <w:t>August 29,</w:t>
            </w:r>
          </w:p>
        </w:tc>
        <w:tc>
          <w:tcPr>
            <w:tcW w:w="300" w:type="dxa"/>
            <w:vAlign w:val="bottom"/>
          </w:tcPr>
          <w:p>
            <w:pPr>
              <w:spacing w:after="0"/>
              <w:rPr>
                <w:sz w:val="17"/>
                <w:szCs w:val="17"/>
                <w:color w:val="auto"/>
              </w:rPr>
            </w:pPr>
          </w:p>
        </w:tc>
        <w:tc>
          <w:tcPr>
            <w:tcW w:w="1540" w:type="dxa"/>
            <w:vAlign w:val="bottom"/>
          </w:tcPr>
          <w:p>
            <w:pPr>
              <w:jc w:val="right"/>
              <w:ind w:right="499"/>
              <w:spacing w:after="0"/>
              <w:rPr>
                <w:sz w:val="20"/>
                <w:szCs w:val="20"/>
                <w:color w:val="auto"/>
              </w:rPr>
            </w:pPr>
            <w:r>
              <w:rPr>
                <w:rFonts w:ascii="Arial" w:cs="Arial" w:eastAsia="Arial" w:hAnsi="Arial"/>
                <w:sz w:val="16"/>
                <w:szCs w:val="16"/>
                <w:b w:val="1"/>
                <w:bCs w:val="1"/>
                <w:color w:val="auto"/>
              </w:rPr>
              <w:t>(Decrease)</w:t>
            </w:r>
          </w:p>
        </w:tc>
        <w:tc>
          <w:tcPr>
            <w:tcW w:w="1620" w:type="dxa"/>
            <w:vAlign w:val="bottom"/>
          </w:tcPr>
          <w:p>
            <w:pPr>
              <w:jc w:val="right"/>
              <w:ind w:right="739"/>
              <w:spacing w:after="0"/>
              <w:rPr>
                <w:sz w:val="20"/>
                <w:szCs w:val="20"/>
                <w:color w:val="auto"/>
              </w:rPr>
            </w:pPr>
            <w:r>
              <w:rPr>
                <w:rFonts w:ascii="Arial" w:cs="Arial" w:eastAsia="Arial" w:hAnsi="Arial"/>
                <w:sz w:val="16"/>
                <w:szCs w:val="16"/>
                <w:b w:val="1"/>
                <w:bCs w:val="1"/>
                <w:color w:val="auto"/>
              </w:rPr>
              <w:t>%</w:t>
            </w:r>
          </w:p>
        </w:tc>
      </w:tr>
      <w:tr>
        <w:trPr>
          <w:trHeight w:val="234"/>
        </w:trPr>
        <w:tc>
          <w:tcPr>
            <w:tcW w:w="5000" w:type="dxa"/>
            <w:vAlign w:val="bottom"/>
            <w:tcBorders>
              <w:bottom w:val="single" w:sz="8" w:color="auto"/>
            </w:tcBorders>
          </w:tcPr>
          <w:p>
            <w:pPr>
              <w:ind w:left="40"/>
              <w:spacing w:after="0" w:line="234"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Increase</w:t>
            </w:r>
          </w:p>
        </w:tc>
        <w:tc>
          <w:tcPr>
            <w:tcW w:w="16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Change</w:t>
            </w:r>
          </w:p>
        </w:tc>
      </w:tr>
      <w:tr>
        <w:trPr>
          <w:trHeight w:val="250"/>
        </w:trPr>
        <w:tc>
          <w:tcPr>
            <w:tcW w:w="5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Motorhomes (in units)</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w:t>
            </w:r>
          </w:p>
        </w:tc>
        <w:tc>
          <w:tcPr>
            <w:tcW w:w="30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(615)</w:t>
            </w:r>
          </w:p>
        </w:tc>
        <w:tc>
          <w:tcPr>
            <w:tcW w:w="1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(35.1)%</w:t>
            </w:r>
          </w:p>
        </w:tc>
      </w:tr>
      <w:tr>
        <w:trPr>
          <w:trHeight w:val="260"/>
        </w:trPr>
        <w:tc>
          <w:tcPr>
            <w:tcW w:w="5120" w:type="dxa"/>
            <w:vAlign w:val="bottom"/>
            <w:gridSpan w:val="2"/>
          </w:tcPr>
          <w:p>
            <w:pPr>
              <w:ind w:left="40"/>
              <w:spacing w:after="0"/>
              <w:rPr>
                <w:sz w:val="20"/>
                <w:szCs w:val="20"/>
                <w:color w:val="auto"/>
              </w:rPr>
            </w:pPr>
            <w:r>
              <w:rPr>
                <w:rFonts w:ascii="Arial" w:cs="Arial" w:eastAsia="Arial" w:hAnsi="Arial"/>
                <w:sz w:val="16"/>
                <w:szCs w:val="16"/>
                <w:color w:val="auto"/>
              </w:rPr>
              <w:t>Motorhomes (approximate revenue in thousands)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107,621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156,353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39"/>
              <w:spacing w:after="0"/>
              <w:rPr>
                <w:sz w:val="20"/>
                <w:szCs w:val="20"/>
                <w:color w:val="auto"/>
              </w:rPr>
            </w:pPr>
            <w:r>
              <w:rPr>
                <w:rFonts w:ascii="Arial" w:cs="Arial" w:eastAsia="Arial" w:hAnsi="Arial"/>
                <w:sz w:val="16"/>
                <w:szCs w:val="16"/>
                <w:color w:val="auto"/>
              </w:rPr>
              <w:t>(48,732)</w:t>
            </w:r>
          </w:p>
        </w:tc>
        <w:tc>
          <w:tcPr>
            <w:tcW w:w="1620" w:type="dxa"/>
            <w:vAlign w:val="bottom"/>
          </w:tcPr>
          <w:p>
            <w:pPr>
              <w:jc w:val="right"/>
              <w:ind w:right="199"/>
              <w:spacing w:after="0"/>
              <w:rPr>
                <w:sz w:val="20"/>
                <w:szCs w:val="20"/>
                <w:color w:val="auto"/>
              </w:rPr>
            </w:pPr>
            <w:r>
              <w:rPr>
                <w:rFonts w:ascii="Arial" w:cs="Arial" w:eastAsia="Arial" w:hAnsi="Arial"/>
                <w:sz w:val="16"/>
                <w:szCs w:val="16"/>
                <w:color w:val="auto"/>
              </w:rPr>
              <w:t>(31.2)%</w:t>
            </w:r>
          </w:p>
        </w:tc>
      </w:tr>
      <w:tr>
        <w:trPr>
          <w:trHeight w:val="280"/>
        </w:trPr>
        <w:tc>
          <w:tcPr>
            <w:tcW w:w="5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Towables (in units)</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3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244</w:t>
            </w:r>
          </w:p>
        </w:tc>
        <w:tc>
          <w:tcPr>
            <w:tcW w:w="1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98.4 %</w:t>
            </w:r>
          </w:p>
        </w:tc>
      </w:tr>
      <w:tr>
        <w:trPr>
          <w:trHeight w:val="251"/>
        </w:trPr>
        <w:tc>
          <w:tcPr>
            <w:tcW w:w="5120" w:type="dxa"/>
            <w:vAlign w:val="bottom"/>
            <w:gridSpan w:val="2"/>
          </w:tcPr>
          <w:p>
            <w:pPr>
              <w:ind w:left="40"/>
              <w:spacing w:after="0"/>
              <w:rPr>
                <w:sz w:val="20"/>
                <w:szCs w:val="20"/>
                <w:color w:val="auto"/>
              </w:rPr>
            </w:pPr>
            <w:r>
              <w:rPr>
                <w:rFonts w:ascii="Arial" w:cs="Arial" w:eastAsia="Arial" w:hAnsi="Arial"/>
                <w:sz w:val="16"/>
                <w:szCs w:val="16"/>
                <w:color w:val="auto"/>
              </w:rPr>
              <w:t>Towables (approximate revenue in thousands)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8,420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6,171</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2,249</w:t>
            </w:r>
          </w:p>
        </w:tc>
        <w:tc>
          <w:tcPr>
            <w:tcW w:w="1620" w:type="dxa"/>
            <w:vAlign w:val="bottom"/>
          </w:tcPr>
          <w:p>
            <w:pPr>
              <w:jc w:val="right"/>
              <w:ind w:right="199"/>
              <w:spacing w:after="0"/>
              <w:rPr>
                <w:sz w:val="20"/>
                <w:szCs w:val="20"/>
                <w:color w:val="auto"/>
              </w:rPr>
            </w:pPr>
            <w:r>
              <w:rPr>
                <w:rFonts w:ascii="Arial" w:cs="Arial" w:eastAsia="Arial" w:hAnsi="Arial"/>
                <w:sz w:val="16"/>
                <w:szCs w:val="16"/>
                <w:color w:val="auto"/>
              </w:rPr>
              <w:t>36.4 %</w:t>
            </w:r>
          </w:p>
        </w:tc>
      </w:tr>
    </w:tbl>
    <w:p>
      <w:pPr>
        <w:spacing w:after="0" w:line="24" w:lineRule="exact"/>
        <w:rPr>
          <w:sz w:val="20"/>
          <w:szCs w:val="20"/>
          <w:color w:val="auto"/>
        </w:rPr>
      </w:pPr>
    </w:p>
    <w:p>
      <w:pPr>
        <w:ind w:left="240" w:right="40" w:hanging="232"/>
        <w:spacing w:after="0" w:line="218" w:lineRule="auto"/>
        <w:tabs>
          <w:tab w:leader="none" w:pos="24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We include in our backlog all accepted purchase orders from dealers to be shipped within the next six months. Orders in backlog can be canceled or postponed at the option of the dealer at any time without penalty and, therefore, backlog may not necessarily be an accurate measure of future sales.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Our unit dealer inventory was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1239"/>
              <w:spacing w:after="0"/>
              <w:rPr>
                <w:sz w:val="20"/>
                <w:szCs w:val="20"/>
                <w:color w:val="auto"/>
              </w:rPr>
            </w:pPr>
            <w:r>
              <w:rPr>
                <w:rFonts w:ascii="Arial" w:cs="Arial" w:eastAsia="Arial" w:hAnsi="Arial"/>
                <w:sz w:val="16"/>
                <w:szCs w:val="16"/>
                <w:b w:val="1"/>
                <w:bCs w:val="1"/>
                <w:color w:val="auto"/>
              </w:rPr>
              <w:t>As Of</w:t>
            </w:r>
          </w:p>
        </w:tc>
        <w:tc>
          <w:tcPr>
            <w:tcW w:w="1520" w:type="dxa"/>
            <w:vAlign w:val="bottom"/>
            <w:tcBorders>
              <w:bottom w:val="single" w:sz="8" w:color="auto"/>
            </w:tcBorders>
          </w:tcPr>
          <w:p>
            <w:pPr>
              <w:spacing w:after="0"/>
              <w:rPr>
                <w:sz w:val="19"/>
                <w:szCs w:val="19"/>
                <w:color w:val="auto"/>
              </w:rPr>
            </w:pPr>
          </w:p>
        </w:tc>
      </w:tr>
      <w:tr>
        <w:trPr>
          <w:trHeight w:val="198"/>
        </w:trPr>
        <w:tc>
          <w:tcPr>
            <w:tcW w:w="5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ind w:right="359"/>
              <w:spacing w:after="0"/>
              <w:rPr>
                <w:sz w:val="20"/>
                <w:szCs w:val="20"/>
                <w:color w:val="auto"/>
              </w:rPr>
            </w:pPr>
            <w:r>
              <w:rPr>
                <w:rFonts w:ascii="Arial" w:cs="Arial" w:eastAsia="Arial" w:hAnsi="Arial"/>
                <w:sz w:val="16"/>
                <w:szCs w:val="16"/>
                <w:b w:val="1"/>
                <w:bCs w:val="1"/>
                <w:color w:val="auto"/>
              </w:rPr>
              <w:t>August 27,</w:t>
            </w: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29,</w:t>
            </w:r>
          </w:p>
        </w:tc>
        <w:tc>
          <w:tcPr>
            <w:tcW w:w="1780" w:type="dxa"/>
            <w:vAlign w:val="bottom"/>
          </w:tcPr>
          <w:p>
            <w:pPr>
              <w:spacing w:after="0"/>
              <w:rPr>
                <w:sz w:val="17"/>
                <w:szCs w:val="17"/>
                <w:color w:val="auto"/>
              </w:rPr>
            </w:pPr>
          </w:p>
        </w:tc>
        <w:tc>
          <w:tcPr>
            <w:tcW w:w="1520" w:type="dxa"/>
            <w:vAlign w:val="bottom"/>
          </w:tcPr>
          <w:p>
            <w:pPr>
              <w:jc w:val="right"/>
              <w:ind w:right="719"/>
              <w:spacing w:after="0"/>
              <w:rPr>
                <w:sz w:val="20"/>
                <w:szCs w:val="20"/>
                <w:color w:val="auto"/>
              </w:rPr>
            </w:pPr>
            <w:r>
              <w:rPr>
                <w:rFonts w:ascii="Arial" w:cs="Arial" w:eastAsia="Arial" w:hAnsi="Arial"/>
                <w:sz w:val="16"/>
                <w:szCs w:val="16"/>
                <w:b w:val="1"/>
                <w:bCs w:val="1"/>
                <w:color w:val="auto"/>
              </w:rPr>
              <w:t>%</w:t>
            </w:r>
          </w:p>
        </w:tc>
      </w:tr>
      <w:tr>
        <w:trPr>
          <w:trHeight w:val="228"/>
        </w:trPr>
        <w:tc>
          <w:tcPr>
            <w:tcW w:w="5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12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7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Increase</w:t>
            </w: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Change</w:t>
            </w:r>
          </w:p>
        </w:tc>
      </w:tr>
      <w:tr>
        <w:trPr>
          <w:trHeight w:val="257"/>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1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4,345</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4,072</w:t>
            </w:r>
          </w:p>
        </w:tc>
        <w:tc>
          <w:tcPr>
            <w:tcW w:w="17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273</w:t>
            </w:r>
          </w:p>
        </w:tc>
        <w:tc>
          <w:tcPr>
            <w:tcW w:w="15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6.7%</w:t>
            </w:r>
          </w:p>
        </w:tc>
      </w:tr>
      <w:tr>
        <w:trPr>
          <w:trHeight w:val="251"/>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Towables</w:t>
            </w: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2,156</w:t>
            </w:r>
          </w:p>
        </w:tc>
        <w:tc>
          <w:tcPr>
            <w:tcW w:w="1280" w:type="dxa"/>
            <w:vAlign w:val="bottom"/>
          </w:tcPr>
          <w:p>
            <w:pPr>
              <w:jc w:val="right"/>
              <w:spacing w:after="0"/>
              <w:rPr>
                <w:sz w:val="20"/>
                <w:szCs w:val="20"/>
                <w:color w:val="auto"/>
              </w:rPr>
            </w:pPr>
            <w:r>
              <w:rPr>
                <w:rFonts w:ascii="Arial" w:cs="Arial" w:eastAsia="Arial" w:hAnsi="Arial"/>
                <w:sz w:val="16"/>
                <w:szCs w:val="16"/>
                <w:color w:val="auto"/>
              </w:rPr>
              <w:t>1,663</w:t>
            </w:r>
          </w:p>
        </w:tc>
        <w:tc>
          <w:tcPr>
            <w:tcW w:w="1780" w:type="dxa"/>
            <w:vAlign w:val="bottom"/>
          </w:tcPr>
          <w:p>
            <w:pPr>
              <w:jc w:val="right"/>
              <w:ind w:right="259"/>
              <w:spacing w:after="0"/>
              <w:rPr>
                <w:sz w:val="20"/>
                <w:szCs w:val="20"/>
                <w:color w:val="auto"/>
              </w:rPr>
            </w:pPr>
            <w:r>
              <w:rPr>
                <w:rFonts w:ascii="Arial" w:cs="Arial" w:eastAsia="Arial" w:hAnsi="Arial"/>
                <w:sz w:val="16"/>
                <w:szCs w:val="16"/>
                <w:color w:val="auto"/>
              </w:rPr>
              <w:t>493</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29.6%</w:t>
            </w:r>
          </w:p>
        </w:tc>
      </w:tr>
    </w:tbl>
    <w:p>
      <w:pPr>
        <w:spacing w:after="0" w:line="238"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We believe that the level of our dealer inventory at the end of Fiscal 2016 is reasonable given the improved retail demand and current sales order backlog of our product. A key metric used to evaluate dealer inventory levels is the retail turn rate (12 month retail volume/current deliver inventory). At the end of Fiscal 2016 the retail turn rate was over 2.0 turns for motorized product. Historically, turn rates above 2.0 have been an indication of a balanced dealer inventory and thus we believe motorized dealer inventory levels are in alignment with retail demand.</w:t>
      </w:r>
    </w:p>
    <w:p>
      <w:pPr>
        <w:spacing w:after="0" w:line="176"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In order to generate sales growth, we have expanded our towables distribution base and thus dealer inventory was higher throughout the year than in previous years. On a year over year basis, towables dealer inventory increased by 29.6% which is reasonable in anticipation of continued sales growth which increased 57.3% in the last year on a unit basis.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ERP</w:t>
      </w:r>
    </w:p>
    <w:p>
      <w:pPr>
        <w:spacing w:after="0" w:line="25"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In the second quarter of Fiscal 2015, the Board of Directors approved the strategic initiative of implementing an ERP system to replace our legacy business applications. The new ERP platform will provide better support for our changing business needs and plans for future growth. Our initial cost estimates have grown for additional needs of the business such as the acquisition of the Junction City, Oregon plant and the opportunity to integrate the ERP system with additional manufacturing systems. The project includes software, external implementation assistance and increased internal staffing directly related to this initiative. We anticipate that approximately 40% of the cost will be immediately expensed over the life of the project and 60% will be capitalized. The following table illustrates the cumulative project costs: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ind w:left="160"/>
              <w:spacing w:after="0"/>
              <w:rPr>
                <w:sz w:val="20"/>
                <w:szCs w:val="20"/>
                <w:color w:val="auto"/>
              </w:rPr>
            </w:pPr>
            <w:r>
              <w:rPr>
                <w:rFonts w:ascii="Arial" w:cs="Arial" w:eastAsia="Arial" w:hAnsi="Arial"/>
                <w:sz w:val="16"/>
                <w:szCs w:val="16"/>
                <w:b w:val="1"/>
                <w:bCs w:val="1"/>
                <w:color w:val="auto"/>
              </w:rPr>
              <w:t>Fiscal</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Fiscal 2016</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rPr>
              <w:t>Cumulative</w:t>
            </w:r>
          </w:p>
        </w:tc>
      </w:tr>
      <w:tr>
        <w:trPr>
          <w:trHeight w:val="250"/>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Q1</w:t>
            </w: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Q2</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Q3</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Q4</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Investment</w:t>
            </w:r>
          </w:p>
        </w:tc>
      </w:tr>
      <w:tr>
        <w:trPr>
          <w:trHeight w:val="257"/>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Capitalized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3,291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w:t>
            </w: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2,690</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7,798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11,089</w:t>
            </w:r>
          </w:p>
        </w:tc>
      </w:tr>
      <w:tr>
        <w:trPr>
          <w:trHeight w:val="264"/>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Expensed</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2,528</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1,363</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1,432</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1,742</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1,393</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5,930</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8,458</w:t>
            </w: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5,819</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2,775</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3,230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3,640</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4,083</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13,728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19,547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340" w:hanging="332"/>
        <w:spacing w:after="0" w:line="196" w:lineRule="exact"/>
        <w:tabs>
          <w:tab w:leader="none" w:pos="34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During Fiscal 2016, we placed in service $6.3 million of our cumulative investment. These capitalized investments are amortized over a 10</w:t>
      </w:r>
      <w:r>
        <w:rPr>
          <w:rFonts w:ascii="MS PGothic" w:cs="MS PGothic" w:eastAsia="MS PGothic" w:hAnsi="MS PGothic"/>
          <w:sz w:val="14"/>
          <w:szCs w:val="14"/>
          <w:color w:val="auto"/>
        </w:rPr>
        <w:t>‑</w:t>
      </w:r>
      <w:r>
        <w:rPr>
          <w:rFonts w:ascii="Arial" w:cs="Arial" w:eastAsia="Arial" w:hAnsi="Arial"/>
          <w:sz w:val="14"/>
          <w:szCs w:val="14"/>
          <w:color w:val="auto"/>
        </w:rPr>
        <w:t>year life.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Inflation</w:t>
      </w:r>
    </w:p>
    <w:p>
      <w:pPr>
        <w:spacing w:after="0" w:line="25"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Materials cost is the primary component in the cost of our products. Historically, the impact of inflation on our operations has not been significantly detrimental, as we have historically been able to adjust our prices to reflect the inflationary impact on the cost of manufacturing our products. While we have historically been able to pass on these increased costs, in the event we are unable to continue to do so due to market conditions, future increases in manufacturing costs could have a material adverse effect on our results of operations.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2016 Compared to Fiscal 2015</w:t>
      </w:r>
    </w:p>
    <w:p>
      <w:pPr>
        <w:spacing w:after="0" w:line="187"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following is an analysis of changes in key items included in the statements of operations for the fiscal year ended August 27, 2016 compared to the fiscal year ended August 29, 2015: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2"/>
          </w:tcPr>
          <w:p>
            <w:pPr>
              <w:jc w:val="right"/>
              <w:ind w:right="759"/>
              <w:spacing w:after="0"/>
              <w:rPr>
                <w:sz w:val="20"/>
                <w:szCs w:val="20"/>
                <w:color w:val="auto"/>
              </w:rPr>
            </w:pPr>
            <w:r>
              <w:rPr>
                <w:rFonts w:ascii="Arial" w:cs="Arial" w:eastAsia="Arial" w:hAnsi="Arial"/>
                <w:sz w:val="16"/>
                <w:szCs w:val="16"/>
                <w:b w:val="1"/>
                <w:bCs w:val="1"/>
                <w:color w:val="auto"/>
              </w:rPr>
              <w:t>Year Ended</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198"/>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percent and</w:t>
            </w:r>
          </w:p>
        </w:tc>
        <w:tc>
          <w:tcPr>
            <w:tcW w:w="14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August 27,</w:t>
            </w:r>
          </w:p>
        </w:tc>
        <w:tc>
          <w:tcPr>
            <w:tcW w:w="1420" w:type="dxa"/>
            <w:vAlign w:val="bottom"/>
          </w:tcPr>
          <w:p>
            <w:pPr>
              <w:jc w:val="right"/>
              <w:ind w:right="459"/>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August 29,</w:t>
            </w:r>
          </w:p>
        </w:tc>
        <w:tc>
          <w:tcPr>
            <w:tcW w:w="1420" w:type="dxa"/>
            <w:vAlign w:val="bottom"/>
          </w:tcPr>
          <w:p>
            <w:pPr>
              <w:jc w:val="right"/>
              <w:ind w:right="459"/>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(Decrease)</w:t>
            </w: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34"/>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 share data)</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420" w:type="dxa"/>
            <w:vAlign w:val="bottom"/>
            <w:tcBorders>
              <w:bottom w:val="single" w:sz="8" w:color="auto"/>
            </w:tcBorders>
          </w:tcPr>
          <w:p>
            <w:pPr>
              <w:jc w:val="right"/>
              <w:ind w:right="17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420" w:type="dxa"/>
            <w:vAlign w:val="bottom"/>
            <w:tcBorders>
              <w:bottom w:val="single" w:sz="8" w:color="auto"/>
            </w:tcBorders>
          </w:tcPr>
          <w:p>
            <w:pPr>
              <w:jc w:val="right"/>
              <w:ind w:right="17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3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975,226</w:t>
            </w:r>
          </w:p>
        </w:tc>
        <w:tc>
          <w:tcPr>
            <w:tcW w:w="14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976,505</w:t>
            </w: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(1,279)</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r>
      <w:tr>
        <w:trPr>
          <w:trHeight w:val="237"/>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862,577</w:t>
            </w: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88.4%</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871,625</w:t>
            </w: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89.3%</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(9,048)</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w:t>
            </w:r>
          </w:p>
        </w:tc>
      </w:tr>
      <w:tr>
        <w:trPr>
          <w:trHeight w:val="23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112,649</w:t>
            </w:r>
          </w:p>
        </w:tc>
        <w:tc>
          <w:tcPr>
            <w:tcW w:w="14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11.6%</w:t>
            </w: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104,880</w:t>
            </w: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10.7%</w:t>
            </w: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7,769</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7.4 %</w:t>
            </w:r>
          </w:p>
        </w:tc>
      </w:tr>
      <w:tr>
        <w:trPr>
          <w:trHeight w:val="284"/>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3"/>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19,823</w:t>
            </w:r>
          </w:p>
        </w:tc>
        <w:tc>
          <w:tcPr>
            <w:tcW w:w="14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19,161</w:t>
            </w: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662</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3.5 %</w:t>
            </w:r>
          </w:p>
        </w:tc>
      </w:tr>
      <w:tr>
        <w:trPr>
          <w:trHeight w:val="233"/>
        </w:trPr>
        <w:tc>
          <w:tcPr>
            <w:tcW w:w="354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27,085</w:t>
            </w: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25,838</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2.6%</w:t>
            </w:r>
          </w:p>
        </w:tc>
        <w:tc>
          <w:tcPr>
            <w:tcW w:w="180" w:type="dxa"/>
            <w:vAlign w:val="bottom"/>
          </w:tcPr>
          <w:p>
            <w:pPr>
              <w:spacing w:after="0"/>
              <w:rPr>
                <w:sz w:val="20"/>
                <w:szCs w:val="20"/>
                <w:color w:val="auto"/>
              </w:rPr>
            </w:pP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1,247</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4.8 %</w:t>
            </w:r>
          </w:p>
        </w:tc>
      </w:tr>
      <w:tr>
        <w:trPr>
          <w:trHeight w:val="246"/>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Impairment on fixed assets</w:t>
            </w: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462</w:t>
            </w: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(462)</w:t>
            </w:r>
          </w:p>
        </w:tc>
        <w:tc>
          <w:tcPr>
            <w:tcW w:w="12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NMF</w:t>
            </w:r>
          </w:p>
        </w:tc>
      </w:tr>
      <w:tr>
        <w:trPr>
          <w:trHeight w:val="237"/>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Operating expenses</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46,908</w:t>
            </w: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4.8%</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45,461</w:t>
            </w: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4.7%</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1,447</w:t>
            </w: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3.2 %</w:t>
            </w:r>
          </w:p>
        </w:tc>
      </w:tr>
      <w:tr>
        <w:trPr>
          <w:trHeight w:val="284"/>
        </w:trPr>
        <w:tc>
          <w:tcPr>
            <w:tcW w:w="3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33"/>
        </w:trPr>
        <w:tc>
          <w:tcPr>
            <w:tcW w:w="354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1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65,741</w:t>
            </w: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6.7%</w:t>
            </w:r>
          </w:p>
        </w:tc>
        <w:tc>
          <w:tcPr>
            <w:tcW w:w="1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59,419</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6.1%</w:t>
            </w:r>
          </w:p>
        </w:tc>
        <w:tc>
          <w:tcPr>
            <w:tcW w:w="180" w:type="dxa"/>
            <w:vAlign w:val="bottom"/>
          </w:tcPr>
          <w:p>
            <w:pPr>
              <w:spacing w:after="0"/>
              <w:rPr>
                <w:sz w:val="20"/>
                <w:szCs w:val="20"/>
                <w:color w:val="auto"/>
              </w:rPr>
            </w:pP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6,322</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10.6 %</w:t>
            </w:r>
          </w:p>
        </w:tc>
      </w:tr>
      <w:tr>
        <w:trPr>
          <w:trHeight w:val="246"/>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457</w:t>
            </w:r>
          </w:p>
        </w:tc>
        <w:tc>
          <w:tcPr>
            <w:tcW w:w="14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342</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297.4 %</w:t>
            </w:r>
          </w:p>
        </w:tc>
      </w:tr>
      <w:tr>
        <w:trPr>
          <w:trHeight w:val="233"/>
        </w:trPr>
        <w:tc>
          <w:tcPr>
            <w:tcW w:w="354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1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66,198</w:t>
            </w: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6.8%</w:t>
            </w:r>
          </w:p>
        </w:tc>
        <w:tc>
          <w:tcPr>
            <w:tcW w:w="1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59,534</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6.1%</w:t>
            </w:r>
          </w:p>
        </w:tc>
        <w:tc>
          <w:tcPr>
            <w:tcW w:w="180" w:type="dxa"/>
            <w:vAlign w:val="bottom"/>
          </w:tcPr>
          <w:p>
            <w:pPr>
              <w:spacing w:after="0"/>
              <w:rPr>
                <w:sz w:val="20"/>
                <w:szCs w:val="20"/>
                <w:color w:val="auto"/>
              </w:rPr>
            </w:pP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6,664</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11.2 %</w:t>
            </w:r>
          </w:p>
        </w:tc>
      </w:tr>
      <w:tr>
        <w:trPr>
          <w:trHeight w:val="246"/>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taxes</w:t>
            </w: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20,702</w:t>
            </w:r>
          </w:p>
        </w:tc>
        <w:tc>
          <w:tcPr>
            <w:tcW w:w="14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2.1%</w:t>
            </w: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18,324</w:t>
            </w: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2,378</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13.0 %</w:t>
            </w:r>
          </w:p>
        </w:tc>
      </w:tr>
      <w:tr>
        <w:trPr>
          <w:trHeight w:val="280"/>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45,496</w:t>
            </w: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41,210</w:t>
            </w: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4,286</w:t>
            </w: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10.4 %</w:t>
            </w: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income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1.68</w:t>
            </w:r>
          </w:p>
        </w:tc>
        <w:tc>
          <w:tcPr>
            <w:tcW w:w="14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1.52</w:t>
            </w:r>
          </w:p>
        </w:tc>
        <w:tc>
          <w:tcPr>
            <w:tcW w:w="14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0.16</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10.5 %</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1"/>
        </w:trPr>
        <w:tc>
          <w:tcPr>
            <w:tcW w:w="3540" w:type="dxa"/>
            <w:vAlign w:val="bottom"/>
          </w:tcPr>
          <w:p>
            <w:pPr>
              <w:ind w:left="40"/>
              <w:spacing w:after="0"/>
              <w:rPr>
                <w:sz w:val="20"/>
                <w:szCs w:val="20"/>
                <w:color w:val="auto"/>
              </w:rPr>
            </w:pPr>
            <w:r>
              <w:rPr>
                <w:rFonts w:ascii="Arial" w:cs="Arial" w:eastAsia="Arial" w:hAnsi="Arial"/>
                <w:sz w:val="16"/>
                <w:szCs w:val="16"/>
                <w:color w:val="auto"/>
              </w:rPr>
              <w:t>Diluted average shares outstanding</w:t>
            </w:r>
          </w:p>
        </w:tc>
        <w:tc>
          <w:tcPr>
            <w:tcW w:w="14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27,033</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27,051</w:t>
            </w: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3810</wp:posOffset>
            </wp:positionV>
            <wp:extent cx="7715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20955</wp:posOffset>
            </wp:positionV>
            <wp:extent cx="7715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3810</wp:posOffset>
            </wp:positionV>
            <wp:extent cx="7715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20955</wp:posOffset>
            </wp:positionV>
            <wp:extent cx="7715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ind w:left="160" w:hanging="152"/>
        <w:spacing w:after="0"/>
        <w:tabs>
          <w:tab w:leader="none" w:pos="16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Motorhome unit deliveries and ASP, net of discounts,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Year Ended</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198"/>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b w:val="1"/>
                <w:bCs w:val="1"/>
                <w:color w:val="auto"/>
              </w:rPr>
              <w:t>August 27,</w:t>
            </w:r>
          </w:p>
        </w:tc>
        <w:tc>
          <w:tcPr>
            <w:tcW w:w="1560" w:type="dxa"/>
            <w:vAlign w:val="bottom"/>
            <w:gridSpan w:val="2"/>
          </w:tcPr>
          <w:p>
            <w:pPr>
              <w:ind w:left="420"/>
              <w:spacing w:after="0"/>
              <w:rPr>
                <w:sz w:val="20"/>
                <w:szCs w:val="20"/>
                <w:color w:val="auto"/>
              </w:rPr>
            </w:pPr>
            <w:r>
              <w:rPr>
                <w:rFonts w:ascii="Arial" w:cs="Arial" w:eastAsia="Arial" w:hAnsi="Arial"/>
                <w:sz w:val="16"/>
                <w:szCs w:val="16"/>
                <w:b w:val="1"/>
                <w:bCs w:val="1"/>
                <w:color w:val="auto"/>
              </w:rPr>
              <w:t>Product</w:t>
            </w:r>
          </w:p>
        </w:tc>
        <w:tc>
          <w:tcPr>
            <w:tcW w:w="160" w:type="dxa"/>
            <w:vAlign w:val="bottom"/>
          </w:tcPr>
          <w:p>
            <w:pPr>
              <w:spacing w:after="0"/>
              <w:rPr>
                <w:sz w:val="17"/>
                <w:szCs w:val="17"/>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29,</w:t>
            </w:r>
          </w:p>
        </w:tc>
        <w:tc>
          <w:tcPr>
            <w:tcW w:w="1560" w:type="dxa"/>
            <w:vAlign w:val="bottom"/>
            <w:gridSpan w:val="2"/>
          </w:tcPr>
          <w:p>
            <w:pPr>
              <w:ind w:left="420"/>
              <w:spacing w:after="0"/>
              <w:rPr>
                <w:sz w:val="20"/>
                <w:szCs w:val="20"/>
                <w:color w:val="auto"/>
              </w:rPr>
            </w:pPr>
            <w:r>
              <w:rPr>
                <w:rFonts w:ascii="Arial" w:cs="Arial" w:eastAsia="Arial" w:hAnsi="Arial"/>
                <w:sz w:val="16"/>
                <w:szCs w:val="16"/>
                <w:b w:val="1"/>
                <w:bCs w:val="1"/>
                <w:color w:val="auto"/>
              </w:rPr>
              <w:t>Product</w:t>
            </w:r>
          </w:p>
        </w:tc>
        <w:tc>
          <w:tcPr>
            <w:tcW w:w="200" w:type="dxa"/>
            <w:vAlign w:val="bottom"/>
          </w:tcPr>
          <w:p>
            <w:pPr>
              <w:spacing w:after="0"/>
              <w:rPr>
                <w:sz w:val="17"/>
                <w:szCs w:val="17"/>
                <w:color w:val="auto"/>
              </w:rPr>
            </w:pPr>
          </w:p>
        </w:tc>
        <w:tc>
          <w:tcPr>
            <w:tcW w:w="1320" w:type="dxa"/>
            <w:vAlign w:val="bottom"/>
          </w:tcPr>
          <w:p>
            <w:pPr>
              <w:jc w:val="right"/>
              <w:ind w:right="299"/>
              <w:spacing w:after="0"/>
              <w:rPr>
                <w:sz w:val="20"/>
                <w:szCs w:val="20"/>
                <w:color w:val="auto"/>
              </w:rPr>
            </w:pPr>
            <w:r>
              <w:rPr>
                <w:rFonts w:ascii="Arial" w:cs="Arial" w:eastAsia="Arial" w:hAnsi="Arial"/>
                <w:sz w:val="16"/>
                <w:szCs w:val="16"/>
                <w:b w:val="1"/>
                <w:bCs w:val="1"/>
                <w:color w:val="auto"/>
              </w:rPr>
              <w:t>(Decrease)</w:t>
            </w:r>
          </w:p>
        </w:tc>
        <w:tc>
          <w:tcPr>
            <w:tcW w:w="1320" w:type="dxa"/>
            <w:vAlign w:val="bottom"/>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34"/>
        </w:trPr>
        <w:tc>
          <w:tcPr>
            <w:tcW w:w="2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560" w:type="dxa"/>
            <w:vAlign w:val="bottom"/>
            <w:gridSpan w:val="2"/>
          </w:tcPr>
          <w:p>
            <w:pPr>
              <w:ind w:left="42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60" w:type="dxa"/>
            <w:vAlign w:val="bottom"/>
          </w:tcPr>
          <w:p>
            <w:pPr>
              <w:spacing w:after="0"/>
              <w:rPr>
                <w:sz w:val="20"/>
                <w:szCs w:val="20"/>
                <w:color w:val="auto"/>
              </w:rPr>
            </w:pPr>
          </w:p>
        </w:tc>
        <w:tc>
          <w:tcPr>
            <w:tcW w:w="114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560" w:type="dxa"/>
            <w:vAlign w:val="bottom"/>
            <w:gridSpan w:val="2"/>
          </w:tcPr>
          <w:p>
            <w:pPr>
              <w:ind w:left="40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200" w:type="dxa"/>
            <w:vAlign w:val="bottom"/>
          </w:tcPr>
          <w:p>
            <w:pPr>
              <w:spacing w:after="0"/>
              <w:rPr>
                <w:sz w:val="20"/>
                <w:szCs w:val="20"/>
                <w:color w:val="auto"/>
              </w:rPr>
            </w:pPr>
          </w:p>
        </w:tc>
        <w:tc>
          <w:tcPr>
            <w:tcW w:w="1320" w:type="dxa"/>
            <w:vAlign w:val="bottom"/>
          </w:tcPr>
          <w:p>
            <w:pPr>
              <w:jc w:val="right"/>
              <w:ind w:right="379"/>
              <w:spacing w:after="0"/>
              <w:rPr>
                <w:sz w:val="20"/>
                <w:szCs w:val="20"/>
                <w:color w:val="auto"/>
              </w:rPr>
            </w:pPr>
            <w:r>
              <w:rPr>
                <w:rFonts w:ascii="Arial" w:cs="Arial" w:eastAsia="Arial" w:hAnsi="Arial"/>
                <w:sz w:val="16"/>
                <w:szCs w:val="16"/>
                <w:b w:val="1"/>
                <w:bCs w:val="1"/>
                <w:color w:val="auto"/>
              </w:rPr>
              <w:t>Increase</w:t>
            </w:r>
          </w:p>
        </w:tc>
        <w:tc>
          <w:tcPr>
            <w:tcW w:w="1320" w:type="dxa"/>
            <w:vAlign w:val="bottom"/>
          </w:tcPr>
          <w:p>
            <w:pPr>
              <w:jc w:val="right"/>
              <w:ind w:right="31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8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16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2,925</w:t>
            </w:r>
          </w:p>
        </w:tc>
        <w:tc>
          <w:tcPr>
            <w:tcW w:w="146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31.4%</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3,442</w:t>
            </w:r>
          </w:p>
        </w:tc>
        <w:tc>
          <w:tcPr>
            <w:tcW w:w="144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37.8%</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(517)</w:t>
            </w:r>
          </w:p>
        </w:tc>
        <w:tc>
          <w:tcPr>
            <w:tcW w:w="13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(15.0)%</w:t>
            </w:r>
          </w:p>
        </w:tc>
      </w:tr>
      <w:tr>
        <w:trPr>
          <w:trHeight w:val="260"/>
        </w:trPr>
        <w:tc>
          <w:tcPr>
            <w:tcW w:w="2880" w:type="dxa"/>
            <w:vAlign w:val="bottom"/>
          </w:tcPr>
          <w:p>
            <w:pPr>
              <w:ind w:left="40"/>
              <w:spacing w:after="0"/>
              <w:rPr>
                <w:sz w:val="20"/>
                <w:szCs w:val="20"/>
                <w:color w:val="auto"/>
              </w:rPr>
            </w:pPr>
            <w:r>
              <w:rPr>
                <w:rFonts w:ascii="Arial" w:cs="Arial" w:eastAsia="Arial" w:hAnsi="Arial"/>
                <w:sz w:val="16"/>
                <w:szCs w:val="16"/>
                <w:color w:val="auto"/>
              </w:rPr>
              <w:t>Class B</w:t>
            </w:r>
          </w:p>
        </w:tc>
        <w:tc>
          <w:tcPr>
            <w:tcW w:w="1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1,239</w:t>
            </w:r>
          </w:p>
        </w:tc>
        <w:tc>
          <w:tcPr>
            <w:tcW w:w="1460" w:type="dxa"/>
            <w:vAlign w:val="bottom"/>
          </w:tcPr>
          <w:p>
            <w:pPr>
              <w:jc w:val="right"/>
              <w:ind w:right="199"/>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991</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299"/>
              <w:spacing w:after="0"/>
              <w:rPr>
                <w:sz w:val="20"/>
                <w:szCs w:val="20"/>
                <w:color w:val="auto"/>
              </w:rPr>
            </w:pPr>
            <w:r>
              <w:rPr>
                <w:rFonts w:ascii="Arial" w:cs="Arial" w:eastAsia="Arial" w:hAnsi="Arial"/>
                <w:sz w:val="16"/>
                <w:szCs w:val="16"/>
                <w:color w:val="auto"/>
              </w:rPr>
              <w:t>248</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25.0 %</w:t>
            </w:r>
          </w:p>
        </w:tc>
      </w:tr>
      <w:tr>
        <w:trPr>
          <w:trHeight w:val="273"/>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5,143</w:t>
            </w:r>
          </w:p>
        </w:tc>
        <w:tc>
          <w:tcPr>
            <w:tcW w:w="14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55.3%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4,664</w:t>
            </w: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51.3%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479</w:t>
            </w: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10.3 %</w:t>
            </w:r>
          </w:p>
        </w:tc>
      </w:tr>
      <w:tr>
        <w:trPr>
          <w:trHeight w:val="280"/>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motorhome deliveries</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9,307</w:t>
            </w: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9,097</w:t>
            </w: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210</w:t>
            </w: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2.3 %</w:t>
            </w:r>
          </w:p>
        </w:tc>
      </w:tr>
      <w:tr>
        <w:trPr>
          <w:trHeight w:val="267"/>
        </w:trPr>
        <w:tc>
          <w:tcPr>
            <w:tcW w:w="28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r>
      <w:tr>
        <w:trPr>
          <w:trHeight w:val="231"/>
        </w:trPr>
        <w:tc>
          <w:tcPr>
            <w:tcW w:w="2880" w:type="dxa"/>
            <w:vAlign w:val="bottom"/>
          </w:tcPr>
          <w:p>
            <w:pPr>
              <w:ind w:left="40"/>
              <w:spacing w:after="0"/>
              <w:rPr>
                <w:sz w:val="20"/>
                <w:szCs w:val="20"/>
                <w:color w:val="auto"/>
              </w:rPr>
            </w:pPr>
            <w:r>
              <w:rPr>
                <w:rFonts w:ascii="Arial" w:cs="Arial" w:eastAsia="Arial" w:hAnsi="Arial"/>
                <w:sz w:val="16"/>
                <w:szCs w:val="16"/>
                <w:color w:val="auto"/>
              </w:rPr>
              <w:t>Motorhome ASP</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93,116</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94,841</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(1,725)</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3810</wp:posOffset>
            </wp:positionV>
            <wp:extent cx="18097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20955</wp:posOffset>
            </wp:positionV>
            <wp:extent cx="18097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3810</wp:posOffset>
            </wp:positionV>
            <wp:extent cx="8235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3595"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20955</wp:posOffset>
            </wp:positionV>
            <wp:extent cx="8235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3595"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3810</wp:posOffset>
            </wp:positionV>
            <wp:extent cx="8235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3595"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20955</wp:posOffset>
            </wp:positionV>
            <wp:extent cx="8235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ind w:left="160" w:hanging="152"/>
        <w:spacing w:after="0"/>
        <w:tabs>
          <w:tab w:leader="none" w:pos="16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Percentages and dollars may not add due to rounding differences.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Towables unit deliveries and ASP, net of discounts, consisted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tcPr>
          <w:p>
            <w:pPr>
              <w:ind w:left="800"/>
              <w:spacing w:after="0"/>
              <w:rPr>
                <w:sz w:val="20"/>
                <w:szCs w:val="20"/>
                <w:color w:val="auto"/>
              </w:rPr>
            </w:pPr>
            <w:r>
              <w:rPr>
                <w:rFonts w:ascii="Arial" w:cs="Arial" w:eastAsia="Arial" w:hAnsi="Arial"/>
                <w:sz w:val="16"/>
                <w:szCs w:val="16"/>
                <w:b w:val="1"/>
                <w:bCs w:val="1"/>
                <w:color w:val="auto"/>
              </w:rPr>
              <w:t>Year Ended</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198"/>
        </w:trPr>
        <w:tc>
          <w:tcPr>
            <w:tcW w:w="2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27,</w:t>
            </w:r>
          </w:p>
        </w:tc>
        <w:tc>
          <w:tcPr>
            <w:tcW w:w="1580" w:type="dxa"/>
            <w:vAlign w:val="bottom"/>
            <w:gridSpan w:val="2"/>
          </w:tcPr>
          <w:p>
            <w:pPr>
              <w:ind w:left="440"/>
              <w:spacing w:after="0"/>
              <w:rPr>
                <w:sz w:val="20"/>
                <w:szCs w:val="20"/>
                <w:color w:val="auto"/>
              </w:rPr>
            </w:pPr>
            <w:r>
              <w:rPr>
                <w:rFonts w:ascii="Arial" w:cs="Arial" w:eastAsia="Arial" w:hAnsi="Arial"/>
                <w:sz w:val="16"/>
                <w:szCs w:val="16"/>
                <w:b w:val="1"/>
                <w:bCs w:val="1"/>
                <w:color w:val="auto"/>
              </w:rPr>
              <w:t>Product</w:t>
            </w:r>
          </w:p>
        </w:tc>
        <w:tc>
          <w:tcPr>
            <w:tcW w:w="160" w:type="dxa"/>
            <w:vAlign w:val="bottom"/>
          </w:tcPr>
          <w:p>
            <w:pPr>
              <w:spacing w:after="0"/>
              <w:rPr>
                <w:sz w:val="17"/>
                <w:szCs w:val="17"/>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29,</w:t>
            </w:r>
          </w:p>
        </w:tc>
        <w:tc>
          <w:tcPr>
            <w:tcW w:w="1460" w:type="dxa"/>
            <w:vAlign w:val="bottom"/>
            <w:gridSpan w:val="2"/>
          </w:tcPr>
          <w:p>
            <w:pPr>
              <w:ind w:left="380"/>
              <w:spacing w:after="0"/>
              <w:rPr>
                <w:sz w:val="20"/>
                <w:szCs w:val="20"/>
                <w:color w:val="auto"/>
              </w:rPr>
            </w:pPr>
            <w:r>
              <w:rPr>
                <w:rFonts w:ascii="Arial" w:cs="Arial" w:eastAsia="Arial" w:hAnsi="Arial"/>
                <w:sz w:val="16"/>
                <w:szCs w:val="16"/>
                <w:b w:val="1"/>
                <w:bCs w:val="1"/>
                <w:color w:val="auto"/>
              </w:rPr>
              <w:t>Product</w:t>
            </w:r>
          </w:p>
        </w:tc>
        <w:tc>
          <w:tcPr>
            <w:tcW w:w="220" w:type="dxa"/>
            <w:vAlign w:val="bottom"/>
          </w:tcPr>
          <w:p>
            <w:pPr>
              <w:spacing w:after="0"/>
              <w:rPr>
                <w:sz w:val="17"/>
                <w:szCs w:val="17"/>
                <w:color w:val="auto"/>
              </w:rPr>
            </w:pPr>
          </w:p>
        </w:tc>
        <w:tc>
          <w:tcPr>
            <w:tcW w:w="1340" w:type="dxa"/>
            <w:vAlign w:val="bottom"/>
          </w:tcPr>
          <w:p>
            <w:pPr>
              <w:jc w:val="right"/>
              <w:ind w:right="399"/>
              <w:spacing w:after="0"/>
              <w:rPr>
                <w:sz w:val="20"/>
                <w:szCs w:val="20"/>
                <w:color w:val="auto"/>
              </w:rPr>
            </w:pPr>
            <w:r>
              <w:rPr>
                <w:rFonts w:ascii="Arial" w:cs="Arial" w:eastAsia="Arial" w:hAnsi="Arial"/>
                <w:sz w:val="16"/>
                <w:szCs w:val="16"/>
                <w:b w:val="1"/>
                <w:bCs w:val="1"/>
                <w:color w:val="auto"/>
              </w:rPr>
              <w:t>Increase</w:t>
            </w:r>
          </w:p>
        </w:tc>
        <w:tc>
          <w:tcPr>
            <w:tcW w:w="1320" w:type="dxa"/>
            <w:vAlign w:val="bottom"/>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34"/>
        </w:trPr>
        <w:tc>
          <w:tcPr>
            <w:tcW w:w="2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580" w:type="dxa"/>
            <w:vAlign w:val="bottom"/>
            <w:gridSpan w:val="2"/>
          </w:tcPr>
          <w:p>
            <w:pPr>
              <w:ind w:left="42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60" w:type="dxa"/>
            <w:vAlign w:val="bottom"/>
          </w:tcPr>
          <w:p>
            <w:pPr>
              <w:spacing w:after="0"/>
              <w:rPr>
                <w:sz w:val="20"/>
                <w:szCs w:val="20"/>
                <w:color w:val="auto"/>
              </w:rPr>
            </w:pPr>
          </w:p>
        </w:tc>
        <w:tc>
          <w:tcPr>
            <w:tcW w:w="11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460" w:type="dxa"/>
            <w:vAlign w:val="bottom"/>
            <w:gridSpan w:val="2"/>
          </w:tcPr>
          <w:p>
            <w:pPr>
              <w:ind w:left="36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220" w:type="dxa"/>
            <w:vAlign w:val="bottom"/>
          </w:tcPr>
          <w:p>
            <w:pPr>
              <w:spacing w:after="0"/>
              <w:rPr>
                <w:sz w:val="20"/>
                <w:szCs w:val="20"/>
                <w:color w:val="auto"/>
              </w:rPr>
            </w:pPr>
          </w:p>
        </w:tc>
        <w:tc>
          <w:tcPr>
            <w:tcW w:w="1340" w:type="dxa"/>
            <w:vAlign w:val="bottom"/>
          </w:tcPr>
          <w:p>
            <w:pPr>
              <w:jc w:val="right"/>
              <w:ind w:right="319"/>
              <w:spacing w:after="0"/>
              <w:rPr>
                <w:sz w:val="20"/>
                <w:szCs w:val="20"/>
                <w:color w:val="auto"/>
              </w:rPr>
            </w:pPr>
            <w:r>
              <w:rPr>
                <w:rFonts w:ascii="Arial" w:cs="Arial" w:eastAsia="Arial" w:hAnsi="Arial"/>
                <w:sz w:val="16"/>
                <w:szCs w:val="16"/>
                <w:b w:val="1"/>
                <w:bCs w:val="1"/>
                <w:color w:val="auto"/>
              </w:rPr>
              <w:t>(Decrease)</w:t>
            </w:r>
          </w:p>
        </w:tc>
        <w:tc>
          <w:tcPr>
            <w:tcW w:w="1320" w:type="dxa"/>
            <w:vAlign w:val="bottom"/>
          </w:tcPr>
          <w:p>
            <w:pPr>
              <w:jc w:val="right"/>
              <w:ind w:right="31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9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6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3,613</w:t>
            </w:r>
          </w:p>
        </w:tc>
        <w:tc>
          <w:tcPr>
            <w:tcW w:w="14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86.0%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2,182</w:t>
            </w:r>
          </w:p>
        </w:tc>
        <w:tc>
          <w:tcPr>
            <w:tcW w:w="13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81.7%</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1,431</w:t>
            </w:r>
          </w:p>
        </w:tc>
        <w:tc>
          <w:tcPr>
            <w:tcW w:w="13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65.6 %</w:t>
            </w:r>
          </w:p>
        </w:tc>
      </w:tr>
      <w:tr>
        <w:trPr>
          <w:trHeight w:val="264"/>
        </w:trPr>
        <w:tc>
          <w:tcPr>
            <w:tcW w:w="2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Fifth wheel</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586</w:t>
            </w:r>
          </w:p>
        </w:tc>
        <w:tc>
          <w:tcPr>
            <w:tcW w:w="1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488</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98</w:t>
            </w: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20.1 %</w:t>
            </w:r>
          </w:p>
        </w:tc>
      </w:tr>
      <w:tr>
        <w:trPr>
          <w:trHeight w:val="24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towable deliveries</w:t>
            </w: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4,199</w:t>
            </w:r>
          </w:p>
        </w:tc>
        <w:tc>
          <w:tcPr>
            <w:tcW w:w="14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2,670</w:t>
            </w: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1,529</w:t>
            </w: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57.3 %</w:t>
            </w:r>
          </w:p>
        </w:tc>
      </w:tr>
      <w:tr>
        <w:trPr>
          <w:trHeight w:val="20"/>
        </w:trPr>
        <w:tc>
          <w:tcPr>
            <w:tcW w:w="2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67"/>
        </w:trPr>
        <w:tc>
          <w:tcPr>
            <w:tcW w:w="2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54"/>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Towable ASP</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21,321</w:t>
            </w: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27,012</w:t>
            </w: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(5,691)</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8890</wp:posOffset>
            </wp:positionV>
            <wp:extent cx="5411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11470" cy="8890"/>
                    </a:xfrm>
                    <a:prstGeom prst="rect">
                      <a:avLst/>
                    </a:prstGeom>
                    <a:noFill/>
                  </pic:spPr>
                </pic:pic>
              </a:graphicData>
            </a:graphic>
          </wp:anchor>
        </w:drawing>
      </w:r>
    </w:p>
    <w:p>
      <w:pPr>
        <w:ind w:left="160" w:hanging="152"/>
        <w:spacing w:after="0" w:line="236" w:lineRule="auto"/>
        <w:tabs>
          <w:tab w:leader="none" w:pos="16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Percentages and dollars may not add due to rounding differences.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41"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4"/>
        </w:trPr>
        <w:tc>
          <w:tcPr>
            <w:tcW w:w="304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636"/>
        </w:trPr>
        <w:tc>
          <w:tcPr>
            <w:tcW w:w="3040" w:type="dxa"/>
            <w:vAlign w:val="bottom"/>
            <w:gridSpan w:val="2"/>
          </w:tcPr>
          <w:p>
            <w:pPr>
              <w:spacing w:after="0"/>
              <w:rPr>
                <w:sz w:val="20"/>
                <w:szCs w:val="20"/>
                <w:color w:val="auto"/>
              </w:rPr>
            </w:pPr>
            <w:r>
              <w:rPr>
                <w:rFonts w:ascii="Arial" w:cs="Arial" w:eastAsia="Arial" w:hAnsi="Arial"/>
                <w:sz w:val="16"/>
                <w:szCs w:val="16"/>
                <w:color w:val="auto"/>
              </w:rPr>
              <w:t>Net revenues consisted of the following:</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 Ended</w:t>
            </w: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419"/>
              <w:spacing w:after="0"/>
              <w:rPr>
                <w:sz w:val="20"/>
                <w:szCs w:val="20"/>
                <w:color w:val="auto"/>
              </w:rPr>
            </w:pPr>
            <w:r>
              <w:rPr>
                <w:rFonts w:ascii="Arial" w:cs="Arial" w:eastAsia="Arial" w:hAnsi="Arial"/>
                <w:sz w:val="16"/>
                <w:szCs w:val="16"/>
                <w:b w:val="1"/>
                <w:bCs w:val="1"/>
                <w:color w:val="auto"/>
              </w:rPr>
              <w:t>Increase</w:t>
            </w:r>
          </w:p>
        </w:tc>
        <w:tc>
          <w:tcPr>
            <w:tcW w:w="1300" w:type="dxa"/>
            <w:vAlign w:val="bottom"/>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28"/>
        </w:trPr>
        <w:tc>
          <w:tcPr>
            <w:tcW w:w="304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19"/>
                <w:szCs w:val="19"/>
                <w:color w:val="auto"/>
              </w:rPr>
            </w:pPr>
          </w:p>
        </w:tc>
        <w:tc>
          <w:tcPr>
            <w:tcW w:w="2380" w:type="dxa"/>
            <w:vAlign w:val="bottom"/>
            <w:gridSpan w:val="3"/>
          </w:tcPr>
          <w:p>
            <w:pPr>
              <w:ind w:left="360"/>
              <w:spacing w:after="0"/>
              <w:rPr>
                <w:sz w:val="20"/>
                <w:szCs w:val="20"/>
                <w:color w:val="auto"/>
              </w:rPr>
            </w:pPr>
            <w:r>
              <w:rPr>
                <w:rFonts w:ascii="Arial" w:cs="Arial" w:eastAsia="Arial" w:hAnsi="Arial"/>
                <w:sz w:val="16"/>
                <w:szCs w:val="16"/>
                <w:b w:val="1"/>
                <w:bCs w:val="1"/>
                <w:color w:val="auto"/>
              </w:rPr>
              <w:t>August 27, 2016</w:t>
            </w:r>
          </w:p>
        </w:tc>
        <w:tc>
          <w:tcPr>
            <w:tcW w:w="380" w:type="dxa"/>
            <w:vAlign w:val="bottom"/>
          </w:tcPr>
          <w:p>
            <w:pPr>
              <w:spacing w:after="0"/>
              <w:rPr>
                <w:sz w:val="19"/>
                <w:szCs w:val="19"/>
                <w:color w:val="auto"/>
              </w:rPr>
            </w:pPr>
          </w:p>
        </w:tc>
        <w:tc>
          <w:tcPr>
            <w:tcW w:w="2420" w:type="dxa"/>
            <w:vAlign w:val="bottom"/>
            <w:gridSpan w:val="3"/>
          </w:tcPr>
          <w:p>
            <w:pPr>
              <w:ind w:left="360"/>
              <w:spacing w:after="0"/>
              <w:rPr>
                <w:sz w:val="20"/>
                <w:szCs w:val="20"/>
                <w:color w:val="auto"/>
              </w:rPr>
            </w:pPr>
            <w:r>
              <w:rPr>
                <w:rFonts w:ascii="Arial" w:cs="Arial" w:eastAsia="Arial" w:hAnsi="Arial"/>
                <w:sz w:val="16"/>
                <w:szCs w:val="16"/>
                <w:b w:val="1"/>
                <w:bCs w:val="1"/>
                <w:color w:val="auto"/>
              </w:rPr>
              <w:t>August 29, 2015</w:t>
            </w:r>
          </w:p>
        </w:tc>
        <w:tc>
          <w:tcPr>
            <w:tcW w:w="200" w:type="dxa"/>
            <w:vAlign w:val="bottom"/>
          </w:tcPr>
          <w:p>
            <w:pPr>
              <w:spacing w:after="0"/>
              <w:rPr>
                <w:sz w:val="19"/>
                <w:szCs w:val="19"/>
                <w:color w:val="auto"/>
              </w:rPr>
            </w:pPr>
          </w:p>
        </w:tc>
        <w:tc>
          <w:tcPr>
            <w:tcW w:w="1340" w:type="dxa"/>
            <w:vAlign w:val="bottom"/>
          </w:tcPr>
          <w:p>
            <w:pPr>
              <w:jc w:val="right"/>
              <w:ind w:right="339"/>
              <w:spacing w:after="0"/>
              <w:rPr>
                <w:sz w:val="20"/>
                <w:szCs w:val="20"/>
                <w:color w:val="auto"/>
              </w:rPr>
            </w:pPr>
            <w:r>
              <w:rPr>
                <w:rFonts w:ascii="Arial" w:cs="Arial" w:eastAsia="Arial" w:hAnsi="Arial"/>
                <w:sz w:val="16"/>
                <w:szCs w:val="16"/>
                <w:b w:val="1"/>
                <w:bCs w:val="1"/>
                <w:color w:val="auto"/>
              </w:rPr>
              <w:t>(Decrease)</w:t>
            </w:r>
          </w:p>
        </w:tc>
        <w:tc>
          <w:tcPr>
            <w:tcW w:w="1300" w:type="dxa"/>
            <w:vAlign w:val="bottom"/>
          </w:tcPr>
          <w:p>
            <w:pPr>
              <w:jc w:val="right"/>
              <w:ind w:right="339"/>
              <w:spacing w:after="0"/>
              <w:rPr>
                <w:sz w:val="20"/>
                <w:szCs w:val="20"/>
                <w:color w:val="auto"/>
              </w:rPr>
            </w:pPr>
            <w:r>
              <w:rPr>
                <w:rFonts w:ascii="Arial" w:cs="Arial" w:eastAsia="Arial" w:hAnsi="Arial"/>
                <w:sz w:val="16"/>
                <w:szCs w:val="16"/>
                <w:b w:val="1"/>
                <w:bCs w:val="1"/>
                <w:color w:val="auto"/>
              </w:rPr>
              <w:t>Change</w:t>
            </w:r>
          </w:p>
        </w:tc>
      </w:tr>
      <w:tr>
        <w:trPr>
          <w:trHeight w:val="257"/>
        </w:trPr>
        <w:tc>
          <w:tcPr>
            <w:tcW w:w="304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Motorhomes </w:t>
            </w:r>
            <w:r>
              <w:rPr>
                <w:rFonts w:ascii="Arial" w:cs="Arial" w:eastAsia="Arial" w:hAnsi="Arial"/>
                <w:sz w:val="21"/>
                <w:szCs w:val="21"/>
                <w:color w:val="auto"/>
                <w:vertAlign w:val="superscript"/>
              </w:rPr>
              <w:t>(1)</w:t>
            </w: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875,004</w:t>
            </w:r>
          </w:p>
        </w:tc>
        <w:tc>
          <w:tcPr>
            <w:tcW w:w="10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89.7%</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872,915</w:t>
            </w:r>
          </w:p>
        </w:tc>
        <w:tc>
          <w:tcPr>
            <w:tcW w:w="7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89.4%</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2,089</w:t>
            </w:r>
          </w:p>
        </w:tc>
        <w:tc>
          <w:tcPr>
            <w:tcW w:w="1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0.2 %</w:t>
            </w:r>
          </w:p>
        </w:tc>
      </w:tr>
      <w:tr>
        <w:trPr>
          <w:trHeight w:val="270"/>
        </w:trPr>
        <w:tc>
          <w:tcPr>
            <w:tcW w:w="3040" w:type="dxa"/>
            <w:vAlign w:val="bottom"/>
            <w:gridSpan w:val="2"/>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200" w:type="dxa"/>
            <w:vAlign w:val="bottom"/>
          </w:tcPr>
          <w:p>
            <w:pPr>
              <w:jc w:val="right"/>
              <w:ind w:right="299"/>
              <w:spacing w:after="0"/>
              <w:rPr>
                <w:sz w:val="20"/>
                <w:szCs w:val="20"/>
                <w:color w:val="auto"/>
              </w:rPr>
            </w:pPr>
            <w:r>
              <w:rPr>
                <w:rFonts w:ascii="Arial" w:cs="Arial" w:eastAsia="Arial" w:hAnsi="Arial"/>
                <w:sz w:val="16"/>
                <w:szCs w:val="16"/>
                <w:color w:val="auto"/>
              </w:rPr>
              <w:t>89,412</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jc w:val="right"/>
              <w:ind w:right="639"/>
              <w:spacing w:after="0"/>
              <w:rPr>
                <w:sz w:val="20"/>
                <w:szCs w:val="20"/>
                <w:color w:val="auto"/>
              </w:rPr>
            </w:pPr>
            <w:r>
              <w:rPr>
                <w:rFonts w:ascii="Arial" w:cs="Arial" w:eastAsia="Arial" w:hAnsi="Arial"/>
                <w:sz w:val="16"/>
                <w:szCs w:val="16"/>
                <w:color w:val="auto"/>
              </w:rPr>
              <w:t>71,684</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right"/>
              <w:ind w:right="259"/>
              <w:spacing w:after="0"/>
              <w:rPr>
                <w:sz w:val="20"/>
                <w:szCs w:val="20"/>
                <w:color w:val="auto"/>
              </w:rPr>
            </w:pPr>
            <w:r>
              <w:rPr>
                <w:rFonts w:ascii="Arial" w:cs="Arial" w:eastAsia="Arial" w:hAnsi="Arial"/>
                <w:sz w:val="16"/>
                <w:szCs w:val="16"/>
                <w:color w:val="auto"/>
              </w:rPr>
              <w:t>17,728</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24.7 %</w:t>
            </w:r>
          </w:p>
        </w:tc>
      </w:tr>
      <w:tr>
        <w:trPr>
          <w:trHeight w:val="264"/>
        </w:trPr>
        <w:tc>
          <w:tcPr>
            <w:tcW w:w="3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manufactured products</w:t>
            </w: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10,810</w:t>
            </w: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31,906</w:t>
            </w:r>
          </w:p>
        </w:tc>
        <w:tc>
          <w:tcPr>
            <w:tcW w:w="7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(21,096)</w:t>
            </w: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(66.1)%</w:t>
            </w:r>
          </w:p>
        </w:tc>
      </w:tr>
      <w:tr>
        <w:trPr>
          <w:trHeight w:val="237"/>
        </w:trPr>
        <w:tc>
          <w:tcPr>
            <w:tcW w:w="3040" w:type="dxa"/>
            <w:vAlign w:val="bottom"/>
            <w:gridSpan w:val="2"/>
          </w:tcPr>
          <w:p>
            <w:pPr>
              <w:ind w:left="40"/>
              <w:spacing w:after="0"/>
              <w:rPr>
                <w:sz w:val="20"/>
                <w:szCs w:val="20"/>
                <w:color w:val="auto"/>
              </w:rPr>
            </w:pPr>
            <w:r>
              <w:rPr>
                <w:rFonts w:ascii="Arial" w:cs="Arial" w:eastAsia="Arial" w:hAnsi="Arial"/>
                <w:sz w:val="16"/>
                <w:szCs w:val="16"/>
                <w:color w:val="auto"/>
              </w:rPr>
              <w:t>Total net revenues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99"/>
              <w:spacing w:after="0"/>
              <w:rPr>
                <w:sz w:val="20"/>
                <w:szCs w:val="20"/>
                <w:color w:val="auto"/>
              </w:rPr>
            </w:pPr>
            <w:r>
              <w:rPr>
                <w:rFonts w:ascii="Arial" w:cs="Arial" w:eastAsia="Arial" w:hAnsi="Arial"/>
                <w:sz w:val="16"/>
                <w:szCs w:val="16"/>
                <w:color w:val="auto"/>
              </w:rPr>
              <w:t>975,226</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639"/>
              <w:spacing w:after="0"/>
              <w:rPr>
                <w:sz w:val="20"/>
                <w:szCs w:val="20"/>
                <w:color w:val="auto"/>
              </w:rPr>
            </w:pPr>
            <w:r>
              <w:rPr>
                <w:rFonts w:ascii="Arial" w:cs="Arial" w:eastAsia="Arial" w:hAnsi="Arial"/>
                <w:sz w:val="16"/>
                <w:szCs w:val="16"/>
                <w:color w:val="auto"/>
              </w:rPr>
              <w:t>976,505</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(1,279)</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3810</wp:posOffset>
            </wp:positionV>
            <wp:extent cx="532574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25745" cy="26035"/>
                    </a:xfrm>
                    <a:prstGeom prst="rect">
                      <a:avLst/>
                    </a:prstGeom>
                    <a:noFill/>
                  </pic:spPr>
                </pic:pic>
              </a:graphicData>
            </a:graphic>
          </wp:anchor>
        </w:drawing>
      </w:r>
    </w:p>
    <w:p>
      <w:pPr>
        <w:ind w:left="260" w:hanging="238"/>
        <w:spacing w:after="0"/>
        <w:tabs>
          <w:tab w:leader="none" w:pos="26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Includes motorhome units, parts, and services</w:t>
      </w:r>
    </w:p>
    <w:p>
      <w:pPr>
        <w:ind w:left="260" w:hanging="238"/>
        <w:spacing w:after="0" w:line="199" w:lineRule="auto"/>
        <w:tabs>
          <w:tab w:leader="none" w:pos="26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motorhome net revenues of $2.1 million or 0.2% was primarily attributed to a 2.3% increase in unit deliveries in Fiscal 2016.</w:t>
      </w:r>
    </w:p>
    <w:p>
      <w:pPr>
        <w:spacing w:after="0" w:line="5" w:lineRule="exact"/>
        <w:rPr>
          <w:sz w:val="20"/>
          <w:szCs w:val="20"/>
          <w:color w:val="auto"/>
        </w:rPr>
      </w:pPr>
    </w:p>
    <w:p>
      <w:pPr>
        <w:ind w:left="340" w:right="580" w:hanging="332"/>
        <w:spacing w:after="0" w:line="246"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Unit growth was 25.0% for Class B and and 10.3% for Class C products which was partially offset by a decline in demand for higher priced Class A products.</w:t>
      </w:r>
    </w:p>
    <w:p>
      <w:pPr>
        <w:ind w:left="340" w:right="240" w:hanging="332"/>
        <w:spacing w:after="0" w:line="253"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Total motorhome ASP decreased 1.8% in Fiscal 2016 compared to Fiscal 2015 because Fiscal 2016 saw more deliveries of lower priced Class B and C unit sales. ASPs did increase in every motorhome product category during Fiscal 2016, however, this did not offset the decline due to the lower mix of Class A products in Fiscal 2016.</w:t>
      </w:r>
    </w:p>
    <w:p>
      <w:pPr>
        <w:spacing w:after="0" w:line="174"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Towables revenues were $89.4 million in Fiscal 2016 compared to revenues of $71.7 million in Fiscal 2015. ASP decreased 21.1% due to the mix of new products while towable unit deliveries increased by 57.3%.</w:t>
      </w:r>
    </w:p>
    <w:p>
      <w:pPr>
        <w:spacing w:after="0" w:line="169"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Other manufactured products decreased by $21.1 million due to our exit of the aluminum extrusion and bus operations. Both of these operations provided very low margins while consuming production labor in Forest City, Iowa. Labor has been redirected to higher margin motorhome production.</w:t>
      </w:r>
    </w:p>
    <w:p>
      <w:pPr>
        <w:spacing w:after="0" w:line="169"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Cost of goods sold was $862.6 million, or 88.4% of net revenues for Fiscal 2016 compared to $871.6 million, or 89.3% of net revenues for Fiscal 2015 due to the following:</w:t>
      </w:r>
    </w:p>
    <w:p>
      <w:pPr>
        <w:spacing w:after="0" w:line="1" w:lineRule="exact"/>
        <w:rPr>
          <w:sz w:val="20"/>
          <w:szCs w:val="20"/>
          <w:color w:val="auto"/>
        </w:rPr>
      </w:pPr>
    </w:p>
    <w:p>
      <w:pPr>
        <w:ind w:left="340" w:right="300" w:hanging="332"/>
        <w:spacing w:after="0" w:line="246"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Total variable costs (materials, direct labor, variable overhead, delivery expense and warranty), as a percent of net revenues, decreased to 83.2% from 84.0% primarily due to improved material sourcing, product shift to a more favorable mix, and cessation of bus and virtually all aluminum extrusion operations which were less profitable than the remainder of our RV products.</w:t>
      </w:r>
    </w:p>
    <w:p>
      <w:pPr>
        <w:spacing w:after="0" w:line="1" w:lineRule="exact"/>
        <w:rPr>
          <w:rFonts w:ascii="Arial" w:cs="Arial" w:eastAsia="Arial" w:hAnsi="Arial"/>
          <w:sz w:val="16"/>
          <w:szCs w:val="16"/>
          <w:color w:val="auto"/>
        </w:rPr>
      </w:pPr>
    </w:p>
    <w:p>
      <w:pPr>
        <w:ind w:left="340" w:right="20" w:hanging="332"/>
        <w:spacing w:after="0" w:line="246"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research and development-related costs were comparable at 5.2% of net revenues compared to 5.2% in the prior year.</w:t>
      </w: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All factors considered, gross profit increased from 10.7% to 11.6% of net revenues.</w:t>
      </w:r>
    </w:p>
    <w:p>
      <w:pPr>
        <w:spacing w:after="0" w:line="16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Selling expenses were 2.0% of net revenues in both Fiscal 2016 and Fiscal 2015, respectively. Selling expenses are largely variable and remained proportional to revenues in Fiscal 2016.</w:t>
      </w:r>
    </w:p>
    <w:p>
      <w:pPr>
        <w:spacing w:after="0" w:line="142"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General and administrative expenses were 2.8% and 2.6% of net revenues in Fiscal 2016 and Fiscal 2015, respectively. General and administrative expenses increased $1.2 million, or 4.8%, in Fiscal 2016. This increase was due primarily to an increase in ERP related expenses of $3.4 million, bonuses earned of $2.8 million, and $700,000 in compensation, benefits and recruiting costs associated with strengthening the management team, and $355,000 in transaction related costs pertaining to the pending acquisition of Grand Design. These increases were partially offset by favorable legal settlements of $3.4 million in Fiscal 2016, a reduction in professional fees of $1.6 million incurred in Fiscal 2015 related to the strategic sourcing program, and a reduction of $1.0 million in costs associated with the former CEO retirement agreement in Fiscal 2015.</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2015, we also recorded an asset impairment on our corporate plane of $462,000.</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Non-operating income increased $342,000, in Fiscal 2016, primarily due to higher proceeds from COLI policies than we received in Fiscal 2015.</w:t>
      </w:r>
    </w:p>
    <w:p>
      <w:pPr>
        <w:spacing w:after="0" w:line="194"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effective tax rate for Fiscal 2016 was 31.3% compared to 30.8% in Fiscal 2015. The increase in the effective tax rate is due to a reduction in the amount of the Domestic Production Activities Deduction applicable in Fiscal 2016 as compared to Fiscal 2015. The reduction in this deduction was partially offset by other tax credits. See Note 10.</w:t>
      </w:r>
    </w:p>
    <w:p>
      <w:pPr>
        <w:spacing w:after="0" w:line="174"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Net income and diluted income per share were $45.5 million and $1.68 per share, respectively, for Fiscal 2016. In Fiscal 2015, net income was $41.2 million and diluted income per share was $1.52.</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2015 Compared to Fiscal 2014</w:t>
      </w:r>
    </w:p>
    <w:p>
      <w:pPr>
        <w:spacing w:after="0" w:line="228"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The following is an analysis of changes in key items included in the statements of operations for the fiscal year ended August 29, 2015 compared to the fiscal year ended August 30, 2014:</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2"/>
          </w:tcPr>
          <w:p>
            <w:pPr>
              <w:jc w:val="right"/>
              <w:ind w:right="899"/>
              <w:spacing w:after="0"/>
              <w:rPr>
                <w:sz w:val="20"/>
                <w:szCs w:val="20"/>
                <w:color w:val="auto"/>
              </w:rPr>
            </w:pPr>
            <w:r>
              <w:rPr>
                <w:rFonts w:ascii="Arial" w:cs="Arial" w:eastAsia="Arial" w:hAnsi="Arial"/>
                <w:sz w:val="16"/>
                <w:szCs w:val="16"/>
                <w:b w:val="1"/>
                <w:bCs w:val="1"/>
                <w:color w:val="auto"/>
              </w:rPr>
              <w:t>Year Ended</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198"/>
        </w:trPr>
        <w:tc>
          <w:tcPr>
            <w:tcW w:w="352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percent and per share</w:t>
            </w:r>
          </w:p>
        </w:tc>
        <w:tc>
          <w:tcPr>
            <w:tcW w:w="140" w:type="dxa"/>
            <w:vAlign w:val="bottom"/>
          </w:tcPr>
          <w:p>
            <w:pPr>
              <w:spacing w:after="0"/>
              <w:rPr>
                <w:sz w:val="17"/>
                <w:szCs w:val="17"/>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29,</w:t>
            </w:r>
          </w:p>
        </w:tc>
        <w:tc>
          <w:tcPr>
            <w:tcW w:w="1400" w:type="dxa"/>
            <w:vAlign w:val="bottom"/>
          </w:tcPr>
          <w:p>
            <w:pPr>
              <w:jc w:val="right"/>
              <w:ind w:right="459"/>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7"/>
                <w:szCs w:val="17"/>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30,</w:t>
            </w:r>
          </w:p>
        </w:tc>
        <w:tc>
          <w:tcPr>
            <w:tcW w:w="1460" w:type="dxa"/>
            <w:vAlign w:val="bottom"/>
          </w:tcPr>
          <w:p>
            <w:pPr>
              <w:jc w:val="right"/>
              <w:ind w:right="479"/>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7"/>
                <w:szCs w:val="17"/>
                <w:color w:val="auto"/>
              </w:rPr>
            </w:pPr>
          </w:p>
        </w:tc>
        <w:tc>
          <w:tcPr>
            <w:tcW w:w="1220" w:type="dxa"/>
            <w:vAlign w:val="bottom"/>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34"/>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data)</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400" w:type="dxa"/>
            <w:vAlign w:val="bottom"/>
            <w:tcBorders>
              <w:bottom w:val="single" w:sz="8" w:color="auto"/>
            </w:tcBorders>
          </w:tcPr>
          <w:p>
            <w:pPr>
              <w:jc w:val="right"/>
              <w:ind w:right="17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460" w:type="dxa"/>
            <w:vAlign w:val="bottom"/>
            <w:tcBorders>
              <w:bottom w:val="single" w:sz="8" w:color="auto"/>
            </w:tcBorders>
          </w:tcPr>
          <w:p>
            <w:pPr>
              <w:jc w:val="right"/>
              <w:ind w:right="19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(Decrease)</w:t>
            </w:r>
          </w:p>
        </w:tc>
        <w:tc>
          <w:tcPr>
            <w:tcW w:w="11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37"/>
        </w:trPr>
        <w:tc>
          <w:tcPr>
            <w:tcW w:w="3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976,505</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945,163</w:t>
            </w:r>
          </w:p>
        </w:tc>
        <w:tc>
          <w:tcPr>
            <w:tcW w:w="1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31,342</w:t>
            </w: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3.3 %</w:t>
            </w:r>
          </w:p>
        </w:tc>
      </w:tr>
      <w:tr>
        <w:trPr>
          <w:trHeight w:val="237"/>
        </w:trPr>
        <w:tc>
          <w:tcPr>
            <w:tcW w:w="3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871,625</w:t>
            </w: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89.3%</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841,166</w:t>
            </w: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89.0 %</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30,459</w:t>
            </w: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3.6 %</w:t>
            </w:r>
          </w:p>
        </w:tc>
      </w:tr>
      <w:tr>
        <w:trPr>
          <w:trHeight w:val="237"/>
        </w:trPr>
        <w:tc>
          <w:tcPr>
            <w:tcW w:w="3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104,880</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10.7%</w:t>
            </w: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103,997</w:t>
            </w:r>
          </w:p>
        </w:tc>
        <w:tc>
          <w:tcPr>
            <w:tcW w:w="1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11.0 %</w:t>
            </w: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883</w:t>
            </w: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0.8 %</w:t>
            </w:r>
          </w:p>
        </w:tc>
      </w:tr>
      <w:tr>
        <w:trPr>
          <w:trHeight w:val="284"/>
        </w:trPr>
        <w:tc>
          <w:tcPr>
            <w:tcW w:w="3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3"/>
        </w:trPr>
        <w:tc>
          <w:tcPr>
            <w:tcW w:w="3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19,161</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18,293</w:t>
            </w:r>
          </w:p>
        </w:tc>
        <w:tc>
          <w:tcPr>
            <w:tcW w:w="1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1.9 %</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868</w:t>
            </w: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4.7 %</w:t>
            </w:r>
          </w:p>
        </w:tc>
      </w:tr>
      <w:tr>
        <w:trPr>
          <w:trHeight w:val="233"/>
        </w:trPr>
        <w:tc>
          <w:tcPr>
            <w:tcW w:w="35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25,838</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2.6%</w:t>
            </w:r>
          </w:p>
        </w:tc>
        <w:tc>
          <w:tcPr>
            <w:tcW w:w="16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22,424</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2.4 %</w:t>
            </w:r>
          </w:p>
        </w:tc>
        <w:tc>
          <w:tcPr>
            <w:tcW w:w="140" w:type="dxa"/>
            <w:vAlign w:val="bottom"/>
          </w:tcPr>
          <w:p>
            <w:pPr>
              <w:spacing w:after="0"/>
              <w:rPr>
                <w:sz w:val="20"/>
                <w:szCs w:val="20"/>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3,414</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15.2 %</w:t>
            </w:r>
          </w:p>
        </w:tc>
      </w:tr>
      <w:tr>
        <w:trPr>
          <w:trHeight w:val="246"/>
        </w:trPr>
        <w:tc>
          <w:tcPr>
            <w:tcW w:w="3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(Gain) loss on real estate</w:t>
            </w: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462</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(629)</w:t>
            </w:r>
          </w:p>
        </w:tc>
        <w:tc>
          <w:tcPr>
            <w:tcW w:w="1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(0.1)%</w:t>
            </w: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1,091</w:t>
            </w:r>
          </w:p>
        </w:tc>
        <w:tc>
          <w:tcPr>
            <w:tcW w:w="11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NMF</w:t>
            </w:r>
          </w:p>
        </w:tc>
      </w:tr>
      <w:tr>
        <w:trPr>
          <w:trHeight w:val="237"/>
        </w:trPr>
        <w:tc>
          <w:tcPr>
            <w:tcW w:w="3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Operating expenses</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45,461</w:t>
            </w: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4.7%</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40,088</w:t>
            </w: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4.2 %</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5,373</w:t>
            </w: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13.4 %</w:t>
            </w:r>
          </w:p>
        </w:tc>
      </w:tr>
      <w:tr>
        <w:trPr>
          <w:trHeight w:val="284"/>
        </w:trPr>
        <w:tc>
          <w:tcPr>
            <w:tcW w:w="3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33"/>
        </w:trPr>
        <w:tc>
          <w:tcPr>
            <w:tcW w:w="352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59,419</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6.1%</w:t>
            </w:r>
          </w:p>
        </w:tc>
        <w:tc>
          <w:tcPr>
            <w:tcW w:w="16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63,909</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6.8 %</w:t>
            </w:r>
          </w:p>
        </w:tc>
        <w:tc>
          <w:tcPr>
            <w:tcW w:w="14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(4,490)</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(7.0)%</w:t>
            </w:r>
          </w:p>
        </w:tc>
      </w:tr>
      <w:tr>
        <w:trPr>
          <w:trHeight w:val="246"/>
        </w:trPr>
        <w:tc>
          <w:tcPr>
            <w:tcW w:w="3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768</w:t>
            </w:r>
          </w:p>
        </w:tc>
        <w:tc>
          <w:tcPr>
            <w:tcW w:w="1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0.1 %</w:t>
            </w: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(653)</w:t>
            </w: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(85.0)%</w:t>
            </w:r>
          </w:p>
        </w:tc>
      </w:tr>
      <w:tr>
        <w:trPr>
          <w:trHeight w:val="233"/>
        </w:trPr>
        <w:tc>
          <w:tcPr>
            <w:tcW w:w="352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59,534</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6.1%</w:t>
            </w:r>
          </w:p>
        </w:tc>
        <w:tc>
          <w:tcPr>
            <w:tcW w:w="16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64,677</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6.8 %</w:t>
            </w:r>
          </w:p>
        </w:tc>
        <w:tc>
          <w:tcPr>
            <w:tcW w:w="14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(5,143)</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(8.0)%</w:t>
            </w:r>
          </w:p>
        </w:tc>
      </w:tr>
      <w:tr>
        <w:trPr>
          <w:trHeight w:val="246"/>
        </w:trPr>
        <w:tc>
          <w:tcPr>
            <w:tcW w:w="3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taxes</w:t>
            </w: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18,324</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19,624</w:t>
            </w:r>
          </w:p>
        </w:tc>
        <w:tc>
          <w:tcPr>
            <w:tcW w:w="1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2.1 %</w:t>
            </w: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(1,300)</w:t>
            </w: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(6.6)%</w:t>
            </w:r>
          </w:p>
        </w:tc>
      </w:tr>
      <w:tr>
        <w:trPr>
          <w:trHeight w:val="280"/>
        </w:trPr>
        <w:tc>
          <w:tcPr>
            <w:tcW w:w="3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41,210</w:t>
            </w: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45,053</w:t>
            </w: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4.8 %</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(3,843)</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(8.5)%</w:t>
            </w:r>
          </w:p>
        </w:tc>
      </w:tr>
      <w:tr>
        <w:trPr>
          <w:trHeight w:val="237"/>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income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1.52</w:t>
            </w:r>
          </w:p>
        </w:tc>
        <w:tc>
          <w:tcPr>
            <w:tcW w:w="14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1.64</w:t>
            </w:r>
          </w:p>
        </w:tc>
        <w:tc>
          <w:tcPr>
            <w:tcW w:w="14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(0.12)</w:t>
            </w: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(7.3)%</w:t>
            </w:r>
          </w:p>
        </w:tc>
      </w:tr>
      <w:tr>
        <w:trPr>
          <w:trHeight w:val="20"/>
        </w:trPr>
        <w:tc>
          <w:tcPr>
            <w:tcW w:w="3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4"/>
        </w:trPr>
        <w:tc>
          <w:tcPr>
            <w:tcW w:w="3520" w:type="dxa"/>
            <w:vAlign w:val="bottom"/>
          </w:tcPr>
          <w:p>
            <w:pPr>
              <w:ind w:left="40"/>
              <w:spacing w:after="0"/>
              <w:rPr>
                <w:sz w:val="20"/>
                <w:szCs w:val="20"/>
                <w:color w:val="auto"/>
              </w:rPr>
            </w:pPr>
            <w:r>
              <w:rPr>
                <w:rFonts w:ascii="Arial" w:cs="Arial" w:eastAsia="Arial" w:hAnsi="Arial"/>
                <w:sz w:val="16"/>
                <w:szCs w:val="16"/>
                <w:color w:val="auto"/>
              </w:rPr>
              <w:t>Diluted average shares outstanding</w:t>
            </w: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27,051</w:t>
            </w: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27,545</w:t>
            </w: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3810</wp:posOffset>
            </wp:positionV>
            <wp:extent cx="8235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3595"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20955</wp:posOffset>
            </wp:positionV>
            <wp:extent cx="8235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3595"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3810</wp:posOffset>
            </wp:positionV>
            <wp:extent cx="7715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20955</wp:posOffset>
            </wp:positionV>
            <wp:extent cx="7715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ind w:left="260" w:hanging="238"/>
        <w:spacing w:after="0"/>
        <w:tabs>
          <w:tab w:leader="none" w:pos="26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Motorhome unit deliveries and ASP, net of discounts,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3"/>
          </w:tcPr>
          <w:p>
            <w:pPr>
              <w:ind w:left="820"/>
              <w:spacing w:after="0"/>
              <w:rPr>
                <w:sz w:val="20"/>
                <w:szCs w:val="20"/>
                <w:color w:val="auto"/>
              </w:rPr>
            </w:pPr>
            <w:r>
              <w:rPr>
                <w:rFonts w:ascii="Arial" w:cs="Arial" w:eastAsia="Arial" w:hAnsi="Arial"/>
                <w:sz w:val="16"/>
                <w:szCs w:val="16"/>
                <w:b w:val="1"/>
                <w:bCs w:val="1"/>
                <w:color w:val="auto"/>
              </w:rPr>
              <w:t>Year Ended</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198"/>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29,</w:t>
            </w:r>
          </w:p>
        </w:tc>
        <w:tc>
          <w:tcPr>
            <w:tcW w:w="1560" w:type="dxa"/>
            <w:vAlign w:val="bottom"/>
            <w:gridSpan w:val="2"/>
          </w:tcPr>
          <w:p>
            <w:pPr>
              <w:ind w:left="420"/>
              <w:spacing w:after="0"/>
              <w:rPr>
                <w:sz w:val="20"/>
                <w:szCs w:val="20"/>
                <w:color w:val="auto"/>
              </w:rPr>
            </w:pPr>
            <w:r>
              <w:rPr>
                <w:rFonts w:ascii="Arial" w:cs="Arial" w:eastAsia="Arial" w:hAnsi="Arial"/>
                <w:sz w:val="16"/>
                <w:szCs w:val="16"/>
                <w:b w:val="1"/>
                <w:bCs w:val="1"/>
                <w:color w:val="auto"/>
              </w:rPr>
              <w:t>Product</w:t>
            </w:r>
          </w:p>
        </w:tc>
        <w:tc>
          <w:tcPr>
            <w:tcW w:w="160" w:type="dxa"/>
            <w:vAlign w:val="bottom"/>
          </w:tcPr>
          <w:p>
            <w:pPr>
              <w:spacing w:after="0"/>
              <w:rPr>
                <w:sz w:val="17"/>
                <w:szCs w:val="17"/>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30,</w:t>
            </w:r>
          </w:p>
        </w:tc>
        <w:tc>
          <w:tcPr>
            <w:tcW w:w="1540" w:type="dxa"/>
            <w:vAlign w:val="bottom"/>
            <w:gridSpan w:val="2"/>
          </w:tcPr>
          <w:p>
            <w:pPr>
              <w:ind w:left="400"/>
              <w:spacing w:after="0"/>
              <w:rPr>
                <w:sz w:val="20"/>
                <w:szCs w:val="20"/>
                <w:color w:val="auto"/>
              </w:rPr>
            </w:pPr>
            <w:r>
              <w:rPr>
                <w:rFonts w:ascii="Arial" w:cs="Arial" w:eastAsia="Arial" w:hAnsi="Arial"/>
                <w:sz w:val="16"/>
                <w:szCs w:val="16"/>
                <w:b w:val="1"/>
                <w:bCs w:val="1"/>
                <w:color w:val="auto"/>
              </w:rPr>
              <w:t>Product</w:t>
            </w:r>
          </w:p>
        </w:tc>
        <w:tc>
          <w:tcPr>
            <w:tcW w:w="220" w:type="dxa"/>
            <w:vAlign w:val="bottom"/>
          </w:tcPr>
          <w:p>
            <w:pPr>
              <w:spacing w:after="0"/>
              <w:rPr>
                <w:sz w:val="17"/>
                <w:szCs w:val="17"/>
                <w:color w:val="auto"/>
              </w:rPr>
            </w:pPr>
          </w:p>
        </w:tc>
        <w:tc>
          <w:tcPr>
            <w:tcW w:w="1340" w:type="dxa"/>
            <w:vAlign w:val="bottom"/>
          </w:tcPr>
          <w:p>
            <w:pPr>
              <w:jc w:val="right"/>
              <w:ind w:right="319"/>
              <w:spacing w:after="0"/>
              <w:rPr>
                <w:sz w:val="20"/>
                <w:szCs w:val="20"/>
                <w:color w:val="auto"/>
              </w:rPr>
            </w:pPr>
            <w:r>
              <w:rPr>
                <w:rFonts w:ascii="Arial" w:cs="Arial" w:eastAsia="Arial" w:hAnsi="Arial"/>
                <w:sz w:val="16"/>
                <w:szCs w:val="16"/>
                <w:b w:val="1"/>
                <w:bCs w:val="1"/>
                <w:color w:val="auto"/>
              </w:rPr>
              <w:t>(Decrease)</w:t>
            </w:r>
          </w:p>
        </w:tc>
        <w:tc>
          <w:tcPr>
            <w:tcW w:w="1320" w:type="dxa"/>
            <w:vAlign w:val="bottom"/>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34"/>
        </w:trPr>
        <w:tc>
          <w:tcPr>
            <w:tcW w:w="2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560" w:type="dxa"/>
            <w:vAlign w:val="bottom"/>
            <w:gridSpan w:val="2"/>
          </w:tcPr>
          <w:p>
            <w:pPr>
              <w:ind w:left="420"/>
              <w:spacing w:after="0" w:line="234" w:lineRule="exact"/>
              <w:rPr>
                <w:sz w:val="20"/>
                <w:szCs w:val="20"/>
                <w:color w:val="auto"/>
              </w:rPr>
            </w:pPr>
            <w:r>
              <w:rPr>
                <w:rFonts w:ascii="Arial" w:cs="Arial" w:eastAsia="Arial" w:hAnsi="Arial"/>
                <w:sz w:val="16"/>
                <w:szCs w:val="16"/>
                <w:b w:val="1"/>
                <w:bCs w:val="1"/>
                <w:color w:val="auto"/>
              </w:rPr>
              <w:t>Mix %</w:t>
            </w:r>
            <w:r>
              <w:rPr>
                <w:rFonts w:ascii="Arial" w:cs="Arial" w:eastAsia="Arial" w:hAnsi="Arial"/>
                <w:sz w:val="21"/>
                <w:szCs w:val="21"/>
                <w:b w:val="1"/>
                <w:bCs w:val="1"/>
                <w:color w:val="auto"/>
                <w:vertAlign w:val="superscript"/>
              </w:rPr>
              <w:t>(2)</w:t>
            </w:r>
          </w:p>
        </w:tc>
        <w:tc>
          <w:tcPr>
            <w:tcW w:w="160" w:type="dxa"/>
            <w:vAlign w:val="bottom"/>
          </w:tcPr>
          <w:p>
            <w:pPr>
              <w:spacing w:after="0"/>
              <w:rPr>
                <w:sz w:val="20"/>
                <w:szCs w:val="20"/>
                <w:color w:val="auto"/>
              </w:rPr>
            </w:pPr>
          </w:p>
        </w:tc>
        <w:tc>
          <w:tcPr>
            <w:tcW w:w="1100" w:type="dxa"/>
            <w:vAlign w:val="bottom"/>
          </w:tcPr>
          <w:p>
            <w:pPr>
              <w:jc w:val="right"/>
              <w:ind w:right="279"/>
              <w:spacing w:after="0" w:line="234" w:lineRule="exact"/>
              <w:rPr>
                <w:sz w:val="20"/>
                <w:szCs w:val="20"/>
                <w:color w:val="auto"/>
              </w:rPr>
            </w:pPr>
            <w:r>
              <w:rPr>
                <w:rFonts w:ascii="Arial" w:cs="Arial" w:eastAsia="Arial" w:hAnsi="Arial"/>
                <w:sz w:val="16"/>
                <w:szCs w:val="16"/>
                <w:b w:val="1"/>
                <w:bCs w:val="1"/>
                <w:color w:val="auto"/>
              </w:rPr>
              <w:t xml:space="preserve">2014 </w:t>
            </w:r>
            <w:r>
              <w:rPr>
                <w:rFonts w:ascii="Arial" w:cs="Arial" w:eastAsia="Arial" w:hAnsi="Arial"/>
                <w:sz w:val="21"/>
                <w:szCs w:val="21"/>
                <w:b w:val="1"/>
                <w:bCs w:val="1"/>
                <w:color w:val="auto"/>
                <w:vertAlign w:val="superscript"/>
              </w:rPr>
              <w:t>(1)</w:t>
            </w:r>
          </w:p>
        </w:tc>
        <w:tc>
          <w:tcPr>
            <w:tcW w:w="1540" w:type="dxa"/>
            <w:vAlign w:val="bottom"/>
            <w:gridSpan w:val="2"/>
          </w:tcPr>
          <w:p>
            <w:pPr>
              <w:ind w:left="420"/>
              <w:spacing w:after="0" w:line="234" w:lineRule="exact"/>
              <w:rPr>
                <w:sz w:val="20"/>
                <w:szCs w:val="20"/>
                <w:color w:val="auto"/>
              </w:rPr>
            </w:pPr>
            <w:r>
              <w:rPr>
                <w:rFonts w:ascii="Arial" w:cs="Arial" w:eastAsia="Arial" w:hAnsi="Arial"/>
                <w:sz w:val="16"/>
                <w:szCs w:val="16"/>
                <w:b w:val="1"/>
                <w:bCs w:val="1"/>
                <w:color w:val="auto"/>
              </w:rPr>
              <w:t>Mix %</w:t>
            </w:r>
            <w:r>
              <w:rPr>
                <w:rFonts w:ascii="Arial" w:cs="Arial" w:eastAsia="Arial" w:hAnsi="Arial"/>
                <w:sz w:val="21"/>
                <w:szCs w:val="21"/>
                <w:b w:val="1"/>
                <w:bCs w:val="1"/>
                <w:color w:val="auto"/>
                <w:vertAlign w:val="superscript"/>
              </w:rPr>
              <w:t>(2)</w:t>
            </w:r>
          </w:p>
        </w:tc>
        <w:tc>
          <w:tcPr>
            <w:tcW w:w="220" w:type="dxa"/>
            <w:vAlign w:val="bottom"/>
          </w:tcPr>
          <w:p>
            <w:pPr>
              <w:spacing w:after="0"/>
              <w:rPr>
                <w:sz w:val="20"/>
                <w:szCs w:val="20"/>
                <w:color w:val="auto"/>
              </w:rPr>
            </w:pPr>
          </w:p>
        </w:tc>
        <w:tc>
          <w:tcPr>
            <w:tcW w:w="1340" w:type="dxa"/>
            <w:vAlign w:val="bottom"/>
          </w:tcPr>
          <w:p>
            <w:pPr>
              <w:jc w:val="right"/>
              <w:ind w:right="399"/>
              <w:spacing w:after="0"/>
              <w:rPr>
                <w:sz w:val="20"/>
                <w:szCs w:val="20"/>
                <w:color w:val="auto"/>
              </w:rPr>
            </w:pPr>
            <w:r>
              <w:rPr>
                <w:rFonts w:ascii="Arial" w:cs="Arial" w:eastAsia="Arial" w:hAnsi="Arial"/>
                <w:sz w:val="16"/>
                <w:szCs w:val="16"/>
                <w:b w:val="1"/>
                <w:bCs w:val="1"/>
                <w:color w:val="auto"/>
              </w:rPr>
              <w:t>Increase</w:t>
            </w:r>
          </w:p>
        </w:tc>
        <w:tc>
          <w:tcPr>
            <w:tcW w:w="1320" w:type="dxa"/>
            <w:vAlign w:val="bottom"/>
          </w:tcPr>
          <w:p>
            <w:pPr>
              <w:jc w:val="right"/>
              <w:ind w:right="31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8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16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3,442</w:t>
            </w:r>
          </w:p>
        </w:tc>
        <w:tc>
          <w:tcPr>
            <w:tcW w:w="144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37.8%</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4,466</w:t>
            </w:r>
          </w:p>
        </w:tc>
        <w:tc>
          <w:tcPr>
            <w:tcW w:w="144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51.0%</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(1,024)</w:t>
            </w:r>
          </w:p>
        </w:tc>
        <w:tc>
          <w:tcPr>
            <w:tcW w:w="13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(22.9)%</w:t>
            </w:r>
          </w:p>
        </w:tc>
      </w:tr>
      <w:tr>
        <w:trPr>
          <w:trHeight w:val="260"/>
        </w:trPr>
        <w:tc>
          <w:tcPr>
            <w:tcW w:w="2880" w:type="dxa"/>
            <w:vAlign w:val="bottom"/>
          </w:tcPr>
          <w:p>
            <w:pPr>
              <w:ind w:left="40"/>
              <w:spacing w:after="0"/>
              <w:rPr>
                <w:sz w:val="20"/>
                <w:szCs w:val="20"/>
                <w:color w:val="auto"/>
              </w:rPr>
            </w:pPr>
            <w:r>
              <w:rPr>
                <w:rFonts w:ascii="Arial" w:cs="Arial" w:eastAsia="Arial" w:hAnsi="Arial"/>
                <w:sz w:val="16"/>
                <w:szCs w:val="16"/>
                <w:color w:val="auto"/>
              </w:rPr>
              <w:t>Class B</w:t>
            </w:r>
          </w:p>
        </w:tc>
        <w:tc>
          <w:tcPr>
            <w:tcW w:w="1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991</w:t>
            </w: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751</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ind w:right="319"/>
              <w:spacing w:after="0"/>
              <w:rPr>
                <w:sz w:val="20"/>
                <w:szCs w:val="20"/>
                <w:color w:val="auto"/>
              </w:rPr>
            </w:pPr>
            <w:r>
              <w:rPr>
                <w:rFonts w:ascii="Arial" w:cs="Arial" w:eastAsia="Arial" w:hAnsi="Arial"/>
                <w:sz w:val="16"/>
                <w:szCs w:val="16"/>
                <w:color w:val="auto"/>
              </w:rPr>
              <w:t>240</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32.0 %</w:t>
            </w:r>
          </w:p>
        </w:tc>
      </w:tr>
      <w:tr>
        <w:trPr>
          <w:trHeight w:val="273"/>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4,664</w:t>
            </w: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51.3%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3,538</w:t>
            </w: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1,126</w:t>
            </w: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31.8 %</w:t>
            </w:r>
          </w:p>
        </w:tc>
      </w:tr>
      <w:tr>
        <w:trPr>
          <w:trHeight w:val="280"/>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motorhome deliveries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9,097</w:t>
            </w: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8,755</w:t>
            </w: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342</w:t>
            </w: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3.9 %</w:t>
            </w:r>
          </w:p>
        </w:tc>
      </w:tr>
      <w:tr>
        <w:trPr>
          <w:trHeight w:val="267"/>
        </w:trPr>
        <w:tc>
          <w:tcPr>
            <w:tcW w:w="28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r>
      <w:tr>
        <w:trPr>
          <w:trHeight w:val="231"/>
        </w:trPr>
        <w:tc>
          <w:tcPr>
            <w:tcW w:w="2880" w:type="dxa"/>
            <w:vAlign w:val="bottom"/>
          </w:tcPr>
          <w:p>
            <w:pPr>
              <w:ind w:left="40"/>
              <w:spacing w:after="0"/>
              <w:rPr>
                <w:sz w:val="20"/>
                <w:szCs w:val="20"/>
                <w:color w:val="auto"/>
              </w:rPr>
            </w:pPr>
            <w:r>
              <w:rPr>
                <w:rFonts w:ascii="Arial" w:cs="Arial" w:eastAsia="Arial" w:hAnsi="Arial"/>
                <w:sz w:val="16"/>
                <w:szCs w:val="16"/>
                <w:color w:val="auto"/>
              </w:rPr>
              <w:t>Motorhome ASP</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94,841</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96,437</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59"/>
              <w:spacing w:after="0"/>
              <w:rPr>
                <w:sz w:val="20"/>
                <w:szCs w:val="20"/>
                <w:color w:val="auto"/>
              </w:rPr>
            </w:pPr>
            <w:r>
              <w:rPr>
                <w:rFonts w:ascii="Arial" w:cs="Arial" w:eastAsia="Arial" w:hAnsi="Arial"/>
                <w:sz w:val="16"/>
                <w:szCs w:val="16"/>
                <w:color w:val="auto"/>
              </w:rPr>
              <w:t>(1,596)</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3810</wp:posOffset>
            </wp:positionV>
            <wp:extent cx="18268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20955</wp:posOffset>
            </wp:positionV>
            <wp:extent cx="18268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3810</wp:posOffset>
            </wp:positionV>
            <wp:extent cx="7975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20955</wp:posOffset>
            </wp:positionV>
            <wp:extent cx="7975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3810</wp:posOffset>
            </wp:positionV>
            <wp:extent cx="8235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3595" cy="889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20955</wp:posOffset>
            </wp:positionV>
            <wp:extent cx="8235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31" w:lineRule="exact"/>
        <w:rPr>
          <w:sz w:val="20"/>
          <w:szCs w:val="20"/>
          <w:color w:val="auto"/>
        </w:rPr>
      </w:pPr>
    </w:p>
    <w:p>
      <w:pPr>
        <w:ind w:left="260" w:right="300" w:hanging="252"/>
        <w:spacing w:after="0" w:line="218" w:lineRule="auto"/>
        <w:tabs>
          <w:tab w:leader="none" w:pos="152" w:val="left"/>
        </w:tabs>
        <w:numPr>
          <w:ilvl w:val="0"/>
          <w:numId w:val="29"/>
        </w:numPr>
        <w:rPr>
          <w:rFonts w:ascii="Arial" w:cs="Arial" w:eastAsia="Arial" w:hAnsi="Arial"/>
          <w:sz w:val="17"/>
          <w:szCs w:val="17"/>
          <w:color w:val="auto"/>
          <w:vertAlign w:val="superscript"/>
        </w:rPr>
      </w:pPr>
      <w:r>
        <w:rPr>
          <w:rFonts w:ascii="Arial" w:cs="Arial" w:eastAsia="Arial" w:hAnsi="Arial"/>
          <w:sz w:val="14"/>
          <w:szCs w:val="14"/>
          <w:color w:val="auto"/>
        </w:rPr>
        <w:t>An additional 343 motorhomes were delivered in Fiscal 2014 but not included in wholesale deliveries as presented in the table above as the units were subject to repurchase option.</w:t>
      </w:r>
    </w:p>
    <w:p>
      <w:pPr>
        <w:ind w:left="160" w:hanging="152"/>
        <w:spacing w:after="0" w:line="199" w:lineRule="auto"/>
        <w:tabs>
          <w:tab w:leader="none" w:pos="16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Percentages and dollars may not add due to rounding differences.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Towables deliveries and ASP, net of discounts,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ind w:left="740"/>
              <w:spacing w:after="0"/>
              <w:rPr>
                <w:sz w:val="20"/>
                <w:szCs w:val="20"/>
                <w:color w:val="auto"/>
              </w:rPr>
            </w:pPr>
            <w:r>
              <w:rPr>
                <w:rFonts w:ascii="Arial" w:cs="Arial" w:eastAsia="Arial" w:hAnsi="Arial"/>
                <w:sz w:val="16"/>
                <w:szCs w:val="16"/>
                <w:b w:val="1"/>
                <w:bCs w:val="1"/>
                <w:color w:val="auto"/>
              </w:rPr>
              <w:t>Year Ended</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198"/>
        </w:trPr>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b w:val="1"/>
                <w:bCs w:val="1"/>
                <w:color w:val="auto"/>
              </w:rPr>
              <w:t>August 29,</w:t>
            </w:r>
          </w:p>
        </w:tc>
        <w:tc>
          <w:tcPr>
            <w:tcW w:w="1580" w:type="dxa"/>
            <w:vAlign w:val="bottom"/>
            <w:gridSpan w:val="2"/>
          </w:tcPr>
          <w:p>
            <w:pPr>
              <w:ind w:left="420"/>
              <w:spacing w:after="0"/>
              <w:rPr>
                <w:sz w:val="20"/>
                <w:szCs w:val="20"/>
                <w:color w:val="auto"/>
              </w:rPr>
            </w:pPr>
            <w:r>
              <w:rPr>
                <w:rFonts w:ascii="Arial" w:cs="Arial" w:eastAsia="Arial" w:hAnsi="Arial"/>
                <w:sz w:val="16"/>
                <w:szCs w:val="16"/>
                <w:b w:val="1"/>
                <w:bCs w:val="1"/>
                <w:color w:val="auto"/>
              </w:rPr>
              <w:t>Product</w:t>
            </w:r>
          </w:p>
        </w:tc>
        <w:tc>
          <w:tcPr>
            <w:tcW w:w="160" w:type="dxa"/>
            <w:vAlign w:val="bottom"/>
          </w:tcPr>
          <w:p>
            <w:pPr>
              <w:spacing w:after="0"/>
              <w:rPr>
                <w:sz w:val="17"/>
                <w:szCs w:val="17"/>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b w:val="1"/>
                <w:bCs w:val="1"/>
                <w:color w:val="auto"/>
              </w:rPr>
              <w:t>August 30,</w:t>
            </w:r>
          </w:p>
        </w:tc>
        <w:tc>
          <w:tcPr>
            <w:tcW w:w="1580" w:type="dxa"/>
            <w:vAlign w:val="bottom"/>
            <w:gridSpan w:val="2"/>
          </w:tcPr>
          <w:p>
            <w:pPr>
              <w:ind w:left="420"/>
              <w:spacing w:after="0"/>
              <w:rPr>
                <w:sz w:val="20"/>
                <w:szCs w:val="20"/>
                <w:color w:val="auto"/>
              </w:rPr>
            </w:pPr>
            <w:r>
              <w:rPr>
                <w:rFonts w:ascii="Arial" w:cs="Arial" w:eastAsia="Arial" w:hAnsi="Arial"/>
                <w:sz w:val="16"/>
                <w:szCs w:val="16"/>
                <w:b w:val="1"/>
                <w:bCs w:val="1"/>
                <w:color w:val="auto"/>
              </w:rPr>
              <w:t>Product</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w:t>
            </w:r>
          </w:p>
        </w:tc>
      </w:tr>
      <w:tr>
        <w:trPr>
          <w:trHeight w:val="234"/>
        </w:trPr>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580" w:type="dxa"/>
            <w:vAlign w:val="bottom"/>
            <w:gridSpan w:val="2"/>
          </w:tcPr>
          <w:p>
            <w:pPr>
              <w:ind w:left="440"/>
              <w:spacing w:after="0" w:line="234" w:lineRule="exact"/>
              <w:rPr>
                <w:sz w:val="20"/>
                <w:szCs w:val="20"/>
                <w:color w:val="auto"/>
              </w:rPr>
            </w:pPr>
            <w:r>
              <w:rPr>
                <w:rFonts w:ascii="Arial" w:cs="Arial" w:eastAsia="Arial" w:hAnsi="Arial"/>
                <w:sz w:val="16"/>
                <w:szCs w:val="16"/>
                <w:b w:val="1"/>
                <w:bCs w:val="1"/>
                <w:color w:val="auto"/>
              </w:rPr>
              <w:t>Mix %</w:t>
            </w:r>
            <w:r>
              <w:rPr>
                <w:rFonts w:ascii="Arial" w:cs="Arial" w:eastAsia="Arial" w:hAnsi="Arial"/>
                <w:sz w:val="21"/>
                <w:szCs w:val="21"/>
                <w:b w:val="1"/>
                <w:bCs w:val="1"/>
                <w:color w:val="auto"/>
                <w:vertAlign w:val="superscript"/>
              </w:rPr>
              <w:t>(1)</w:t>
            </w:r>
          </w:p>
        </w:tc>
        <w:tc>
          <w:tcPr>
            <w:tcW w:w="160" w:type="dxa"/>
            <w:vAlign w:val="bottom"/>
          </w:tcPr>
          <w:p>
            <w:pPr>
              <w:spacing w:after="0"/>
              <w:rPr>
                <w:sz w:val="20"/>
                <w:szCs w:val="20"/>
                <w:color w:val="auto"/>
              </w:rPr>
            </w:pPr>
          </w:p>
        </w:tc>
        <w:tc>
          <w:tcPr>
            <w:tcW w:w="11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580" w:type="dxa"/>
            <w:vAlign w:val="bottom"/>
            <w:gridSpan w:val="2"/>
          </w:tcPr>
          <w:p>
            <w:pPr>
              <w:ind w:left="440"/>
              <w:spacing w:after="0" w:line="234" w:lineRule="exact"/>
              <w:rPr>
                <w:sz w:val="20"/>
                <w:szCs w:val="20"/>
                <w:color w:val="auto"/>
              </w:rPr>
            </w:pPr>
            <w:r>
              <w:rPr>
                <w:rFonts w:ascii="Arial" w:cs="Arial" w:eastAsia="Arial" w:hAnsi="Arial"/>
                <w:sz w:val="16"/>
                <w:szCs w:val="16"/>
                <w:b w:val="1"/>
                <w:bCs w:val="1"/>
                <w:color w:val="auto"/>
              </w:rPr>
              <w:t>Mix %</w:t>
            </w:r>
            <w:r>
              <w:rPr>
                <w:rFonts w:ascii="Arial" w:cs="Arial" w:eastAsia="Arial" w:hAnsi="Arial"/>
                <w:sz w:val="21"/>
                <w:szCs w:val="21"/>
                <w:b w:val="1"/>
                <w:bCs w:val="1"/>
                <w:color w:val="auto"/>
                <w:vertAlign w:val="superscript"/>
              </w:rPr>
              <w:t>(1)</w:t>
            </w:r>
          </w:p>
        </w:tc>
        <w:tc>
          <w:tcPr>
            <w:tcW w:w="220" w:type="dxa"/>
            <w:vAlign w:val="bottom"/>
          </w:tcPr>
          <w:p>
            <w:pPr>
              <w:spacing w:after="0"/>
              <w:rPr>
                <w:sz w:val="20"/>
                <w:szCs w:val="20"/>
                <w:color w:val="auto"/>
              </w:rPr>
            </w:pPr>
          </w:p>
        </w:tc>
        <w:tc>
          <w:tcPr>
            <w:tcW w:w="1220" w:type="dxa"/>
            <w:vAlign w:val="bottom"/>
          </w:tcPr>
          <w:p>
            <w:pPr>
              <w:jc w:val="right"/>
              <w:ind w:right="379"/>
              <w:spacing w:after="0"/>
              <w:rPr>
                <w:sz w:val="20"/>
                <w:szCs w:val="20"/>
                <w:color w:val="auto"/>
              </w:rPr>
            </w:pPr>
            <w:r>
              <w:rPr>
                <w:rFonts w:ascii="Arial" w:cs="Arial" w:eastAsia="Arial" w:hAnsi="Arial"/>
                <w:sz w:val="16"/>
                <w:szCs w:val="16"/>
                <w:b w:val="1"/>
                <w:bCs w:val="1"/>
                <w:color w:val="auto"/>
              </w:rPr>
              <w:t>Increase</w:t>
            </w: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9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6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2,182</w:t>
            </w:r>
          </w:p>
        </w:tc>
        <w:tc>
          <w:tcPr>
            <w:tcW w:w="14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81.7%</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2,052</w:t>
            </w:r>
          </w:p>
        </w:tc>
        <w:tc>
          <w:tcPr>
            <w:tcW w:w="14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81.8%</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130</w:t>
            </w:r>
          </w:p>
        </w:tc>
        <w:tc>
          <w:tcPr>
            <w:tcW w:w="12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6.3%</w:t>
            </w:r>
          </w:p>
        </w:tc>
      </w:tr>
      <w:tr>
        <w:trPr>
          <w:trHeight w:val="264"/>
        </w:trPr>
        <w:tc>
          <w:tcPr>
            <w:tcW w:w="29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Fifth wheel</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488</w:t>
            </w:r>
          </w:p>
        </w:tc>
        <w:tc>
          <w:tcPr>
            <w:tcW w:w="1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457</w:t>
            </w:r>
          </w:p>
        </w:tc>
        <w:tc>
          <w:tcPr>
            <w:tcW w:w="1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31</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6.8%</w:t>
            </w:r>
          </w:p>
        </w:tc>
      </w:tr>
      <w:tr>
        <w:trPr>
          <w:trHeight w:val="24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towable unit deliveries</w:t>
            </w: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2,670</w:t>
            </w:r>
          </w:p>
        </w:tc>
        <w:tc>
          <w:tcPr>
            <w:tcW w:w="14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2,509</w:t>
            </w:r>
          </w:p>
        </w:tc>
        <w:tc>
          <w:tcPr>
            <w:tcW w:w="14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161</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6.4%</w:t>
            </w:r>
          </w:p>
        </w:tc>
      </w:tr>
      <w:tr>
        <w:trPr>
          <w:trHeight w:val="20"/>
        </w:trPr>
        <w:tc>
          <w:tcPr>
            <w:tcW w:w="2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7"/>
        </w:trPr>
        <w:tc>
          <w:tcPr>
            <w:tcW w:w="2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4"/>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Towable ASP</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27,012</w:t>
            </w: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23,312</w:t>
            </w: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3,700</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15.9%</w:t>
            </w:r>
          </w:p>
        </w:tc>
      </w:tr>
      <w:tr>
        <w:trPr>
          <w:trHeight w:val="20"/>
        </w:trPr>
        <w:tc>
          <w:tcPr>
            <w:tcW w:w="2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 w:lineRule="exact"/>
        <w:rPr>
          <w:sz w:val="20"/>
          <w:szCs w:val="20"/>
          <w:color w:val="auto"/>
        </w:rPr>
      </w:pPr>
    </w:p>
    <w:p>
      <w:pPr>
        <w:ind w:left="260" w:hanging="238"/>
        <w:spacing w:after="0"/>
        <w:tabs>
          <w:tab w:leader="none" w:pos="26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Percentages and dollars may not add due to rounding differences.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41"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4"/>
        </w:trPr>
        <w:tc>
          <w:tcPr>
            <w:tcW w:w="296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47"/>
        </w:trPr>
        <w:tc>
          <w:tcPr>
            <w:tcW w:w="2960" w:type="dxa"/>
            <w:vAlign w:val="bottom"/>
            <w:gridSpan w:val="2"/>
          </w:tcPr>
          <w:p>
            <w:pPr>
              <w:spacing w:after="0"/>
              <w:rPr>
                <w:sz w:val="20"/>
                <w:szCs w:val="20"/>
                <w:color w:val="auto"/>
              </w:rPr>
            </w:pPr>
            <w:r>
              <w:rPr>
                <w:rFonts w:ascii="Arial" w:cs="Arial" w:eastAsia="Arial" w:hAnsi="Arial"/>
                <w:sz w:val="16"/>
                <w:szCs w:val="16"/>
                <w:color w:val="auto"/>
              </w:rPr>
              <w:t>Net revenues consisted of the following:</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 Ended</w:t>
            </w: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419"/>
              <w:spacing w:after="0"/>
              <w:rPr>
                <w:sz w:val="20"/>
                <w:szCs w:val="20"/>
                <w:color w:val="auto"/>
              </w:rPr>
            </w:pPr>
            <w:r>
              <w:rPr>
                <w:rFonts w:ascii="Arial" w:cs="Arial" w:eastAsia="Arial" w:hAnsi="Arial"/>
                <w:sz w:val="16"/>
                <w:szCs w:val="16"/>
                <w:b w:val="1"/>
                <w:bCs w:val="1"/>
                <w:color w:val="auto"/>
              </w:rPr>
              <w:t>Increase</w:t>
            </w:r>
          </w:p>
        </w:tc>
        <w:tc>
          <w:tcPr>
            <w:tcW w:w="1280" w:type="dxa"/>
            <w:vAlign w:val="bottom"/>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28"/>
        </w:trPr>
        <w:tc>
          <w:tcPr>
            <w:tcW w:w="296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9"/>
                <w:szCs w:val="19"/>
                <w:color w:val="auto"/>
              </w:rPr>
            </w:pPr>
          </w:p>
        </w:tc>
        <w:tc>
          <w:tcPr>
            <w:tcW w:w="2480" w:type="dxa"/>
            <w:vAlign w:val="bottom"/>
            <w:gridSpan w:val="3"/>
          </w:tcPr>
          <w:p>
            <w:pPr>
              <w:ind w:left="400"/>
              <w:spacing w:after="0"/>
              <w:rPr>
                <w:sz w:val="20"/>
                <w:szCs w:val="20"/>
                <w:color w:val="auto"/>
              </w:rPr>
            </w:pPr>
            <w:r>
              <w:rPr>
                <w:rFonts w:ascii="Arial" w:cs="Arial" w:eastAsia="Arial" w:hAnsi="Arial"/>
                <w:sz w:val="16"/>
                <w:szCs w:val="16"/>
                <w:b w:val="1"/>
                <w:bCs w:val="1"/>
                <w:color w:val="auto"/>
              </w:rPr>
              <w:t>August 29, 2015</w:t>
            </w:r>
          </w:p>
        </w:tc>
        <w:tc>
          <w:tcPr>
            <w:tcW w:w="340" w:type="dxa"/>
            <w:vAlign w:val="bottom"/>
          </w:tcPr>
          <w:p>
            <w:pPr>
              <w:spacing w:after="0"/>
              <w:rPr>
                <w:sz w:val="19"/>
                <w:szCs w:val="19"/>
                <w:color w:val="auto"/>
              </w:rPr>
            </w:pPr>
          </w:p>
        </w:tc>
        <w:tc>
          <w:tcPr>
            <w:tcW w:w="2500" w:type="dxa"/>
            <w:vAlign w:val="bottom"/>
            <w:gridSpan w:val="3"/>
          </w:tcPr>
          <w:p>
            <w:pPr>
              <w:ind w:left="420"/>
              <w:spacing w:after="0"/>
              <w:rPr>
                <w:sz w:val="20"/>
                <w:szCs w:val="20"/>
                <w:color w:val="auto"/>
              </w:rPr>
            </w:pPr>
            <w:r>
              <w:rPr>
                <w:rFonts w:ascii="Arial" w:cs="Arial" w:eastAsia="Arial" w:hAnsi="Arial"/>
                <w:sz w:val="16"/>
                <w:szCs w:val="16"/>
                <w:b w:val="1"/>
                <w:bCs w:val="1"/>
                <w:color w:val="auto"/>
              </w:rPr>
              <w:t>August 30, 2014</w:t>
            </w:r>
          </w:p>
        </w:tc>
        <w:tc>
          <w:tcPr>
            <w:tcW w:w="200" w:type="dxa"/>
            <w:vAlign w:val="bottom"/>
          </w:tcPr>
          <w:p>
            <w:pPr>
              <w:spacing w:after="0"/>
              <w:rPr>
                <w:sz w:val="19"/>
                <w:szCs w:val="19"/>
                <w:color w:val="auto"/>
              </w:rPr>
            </w:pPr>
          </w:p>
        </w:tc>
        <w:tc>
          <w:tcPr>
            <w:tcW w:w="1320" w:type="dxa"/>
            <w:vAlign w:val="bottom"/>
          </w:tcPr>
          <w:p>
            <w:pPr>
              <w:jc w:val="right"/>
              <w:ind w:right="319"/>
              <w:spacing w:after="0"/>
              <w:rPr>
                <w:sz w:val="20"/>
                <w:szCs w:val="20"/>
                <w:color w:val="auto"/>
              </w:rPr>
            </w:pPr>
            <w:r>
              <w:rPr>
                <w:rFonts w:ascii="Arial" w:cs="Arial" w:eastAsia="Arial" w:hAnsi="Arial"/>
                <w:sz w:val="16"/>
                <w:szCs w:val="16"/>
                <w:b w:val="1"/>
                <w:bCs w:val="1"/>
                <w:color w:val="auto"/>
              </w:rPr>
              <w:t>(Decrease)</w:t>
            </w:r>
          </w:p>
        </w:tc>
        <w:tc>
          <w:tcPr>
            <w:tcW w:w="1280" w:type="dxa"/>
            <w:vAlign w:val="bottom"/>
          </w:tcPr>
          <w:p>
            <w:pPr>
              <w:jc w:val="right"/>
              <w:ind w:right="319"/>
              <w:spacing w:after="0"/>
              <w:rPr>
                <w:sz w:val="20"/>
                <w:szCs w:val="20"/>
                <w:color w:val="auto"/>
              </w:rPr>
            </w:pPr>
            <w:r>
              <w:rPr>
                <w:rFonts w:ascii="Arial" w:cs="Arial" w:eastAsia="Arial" w:hAnsi="Arial"/>
                <w:sz w:val="16"/>
                <w:szCs w:val="16"/>
                <w:b w:val="1"/>
                <w:bCs w:val="1"/>
                <w:color w:val="auto"/>
              </w:rPr>
              <w:t>Change</w:t>
            </w:r>
          </w:p>
        </w:tc>
      </w:tr>
      <w:tr>
        <w:trPr>
          <w:trHeight w:val="257"/>
        </w:trPr>
        <w:tc>
          <w:tcPr>
            <w:tcW w:w="296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Motorhomes </w:t>
            </w:r>
            <w:r>
              <w:rPr>
                <w:rFonts w:ascii="Arial" w:cs="Arial" w:eastAsia="Arial" w:hAnsi="Arial"/>
                <w:sz w:val="21"/>
                <w:szCs w:val="21"/>
                <w:color w:val="auto"/>
                <w:vertAlign w:val="superscript"/>
              </w:rPr>
              <w:t>(1)</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872,915</w:t>
            </w:r>
          </w:p>
        </w:tc>
        <w:tc>
          <w:tcPr>
            <w:tcW w:w="11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89.4%</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853,488</w:t>
            </w:r>
          </w:p>
        </w:tc>
        <w:tc>
          <w:tcPr>
            <w:tcW w:w="84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90.3%</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19,427</w:t>
            </w:r>
          </w:p>
        </w:tc>
        <w:tc>
          <w:tcPr>
            <w:tcW w:w="1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2.3 %</w:t>
            </w:r>
          </w:p>
        </w:tc>
      </w:tr>
      <w:tr>
        <w:trPr>
          <w:trHeight w:val="270"/>
        </w:trPr>
        <w:tc>
          <w:tcPr>
            <w:tcW w:w="2960" w:type="dxa"/>
            <w:vAlign w:val="bottom"/>
            <w:gridSpan w:val="2"/>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(2)</w:t>
            </w:r>
          </w:p>
        </w:tc>
        <w:tc>
          <w:tcPr>
            <w:tcW w:w="340" w:type="dxa"/>
            <w:vAlign w:val="bottom"/>
          </w:tcPr>
          <w:p>
            <w:pPr>
              <w:spacing w:after="0"/>
              <w:rPr>
                <w:sz w:val="23"/>
                <w:szCs w:val="23"/>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71,684</w:t>
            </w: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40" w:type="dxa"/>
            <w:vAlign w:val="bottom"/>
          </w:tcPr>
          <w:p>
            <w:pPr>
              <w:jc w:val="right"/>
              <w:ind w:right="639"/>
              <w:spacing w:after="0"/>
              <w:rPr>
                <w:sz w:val="20"/>
                <w:szCs w:val="20"/>
                <w:color w:val="auto"/>
              </w:rPr>
            </w:pPr>
            <w:r>
              <w:rPr>
                <w:rFonts w:ascii="Arial" w:cs="Arial" w:eastAsia="Arial" w:hAnsi="Arial"/>
                <w:sz w:val="16"/>
                <w:szCs w:val="16"/>
                <w:color w:val="auto"/>
              </w:rPr>
              <w:t>58,123</w:t>
            </w:r>
          </w:p>
        </w:tc>
        <w:tc>
          <w:tcPr>
            <w:tcW w:w="840" w:type="dxa"/>
            <w:vAlign w:val="bottom"/>
          </w:tcPr>
          <w:p>
            <w:pPr>
              <w:jc w:val="right"/>
              <w:ind w:right="19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13,561</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23.3 %</w:t>
            </w:r>
          </w:p>
        </w:tc>
      </w:tr>
      <w:tr>
        <w:trPr>
          <w:trHeight w:val="264"/>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manufactured products</w:t>
            </w: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31,906</w:t>
            </w:r>
          </w:p>
        </w:tc>
        <w:tc>
          <w:tcPr>
            <w:tcW w:w="11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33,552</w:t>
            </w:r>
          </w:p>
        </w:tc>
        <w:tc>
          <w:tcPr>
            <w:tcW w:w="8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(1,646)</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(4.9)%</w:t>
            </w:r>
          </w:p>
        </w:tc>
      </w:tr>
      <w:tr>
        <w:trPr>
          <w:trHeight w:val="237"/>
        </w:trPr>
        <w:tc>
          <w:tcPr>
            <w:tcW w:w="2960" w:type="dxa"/>
            <w:vAlign w:val="bottom"/>
            <w:gridSpan w:val="2"/>
          </w:tcPr>
          <w:p>
            <w:pPr>
              <w:ind w:left="40"/>
              <w:spacing w:after="0"/>
              <w:rPr>
                <w:sz w:val="20"/>
                <w:szCs w:val="20"/>
                <w:color w:val="auto"/>
              </w:rPr>
            </w:pPr>
            <w:r>
              <w:rPr>
                <w:rFonts w:ascii="Arial" w:cs="Arial" w:eastAsia="Arial" w:hAnsi="Arial"/>
                <w:sz w:val="16"/>
                <w:szCs w:val="16"/>
                <w:color w:val="auto"/>
              </w:rPr>
              <w:t>Total net revenues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976,505</w:t>
            </w: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639"/>
              <w:spacing w:after="0"/>
              <w:rPr>
                <w:sz w:val="20"/>
                <w:szCs w:val="20"/>
                <w:color w:val="auto"/>
              </w:rPr>
            </w:pPr>
            <w:r>
              <w:rPr>
                <w:rFonts w:ascii="Arial" w:cs="Arial" w:eastAsia="Arial" w:hAnsi="Arial"/>
                <w:sz w:val="16"/>
                <w:szCs w:val="16"/>
                <w:color w:val="auto"/>
              </w:rPr>
              <w:t>945,163</w:t>
            </w:r>
          </w:p>
        </w:tc>
        <w:tc>
          <w:tcPr>
            <w:tcW w:w="840" w:type="dxa"/>
            <w:vAlign w:val="bottom"/>
          </w:tcPr>
          <w:p>
            <w:pPr>
              <w:jc w:val="right"/>
              <w:ind w:right="199"/>
              <w:spacing w:after="0"/>
              <w:rPr>
                <w:sz w:val="20"/>
                <w:szCs w:val="20"/>
                <w:color w:val="auto"/>
              </w:rPr>
            </w:pPr>
            <w:r>
              <w:rPr>
                <w:rFonts w:ascii="Arial" w:cs="Arial" w:eastAsia="Arial" w:hAnsi="Arial"/>
                <w:sz w:val="16"/>
                <w:szCs w:val="16"/>
                <w:color w:val="auto"/>
                <w:w w:val="99"/>
              </w:rPr>
              <w:t>100.0%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31,342</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3.3 %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3810</wp:posOffset>
            </wp:positionV>
            <wp:extent cx="537718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77180" cy="26035"/>
                    </a:xfrm>
                    <a:prstGeom prst="rect">
                      <a:avLst/>
                    </a:prstGeom>
                    <a:noFill/>
                  </pic:spPr>
                </pic:pic>
              </a:graphicData>
            </a:graphic>
          </wp:anchor>
        </w:drawing>
      </w:r>
    </w:p>
    <w:p>
      <w:pPr>
        <w:ind w:left="260" w:hanging="238"/>
        <w:spacing w:after="0"/>
        <w:tabs>
          <w:tab w:leader="none" w:pos="26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Includes motorhome units, parts and service</w:t>
      </w:r>
    </w:p>
    <w:p>
      <w:pPr>
        <w:ind w:left="260" w:hanging="238"/>
        <w:spacing w:after="0" w:line="199" w:lineRule="auto"/>
        <w:tabs>
          <w:tab w:leader="none" w:pos="26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motorhome net revenues of $19.4 million or 2.3% was primarily attributed to a 3.9% increase in unit deliveries in Fiscal 2015.</w:t>
      </w:r>
    </w:p>
    <w:p>
      <w:pPr>
        <w:spacing w:after="0" w:line="5" w:lineRule="exact"/>
        <w:rPr>
          <w:sz w:val="20"/>
          <w:szCs w:val="20"/>
          <w:color w:val="auto"/>
        </w:rPr>
      </w:pPr>
    </w:p>
    <w:p>
      <w:pPr>
        <w:ind w:left="340" w:right="180" w:hanging="332"/>
        <w:spacing w:after="0" w:line="246"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increase in incremental revenues was due to the change in our sales agreement with Apollo, a US RV rental company. During Fiscal 2015 we delivered 535 rental units to Apollo. During Fiscal 2014 we delivered 520 rental units to Apollo, of which only 177 were reported as motorhome sales; the remaining 343 were recorded as operating leases due to a repurchase obligation in Fiscal 2014.</w:t>
      </w:r>
    </w:p>
    <w:p>
      <w:pPr>
        <w:spacing w:after="0" w:line="1" w:lineRule="exact"/>
        <w:rPr>
          <w:rFonts w:ascii="Arial" w:cs="Arial" w:eastAsia="Arial" w:hAnsi="Arial"/>
          <w:sz w:val="16"/>
          <w:szCs w:val="16"/>
          <w:color w:val="auto"/>
        </w:rPr>
      </w:pPr>
    </w:p>
    <w:p>
      <w:pPr>
        <w:ind w:left="340" w:right="320" w:hanging="332"/>
        <w:spacing w:after="0" w:line="260"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Total motorhome ASP decreased 1.7% in Fiscal 2015 compared to Fiscal 2014 due to a mix shift from higher priced Class A products in Fiscal 2014 to lower priced Class B and C unit sales in Fiscal 2015. ASPs increased in every product category during Fiscal 2015.</w:t>
      </w:r>
    </w:p>
    <w:p>
      <w:pPr>
        <w:spacing w:after="0" w:line="169"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Towables revenues were $71.7 million in Fiscal 2015 compared to revenues of $58.1 million in Fiscal 2014. ASP increased 15.9% and towable unit deliveries increased by 6.4%.</w:t>
      </w:r>
    </w:p>
    <w:p>
      <w:pPr>
        <w:spacing w:after="0" w:line="169"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Cost of goods sold was $871.6 million, or 89.3% of net revenues for Fiscal 2015 compared to $841.2 million, or 89.0% of net revenues for Fiscal 2014 due to the following:</w:t>
      </w:r>
    </w:p>
    <w:p>
      <w:pPr>
        <w:spacing w:after="0" w:line="1" w:lineRule="exact"/>
        <w:rPr>
          <w:sz w:val="20"/>
          <w:szCs w:val="20"/>
          <w:color w:val="auto"/>
        </w:rPr>
      </w:pPr>
    </w:p>
    <w:p>
      <w:pPr>
        <w:ind w:left="340" w:right="360" w:hanging="332"/>
        <w:spacing w:after="0" w:line="246"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Total variable costs (materials, direct labor, variable overhead, delivery expense and warranty), as a percent of net revenues, increased to 84.0% from 83.7% primarily due to increased warranty expense and related warranty recall reserve and higher workers compensation expense.</w:t>
      </w:r>
    </w:p>
    <w:p>
      <w:pPr>
        <w:ind w:left="340" w:right="500" w:hanging="332"/>
        <w:spacing w:after="0" w:line="246"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research and development-related costs decreased to 5.2% of net revenues compared to 5.3%.</w:t>
      </w: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 factors considered, gross profit decreased from 11.0% to 10.7% of net revenues.</w:t>
      </w:r>
    </w:p>
    <w:p>
      <w:pPr>
        <w:spacing w:after="0" w:line="167"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Selling expenses increased to 2.0% from 1.9% of net revenues in Fiscal 2015 and Fiscal 2014, respectively. The increase was due primarily to increased advertising and compensation expenses in Fiscal 2015.</w:t>
      </w:r>
    </w:p>
    <w:p>
      <w:pPr>
        <w:spacing w:after="0" w:line="142"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General and administrative expenses were 2.6% and 2.4% of net revenues in Fiscal 2015 and Fiscal 2014, respectively. General and administrative expenses increased $3.4 million, or 15.2%, in Fiscal 2015. This increase was due primarily to expenses of $3.9 million in ERP and strategic sourcing projects, $1.6 million in increased legal and product liability expenses, $1.0 million in costs associated with the former CEO retirement agreement and was partially offset by $3.3 million in reduced management compensation expenses.</w:t>
      </w:r>
    </w:p>
    <w:p>
      <w:pPr>
        <w:spacing w:after="0" w:line="149"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During Fiscal 2015, we recorded an asset impairment on our corporate plane of $462,000. In Fiscal 2014, we sold a warehouse facility in Forest City, Iowa, resulting in a gain of $629,000.</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Non-operating income decreased $653,000 or 85.0%, in Fiscal 2015, primarily due to lower proceeds from COLI policies than we received in Fiscal 2014.</w:t>
      </w:r>
    </w:p>
    <w:p>
      <w:pPr>
        <w:spacing w:after="0" w:line="194"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The effective tax rate for Fiscal 2015 was 30.8% compared to 30.3% in Fiscal 2014. With a lower level of pre-tax book income being recorded in Fiscal 2015 compared to Fiscal 2014 the effective tax rate from operations was lower. However, this was offset by the lower level of tax planning initiatives recorded in Fiscal 2015 compared to Fiscal 2014 causing a slight increase in the effective tax rate year over year. Legislation for various applicable tax credits expired on December 31, 2014; therefore, similar to our Fiscal 2014, our projected benefits for these tax credits are limited to four months of our fiscal year.</w:t>
      </w:r>
    </w:p>
    <w:p>
      <w:pPr>
        <w:spacing w:after="0" w:line="176"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Net income and diluted income per share were $41.2 million and $1.52 per share, respectively, for Fiscal 2015. In Fiscal 2014, net income was $45.1 million and diluted income per share was $1.64.</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187" w:lineRule="exact"/>
        <w:rPr>
          <w:sz w:val="20"/>
          <w:szCs w:val="20"/>
          <w:color w:val="auto"/>
        </w:rPr>
      </w:pPr>
    </w:p>
    <w:p>
      <w:pPr>
        <w:ind w:right="420"/>
        <w:spacing w:after="0" w:line="246" w:lineRule="auto"/>
        <w:rPr>
          <w:sz w:val="20"/>
          <w:szCs w:val="20"/>
          <w:color w:val="auto"/>
        </w:rPr>
      </w:pPr>
      <w:r>
        <w:rPr>
          <w:rFonts w:ascii="Arial" w:cs="Arial" w:eastAsia="Arial" w:hAnsi="Arial"/>
          <w:sz w:val="16"/>
          <w:szCs w:val="16"/>
          <w:color w:val="auto"/>
        </w:rPr>
        <w:t>Cash and cash equivalents increased $15.3 million during Fiscal 2016 and totaled $85.6 million as of August 27, 2016. The significant liquidity events that occurred during Fiscal 2016 were:</w:t>
      </w:r>
    </w:p>
    <w:p>
      <w:pPr>
        <w:spacing w:after="0" w:line="1"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Generated net income of $45.5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Capital expenditures of $24.6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Dividend payments of $10.9 million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Stock repurchases of $3.1 million</w:t>
      </w:r>
    </w:p>
    <w:p>
      <w:pPr>
        <w:spacing w:after="0" w:line="19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As described in Note 6, through our Amended Credit Agreement with Wells Fargo Capital Finance, we have the ability to borrow $35.0 million through a revolving credit facility based on our eligible inventory and certain receivables. In addition, the Amended Credit Agreement also includes a framework to expand the size of the facility up to $50.0 million, based on mutually agreeable terms at the time of the expansion. The Credit Agreement's term is through May 28, 2019. We are in compliance with all material terms in the Amended Credit Agreement and have no outstanding borrowings as of the date of this report.</w:t>
      </w:r>
    </w:p>
    <w:p>
      <w:pPr>
        <w:spacing w:after="0" w:line="17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filed a Registration Statement on Form S-3, which was declared effective by the SEC on April 25, 2016. Subject to market conditions, we have the ability to offer and sell up to $35.0 million of our common stock in one or more offerings pursuant to the Registration Statement. The Registration Statement will be available for use for three years from its effective date. We currently have no plans to offer and sell the common stock registered under this Registration Statement; however, it does provide another potential source of liquidity to raise capital if we need it, in addition to the alternatives already in place.</w:t>
      </w:r>
    </w:p>
    <w:p>
      <w:pPr>
        <w:spacing w:after="0" w:line="230"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Working capital at August 27, 2016 and August 29, 2015 was $187.6 million and $184.6 million, respectively, an increase of $3.0 million. We currently expect cash on hand, funds generated from operations and the availability under a credit facility to be sufficient to cover both short-term and long-term operating requirements. We anticipate capital expenditures in Fiscal 2017 of approximately $17 - $20 million. In addition to the normal $8 - $10 million of maintenance spend for our current facilities, we will continue to invest in our ERP system and finalize incremental capacity expansion investments in Oregon.</w:t>
      </w:r>
    </w:p>
    <w:p>
      <w:pPr>
        <w:spacing w:after="0" w:line="230"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On October 12, 2016, the Board of Directors approved a quarterly cash dividend of $0.10 per share of common stock, payable on November 23, 2016 to shareholders of record at the close of business on November 9, 2016. We expect this cash outflow to be approximately $2.7 million for each quarter that this dividend is paid.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83"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Cash provided by operating activities was $52.7 million for the fiscal year ended August 27, 2016 compared to $45.2 million for the fiscal year ended August 29, 2015, and $23.2 million for the fiscal year ended August 30, 2014. The combination of net income of $45.5 million in Fiscal 2016 and changes in non-cash charges (e.g., depreciation, LIFO, stock-based compensation, deferred income taxes) provided $52.7 million of operating cash compared to $49.0 million in Fiscal 2015 and $50.6 million in Fiscal 2014. In Fiscal 2016, Fiscal 2015, and Fiscal 2014, changes in assets and liabilities (primarily a decrease in receivables in Fiscal 2016, an increase in receivables in Fiscal 2015 and inventory increases in Fiscal 2014) used $0.1 million, $3.8 million, and $27.4 million, respectively, of operating cash.</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64"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Cash used in investing activities of $23.4 million in Fiscal 2016 was due primarily to capital spending of $24.6 million. In Fiscal 2015, cash used in investing activities of $16.5 million was primarily due to capital spending of $16.6 million. During Fiscal 2014, cash used in investing activities of $5.4 million was primarily due to capital spending of $10.5 million partially offset by proceeds from the sale of property of $2.4 million and ARS redemptions of $2.4 million.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8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Cash used in financing activities of $14.0 million in Fiscal 2016 was primarily due to $10.9 million for the payments of dividends and $3.1 million in repurchases of our stock. Cash used in financing for the fiscal year ended August 29, 2015 was primarily due to $9.8 million for the payments of dividends and $6.5 million in repurchases of our stock. In addition, in Fiscal 2015 we borrowed and repaid $22.0 million in our line of credit. Cash used in financing for the fiscal year ended August 30, 2014 was $24.3 million primarily for repurchases of our stock.</w:t>
      </w:r>
    </w:p>
    <w:p>
      <w:pPr>
        <w:spacing w:after="0" w:line="176"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In connection with our agreement to acquire Grand Design we executed a customary debt commitment letter with JPMorgan Chase Bank, N.A. (“JPMorgan”) pursuant to which, subject to customary exceptions and conditions, JPMorgan has committed to provide a seven-year $300 million secured term loan B facility, and a five-year $125 million asset-based revolving credit facility (collectively the “Credit Facilities”). We intend to use the proceeds from the term loan and a portion of the revolving credit facility together with $60 million in cash and $105 million of common stock to complete the acquisition of Grand Design. The remainder of the revolving credit facility will be used to fund our working capital needs. The Credit Facilities are expected to be secured by all or substantially all of our assets, and will replace our current credit facility with Wells Fargo Bank, N.A.</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380"/>
          </w:cols>
          <w:pgMar w:left="240" w:top="141" w:right="27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Commercial Commitments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principal contractual obligations and commercial commitments as of August 27, 2016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5"/>
          </w:tcPr>
          <w:p>
            <w:pPr>
              <w:jc w:val="center"/>
              <w:ind w:right="99"/>
              <w:spacing w:after="0"/>
              <w:rPr>
                <w:sz w:val="20"/>
                <w:szCs w:val="20"/>
                <w:color w:val="auto"/>
              </w:rPr>
            </w:pPr>
            <w:r>
              <w:rPr>
                <w:rFonts w:ascii="Arial" w:cs="Arial" w:eastAsia="Arial" w:hAnsi="Arial"/>
                <w:sz w:val="16"/>
                <w:szCs w:val="16"/>
                <w:b w:val="1"/>
                <w:bCs w:val="1"/>
                <w:color w:val="auto"/>
              </w:rPr>
              <w:t>Payments Due By Period</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198"/>
        </w:trPr>
        <w:tc>
          <w:tcPr>
            <w:tcW w:w="5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b w:val="1"/>
                <w:bCs w:val="1"/>
                <w:color w:val="auto"/>
              </w:rPr>
              <w:t>Fiscal</w:t>
            </w:r>
          </w:p>
        </w:tc>
        <w:tc>
          <w:tcPr>
            <w:tcW w:w="18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rPr>
              <w:t>Fiscal</w:t>
            </w:r>
          </w:p>
        </w:tc>
        <w:tc>
          <w:tcPr>
            <w:tcW w:w="18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rPr>
              <w:t>Fiscal</w:t>
            </w:r>
          </w:p>
        </w:tc>
        <w:tc>
          <w:tcPr>
            <w:tcW w:w="200" w:type="dxa"/>
            <w:vAlign w:val="bottom"/>
          </w:tcPr>
          <w:p>
            <w:pPr>
              <w:spacing w:after="0"/>
              <w:rPr>
                <w:sz w:val="17"/>
                <w:szCs w:val="17"/>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b w:val="1"/>
                <w:bCs w:val="1"/>
                <w:color w:val="auto"/>
              </w:rPr>
              <w:t>More than</w:t>
            </w:r>
          </w:p>
        </w:tc>
      </w:tr>
      <w:tr>
        <w:trPr>
          <w:trHeight w:val="228"/>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2018-2019</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2020-2021</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5 Years</w:t>
            </w: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Postretirement health care obligations </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6,346</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4,322</w:t>
            </w:r>
          </w:p>
        </w:tc>
      </w:tr>
      <w:tr>
        <w:trPr>
          <w:trHeight w:val="243"/>
        </w:trPr>
        <w:tc>
          <w:tcPr>
            <w:tcW w:w="5720" w:type="dxa"/>
            <w:vAlign w:val="bottom"/>
          </w:tcPr>
          <w:p>
            <w:pPr>
              <w:ind w:left="40"/>
              <w:spacing w:after="0"/>
              <w:rPr>
                <w:sz w:val="20"/>
                <w:szCs w:val="20"/>
                <w:color w:val="auto"/>
              </w:rPr>
            </w:pPr>
            <w:r>
              <w:rPr>
                <w:rFonts w:ascii="Arial" w:cs="Arial" w:eastAsia="Arial" w:hAnsi="Arial"/>
                <w:sz w:val="16"/>
                <w:szCs w:val="16"/>
                <w:color w:val="auto"/>
              </w:rPr>
              <w:t xml:space="preserve">Deferred compensation obligations </w:t>
            </w:r>
            <w:r>
              <w:rPr>
                <w:rFonts w:ascii="Arial" w:cs="Arial" w:eastAsia="Arial" w:hAnsi="Arial"/>
                <w:sz w:val="21"/>
                <w:szCs w:val="21"/>
                <w:color w:val="auto"/>
                <w:vertAlign w:val="superscript"/>
              </w:rPr>
              <w:t>(1)</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18,392</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2,740</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5,322</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4,752</w:t>
            </w:r>
          </w:p>
        </w:tc>
        <w:tc>
          <w:tcPr>
            <w:tcW w:w="2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5,578</w:t>
            </w: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Executive share option obligations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3,341</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2,032</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5720" w:type="dxa"/>
            <w:vAlign w:val="bottom"/>
          </w:tcPr>
          <w:p>
            <w:pPr>
              <w:ind w:left="40"/>
              <w:spacing w:after="0"/>
              <w:rPr>
                <w:sz w:val="20"/>
                <w:szCs w:val="20"/>
                <w:color w:val="auto"/>
              </w:rPr>
            </w:pPr>
            <w:r>
              <w:rPr>
                <w:rFonts w:ascii="Arial" w:cs="Arial" w:eastAsia="Arial" w:hAnsi="Arial"/>
                <w:sz w:val="16"/>
                <w:szCs w:val="16"/>
                <w:color w:val="auto"/>
              </w:rPr>
              <w:t xml:space="preserve">Supplemental executive retirement plan benefit obligations </w:t>
            </w:r>
            <w:r>
              <w:rPr>
                <w:rFonts w:ascii="Arial" w:cs="Arial" w:eastAsia="Arial" w:hAnsi="Arial"/>
                <w:sz w:val="21"/>
                <w:szCs w:val="21"/>
                <w:color w:val="auto"/>
                <w:vertAlign w:val="superscript"/>
              </w:rPr>
              <w:t>(1)</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2,681</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347</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603</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566</w:t>
            </w:r>
          </w:p>
        </w:tc>
        <w:tc>
          <w:tcPr>
            <w:tcW w:w="2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1,165</w:t>
            </w: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5720" w:type="dxa"/>
            <w:vAlign w:val="bottom"/>
          </w:tcPr>
          <w:p>
            <w:pPr>
              <w:ind w:left="40"/>
              <w:spacing w:after="0"/>
              <w:rPr>
                <w:sz w:val="20"/>
                <w:szCs w:val="20"/>
                <w:color w:val="auto"/>
              </w:rPr>
            </w:pPr>
            <w:r>
              <w:rPr>
                <w:rFonts w:ascii="Arial" w:cs="Arial" w:eastAsia="Arial" w:hAnsi="Arial"/>
                <w:sz w:val="16"/>
                <w:szCs w:val="16"/>
                <w:color w:val="auto"/>
              </w:rPr>
              <w:t>Contracted services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157</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Unrecognized tax benefits </w:t>
            </w:r>
            <w:r>
              <w:rPr>
                <w:rFonts w:ascii="Arial" w:cs="Arial" w:eastAsia="Arial" w:hAnsi="Arial"/>
                <w:sz w:val="21"/>
                <w:szCs w:val="21"/>
                <w:color w:val="auto"/>
                <w:vertAlign w:val="superscript"/>
              </w:rPr>
              <w:t>(3)</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2,461</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4"/>
        </w:trPr>
        <w:tc>
          <w:tcPr>
            <w:tcW w:w="5720" w:type="dxa"/>
            <w:vAlign w:val="bottom"/>
          </w:tcPr>
          <w:p>
            <w:pPr>
              <w:ind w:left="40"/>
              <w:spacing w:after="0"/>
              <w:rPr>
                <w:sz w:val="20"/>
                <w:szCs w:val="20"/>
                <w:color w:val="auto"/>
              </w:rPr>
            </w:pPr>
            <w:r>
              <w:rPr>
                <w:rFonts w:ascii="Arial" w:cs="Arial" w:eastAsia="Arial" w:hAnsi="Arial"/>
                <w:sz w:val="16"/>
                <w:szCs w:val="16"/>
                <w:color w:val="auto"/>
              </w:rPr>
              <w:t>Total contractual cash obligations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33,653</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11,065</w:t>
            </w: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5"/>
          </w:tcPr>
          <w:p>
            <w:pPr>
              <w:jc w:val="center"/>
              <w:ind w:right="299"/>
              <w:spacing w:after="0"/>
              <w:rPr>
                <w:sz w:val="20"/>
                <w:szCs w:val="20"/>
                <w:color w:val="auto"/>
              </w:rPr>
            </w:pPr>
            <w:r>
              <w:rPr>
                <w:rFonts w:ascii="Arial" w:cs="Arial" w:eastAsia="Arial" w:hAnsi="Arial"/>
                <w:sz w:val="16"/>
                <w:szCs w:val="16"/>
                <w:b w:val="1"/>
                <w:bCs w:val="1"/>
                <w:color w:val="auto"/>
              </w:rPr>
              <w:t>Expiration By Period</w:t>
            </w:r>
          </w:p>
        </w:tc>
        <w:tc>
          <w:tcPr>
            <w:tcW w:w="980" w:type="dxa"/>
            <w:vAlign w:val="bottom"/>
            <w:tcBorders>
              <w:bottom w:val="single" w:sz="8" w:color="auto"/>
            </w:tcBorders>
          </w:tcPr>
          <w:p>
            <w:pPr>
              <w:spacing w:after="0"/>
              <w:rPr>
                <w:sz w:val="19"/>
                <w:szCs w:val="19"/>
                <w:color w:val="auto"/>
              </w:rPr>
            </w:pPr>
          </w:p>
        </w:tc>
      </w:tr>
      <w:tr>
        <w:trPr>
          <w:trHeight w:val="198"/>
        </w:trPr>
        <w:tc>
          <w:tcPr>
            <w:tcW w:w="5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b w:val="1"/>
                <w:bCs w:val="1"/>
                <w:color w:val="auto"/>
              </w:rPr>
              <w:t>Fiscal</w:t>
            </w:r>
          </w:p>
        </w:tc>
        <w:tc>
          <w:tcPr>
            <w:tcW w:w="18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rPr>
              <w:t>Fiscal</w:t>
            </w:r>
          </w:p>
        </w:tc>
        <w:tc>
          <w:tcPr>
            <w:tcW w:w="180" w:type="dxa"/>
            <w:vAlign w:val="bottom"/>
          </w:tcPr>
          <w:p>
            <w:pPr>
              <w:spacing w:after="0"/>
              <w:rPr>
                <w:sz w:val="17"/>
                <w:szCs w:val="17"/>
                <w:color w:val="auto"/>
              </w:rPr>
            </w:pPr>
          </w:p>
        </w:tc>
        <w:tc>
          <w:tcPr>
            <w:tcW w:w="1140" w:type="dxa"/>
            <w:vAlign w:val="bottom"/>
          </w:tcPr>
          <w:p>
            <w:pPr>
              <w:jc w:val="center"/>
              <w:ind w:right="239"/>
              <w:spacing w:after="0"/>
              <w:rPr>
                <w:sz w:val="20"/>
                <w:szCs w:val="20"/>
                <w:color w:val="auto"/>
              </w:rPr>
            </w:pPr>
            <w:r>
              <w:rPr>
                <w:rFonts w:ascii="Arial" w:cs="Arial" w:eastAsia="Arial" w:hAnsi="Arial"/>
                <w:sz w:val="16"/>
                <w:szCs w:val="16"/>
                <w:b w:val="1"/>
                <w:bCs w:val="1"/>
                <w:color w:val="auto"/>
              </w:rPr>
              <w:t>Fiscal</w:t>
            </w: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rPr>
              <w:t>More than</w:t>
            </w:r>
          </w:p>
        </w:tc>
      </w:tr>
      <w:tr>
        <w:trPr>
          <w:trHeight w:val="228"/>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2018-2019</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2020-2021</w:t>
            </w: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5 Years</w:t>
            </w:r>
          </w:p>
        </w:tc>
      </w:tr>
      <w:tr>
        <w:trPr>
          <w:trHeight w:val="243"/>
        </w:trPr>
        <w:tc>
          <w:tcPr>
            <w:tcW w:w="5720" w:type="dxa"/>
            <w:vAlign w:val="bottom"/>
          </w:tcPr>
          <w:p>
            <w:pPr>
              <w:ind w:left="40"/>
              <w:spacing w:after="0"/>
              <w:rPr>
                <w:sz w:val="20"/>
                <w:szCs w:val="20"/>
                <w:color w:val="auto"/>
              </w:rPr>
            </w:pPr>
            <w:r>
              <w:rPr>
                <w:rFonts w:ascii="Arial" w:cs="Arial" w:eastAsia="Arial" w:hAnsi="Arial"/>
                <w:sz w:val="16"/>
                <w:szCs w:val="16"/>
                <w:color w:val="auto"/>
              </w:rPr>
              <w:t xml:space="preserve">Contingent repurchase obligations </w:t>
            </w:r>
            <w:r>
              <w:rPr>
                <w:rFonts w:ascii="Arial" w:cs="Arial" w:eastAsia="Arial" w:hAnsi="Arial"/>
                <w:sz w:val="21"/>
                <w:szCs w:val="21"/>
                <w:color w:val="auto"/>
                <w:vertAlign w:val="superscript"/>
              </w:rPr>
              <w:t>(2)</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409,258</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197,222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212,036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ind w:left="720"/>
              <w:spacing w:after="0"/>
              <w:rPr>
                <w:sz w:val="20"/>
                <w:szCs w:val="20"/>
                <w:color w:val="auto"/>
              </w:rPr>
            </w:pPr>
            <w:r>
              <w:rPr>
                <w:rFonts w:ascii="Arial" w:cs="Arial" w:eastAsia="Arial" w:hAnsi="Arial"/>
                <w:sz w:val="16"/>
                <w:szCs w:val="16"/>
                <w:color w:val="auto"/>
              </w:rPr>
              <w:t>—  $</w:t>
            </w:r>
          </w:p>
        </w:tc>
        <w:tc>
          <w:tcPr>
            <w:tcW w:w="980" w:type="dxa"/>
            <w:vAlign w:val="bottom"/>
          </w:tcPr>
          <w:p>
            <w:pPr>
              <w:ind w:left="70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240" w:hanging="232"/>
        <w:spacing w:after="0" w:line="187" w:lineRule="auto"/>
        <w:tabs>
          <w:tab w:leader="none" w:pos="24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See Note 8.</w:t>
      </w:r>
    </w:p>
    <w:p>
      <w:pPr>
        <w:ind w:left="240" w:hanging="232"/>
        <w:spacing w:after="0" w:line="193" w:lineRule="auto"/>
        <w:tabs>
          <w:tab w:leader="none" w:pos="24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See Note 9.</w:t>
      </w:r>
    </w:p>
    <w:p>
      <w:pPr>
        <w:ind w:left="240" w:hanging="232"/>
        <w:spacing w:after="0" w:line="199" w:lineRule="auto"/>
        <w:tabs>
          <w:tab w:leader="none" w:pos="24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We are not able to reasonably estimate in which future periods these amounts will ultimately be settled.</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187"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Our financial statements are prepared in accordance with GAAP. In 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we believe to be relevant at the time our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51"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Our significant accounting policies are discussed in Note 1. We believe that the following accounting estimates and policies are the most critical to aid in fully understanding and evaluating our reported financial results and they require our most difficult, subjective or complex judgments, resulting from the need to make estimates about the effect of matters that are inherently uncertain. We have reviewed these critical accounting estimates and related disclosures with the Audit Committee of our Board of Directors.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Generally, revenues for our RVs are recorded and title passes when the following conditions are met:</w:t>
      </w:r>
    </w:p>
    <w:p>
      <w:pPr>
        <w:spacing w:after="0" w:line="5"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 order for a product has been received from a dealer</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written or verbal approval for payment has been received from the dealer's floorplan financing institution (if applicable)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 independent transportation company has accepted responsibility for the product as agent for the dealer;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product is removed from the Company's property for delivery to the dealer.</w:t>
      </w:r>
    </w:p>
    <w:p>
      <w:pPr>
        <w:spacing w:after="0" w:line="194"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Our shipping terms are FOB shipping point. Products are not sold on consignment, dealers do not have the right to return products, and dealers are typically responsible for interest costs to floor plan lenders.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Repurchase Commitments</w:t>
      </w:r>
    </w:p>
    <w:p>
      <w:pPr>
        <w:spacing w:after="0" w:line="2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It is customary practice for manufacturers in the RV industry to enter into repurchase agreements with financing institutions that provide financing to their dealers. Our repurchase agreements generally provide that, in the event of a default by a dealer in its obligation to these lenders, we will repurchase vehicles sold to the dealer that have not been resold to retail customers. The terms of these agreements, which can last up to 18 months, provide that our liability will be the lesser of remaining principal owed by the dealer or dealer invoice less periodic reductions based on the time since the date of the original invoice. Our liability cannot exceed 100% of the dealer invoice. In certain instances, we also repurchase inventory from our dealers due to state law or regulatory requirements that govern voluntary or involuntary relationship terminations.</w:t>
      </w:r>
    </w:p>
    <w:p>
      <w:pPr>
        <w:spacing w:after="0" w:line="178"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Based on these repurchase agreements, we establish an associated loss reserve which is disclosed separately in the consolidated balance sheets. Repurchased sales are not recorded as a revenue transaction, but the net difference between the original repurchase price and the resale price are recorded against the loss reserve, which is a deduction from gross revenue. Our loss reserve for repurchase commitments contains uncertainties because the calculation requires management to make assumptions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4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and apply judgment regarding a number of factors. There are two significant assumptions associated with establishing our loss reserve for repurchase commitments: (1) the percentage of dealer inventory that we will be required to repurchase as a result of defaults by the dealer, and (2) the loss that will be incurred, if any, when repurchased inventory is resold. These key assumptions are affected by a number of factors, such as macro-market conditions, current retail demand for our product, age of product in dealer inventory, physical condition of the product, location of the dealer, and the financing source. To the extent that dealers are increasing or decreasing their inventories, our overall exposure under repurchase agreements is likewise impacted. The percentage of dealer inventory we estimate we will repurchase and the associated estimated loss is based on historical information, current trends and an analysis of dealer inventory aging for all dealers with inventory subject to this obligation. In periods where there is increasing retail demand for our product at our dealerships, the lower end of our estimated range of assumptions will be more appropriate and in periods of decreasing retail demand, the opposite will be true.</w:t>
      </w:r>
    </w:p>
    <w:p>
      <w:pPr>
        <w:spacing w:after="0" w:line="181"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Repurchase risk is affected by the credit worthiness of our dealer network and if we are obligated to repurchase a substantially larger number of RVs in the future, this would increase our costs and could have a material adverse effect on our results of operations, financial condition, and cash flows.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Warranty</w:t>
      </w:r>
    </w:p>
    <w:p>
      <w:pPr>
        <w:spacing w:after="0" w:line="21"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We provide our motorhome customers a comprehensive 12-month/15,000-mile warranty on our Class A, B, and C motorhomes and a 3-year/36,000-mile warranty on Class A and C sidewalls and floors. We provide a comprehensive 12-month warranty on all towable products. Estimated costs related to product warranty are accrued at the time of sale and are based upon past warranty claims and unit sales history. Accruals are adjusted as needed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w:t>
      </w:r>
    </w:p>
    <w:p>
      <w:pPr>
        <w:spacing w:after="0" w:line="176"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In addition to the costs associated with the contractual warranty coverage provided on our products,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147"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A significant increase in dealership labor rates, the cost of parts or the frequency of claims could have a material adverse impact on our operating results for the period or periods in which such claims or additional costs materialize. A hypothetical change of a 10% increase or decrease in our significant warranty commitment assumptions as of August 27, 2016 would have affected net income by approximately $624,000. Further discussion of our warranty costs and associated accruals is included in Note 7.</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21"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 xml:space="preserve">We account for income taxes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In preparing our financial statements, we are required to estimate our income taxes in each of the jurisdictions in which we operate. Significant judgment is required in determining our provision for income taxes, our deferred tax assets and liabilities and any valuation allowance recorded against our deferred tax assets. We will continue to assess the likelihood that our deferred tax assets will be realizable at each reporting period and will be adjusted accordingly, which could materially impact our financial position and results of operations. As of August 27, 2016, we have determined that our deferred tax assets are realizable, and therefore, no valuation allowance has been recorded.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See Note 1 for a summary of new accounting pronouncements which are incorporated by reference herein.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7A. </w:t>
      </w:r>
      <w:r>
        <w:rPr>
          <w:rFonts w:ascii="Arial" w:cs="Arial" w:eastAsia="Arial" w:hAnsi="Arial"/>
          <w:sz w:val="16"/>
          <w:szCs w:val="16"/>
          <w:color w:val="auto"/>
        </w:rPr>
        <w:t>Quantitative and Qualitative Disclosures About Market Risk</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assets we maintain to fund deferred compensation have market risk, but we maintain a corresponding liability for these assets. The market risk is therefore borne by the participants in the deferred compensation program.</w:t>
      </w:r>
    </w:p>
    <w:p>
      <w:pPr>
        <w:spacing w:after="0" w:line="16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We could incur financial market risk in the form of interest rate risk. Risk can be quantified by measuring the financial impact of a near-term adverse increase in short-term interest rates. At August 27, 2016, we had a $35.0 million credit facility with Wells Fargo Capital Finance. In addition, the agreement includes a framework to expand the size of the facility up to $50.0 million, based on mutually agreeable terms at the time of expansion. The interest rates applicable to this agreement are based on LIBOR plus 2.0%. We currently have no borrowings under this credit facility.</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141" w:right="25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4"/>
        </w:trPr>
        <w:tc>
          <w:tcPr>
            <w:tcW w:w="10220" w:type="dxa"/>
            <w:vAlign w:val="bottom"/>
            <w:gridSpan w:val="9"/>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60" w:type="dxa"/>
            <w:vAlign w:val="bottom"/>
            <w:tcBorders>
              <w:right w:val="single" w:sz="8" w:color="0000EE"/>
            </w:tcBorders>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47"/>
        </w:trPr>
        <w:tc>
          <w:tcPr>
            <w:tcW w:w="10220" w:type="dxa"/>
            <w:vAlign w:val="bottom"/>
            <w:gridSpan w:val="9"/>
          </w:tcPr>
          <w:p>
            <w:pPr>
              <w:spacing w:after="0"/>
              <w:rPr>
                <w:sz w:val="20"/>
                <w:szCs w:val="20"/>
                <w:color w:val="auto"/>
              </w:rPr>
            </w:pPr>
            <w:r>
              <w:rPr>
                <w:rFonts w:ascii="Arial" w:cs="Arial" w:eastAsia="Arial" w:hAnsi="Arial"/>
                <w:sz w:val="16"/>
                <w:szCs w:val="16"/>
                <w:b w:val="1"/>
                <w:bCs w:val="1"/>
                <w:color w:val="auto"/>
              </w:rPr>
              <w:t xml:space="preserve">Item 8. </w:t>
            </w:r>
            <w:r>
              <w:rPr>
                <w:rFonts w:ascii="Arial" w:cs="Arial" w:eastAsia="Arial" w:hAnsi="Arial"/>
                <w:sz w:val="16"/>
                <w:szCs w:val="16"/>
                <w:color w:val="auto"/>
              </w:rPr>
              <w:t>Financial Statements and Supplementary Data</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17"/>
        </w:trPr>
        <w:tc>
          <w:tcPr>
            <w:tcW w:w="60" w:type="dxa"/>
            <w:vAlign w:val="bottom"/>
          </w:tcPr>
          <w:p>
            <w:pPr>
              <w:spacing w:after="0"/>
              <w:rPr>
                <w:sz w:val="24"/>
                <w:szCs w:val="24"/>
                <w:color w:val="auto"/>
              </w:rPr>
            </w:pPr>
          </w:p>
        </w:tc>
        <w:tc>
          <w:tcPr>
            <w:tcW w:w="10160" w:type="dxa"/>
            <w:vAlign w:val="bottom"/>
            <w:gridSpan w:val="8"/>
          </w:tcPr>
          <w:p>
            <w:pPr>
              <w:spacing w:after="0"/>
              <w:rPr>
                <w:sz w:val="20"/>
                <w:szCs w:val="20"/>
                <w:color w:val="auto"/>
              </w:rPr>
            </w:pPr>
            <w:r>
              <w:rPr>
                <w:rFonts w:ascii="Arial" w:cs="Arial" w:eastAsia="Arial" w:hAnsi="Arial"/>
                <w:sz w:val="16"/>
                <w:szCs w:val="16"/>
                <w:b w:val="1"/>
                <w:bCs w:val="1"/>
                <w:color w:val="auto"/>
              </w:rPr>
              <w:t>Index to Financial Statements</w:t>
            </w:r>
          </w:p>
        </w:tc>
        <w:tc>
          <w:tcPr>
            <w:tcW w:w="1180" w:type="dxa"/>
            <w:vAlign w:val="bottom"/>
            <w:gridSpan w:val="3"/>
          </w:tcPr>
          <w:p>
            <w:pPr>
              <w:jc w:val="right"/>
              <w:ind w:right="120"/>
              <w:spacing w:after="0"/>
              <w:rPr>
                <w:sz w:val="20"/>
                <w:szCs w:val="20"/>
                <w:color w:val="auto"/>
              </w:rPr>
            </w:pPr>
            <w:r>
              <w:rPr>
                <w:rFonts w:ascii="Arial" w:cs="Arial" w:eastAsia="Arial" w:hAnsi="Arial"/>
                <w:sz w:val="16"/>
                <w:szCs w:val="16"/>
                <w:color w:val="auto"/>
              </w:rPr>
              <w:t>Page</w:t>
            </w:r>
          </w:p>
        </w:tc>
      </w:tr>
      <w:tr>
        <w:trPr>
          <w:trHeight w:val="20"/>
        </w:trPr>
        <w:tc>
          <w:tcPr>
            <w:tcW w:w="6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07"/>
        </w:trPr>
        <w:tc>
          <w:tcPr>
            <w:tcW w:w="60" w:type="dxa"/>
            <w:vAlign w:val="bottom"/>
          </w:tcPr>
          <w:p>
            <w:pPr>
              <w:spacing w:after="0"/>
              <w:rPr>
                <w:sz w:val="24"/>
                <w:szCs w:val="24"/>
                <w:color w:val="auto"/>
              </w:rPr>
            </w:pPr>
          </w:p>
        </w:tc>
        <w:tc>
          <w:tcPr>
            <w:tcW w:w="4780" w:type="dxa"/>
            <w:vAlign w:val="bottom"/>
            <w:gridSpan w:val="4"/>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Management's Report on Internal Control Over Financial Reporting</w:t>
              </w:r>
            </w:hyperlink>
          </w:p>
        </w:tc>
        <w:tc>
          <w:tcPr>
            <w:tcW w:w="5380" w:type="dxa"/>
            <w:vAlign w:val="bottom"/>
            <w:gridSpan w:val="4"/>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gridSpan w:val="2"/>
          </w:tcPr>
          <w:p>
            <w:pPr>
              <w:jc w:val="right"/>
              <w:spacing w:after="0"/>
              <w:rPr>
                <w:rFonts w:ascii="Arial" w:cs="Arial" w:eastAsia="Arial" w:hAnsi="Arial"/>
                <w:sz w:val="16"/>
                <w:szCs w:val="16"/>
                <w:color w:val="0000EE"/>
              </w:rPr>
            </w:pPr>
            <w:hyperlink w:anchor="page30">
              <w:r>
                <w:rPr>
                  <w:rFonts w:ascii="Arial" w:cs="Arial" w:eastAsia="Arial" w:hAnsi="Arial"/>
                  <w:sz w:val="16"/>
                  <w:szCs w:val="16"/>
                  <w:color w:val="0000EE"/>
                </w:rPr>
                <w:t>27</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4200" w:type="dxa"/>
            <w:vAlign w:val="bottom"/>
            <w:gridSpan w:val="3"/>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Reports of Independent Registered Public Accounting Firm</w:t>
              </w:r>
            </w:hyperlink>
          </w:p>
        </w:tc>
        <w:tc>
          <w:tcPr>
            <w:tcW w:w="580" w:type="dxa"/>
            <w:vAlign w:val="bottom"/>
          </w:tcPr>
          <w:p>
            <w:pPr>
              <w:spacing w:after="0"/>
              <w:rPr>
                <w:sz w:val="19"/>
                <w:szCs w:val="19"/>
                <w:color w:val="auto"/>
              </w:rPr>
            </w:pPr>
          </w:p>
        </w:tc>
        <w:tc>
          <w:tcPr>
            <w:tcW w:w="5380" w:type="dxa"/>
            <w:vAlign w:val="bottom"/>
            <w:gridSpan w:val="4"/>
          </w:tcPr>
          <w:p>
            <w:pPr>
              <w:spacing w:after="0"/>
              <w:rPr>
                <w:sz w:val="19"/>
                <w:szCs w:val="19"/>
                <w:color w:val="auto"/>
              </w:rPr>
            </w:pPr>
          </w:p>
        </w:tc>
        <w:tc>
          <w:tcPr>
            <w:tcW w:w="1180" w:type="dxa"/>
            <w:vAlign w:val="bottom"/>
            <w:gridSpan w:val="3"/>
          </w:tcPr>
          <w:p>
            <w:pPr>
              <w:jc w:val="right"/>
              <w:spacing w:after="0"/>
              <w:rPr>
                <w:rFonts w:ascii="Arial" w:cs="Arial" w:eastAsia="Arial" w:hAnsi="Arial"/>
                <w:sz w:val="16"/>
                <w:szCs w:val="16"/>
                <w:color w:val="0000EE"/>
              </w:rPr>
            </w:pPr>
            <w:hyperlink w:anchor="page31">
              <w:r>
                <w:rPr>
                  <w:rFonts w:ascii="Arial" w:cs="Arial" w:eastAsia="Arial" w:hAnsi="Arial"/>
                  <w:sz w:val="16"/>
                  <w:szCs w:val="16"/>
                  <w:color w:val="0000EE"/>
                </w:rPr>
                <w:t>28</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10160" w:type="dxa"/>
            <w:vAlign w:val="bottom"/>
            <w:gridSpan w:val="8"/>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Consolidated Statements of Income and Comprehensive Income for the Years Ended August 27, 2016, August 29, 2015, and August 30, 2014</w:t>
              </w:r>
            </w:hyperlink>
          </w:p>
        </w:tc>
        <w:tc>
          <w:tcPr>
            <w:tcW w:w="1180" w:type="dxa"/>
            <w:vAlign w:val="bottom"/>
            <w:gridSpan w:val="3"/>
          </w:tcPr>
          <w:p>
            <w:pPr>
              <w:jc w:val="right"/>
              <w:spacing w:after="0"/>
              <w:rPr>
                <w:rFonts w:ascii="Arial" w:cs="Arial" w:eastAsia="Arial" w:hAnsi="Arial"/>
                <w:sz w:val="16"/>
                <w:szCs w:val="16"/>
                <w:color w:val="0000EE"/>
              </w:rPr>
            </w:pPr>
            <w:hyperlink w:anchor="page33">
              <w:r>
                <w:rPr>
                  <w:rFonts w:ascii="Arial" w:cs="Arial" w:eastAsia="Arial" w:hAnsi="Arial"/>
                  <w:sz w:val="16"/>
                  <w:szCs w:val="16"/>
                  <w:color w:val="0000EE"/>
                </w:rPr>
                <w:t>30</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10160" w:type="dxa"/>
            <w:vAlign w:val="bottom"/>
            <w:gridSpan w:val="8"/>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Consolidated Balance Sheets as of August 27, 2016 and August 29, 2015</w:t>
              </w:r>
            </w:hyperlink>
          </w:p>
        </w:tc>
        <w:tc>
          <w:tcPr>
            <w:tcW w:w="1180" w:type="dxa"/>
            <w:vAlign w:val="bottom"/>
            <w:gridSpan w:val="3"/>
          </w:tcPr>
          <w:p>
            <w:pPr>
              <w:jc w:val="right"/>
              <w:spacing w:after="0"/>
              <w:rPr>
                <w:rFonts w:ascii="Arial" w:cs="Arial" w:eastAsia="Arial" w:hAnsi="Arial"/>
                <w:sz w:val="16"/>
                <w:szCs w:val="16"/>
                <w:color w:val="0000EE"/>
              </w:rPr>
            </w:pPr>
            <w:hyperlink w:anchor="page34">
              <w:r>
                <w:rPr>
                  <w:rFonts w:ascii="Arial" w:cs="Arial" w:eastAsia="Arial" w:hAnsi="Arial"/>
                  <w:sz w:val="16"/>
                  <w:szCs w:val="16"/>
                  <w:color w:val="0000EE"/>
                </w:rPr>
                <w:t>31</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9900" w:type="dxa"/>
            <w:vAlign w:val="bottom"/>
            <w:gridSpan w:val="7"/>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Consolidated Statements of Changes in Stockholders' Equity for the Years Ended August 27, 2016, August 29, 2015, and August 30, 2014</w:t>
              </w:r>
            </w:hyperlink>
          </w:p>
        </w:tc>
        <w:tc>
          <w:tcPr>
            <w:tcW w:w="260" w:type="dxa"/>
            <w:vAlign w:val="bottom"/>
          </w:tcPr>
          <w:p>
            <w:pPr>
              <w:spacing w:after="0"/>
              <w:rPr>
                <w:sz w:val="19"/>
                <w:szCs w:val="19"/>
                <w:color w:val="auto"/>
              </w:rPr>
            </w:pPr>
          </w:p>
        </w:tc>
        <w:tc>
          <w:tcPr>
            <w:tcW w:w="1180" w:type="dxa"/>
            <w:vAlign w:val="bottom"/>
            <w:gridSpan w:val="3"/>
          </w:tcPr>
          <w:p>
            <w:pPr>
              <w:jc w:val="right"/>
              <w:spacing w:after="0"/>
              <w:rPr>
                <w:rFonts w:ascii="Arial" w:cs="Arial" w:eastAsia="Arial" w:hAnsi="Arial"/>
                <w:sz w:val="16"/>
                <w:szCs w:val="16"/>
                <w:color w:val="0000EE"/>
              </w:rPr>
            </w:pPr>
            <w:hyperlink w:anchor="page35">
              <w:r>
                <w:rPr>
                  <w:rFonts w:ascii="Arial" w:cs="Arial" w:eastAsia="Arial" w:hAnsi="Arial"/>
                  <w:sz w:val="16"/>
                  <w:szCs w:val="16"/>
                  <w:color w:val="0000EE"/>
                </w:rPr>
                <w:t>32</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5240" w:type="dxa"/>
            <w:vAlign w:val="bottom"/>
            <w:gridSpan w:val="4"/>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9900" w:type="dxa"/>
            <w:vAlign w:val="bottom"/>
            <w:gridSpan w:val="7"/>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Consolidated Statements of Cash Flows for the Years Ended August 27, 2016, August 29, 2015,and August 30, 2014</w:t>
              </w:r>
            </w:hyperlink>
          </w:p>
        </w:tc>
        <w:tc>
          <w:tcPr>
            <w:tcW w:w="260" w:type="dxa"/>
            <w:vAlign w:val="bottom"/>
          </w:tcPr>
          <w:p>
            <w:pPr>
              <w:spacing w:after="0"/>
              <w:rPr>
                <w:sz w:val="19"/>
                <w:szCs w:val="19"/>
                <w:color w:val="auto"/>
              </w:rPr>
            </w:pPr>
          </w:p>
        </w:tc>
        <w:tc>
          <w:tcPr>
            <w:tcW w:w="1180" w:type="dxa"/>
            <w:vAlign w:val="bottom"/>
            <w:gridSpan w:val="3"/>
          </w:tcPr>
          <w:p>
            <w:pPr>
              <w:jc w:val="right"/>
              <w:spacing w:after="0"/>
              <w:rPr>
                <w:rFonts w:ascii="Arial" w:cs="Arial" w:eastAsia="Arial" w:hAnsi="Arial"/>
                <w:sz w:val="16"/>
                <w:szCs w:val="16"/>
                <w:color w:val="0000EE"/>
              </w:rPr>
            </w:pPr>
            <w:hyperlink w:anchor="page36">
              <w:r>
                <w:rPr>
                  <w:rFonts w:ascii="Arial" w:cs="Arial" w:eastAsia="Arial" w:hAnsi="Arial"/>
                  <w:sz w:val="16"/>
                  <w:szCs w:val="16"/>
                  <w:color w:val="0000EE"/>
                </w:rPr>
                <w:t>33</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5240" w:type="dxa"/>
            <w:vAlign w:val="bottom"/>
            <w:gridSpan w:val="4"/>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8360" w:type="dxa"/>
            <w:vAlign w:val="bottom"/>
            <w:gridSpan w:val="6"/>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Notes to Consolidated Financial Statements</w:t>
              </w:r>
            </w:hyperlink>
          </w:p>
        </w:tc>
        <w:tc>
          <w:tcPr>
            <w:tcW w:w="1800" w:type="dxa"/>
            <w:vAlign w:val="bottom"/>
            <w:gridSpan w:val="2"/>
          </w:tcPr>
          <w:p>
            <w:pPr>
              <w:spacing w:after="0"/>
              <w:rPr>
                <w:sz w:val="19"/>
                <w:szCs w:val="19"/>
                <w:color w:val="auto"/>
              </w:rPr>
            </w:pPr>
          </w:p>
        </w:tc>
        <w:tc>
          <w:tcPr>
            <w:tcW w:w="1180" w:type="dxa"/>
            <w:vAlign w:val="bottom"/>
            <w:gridSpan w:val="3"/>
          </w:tcPr>
          <w:p>
            <w:pPr>
              <w:jc w:val="right"/>
              <w:spacing w:after="0"/>
              <w:rPr>
                <w:rFonts w:ascii="Arial" w:cs="Arial" w:eastAsia="Arial" w:hAnsi="Arial"/>
                <w:sz w:val="16"/>
                <w:szCs w:val="16"/>
                <w:color w:val="0000EE"/>
              </w:rPr>
            </w:pPr>
            <w:hyperlink w:anchor="page37">
              <w:r>
                <w:rPr>
                  <w:rFonts w:ascii="Arial" w:cs="Arial" w:eastAsia="Arial" w:hAnsi="Arial"/>
                  <w:sz w:val="16"/>
                  <w:szCs w:val="16"/>
                  <w:color w:val="0000EE"/>
                </w:rPr>
                <w:t>34</w:t>
              </w:r>
            </w:hyperlink>
          </w:p>
        </w:tc>
      </w:tr>
      <w:tr>
        <w:trPr>
          <w:trHeight w:val="636"/>
        </w:trPr>
        <w:tc>
          <w:tcPr>
            <w:tcW w:w="60" w:type="dxa"/>
            <w:vAlign w:val="bottom"/>
          </w:tcPr>
          <w:p>
            <w:pPr>
              <w:spacing w:after="0"/>
              <w:rPr>
                <w:sz w:val="24"/>
                <w:szCs w:val="24"/>
                <w:color w:val="auto"/>
              </w:rPr>
            </w:pPr>
          </w:p>
        </w:tc>
        <w:tc>
          <w:tcPr>
            <w:tcW w:w="3120" w:type="dxa"/>
            <w:vAlign w:val="bottom"/>
            <w:tcBorders>
              <w:top w:val="single" w:sz="8" w:color="0000EE"/>
            </w:tcBorders>
            <w:gridSpan w:val="2"/>
          </w:tcPr>
          <w:p>
            <w:pPr>
              <w:spacing w:after="0"/>
              <w:rPr>
                <w:sz w:val="24"/>
                <w:szCs w:val="24"/>
                <w:color w:val="auto"/>
              </w:rPr>
            </w:pPr>
          </w:p>
        </w:tc>
        <w:tc>
          <w:tcPr>
            <w:tcW w:w="5240" w:type="dxa"/>
            <w:vAlign w:val="bottom"/>
            <w:gridSpan w:val="4"/>
          </w:tcPr>
          <w:p>
            <w:pPr>
              <w:jc w:val="right"/>
              <w:ind w:right="2620"/>
              <w:spacing w:after="0"/>
              <w:rPr>
                <w:sz w:val="20"/>
                <w:szCs w:val="20"/>
                <w:color w:val="auto"/>
              </w:rPr>
            </w:pPr>
            <w:r>
              <w:rPr>
                <w:rFonts w:ascii="Arial" w:cs="Arial" w:eastAsia="Arial" w:hAnsi="Arial"/>
                <w:sz w:val="16"/>
                <w:szCs w:val="16"/>
                <w:color w:val="auto"/>
              </w:rPr>
              <w:t>26</w:t>
            </w: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187"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We, the management of Winnebago Industries, Inc. (the "Company") are responsible for establishing and maintaining effective internal control over financial reporting and for the assessment of the effectiveness of internal control over financial reporting. The Company's internal control over financial reporting is a process designed, as defined in Rule 13a-15(f) under the Securities Exchange Act of 1934, as amended, to provide reasonable assurance regarding the reliability of financial reporting and the preparation of financial statements for external purposes in accordance with generally accepted accounting principles.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Company's internal control over financial reporting is supported by written policies and procedures that:</w:t>
      </w:r>
    </w:p>
    <w:p>
      <w:pPr>
        <w:spacing w:after="0" w:line="167"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Company's assets;</w:t>
      </w:r>
    </w:p>
    <w:p>
      <w:pPr>
        <w:spacing w:after="0" w:line="167" w:lineRule="exact"/>
        <w:rPr>
          <w:rFonts w:ascii="Arial" w:cs="Arial" w:eastAsia="Arial" w:hAnsi="Arial"/>
          <w:sz w:val="16"/>
          <w:szCs w:val="16"/>
          <w:color w:val="auto"/>
        </w:rPr>
      </w:pPr>
    </w:p>
    <w:p>
      <w:pPr>
        <w:ind w:left="340" w:right="440" w:hanging="332"/>
        <w:spacing w:after="0" w:line="253"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the Company's management and directors; and</w:t>
      </w:r>
    </w:p>
    <w:p>
      <w:pPr>
        <w:spacing w:after="0" w:line="147" w:lineRule="exact"/>
        <w:rPr>
          <w:rFonts w:ascii="Arial" w:cs="Arial" w:eastAsia="Arial" w:hAnsi="Arial"/>
          <w:sz w:val="16"/>
          <w:szCs w:val="16"/>
          <w:color w:val="auto"/>
        </w:rPr>
      </w:pPr>
    </w:p>
    <w:p>
      <w:pPr>
        <w:ind w:left="340" w:right="140" w:hanging="332"/>
        <w:spacing w:after="0" w:line="260"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142"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In addition, the Audit Committee of the Board of Directors, consisting solely of independent directors, meets periodically with Management, the internal auditors and the independent registered public accounting firm to review internal accounting controls, audit results and accounting principles and practices and annually selects the independent registered public accounting firm.</w:t>
      </w:r>
    </w:p>
    <w:p>
      <w:pPr>
        <w:spacing w:after="0" w:line="14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 xml:space="preserve">In connection with the preparation of the Company's annual financial statements, management of the Company has undertaken an assessment of the effectiveness of the Company's internal control over financial reporting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Management's assessment included an evaluation of the design of the Company's internal control over financial reporting and testing of the operational effectiveness of the Company's internal control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Based on this assessment, management has concluded that the Company's internal control over financial reporting was effective as of August 27, 2016.</w:t>
      </w:r>
    </w:p>
    <w:p>
      <w:pPr>
        <w:spacing w:after="0" w:line="167"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Deloitte &amp; Touche LLP, the independent registered public accounting firm that audited the Company's financial statements included in this Annual Report on Form 10-K, has issued a report included herein, which expressed an unqualified opinion on the Company's internal control over financial reporting.</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Michael J. Happe</w:t>
            </w:r>
          </w:p>
        </w:tc>
        <w:tc>
          <w:tcPr>
            <w:tcW w:w="1480" w:type="dxa"/>
            <w:vAlign w:val="bottom"/>
          </w:tcPr>
          <w:p>
            <w:pPr>
              <w:spacing w:after="0"/>
              <w:rPr>
                <w:sz w:val="19"/>
                <w:szCs w:val="19"/>
                <w:color w:val="auto"/>
              </w:rPr>
            </w:pPr>
          </w:p>
        </w:tc>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Sarah N. Nielsen</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Michael J. Happe</w:t>
            </w:r>
          </w:p>
        </w:tc>
        <w:tc>
          <w:tcPr>
            <w:tcW w:w="148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6"/>
                <w:szCs w:val="16"/>
                <w:color w:val="auto"/>
              </w:rPr>
              <w:t>Sarah N. Nielsen</w:t>
            </w:r>
          </w:p>
        </w:tc>
      </w:tr>
      <w:tr>
        <w:trPr>
          <w:trHeight w:val="243"/>
        </w:trPr>
        <w:tc>
          <w:tcPr>
            <w:tcW w:w="4920" w:type="dxa"/>
            <w:vAlign w:val="bottom"/>
          </w:tcPr>
          <w:p>
            <w:pPr>
              <w:ind w:left="40"/>
              <w:spacing w:after="0"/>
              <w:rPr>
                <w:sz w:val="20"/>
                <w:szCs w:val="20"/>
                <w:color w:val="auto"/>
              </w:rPr>
            </w:pPr>
            <w:r>
              <w:rPr>
                <w:rFonts w:ascii="Arial" w:cs="Arial" w:eastAsia="Arial" w:hAnsi="Arial"/>
                <w:sz w:val="16"/>
                <w:szCs w:val="16"/>
                <w:color w:val="auto"/>
              </w:rPr>
              <w:t>President, Chief Executive Officer</w:t>
            </w:r>
          </w:p>
        </w:tc>
        <w:tc>
          <w:tcPr>
            <w:tcW w:w="148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6"/>
                <w:szCs w:val="16"/>
                <w:color w:val="auto"/>
              </w:rPr>
              <w:t>Vice President, Chief Financial Officer</w:t>
            </w:r>
          </w:p>
        </w:tc>
      </w:tr>
      <w:tr>
        <w:trPr>
          <w:trHeight w:val="567"/>
        </w:trPr>
        <w:tc>
          <w:tcPr>
            <w:tcW w:w="4920" w:type="dxa"/>
            <w:vAlign w:val="bottom"/>
          </w:tcPr>
          <w:p>
            <w:pPr>
              <w:ind w:left="40"/>
              <w:spacing w:after="0"/>
              <w:rPr>
                <w:sz w:val="20"/>
                <w:szCs w:val="20"/>
                <w:color w:val="auto"/>
              </w:rPr>
            </w:pPr>
            <w:r>
              <w:rPr>
                <w:rFonts w:ascii="Arial" w:cs="Arial" w:eastAsia="Arial" w:hAnsi="Arial"/>
                <w:sz w:val="16"/>
                <w:szCs w:val="16"/>
                <w:color w:val="auto"/>
              </w:rPr>
              <w:t>October 18, 2016</w:t>
            </w:r>
          </w:p>
        </w:tc>
        <w:tc>
          <w:tcPr>
            <w:tcW w:w="148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16"/>
                <w:szCs w:val="16"/>
                <w:color w:val="auto"/>
              </w:rPr>
              <w:t>October 18, 2016</w:t>
            </w:r>
          </w:p>
        </w:tc>
      </w:tr>
      <w:tr>
        <w:trPr>
          <w:trHeight w:val="648"/>
        </w:trPr>
        <w:tc>
          <w:tcPr>
            <w:tcW w:w="4920" w:type="dxa"/>
            <w:vAlign w:val="bottom"/>
          </w:tcPr>
          <w:p>
            <w:pPr>
              <w:spacing w:after="0"/>
              <w:rPr>
                <w:sz w:val="24"/>
                <w:szCs w:val="24"/>
                <w:color w:val="auto"/>
              </w:rPr>
            </w:pPr>
          </w:p>
        </w:tc>
        <w:tc>
          <w:tcPr>
            <w:tcW w:w="1480" w:type="dxa"/>
            <w:vAlign w:val="bottom"/>
          </w:tcPr>
          <w:p>
            <w:pPr>
              <w:jc w:val="right"/>
              <w:ind w:right="519"/>
              <w:spacing w:after="0"/>
              <w:rPr>
                <w:sz w:val="20"/>
                <w:szCs w:val="20"/>
                <w:color w:val="auto"/>
              </w:rPr>
            </w:pPr>
            <w:r>
              <w:rPr>
                <w:rFonts w:ascii="Arial" w:cs="Arial" w:eastAsia="Arial" w:hAnsi="Arial"/>
                <w:sz w:val="16"/>
                <w:szCs w:val="16"/>
                <w:color w:val="auto"/>
              </w:rPr>
              <w:t>27</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Forest City, Iowa</w:t>
      </w:r>
    </w:p>
    <w:p>
      <w:pPr>
        <w:spacing w:after="0" w:line="18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 xml:space="preserve">We have audited the internal control over financial reporting of Winnebago Industries, Inc. and subsidiaries (the "Company") as of August 27, 2016,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6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62"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August 27, 2016, based on the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55"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financial statements as of and for the year ended August 27, 2016 of the Company and our report dated October 18, 2016 expressed an unqualified opinion on those financial statements.</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Deloitte &amp; Touche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October 18,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00"/>
          </w:cols>
          <w:pgMar w:left="240" w:top="141" w:right="25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Forest City, Iowa</w:t>
      </w:r>
    </w:p>
    <w:p>
      <w:pPr>
        <w:spacing w:after="0" w:line="18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audited the accompanying consolidated balance sheets of Winnebago Industries, Inc. and subsidiaries (the "Company") as of August 27, 2016 and August 29, 2015, and the related consolidated statements of income and comprehensive income, changes in stockholders' equity, and cash flows for each of the three years in the period ended August 27, 2016. These financial statements are the responsibility of the Company's management. Our responsibility is to express an opinion on the financial statements based on our audits.</w:t>
      </w:r>
    </w:p>
    <w:p>
      <w:pPr>
        <w:spacing w:after="0" w:line="16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3"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Winnebago Industries, Inc. and subsidiaries at August 27, 2016 and August 29, 2015, and the results of their operations and their cash flows for each of the three years in the period ended August 27, 2016, in conformity with accounting principles generally accepted in the United States of America.</w:t>
      </w:r>
    </w:p>
    <w:p>
      <w:pPr>
        <w:spacing w:after="0" w:line="161" w:lineRule="exact"/>
        <w:rPr>
          <w:sz w:val="20"/>
          <w:szCs w:val="20"/>
          <w:color w:val="auto"/>
        </w:rPr>
      </w:pPr>
    </w:p>
    <w:p>
      <w:pPr>
        <w:jc w:val="both"/>
        <w:ind w:right="100"/>
        <w:spacing w:after="0" w:line="251"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Company's internal control over financial reporting as of August 27, 2016, based on the criteria established in Internal Control-Integrated Framework (2013) issued by the Committee of Sponsoring Organizations of the Treadway Commission and our report dated October 18, 2016 expressed an unqualified opinion on the Company's internal control over financial reporting.</w:t>
      </w: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Deloitte &amp; Touche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October 18, 2016</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80"/>
          </w:cols>
          <w:pgMar w:left="240" w:top="141" w:right="37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Income and Comprehensive Income</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9"/>
              </w:rPr>
              <w:t>Year Ended</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r>
      <w:tr>
        <w:trPr>
          <w:trHeight w:val="264"/>
        </w:trPr>
        <w:tc>
          <w:tcPr>
            <w:tcW w:w="512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60" w:type="dxa"/>
            <w:vAlign w:val="bottom"/>
          </w:tcPr>
          <w:p>
            <w:pPr>
              <w:spacing w:after="0"/>
              <w:rPr>
                <w:sz w:val="22"/>
                <w:szCs w:val="22"/>
                <w:color w:val="auto"/>
              </w:rPr>
            </w:pPr>
          </w:p>
        </w:tc>
        <w:tc>
          <w:tcPr>
            <w:tcW w:w="1880" w:type="dxa"/>
            <w:vAlign w:val="bottom"/>
            <w:gridSpan w:val="2"/>
          </w:tcPr>
          <w:p>
            <w:pPr>
              <w:ind w:left="140"/>
              <w:spacing w:after="0"/>
              <w:rPr>
                <w:sz w:val="20"/>
                <w:szCs w:val="20"/>
                <w:color w:val="auto"/>
              </w:rPr>
            </w:pPr>
            <w:r>
              <w:rPr>
                <w:rFonts w:ascii="Arial" w:cs="Arial" w:eastAsia="Arial" w:hAnsi="Arial"/>
                <w:sz w:val="16"/>
                <w:szCs w:val="16"/>
                <w:b w:val="1"/>
                <w:bCs w:val="1"/>
                <w:color w:val="auto"/>
              </w:rPr>
              <w:t>August 27, 2016</w:t>
            </w:r>
          </w:p>
        </w:tc>
        <w:tc>
          <w:tcPr>
            <w:tcW w:w="260" w:type="dxa"/>
            <w:vAlign w:val="bottom"/>
          </w:tcPr>
          <w:p>
            <w:pPr>
              <w:spacing w:after="0"/>
              <w:rPr>
                <w:sz w:val="22"/>
                <w:szCs w:val="22"/>
                <w:color w:val="auto"/>
              </w:rPr>
            </w:pPr>
          </w:p>
        </w:tc>
        <w:tc>
          <w:tcPr>
            <w:tcW w:w="18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August 29, 2015</w:t>
            </w:r>
          </w:p>
        </w:tc>
        <w:tc>
          <w:tcPr>
            <w:tcW w:w="260" w:type="dxa"/>
            <w:vAlign w:val="bottom"/>
          </w:tcPr>
          <w:p>
            <w:pPr>
              <w:spacing w:after="0"/>
              <w:rPr>
                <w:sz w:val="22"/>
                <w:szCs w:val="22"/>
                <w:color w:val="auto"/>
              </w:rPr>
            </w:pPr>
          </w:p>
        </w:tc>
        <w:tc>
          <w:tcPr>
            <w:tcW w:w="17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30, 2014</w:t>
            </w:r>
          </w:p>
        </w:tc>
      </w:tr>
      <w:tr>
        <w:trPr>
          <w:trHeight w:val="257"/>
        </w:trPr>
        <w:tc>
          <w:tcPr>
            <w:tcW w:w="51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975,226</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976,505</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945,163</w:t>
            </w: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862,577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871,625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841,166</w:t>
            </w:r>
          </w:p>
        </w:tc>
      </w:tr>
      <w:tr>
        <w:trPr>
          <w:trHeight w:val="25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112,649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104,880</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103,997</w:t>
            </w:r>
          </w:p>
        </w:tc>
      </w:tr>
      <w:tr>
        <w:trPr>
          <w:trHeight w:val="284"/>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60"/>
        </w:trPr>
        <w:tc>
          <w:tcPr>
            <w:tcW w:w="5120" w:type="dxa"/>
            <w:vAlign w:val="bottom"/>
          </w:tcPr>
          <w:p>
            <w:pPr>
              <w:ind w:left="300"/>
              <w:spacing w:after="0"/>
              <w:rPr>
                <w:sz w:val="20"/>
                <w:szCs w:val="20"/>
                <w:color w:val="auto"/>
              </w:rPr>
            </w:pPr>
            <w:r>
              <w:rPr>
                <w:rFonts w:ascii="Arial" w:cs="Arial" w:eastAsia="Arial" w:hAnsi="Arial"/>
                <w:sz w:val="16"/>
                <w:szCs w:val="16"/>
                <w:color w:val="auto"/>
              </w:rPr>
              <w:t>Selling</w:t>
            </w:r>
          </w:p>
        </w:tc>
        <w:tc>
          <w:tcPr>
            <w:tcW w:w="260" w:type="dxa"/>
            <w:vAlign w:val="bottom"/>
          </w:tcPr>
          <w:p>
            <w:pPr>
              <w:spacing w:after="0"/>
              <w:rPr>
                <w:sz w:val="22"/>
                <w:szCs w:val="22"/>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19,823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19,161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18,293</w:t>
            </w:r>
          </w:p>
        </w:tc>
      </w:tr>
      <w:tr>
        <w:trPr>
          <w:trHeight w:val="280"/>
        </w:trPr>
        <w:tc>
          <w:tcPr>
            <w:tcW w:w="51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27,085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25,838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22,424</w:t>
            </w:r>
          </w:p>
        </w:tc>
      </w:tr>
      <w:tr>
        <w:trPr>
          <w:trHeight w:val="264"/>
        </w:trPr>
        <w:tc>
          <w:tcPr>
            <w:tcW w:w="5120" w:type="dxa"/>
            <w:vAlign w:val="bottom"/>
          </w:tcPr>
          <w:p>
            <w:pPr>
              <w:ind w:left="300"/>
              <w:spacing w:after="0"/>
              <w:rPr>
                <w:sz w:val="20"/>
                <w:szCs w:val="20"/>
                <w:color w:val="auto"/>
              </w:rPr>
            </w:pPr>
            <w:r>
              <w:rPr>
                <w:rFonts w:ascii="Arial" w:cs="Arial" w:eastAsia="Arial" w:hAnsi="Arial"/>
                <w:sz w:val="16"/>
                <w:szCs w:val="16"/>
                <w:color w:val="auto"/>
              </w:rPr>
              <w:t>Impairment (gain on sale) of fixed assets</w:t>
            </w:r>
          </w:p>
        </w:tc>
        <w:tc>
          <w:tcPr>
            <w:tcW w:w="260" w:type="dxa"/>
            <w:vAlign w:val="bottom"/>
          </w:tcPr>
          <w:p>
            <w:pPr>
              <w:spacing w:after="0"/>
              <w:rPr>
                <w:sz w:val="22"/>
                <w:szCs w:val="22"/>
                <w:color w:val="auto"/>
              </w:rPr>
            </w:pPr>
          </w:p>
        </w:tc>
        <w:tc>
          <w:tcPr>
            <w:tcW w:w="188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462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299"/>
              <w:spacing w:after="0"/>
              <w:rPr>
                <w:sz w:val="20"/>
                <w:szCs w:val="20"/>
                <w:color w:val="auto"/>
              </w:rPr>
            </w:pPr>
            <w:r>
              <w:rPr>
                <w:rFonts w:ascii="Arial" w:cs="Arial" w:eastAsia="Arial" w:hAnsi="Arial"/>
                <w:sz w:val="16"/>
                <w:szCs w:val="16"/>
                <w:color w:val="auto"/>
              </w:rPr>
              <w:t>(629)</w:t>
            </w:r>
          </w:p>
        </w:tc>
      </w:tr>
      <w:tr>
        <w:trPr>
          <w:trHeight w:val="250"/>
        </w:trPr>
        <w:tc>
          <w:tcPr>
            <w:tcW w:w="51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78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46,908</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45,461</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40,088</w:t>
            </w:r>
          </w:p>
        </w:tc>
      </w:tr>
      <w:tr>
        <w:trPr>
          <w:trHeight w:val="284"/>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65,741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59,419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63,909</w:t>
            </w:r>
          </w:p>
        </w:tc>
      </w:tr>
      <w:tr>
        <w:trPr>
          <w:trHeight w:val="284"/>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64"/>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26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457</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768</w:t>
            </w:r>
          </w:p>
        </w:tc>
      </w:tr>
      <w:tr>
        <w:trPr>
          <w:trHeight w:val="247"/>
        </w:trPr>
        <w:tc>
          <w:tcPr>
            <w:tcW w:w="512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260" w:type="dxa"/>
            <w:vAlign w:val="bottom"/>
          </w:tcPr>
          <w:p>
            <w:pPr>
              <w:spacing w:after="0"/>
              <w:rPr>
                <w:sz w:val="21"/>
                <w:szCs w:val="21"/>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66,198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59,534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64,677</w:t>
            </w:r>
          </w:p>
        </w:tc>
      </w:tr>
      <w:tr>
        <w:trPr>
          <w:trHeight w:val="293"/>
        </w:trPr>
        <w:tc>
          <w:tcPr>
            <w:tcW w:w="5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20,702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18,324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19,624</w:t>
            </w:r>
          </w:p>
        </w:tc>
      </w:tr>
      <w:tr>
        <w:trPr>
          <w:trHeight w:val="24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45,496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41,210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45,053</w:t>
            </w: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67"/>
        </w:trPr>
        <w:tc>
          <w:tcPr>
            <w:tcW w:w="5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per common share:</w:t>
            </w: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94"/>
        </w:trPr>
        <w:tc>
          <w:tcPr>
            <w:tcW w:w="512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1.64</w:t>
            </w:r>
          </w:p>
        </w:tc>
      </w:tr>
      <w:tr>
        <w:trPr>
          <w:trHeight w:val="224"/>
        </w:trPr>
        <w:tc>
          <w:tcPr>
            <w:tcW w:w="5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1.64</w:t>
            </w: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67"/>
        </w:trPr>
        <w:tc>
          <w:tcPr>
            <w:tcW w:w="5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60"/>
        </w:trPr>
        <w:tc>
          <w:tcPr>
            <w:tcW w:w="5120" w:type="dxa"/>
            <w:vAlign w:val="bottom"/>
          </w:tcPr>
          <w:p>
            <w:pPr>
              <w:ind w:left="30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22"/>
                <w:szCs w:val="22"/>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26,925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26,941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27,430</w:t>
            </w:r>
          </w:p>
        </w:tc>
      </w:tr>
      <w:tr>
        <w:trPr>
          <w:trHeight w:val="280"/>
        </w:trPr>
        <w:tc>
          <w:tcPr>
            <w:tcW w:w="51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27,033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27,051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27,545</w:t>
            </w:r>
          </w:p>
        </w:tc>
      </w:tr>
      <w:tr>
        <w:trPr>
          <w:trHeight w:val="284"/>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paid per common share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0.40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0.36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r>
      <w:tr>
        <w:trPr>
          <w:trHeight w:val="284"/>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45,496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41,210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45,053</w:t>
            </w:r>
          </w:p>
        </w:tc>
      </w:tr>
      <w:tr>
        <w:trPr>
          <w:trHeight w:val="260"/>
        </w:trPr>
        <w:tc>
          <w:tcPr>
            <w:tcW w:w="512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2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28"/>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4"/>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of tax of $2,947, $2,110, and $2,068)</w:t>
            </w: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(4,788)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(3,428)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(3,582)</w:t>
            </w:r>
          </w:p>
        </w:tc>
      </w:tr>
      <w:tr>
        <w:trPr>
          <w:trHeight w:val="218"/>
        </w:trPr>
        <w:tc>
          <w:tcPr>
            <w:tcW w:w="5120" w:type="dxa"/>
            <w:vAlign w:val="bottom"/>
          </w:tcPr>
          <w:p>
            <w:pPr>
              <w:ind w:left="280"/>
              <w:spacing w:after="0"/>
              <w:rPr>
                <w:sz w:val="20"/>
                <w:szCs w:val="20"/>
                <w:color w:val="auto"/>
              </w:rPr>
            </w:pPr>
            <w:r>
              <w:rPr>
                <w:rFonts w:ascii="Arial" w:cs="Arial" w:eastAsia="Arial" w:hAnsi="Arial"/>
                <w:sz w:val="16"/>
                <w:szCs w:val="16"/>
                <w:color w:val="auto"/>
              </w:rPr>
              <w:t>Amortization of net actuarial loss</w:t>
            </w: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4"/>
        </w:trPr>
        <w:tc>
          <w:tcPr>
            <w:tcW w:w="5120" w:type="dxa"/>
            <w:vAlign w:val="bottom"/>
          </w:tcPr>
          <w:p>
            <w:pPr>
              <w:ind w:left="280"/>
              <w:spacing w:after="0"/>
              <w:rPr>
                <w:sz w:val="20"/>
                <w:szCs w:val="20"/>
                <w:color w:val="auto"/>
              </w:rPr>
            </w:pPr>
            <w:r>
              <w:rPr>
                <w:rFonts w:ascii="Arial" w:cs="Arial" w:eastAsia="Arial" w:hAnsi="Arial"/>
                <w:sz w:val="16"/>
                <w:szCs w:val="16"/>
                <w:color w:val="auto"/>
              </w:rPr>
              <w:t>(net of tax of $621, $565, and $337)</w:t>
            </w:r>
          </w:p>
        </w:tc>
        <w:tc>
          <w:tcPr>
            <w:tcW w:w="260" w:type="dxa"/>
            <w:vAlign w:val="bottom"/>
          </w:tcPr>
          <w:p>
            <w:pPr>
              <w:spacing w:after="0"/>
              <w:rPr>
                <w:sz w:val="17"/>
                <w:szCs w:val="17"/>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1,010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918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749</w:t>
            </w:r>
          </w:p>
        </w:tc>
      </w:tr>
      <w:tr>
        <w:trPr>
          <w:trHeight w:val="228"/>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Increase in actuarial loss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4"/>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of tax of $415, $250, and $1,348)</w:t>
            </w: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(674)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(407)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(2,191)</w:t>
            </w:r>
          </w:p>
        </w:tc>
      </w:tr>
      <w:tr>
        <w:trPr>
          <w:trHeight w:val="218"/>
        </w:trPr>
        <w:tc>
          <w:tcPr>
            <w:tcW w:w="5120" w:type="dxa"/>
            <w:vAlign w:val="bottom"/>
          </w:tcPr>
          <w:p>
            <w:pPr>
              <w:ind w:left="280"/>
              <w:spacing w:after="0"/>
              <w:rPr>
                <w:sz w:val="20"/>
                <w:szCs w:val="20"/>
                <w:color w:val="auto"/>
              </w:rPr>
            </w:pPr>
            <w:r>
              <w:rPr>
                <w:rFonts w:ascii="Arial" w:cs="Arial" w:eastAsia="Arial" w:hAnsi="Arial"/>
                <w:sz w:val="16"/>
                <w:szCs w:val="16"/>
                <w:color w:val="auto"/>
              </w:rPr>
              <w:t>Plan amendment</w:t>
            </w: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4"/>
        </w:trPr>
        <w:tc>
          <w:tcPr>
            <w:tcW w:w="5120" w:type="dxa"/>
            <w:vAlign w:val="bottom"/>
          </w:tcPr>
          <w:p>
            <w:pPr>
              <w:ind w:left="280"/>
              <w:spacing w:after="0"/>
              <w:rPr>
                <w:sz w:val="20"/>
                <w:szCs w:val="20"/>
                <w:color w:val="auto"/>
              </w:rPr>
            </w:pPr>
            <w:r>
              <w:rPr>
                <w:rFonts w:ascii="Arial" w:cs="Arial" w:eastAsia="Arial" w:hAnsi="Arial"/>
                <w:sz w:val="16"/>
                <w:szCs w:val="16"/>
                <w:color w:val="auto"/>
              </w:rPr>
              <w:t>(net of tax of $10,895, $1,509, and $1,364)</w:t>
            </w:r>
          </w:p>
        </w:tc>
        <w:tc>
          <w:tcPr>
            <w:tcW w:w="260" w:type="dxa"/>
            <w:vAlign w:val="bottom"/>
          </w:tcPr>
          <w:p>
            <w:pPr>
              <w:spacing w:after="0"/>
              <w:rPr>
                <w:sz w:val="17"/>
                <w:szCs w:val="17"/>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17,701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2,451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2,216</w:t>
            </w:r>
          </w:p>
        </w:tc>
      </w:tr>
      <w:tr>
        <w:trPr>
          <w:trHeight w:val="228"/>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Unrealized appreciation of investments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08"/>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of tax of $0, $0, and $91)</w:t>
            </w: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151</w:t>
            </w:r>
          </w:p>
        </w:tc>
      </w:tr>
      <w:tr>
        <w:trPr>
          <w:trHeight w:val="250"/>
        </w:trPr>
        <w:tc>
          <w:tcPr>
            <w:tcW w:w="51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other comprehensive income (loss)</w:t>
            </w:r>
          </w:p>
        </w:tc>
        <w:tc>
          <w:tcPr>
            <w:tcW w:w="260" w:type="dxa"/>
            <w:vAlign w:val="bottom"/>
            <w:tcBorders>
              <w:top w:val="single" w:sz="8" w:color="auto"/>
              <w:bottom w:val="single" w:sz="8" w:color="auto"/>
            </w:tcBorders>
          </w:tcPr>
          <w:p>
            <w:pPr>
              <w:spacing w:after="0"/>
              <w:rPr>
                <w:sz w:val="21"/>
                <w:szCs w:val="21"/>
                <w:color w:val="auto"/>
              </w:rPr>
            </w:pPr>
          </w:p>
        </w:tc>
        <w:tc>
          <w:tcPr>
            <w:tcW w:w="17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13,249</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7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(466)</w:t>
            </w: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7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(2,657)</w:t>
            </w:r>
          </w:p>
        </w:tc>
      </w:tr>
      <w:tr>
        <w:trPr>
          <w:trHeight w:val="24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58,745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40,744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42,396</w:t>
            </w: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41" w:right="239" w:bottom="1440" w:gutter="0" w:footer="0" w:header="0"/>
          <w:type w:val="continuous"/>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8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40" w:type="dxa"/>
            <w:vAlign w:val="bottom"/>
          </w:tcPr>
          <w:p>
            <w:pPr>
              <w:spacing w:after="0"/>
              <w:rPr>
                <w:sz w:val="19"/>
                <w:szCs w:val="19"/>
                <w:color w:val="auto"/>
              </w:rPr>
            </w:pPr>
          </w:p>
        </w:tc>
        <w:tc>
          <w:tcPr>
            <w:tcW w:w="182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27, 2016</w:t>
            </w:r>
          </w:p>
        </w:tc>
        <w:tc>
          <w:tcPr>
            <w:tcW w:w="280" w:type="dxa"/>
            <w:vAlign w:val="bottom"/>
          </w:tcPr>
          <w:p>
            <w:pPr>
              <w:spacing w:after="0"/>
              <w:rPr>
                <w:sz w:val="19"/>
                <w:szCs w:val="19"/>
                <w:color w:val="auto"/>
              </w:rPr>
            </w:pP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29, 2015</w:t>
            </w:r>
          </w:p>
        </w:tc>
      </w:tr>
      <w:tr>
        <w:trPr>
          <w:trHeight w:val="270"/>
        </w:trPr>
        <w:tc>
          <w:tcPr>
            <w:tcW w:w="7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800" w:type="dxa"/>
            <w:vAlign w:val="bottom"/>
            <w:tcBorders>
              <w:top w:val="single" w:sz="8" w:color="auto"/>
            </w:tcBorders>
            <w:shd w:val="clear" w:color="auto" w:fill="CCEEFF"/>
          </w:tcPr>
          <w:p>
            <w:pPr>
              <w:spacing w:after="0"/>
              <w:rPr>
                <w:sz w:val="23"/>
                <w:szCs w:val="23"/>
                <w:color w:val="auto"/>
              </w:rPr>
            </w:pPr>
          </w:p>
        </w:tc>
      </w:tr>
      <w:tr>
        <w:trPr>
          <w:trHeight w:val="260"/>
        </w:trPr>
        <w:tc>
          <w:tcPr>
            <w:tcW w:w="728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85,583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70,239</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Receivables, less allowance for doubtful accounts ($278 and $120, respectively)</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66,184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66,936</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122,522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112,165</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6,300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6,882</w:t>
            </w:r>
          </w:p>
        </w:tc>
      </w:tr>
      <w:tr>
        <w:trPr>
          <w:trHeight w:val="273"/>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23"/>
                <w:szCs w:val="23"/>
                <w:color w:val="auto"/>
              </w:rPr>
            </w:pPr>
          </w:p>
        </w:tc>
        <w:tc>
          <w:tcPr>
            <w:tcW w:w="18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9,995</w:t>
            </w:r>
          </w:p>
        </w:tc>
      </w:tr>
      <w:tr>
        <w:trPr>
          <w:trHeight w:val="250"/>
        </w:trPr>
        <w:tc>
          <w:tcPr>
            <w:tcW w:w="72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bottom w:val="single" w:sz="8" w:color="auto"/>
            </w:tcBorders>
          </w:tcPr>
          <w:p>
            <w:pPr>
              <w:spacing w:after="0"/>
              <w:rPr>
                <w:sz w:val="21"/>
                <w:szCs w:val="21"/>
                <w:color w:val="auto"/>
              </w:rPr>
            </w:pPr>
          </w:p>
        </w:tc>
        <w:tc>
          <w:tcPr>
            <w:tcW w:w="17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280,589</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8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266,217</w:t>
            </w:r>
          </w:p>
        </w:tc>
      </w:tr>
      <w:tr>
        <w:trPr>
          <w:trHeight w:val="257"/>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55,931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37,250</w:t>
            </w:r>
          </w:p>
        </w:tc>
      </w:tr>
      <w:tr>
        <w:trPr>
          <w:trHeight w:val="260"/>
        </w:trPr>
        <w:tc>
          <w:tcPr>
            <w:tcW w:w="7280" w:type="dxa"/>
            <w:vAlign w:val="bottom"/>
          </w:tcPr>
          <w:p>
            <w:pPr>
              <w:ind w:left="40"/>
              <w:spacing w:after="0"/>
              <w:rPr>
                <w:sz w:val="20"/>
                <w:szCs w:val="20"/>
                <w:color w:val="auto"/>
              </w:rPr>
            </w:pPr>
            <w:r>
              <w:rPr>
                <w:rFonts w:ascii="Arial" w:cs="Arial" w:eastAsia="Arial" w:hAnsi="Arial"/>
                <w:sz w:val="16"/>
                <w:szCs w:val="16"/>
                <w:color w:val="auto"/>
              </w:rPr>
              <w:t>Investment in life insurance</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26,492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26,172</w:t>
            </w:r>
          </w:p>
        </w:tc>
      </w:tr>
      <w:tr>
        <w:trPr>
          <w:trHeight w:val="280"/>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18,753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21,994</w:t>
            </w:r>
          </w:p>
        </w:tc>
      </w:tr>
      <w:tr>
        <w:trPr>
          <w:trHeight w:val="260"/>
        </w:trPr>
        <w:tc>
          <w:tcPr>
            <w:tcW w:w="7280" w:type="dxa"/>
            <w:vAlign w:val="bottom"/>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1,228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1,228</w:t>
            </w:r>
          </w:p>
        </w:tc>
      </w:tr>
      <w:tr>
        <w:trPr>
          <w:trHeight w:val="273"/>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7,725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9,313</w:t>
            </w:r>
          </w:p>
        </w:tc>
      </w:tr>
      <w:tr>
        <w:trPr>
          <w:trHeight w:val="280"/>
        </w:trPr>
        <w:tc>
          <w:tcPr>
            <w:tcW w:w="72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390,718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362,174</w:t>
            </w:r>
          </w:p>
        </w:tc>
      </w:tr>
      <w:tr>
        <w:trPr>
          <w:trHeight w:val="267"/>
        </w:trPr>
        <w:tc>
          <w:tcPr>
            <w:tcW w:w="72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60"/>
        </w:trPr>
        <w:tc>
          <w:tcPr>
            <w:tcW w:w="728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80"/>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44,134</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33,158</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2,314</w:t>
            </w:r>
          </w:p>
        </w:tc>
      </w:tr>
      <w:tr>
        <w:trPr>
          <w:trHeight w:val="260"/>
        </w:trPr>
        <w:tc>
          <w:tcPr>
            <w:tcW w:w="7280" w:type="dxa"/>
            <w:vAlign w:val="bottom"/>
          </w:tcPr>
          <w:p>
            <w:pPr>
              <w:ind w:left="4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Accrued compensation</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19,699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18,346</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Product warranties</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12,412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11,254</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Self-insurance</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5,812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6,242</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Accrued loss on repurchases</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881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1,329</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Promotional</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4,756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3,149</w:t>
            </w:r>
          </w:p>
        </w:tc>
      </w:tr>
      <w:tr>
        <w:trPr>
          <w:trHeight w:val="264"/>
        </w:trPr>
        <w:tc>
          <w:tcPr>
            <w:tcW w:w="7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5,236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5,818</w:t>
            </w:r>
          </w:p>
        </w:tc>
      </w:tr>
      <w:tr>
        <w:trPr>
          <w:trHeight w:val="257"/>
        </w:trPr>
        <w:tc>
          <w:tcPr>
            <w:tcW w:w="72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92,949</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81,610</w:t>
            </w:r>
          </w:p>
        </w:tc>
      </w:tr>
      <w:tr>
        <w:trPr>
          <w:trHeight w:val="254"/>
        </w:trPr>
        <w:tc>
          <w:tcPr>
            <w:tcW w:w="7280" w:type="dxa"/>
            <w:vAlign w:val="bottom"/>
          </w:tcPr>
          <w:p>
            <w:pPr>
              <w:ind w:left="40"/>
              <w:spacing w:after="0"/>
              <w:rPr>
                <w:sz w:val="20"/>
                <w:szCs w:val="20"/>
                <w:color w:val="auto"/>
              </w:rPr>
            </w:pPr>
            <w:r>
              <w:rPr>
                <w:rFonts w:ascii="Arial" w:cs="Arial" w:eastAsia="Arial" w:hAnsi="Arial"/>
                <w:sz w:val="16"/>
                <w:szCs w:val="16"/>
                <w:color w:val="auto"/>
              </w:rPr>
              <w:t>Total long-term liabilities:</w:t>
            </w:r>
          </w:p>
        </w:tc>
        <w:tc>
          <w:tcPr>
            <w:tcW w:w="2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Unrecognized tax benefits</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2,461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2,511</w:t>
            </w:r>
          </w:p>
        </w:tc>
      </w:tr>
      <w:tr>
        <w:trPr>
          <w:trHeight w:val="264"/>
        </w:trPr>
        <w:tc>
          <w:tcPr>
            <w:tcW w:w="7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Postretirement health care and deferred compensations benefits</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26,949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57,090</w:t>
            </w:r>
          </w:p>
        </w:tc>
      </w:tr>
      <w:tr>
        <w:trPr>
          <w:trHeight w:val="257"/>
        </w:trPr>
        <w:tc>
          <w:tcPr>
            <w:tcW w:w="72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long-term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29,410</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59,601</w:t>
            </w:r>
          </w:p>
        </w:tc>
      </w:tr>
      <w:tr>
        <w:trPr>
          <w:trHeight w:val="240"/>
        </w:trPr>
        <w:tc>
          <w:tcPr>
            <w:tcW w:w="7280" w:type="dxa"/>
            <w:vAlign w:val="bottom"/>
          </w:tcPr>
          <w:p>
            <w:pPr>
              <w:ind w:left="40"/>
              <w:spacing w:after="0"/>
              <w:rPr>
                <w:sz w:val="20"/>
                <w:szCs w:val="20"/>
                <w:color w:val="auto"/>
              </w:rPr>
            </w:pPr>
            <w:r>
              <w:rPr>
                <w:rFonts w:ascii="Arial" w:cs="Arial" w:eastAsia="Arial" w:hAnsi="Arial"/>
                <w:sz w:val="16"/>
                <w:szCs w:val="16"/>
                <w:color w:val="auto"/>
              </w:rPr>
              <w:t>Contingent liabilities and commitments</w:t>
            </w: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80"/>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18"/>
        </w:trPr>
        <w:tc>
          <w:tcPr>
            <w:tcW w:w="7280" w:type="dxa"/>
            <w:vAlign w:val="bottom"/>
          </w:tcPr>
          <w:p>
            <w:pPr>
              <w:ind w:left="280"/>
              <w:spacing w:after="0"/>
              <w:rPr>
                <w:sz w:val="20"/>
                <w:szCs w:val="20"/>
                <w:color w:val="auto"/>
              </w:rPr>
            </w:pPr>
            <w:r>
              <w:rPr>
                <w:rFonts w:ascii="Arial" w:cs="Arial" w:eastAsia="Arial" w:hAnsi="Arial"/>
                <w:sz w:val="16"/>
                <w:szCs w:val="16"/>
                <w:color w:val="auto"/>
              </w:rPr>
              <w:t>Capital stock common, par value $0.50;</w:t>
            </w: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04"/>
        </w:trPr>
        <w:tc>
          <w:tcPr>
            <w:tcW w:w="7280" w:type="dxa"/>
            <w:vAlign w:val="bottom"/>
          </w:tcPr>
          <w:p>
            <w:pPr>
              <w:ind w:left="420"/>
              <w:spacing w:after="0"/>
              <w:rPr>
                <w:sz w:val="20"/>
                <w:szCs w:val="20"/>
                <w:color w:val="auto"/>
              </w:rPr>
            </w:pPr>
            <w:r>
              <w:rPr>
                <w:rFonts w:ascii="Arial" w:cs="Arial" w:eastAsia="Arial" w:hAnsi="Arial"/>
                <w:sz w:val="16"/>
                <w:szCs w:val="16"/>
                <w:color w:val="auto"/>
              </w:rPr>
              <w:t>authorized 60,000 shares, issued 51,776 shares</w:t>
            </w:r>
          </w:p>
        </w:tc>
        <w:tc>
          <w:tcPr>
            <w:tcW w:w="240" w:type="dxa"/>
            <w:vAlign w:val="bottom"/>
          </w:tcPr>
          <w:p>
            <w:pPr>
              <w:spacing w:after="0"/>
              <w:rPr>
                <w:sz w:val="17"/>
                <w:szCs w:val="17"/>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25,888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25,888</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32,717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32,018</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620,546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585,941</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income (loss)</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10,975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(2,274)</w:t>
            </w:r>
          </w:p>
        </w:tc>
      </w:tr>
      <w:tr>
        <w:trPr>
          <w:trHeight w:val="264"/>
        </w:trPr>
        <w:tc>
          <w:tcPr>
            <w:tcW w:w="7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Treasury stock, at cost (24,875 and 24,825 shares, respectively)</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(421,767)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(420,610)</w:t>
            </w:r>
          </w:p>
        </w:tc>
      </w:tr>
      <w:tr>
        <w:trPr>
          <w:trHeight w:val="250"/>
        </w:trPr>
        <w:tc>
          <w:tcPr>
            <w:tcW w:w="72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268,359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220,963</w:t>
            </w:r>
          </w:p>
        </w:tc>
      </w:tr>
      <w:tr>
        <w:trPr>
          <w:trHeight w:val="240"/>
        </w:trPr>
        <w:tc>
          <w:tcPr>
            <w:tcW w:w="7280" w:type="dxa"/>
            <w:vAlign w:val="bottom"/>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390,718</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362,174</w:t>
            </w:r>
          </w:p>
        </w:tc>
      </w:tr>
      <w:tr>
        <w:trPr>
          <w:trHeight w:val="20"/>
        </w:trPr>
        <w:tc>
          <w:tcPr>
            <w:tcW w:w="7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41"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Changes in Stockholders' Equity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08"/>
              <w:spacing w:after="0"/>
              <w:rPr>
                <w:sz w:val="20"/>
                <w:szCs w:val="20"/>
                <w:color w:val="auto"/>
              </w:rPr>
            </w:pPr>
            <w:r>
              <w:rPr>
                <w:rFonts w:ascii="Arial" w:cs="Arial" w:eastAsia="Arial" w:hAnsi="Arial"/>
                <w:sz w:val="14"/>
                <w:szCs w:val="14"/>
                <w:b w:val="1"/>
                <w:bCs w:val="1"/>
                <w:color w:val="auto"/>
              </w:rPr>
              <w:t>Accum-</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08"/>
              <w:spacing w:after="0"/>
              <w:rPr>
                <w:sz w:val="20"/>
                <w:szCs w:val="20"/>
                <w:color w:val="auto"/>
              </w:rPr>
            </w:pPr>
            <w:r>
              <w:rPr>
                <w:rFonts w:ascii="Arial" w:cs="Arial" w:eastAsia="Arial" w:hAnsi="Arial"/>
                <w:sz w:val="14"/>
                <w:szCs w:val="14"/>
                <w:b w:val="1"/>
                <w:bCs w:val="1"/>
                <w:color w:val="auto"/>
              </w:rPr>
              <w:t>ulated</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78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Common Shares</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08"/>
              <w:spacing w:after="0"/>
              <w:rPr>
                <w:sz w:val="20"/>
                <w:szCs w:val="20"/>
                <w:color w:val="auto"/>
              </w:rPr>
            </w:pPr>
            <w:r>
              <w:rPr>
                <w:rFonts w:ascii="Arial" w:cs="Arial" w:eastAsia="Arial" w:hAnsi="Arial"/>
                <w:sz w:val="14"/>
                <w:szCs w:val="14"/>
                <w:b w:val="1"/>
                <w:bCs w:val="1"/>
                <w:color w:val="auto"/>
              </w:rPr>
              <w:t>Other</w:t>
            </w:r>
          </w:p>
        </w:tc>
        <w:tc>
          <w:tcPr>
            <w:tcW w:w="2020" w:type="dxa"/>
            <w:vAlign w:val="bottom"/>
            <w:gridSpan w:val="3"/>
            <w:vMerge w:val="restart"/>
          </w:tcPr>
          <w:p>
            <w:pPr>
              <w:jc w:val="right"/>
              <w:ind w:right="408"/>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760" w:type="dxa"/>
            <w:vAlign w:val="bottom"/>
          </w:tcPr>
          <w:p>
            <w:pPr>
              <w:jc w:val="center"/>
              <w:ind w:right="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3500" w:type="dxa"/>
            <w:vAlign w:val="bottom"/>
          </w:tcPr>
          <w:p>
            <w:pPr>
              <w:spacing w:after="0"/>
              <w:rPr>
                <w:sz w:val="14"/>
                <w:szCs w:val="14"/>
                <w:color w:val="auto"/>
              </w:rPr>
            </w:pPr>
          </w:p>
        </w:tc>
        <w:tc>
          <w:tcPr>
            <w:tcW w:w="178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8"/>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08"/>
              <w:spacing w:after="0"/>
              <w:rPr>
                <w:sz w:val="20"/>
                <w:szCs w:val="20"/>
                <w:color w:val="auto"/>
              </w:rPr>
            </w:pPr>
            <w:r>
              <w:rPr>
                <w:rFonts w:ascii="Arial" w:cs="Arial" w:eastAsia="Arial" w:hAnsi="Arial"/>
                <w:sz w:val="14"/>
                <w:szCs w:val="14"/>
                <w:b w:val="1"/>
                <w:bCs w:val="1"/>
                <w:color w:val="auto"/>
              </w:rPr>
              <w:t>Compre-</w:t>
            </w:r>
          </w:p>
        </w:tc>
        <w:tc>
          <w:tcPr>
            <w:tcW w:w="2020" w:type="dxa"/>
            <w:vAlign w:val="bottom"/>
            <w:tcBorders>
              <w:bottom w:val="single" w:sz="8" w:color="auto"/>
            </w:tcBorders>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48"/>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8"/>
              <w:spacing w:after="0" w:line="143" w:lineRule="exact"/>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2"/>
                <w:szCs w:val="12"/>
                <w:color w:val="auto"/>
              </w:rPr>
            </w:pPr>
          </w:p>
        </w:tc>
        <w:tc>
          <w:tcPr>
            <w:tcW w:w="840" w:type="dxa"/>
            <w:vAlign w:val="bottom"/>
          </w:tcPr>
          <w:p>
            <w:pPr>
              <w:jc w:val="right"/>
              <w:ind w:right="108"/>
              <w:spacing w:after="0" w:line="143" w:lineRule="exact"/>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2"/>
                <w:szCs w:val="12"/>
                <w:color w:val="auto"/>
              </w:rPr>
            </w:pPr>
          </w:p>
        </w:tc>
        <w:tc>
          <w:tcPr>
            <w:tcW w:w="920" w:type="dxa"/>
            <w:vAlign w:val="bottom"/>
          </w:tcPr>
          <w:p>
            <w:pPr>
              <w:jc w:val="center"/>
              <w:ind w:right="108"/>
              <w:spacing w:after="0" w:line="143" w:lineRule="exact"/>
              <w:rPr>
                <w:sz w:val="20"/>
                <w:szCs w:val="20"/>
                <w:color w:val="auto"/>
              </w:rPr>
            </w:pPr>
            <w:r>
              <w:rPr>
                <w:rFonts w:ascii="Arial" w:cs="Arial" w:eastAsia="Arial" w:hAnsi="Arial"/>
                <w:sz w:val="14"/>
                <w:szCs w:val="14"/>
                <w:b w:val="1"/>
                <w:bCs w:val="1"/>
                <w:color w:val="auto"/>
              </w:rPr>
              <w:t>hensive</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48"/>
              <w:spacing w:after="0" w:line="143" w:lineRule="exact"/>
              <w:rPr>
                <w:sz w:val="20"/>
                <w:szCs w:val="20"/>
                <w:color w:val="auto"/>
              </w:rPr>
            </w:pPr>
            <w:r>
              <w:rPr>
                <w:rFonts w:ascii="Arial" w:cs="Arial" w:eastAsia="Arial" w:hAnsi="Arial"/>
                <w:sz w:val="14"/>
                <w:szCs w:val="14"/>
                <w:b w:val="1"/>
                <w:bCs w:val="1"/>
                <w:color w:val="auto"/>
              </w:rPr>
              <w:t>holders'</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(APIC)</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Earnings</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Income</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Number</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August 31, 2013</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51,776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25,888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29,334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509,443</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849</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(23,917)</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(394,785)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170,729</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Stock option exercises</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771</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78</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1,286</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2,057</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Creation/(utilization) of APIC pool due to stock award</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441</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Issuance of restricted stock</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(779)</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137</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2,279</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 net of forfeitures</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1,905</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1,965</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Payments for the purchase of common stock</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(1,028)</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(26,340)</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(26,340)</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Prior service cost and actuarial loss, net of $3,079 tax</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(5,024)</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(5,024)</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Plan amendment, net of $1,364 tax</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2,216</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2,216</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appreciation of investments, net of $91 tax</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151</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45,053</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45,053</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August 30, 2014</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51,776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25,888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31,672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554,496</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(1,808)</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(24,727)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(417,500)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192,748</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Creation/(utilization) of APIC pool due to stock award</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124</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restricted stock</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(1,950)</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199</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3,360</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1,410</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Stock-based compensation, net of forfeitures</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2,172</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2,221</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Payments for the purchase of common stock</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(6,519)</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(6,519)</w:t>
            </w:r>
          </w:p>
        </w:tc>
        <w:tc>
          <w:tcPr>
            <w:tcW w:w="0" w:type="dxa"/>
            <w:vAlign w:val="bottom"/>
          </w:tcPr>
          <w:p>
            <w:pPr>
              <w:spacing w:after="0"/>
              <w:rPr>
                <w:sz w:val="1"/>
                <w:szCs w:val="1"/>
                <w:color w:val="auto"/>
              </w:rPr>
            </w:pPr>
          </w:p>
        </w:tc>
      </w:tr>
      <w:tr>
        <w:trPr>
          <w:trHeight w:val="194"/>
        </w:trPr>
        <w:tc>
          <w:tcPr>
            <w:tcW w:w="3500" w:type="dxa"/>
            <w:vAlign w:val="bottom"/>
          </w:tcPr>
          <w:p>
            <w:pPr>
              <w:ind w:left="40"/>
              <w:spacing w:after="0"/>
              <w:rPr>
                <w:sz w:val="20"/>
                <w:szCs w:val="20"/>
                <w:color w:val="auto"/>
              </w:rPr>
            </w:pPr>
            <w:r>
              <w:rPr>
                <w:rFonts w:ascii="Arial" w:cs="Arial" w:eastAsia="Arial" w:hAnsi="Arial"/>
                <w:sz w:val="14"/>
                <w:szCs w:val="14"/>
                <w:color w:val="auto"/>
              </w:rPr>
              <w:t>Cash dividends paid and accrued on common</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500" w:type="dxa"/>
            <w:vAlign w:val="bottom"/>
          </w:tcPr>
          <w:p>
            <w:pPr>
              <w:ind w:left="40"/>
              <w:spacing w:after="0"/>
              <w:rPr>
                <w:sz w:val="20"/>
                <w:szCs w:val="20"/>
                <w:color w:val="auto"/>
              </w:rPr>
            </w:pPr>
            <w:r>
              <w:rPr>
                <w:rFonts w:ascii="Arial" w:cs="Arial" w:eastAsia="Arial" w:hAnsi="Arial"/>
                <w:sz w:val="14"/>
                <w:szCs w:val="14"/>
                <w:color w:val="auto"/>
              </w:rPr>
              <w:t>stock-$0.36 per share</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(9,765)</w:t>
            </w:r>
          </w:p>
        </w:tc>
        <w:tc>
          <w:tcPr>
            <w:tcW w:w="200" w:type="dxa"/>
            <w:vAlign w:val="bottom"/>
          </w:tcPr>
          <w:p>
            <w:pPr>
              <w:spacing w:after="0"/>
              <w:rPr>
                <w:sz w:val="15"/>
                <w:szCs w:val="15"/>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(9,765)</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Prior service cost and actuarial loss, net of $1,795 tax</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(2,917)</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(2,917)</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Plan amendment, net of $1,509 tax</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2,451</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2,451</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41,210</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41,210</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August 29, 2015</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51,776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25,888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32,018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585,941</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(2,274)</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(24,825)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(420,610)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220,963</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Creation/(utilization) of APIC pool due to stock award</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Issuance of restricted stock</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(1,309)</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108</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1,826</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 net of forfeitures</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1,975</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2,058</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Payments for the purchase of common stock</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(163)</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(3,066)</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(3,066)</w:t>
            </w:r>
          </w:p>
        </w:tc>
        <w:tc>
          <w:tcPr>
            <w:tcW w:w="0" w:type="dxa"/>
            <w:vAlign w:val="bottom"/>
          </w:tcPr>
          <w:p>
            <w:pPr>
              <w:spacing w:after="0"/>
              <w:rPr>
                <w:sz w:val="1"/>
                <w:szCs w:val="1"/>
                <w:color w:val="auto"/>
              </w:rPr>
            </w:pPr>
          </w:p>
        </w:tc>
      </w:tr>
      <w:tr>
        <w:trPr>
          <w:trHeight w:val="200"/>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paid and accrued on common</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stock-$0.40 per share</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(10,891)</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(10,891)</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Prior service cost and actuarial loss, net of $2,741 tax</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(4,452)</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(4,452)</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Plan amendment, net of $10,895 tax</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17,701</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17,701</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45,496</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45,496</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August 27, 2016</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51,776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25,888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32,717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620,546</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10,975</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(24,875)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(421,767)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268,359</w:t>
            </w:r>
          </w:p>
        </w:tc>
        <w:tc>
          <w:tcPr>
            <w:tcW w:w="0" w:type="dxa"/>
            <w:vAlign w:val="bottom"/>
          </w:tcPr>
          <w:p>
            <w:pPr>
              <w:spacing w:after="0"/>
              <w:rPr>
                <w:sz w:val="1"/>
                <w:szCs w:val="1"/>
                <w:color w:val="auto"/>
              </w:rPr>
            </w:pP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41"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9"/>
              </w:rPr>
              <w:t>Year Ended</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64"/>
        </w:trPr>
        <w:tc>
          <w:tcPr>
            <w:tcW w:w="650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August 27, 2016</w:t>
            </w:r>
          </w:p>
        </w:tc>
        <w:tc>
          <w:tcPr>
            <w:tcW w:w="140" w:type="dxa"/>
            <w:vAlign w:val="bottom"/>
          </w:tcPr>
          <w:p>
            <w:pPr>
              <w:spacing w:after="0"/>
              <w:rPr>
                <w:sz w:val="22"/>
                <w:szCs w:val="22"/>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August 29, 2015</w:t>
            </w: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b w:val="1"/>
                <w:bCs w:val="1"/>
                <w:color w:val="auto"/>
              </w:rPr>
              <w:t>August 30, 2014</w:t>
            </w:r>
          </w:p>
        </w:tc>
      </w:tr>
      <w:tr>
        <w:trPr>
          <w:trHeight w:val="270"/>
        </w:trPr>
        <w:tc>
          <w:tcPr>
            <w:tcW w:w="65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40" w:type="dxa"/>
            <w:vAlign w:val="bottom"/>
            <w:tcBorders>
              <w:top w:val="single" w:sz="8" w:color="auto"/>
            </w:tcBorders>
            <w:shd w:val="clear" w:color="auto" w:fill="CCEEFF"/>
          </w:tcPr>
          <w:p>
            <w:pPr>
              <w:spacing w:after="0"/>
              <w:rPr>
                <w:sz w:val="23"/>
                <w:szCs w:val="23"/>
                <w:color w:val="auto"/>
              </w:rPr>
            </w:pPr>
          </w:p>
        </w:tc>
        <w:tc>
          <w:tcPr>
            <w:tcW w:w="14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45,496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41,210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45,053</w:t>
            </w:r>
          </w:p>
        </w:tc>
      </w:tr>
      <w:tr>
        <w:trPr>
          <w:trHeight w:val="280"/>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2"/>
                <w:szCs w:val="22"/>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5,745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4,513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3,997</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LIFO expense</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1,153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1,244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1,456</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Asset impairment</w:t>
            </w:r>
          </w:p>
        </w:tc>
        <w:tc>
          <w:tcPr>
            <w:tcW w:w="140" w:type="dxa"/>
            <w:vAlign w:val="bottom"/>
          </w:tcPr>
          <w:p>
            <w:pPr>
              <w:spacing w:after="0"/>
              <w:rPr>
                <w:sz w:val="22"/>
                <w:szCs w:val="22"/>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462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3,293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3,097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3,386</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22"/>
                <w:szCs w:val="22"/>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2,233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(48)</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Postretirement benefit income and deferred compensation expense</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(4,292)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(843)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(979)</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Provision (benefit) for doubtful accounts</w:t>
            </w:r>
          </w:p>
        </w:tc>
        <w:tc>
          <w:tcPr>
            <w:tcW w:w="140" w:type="dxa"/>
            <w:vAlign w:val="bottom"/>
          </w:tcPr>
          <w:p>
            <w:pPr>
              <w:spacing w:after="0"/>
              <w:rPr>
                <w:sz w:val="22"/>
                <w:szCs w:val="22"/>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(19)</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(gain) on disposal of property</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(691)</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Gain on life insurance</w:t>
            </w:r>
          </w:p>
        </w:tc>
        <w:tc>
          <w:tcPr>
            <w:tcW w:w="140" w:type="dxa"/>
            <w:vAlign w:val="bottom"/>
          </w:tcPr>
          <w:p>
            <w:pPr>
              <w:spacing w:after="0"/>
              <w:rPr>
                <w:sz w:val="22"/>
                <w:szCs w:val="22"/>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(726)</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Increase in cash surrender value of life insurance policies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(859)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(883)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(805)</w:t>
            </w:r>
          </w:p>
        </w:tc>
      </w:tr>
      <w:tr>
        <w:trPr>
          <w:trHeight w:val="260"/>
        </w:trPr>
        <w:tc>
          <w:tcPr>
            <w:tcW w:w="6500" w:type="dxa"/>
            <w:vAlign w:val="bottom"/>
          </w:tcPr>
          <w:p>
            <w:pPr>
              <w:ind w:left="40"/>
              <w:spacing w:after="0"/>
              <w:rPr>
                <w:sz w:val="20"/>
                <w:szCs w:val="20"/>
                <w:color w:val="auto"/>
              </w:rPr>
            </w:pPr>
            <w:r>
              <w:rPr>
                <w:rFonts w:ascii="Arial" w:cs="Arial" w:eastAsia="Arial" w:hAnsi="Arial"/>
                <w:sz w:val="16"/>
                <w:szCs w:val="16"/>
                <w:color w:val="auto"/>
              </w:rPr>
              <w:t>Change in assets and liabilities:</w:t>
            </w: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(11,510)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(561)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(1,763)</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Receivables, prepaid and other assets</w:t>
            </w:r>
          </w:p>
        </w:tc>
        <w:tc>
          <w:tcPr>
            <w:tcW w:w="140" w:type="dxa"/>
            <w:vAlign w:val="bottom"/>
          </w:tcPr>
          <w:p>
            <w:pPr>
              <w:spacing w:after="0"/>
              <w:rPr>
                <w:sz w:val="22"/>
                <w:szCs w:val="22"/>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1,217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2,458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(38,233)</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Investment in operating leases, net of repurchase obligations</w:t>
            </w:r>
          </w:p>
        </w:tc>
        <w:tc>
          <w:tcPr>
            <w:tcW w:w="1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72</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Income taxes and unrecognized tax benefits</w:t>
            </w:r>
          </w:p>
        </w:tc>
        <w:tc>
          <w:tcPr>
            <w:tcW w:w="140" w:type="dxa"/>
            <w:vAlign w:val="bottom"/>
          </w:tcPr>
          <w:p>
            <w:pPr>
              <w:spacing w:after="0"/>
              <w:rPr>
                <w:sz w:val="22"/>
                <w:szCs w:val="22"/>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5,625</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and accrued expenses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14,253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(1,880)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10,919</w:t>
            </w:r>
          </w:p>
        </w:tc>
      </w:tr>
      <w:tr>
        <w:trPr>
          <w:trHeight w:val="264"/>
        </w:trPr>
        <w:tc>
          <w:tcPr>
            <w:tcW w:w="6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Postretirement and deferred compensation benefits</w:t>
            </w: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(3,992)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(4,159)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(4,008)</w:t>
            </w:r>
          </w:p>
        </w:tc>
      </w:tr>
      <w:tr>
        <w:trPr>
          <w:trHeight w:val="250"/>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52,746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45,183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23,236</w:t>
            </w:r>
          </w:p>
        </w:tc>
      </w:tr>
      <w:tr>
        <w:trPr>
          <w:trHeight w:val="270"/>
        </w:trPr>
        <w:tc>
          <w:tcPr>
            <w:tcW w:w="6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Proceeds from the sale of investments</w:t>
            </w:r>
          </w:p>
        </w:tc>
        <w:tc>
          <w:tcPr>
            <w:tcW w:w="140" w:type="dxa"/>
            <w:vAlign w:val="bottom"/>
          </w:tcPr>
          <w:p>
            <w:pPr>
              <w:spacing w:after="0"/>
              <w:rPr>
                <w:sz w:val="22"/>
                <w:szCs w:val="22"/>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2,350</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life insurance</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1,093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1,737</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Purchases of property and equipment</w:t>
            </w:r>
          </w:p>
        </w:tc>
        <w:tc>
          <w:tcPr>
            <w:tcW w:w="140" w:type="dxa"/>
            <w:vAlign w:val="bottom"/>
          </w:tcPr>
          <w:p>
            <w:pPr>
              <w:spacing w:after="0"/>
              <w:rPr>
                <w:sz w:val="22"/>
                <w:szCs w:val="22"/>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(24,551)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(16,573)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(10,476)</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the sale of property</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2,423</w:t>
            </w:r>
          </w:p>
        </w:tc>
      </w:tr>
      <w:tr>
        <w:trPr>
          <w:trHeight w:val="264"/>
        </w:trPr>
        <w:tc>
          <w:tcPr>
            <w:tcW w:w="6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(1,402)</w:t>
            </w:r>
          </w:p>
        </w:tc>
      </w:tr>
      <w:tr>
        <w:trPr>
          <w:trHeight w:val="250"/>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1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(23,392)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(16,517)</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(5,368)</w:t>
            </w:r>
          </w:p>
        </w:tc>
      </w:tr>
      <w:tr>
        <w:trPr>
          <w:trHeight w:val="270"/>
        </w:trPr>
        <w:tc>
          <w:tcPr>
            <w:tcW w:w="6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Payments for purchases of common stock</w:t>
            </w:r>
          </w:p>
        </w:tc>
        <w:tc>
          <w:tcPr>
            <w:tcW w:w="140" w:type="dxa"/>
            <w:vAlign w:val="bottom"/>
          </w:tcPr>
          <w:p>
            <w:pPr>
              <w:spacing w:after="0"/>
              <w:rPr>
                <w:sz w:val="22"/>
                <w:szCs w:val="22"/>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(3,066)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(6,519)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(26,340)</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of cash dividends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(10,891)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(9,765)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140" w:type="dxa"/>
            <w:vAlign w:val="bottom"/>
          </w:tcPr>
          <w:p>
            <w:pPr>
              <w:spacing w:after="0"/>
              <w:rPr>
                <w:sz w:val="22"/>
                <w:szCs w:val="22"/>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2,080</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Borrowings on loans</w:t>
            </w:r>
          </w:p>
        </w:tc>
        <w:tc>
          <w:tcPr>
            <w:tcW w:w="1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22,000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Repayments on loans</w:t>
            </w:r>
          </w:p>
        </w:tc>
        <w:tc>
          <w:tcPr>
            <w:tcW w:w="140" w:type="dxa"/>
            <w:vAlign w:val="bottom"/>
          </w:tcPr>
          <w:p>
            <w:pPr>
              <w:spacing w:after="0"/>
              <w:rPr>
                <w:sz w:val="22"/>
                <w:szCs w:val="22"/>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(22,000)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73"/>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(81)</w:t>
            </w:r>
          </w:p>
        </w:tc>
      </w:tr>
      <w:tr>
        <w:trPr>
          <w:trHeight w:val="250"/>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used in financing activities</w:t>
            </w: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(14,010)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(16,231)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(24,341)</w:t>
            </w:r>
          </w:p>
        </w:tc>
      </w:tr>
      <w:tr>
        <w:trPr>
          <w:trHeight w:val="270"/>
        </w:trPr>
        <w:tc>
          <w:tcPr>
            <w:tcW w:w="6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650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140" w:type="dxa"/>
            <w:vAlign w:val="bottom"/>
          </w:tcPr>
          <w:p>
            <w:pPr>
              <w:spacing w:after="0"/>
              <w:rPr>
                <w:sz w:val="22"/>
                <w:szCs w:val="22"/>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15,344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12,435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(6,473)</w:t>
            </w:r>
          </w:p>
        </w:tc>
      </w:tr>
      <w:tr>
        <w:trPr>
          <w:trHeight w:val="273"/>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70,239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57,804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64,277</w:t>
            </w:r>
          </w:p>
        </w:tc>
      </w:tr>
      <w:tr>
        <w:trPr>
          <w:trHeight w:val="280"/>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85,583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70,239</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57,804</w:t>
            </w:r>
          </w:p>
        </w:tc>
      </w:tr>
      <w:tr>
        <w:trPr>
          <w:trHeight w:val="254"/>
        </w:trPr>
        <w:tc>
          <w:tcPr>
            <w:tcW w:w="65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60"/>
        </w:trPr>
        <w:tc>
          <w:tcPr>
            <w:tcW w:w="6500" w:type="dxa"/>
            <w:vAlign w:val="bottom"/>
          </w:tcPr>
          <w:p>
            <w:pPr>
              <w:ind w:left="40"/>
              <w:spacing w:after="0"/>
              <w:rPr>
                <w:sz w:val="20"/>
                <w:szCs w:val="20"/>
                <w:color w:val="auto"/>
              </w:rPr>
            </w:pPr>
            <w:r>
              <w:rPr>
                <w:rFonts w:ascii="Arial" w:cs="Arial" w:eastAsia="Arial" w:hAnsi="Arial"/>
                <w:sz w:val="16"/>
                <w:szCs w:val="16"/>
                <w:color w:val="auto"/>
              </w:rPr>
              <w:t>Supplement cash flow disclosure:</w:t>
            </w: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taxes paid, net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18,449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17,658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14,061</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Interest paid</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80"/>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Non-cash transactions: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51"/>
        </w:trPr>
        <w:tc>
          <w:tcPr>
            <w:tcW w:w="6500" w:type="dxa"/>
            <w:vAlign w:val="bottom"/>
          </w:tcPr>
          <w:p>
            <w:pPr>
              <w:ind w:left="180"/>
              <w:spacing w:after="0"/>
              <w:rPr>
                <w:sz w:val="20"/>
                <w:szCs w:val="20"/>
                <w:color w:val="auto"/>
              </w:rPr>
            </w:pPr>
            <w:r>
              <w:rPr>
                <w:rFonts w:ascii="Arial" w:cs="Arial" w:eastAsia="Arial" w:hAnsi="Arial"/>
                <w:sz w:val="16"/>
                <w:szCs w:val="16"/>
                <w:color w:val="auto"/>
              </w:rPr>
              <w:t>Capital expenditures in 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903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w:t>
            </w:r>
          </w:p>
        </w:tc>
      </w:tr>
    </w:tbl>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41" w:right="239" w:bottom="755" w:gutter="0" w:footer="0" w:header="0"/>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41" w:right="239" w:bottom="755" w:gutter="0" w:footer="0" w:header="0"/>
          <w:type w:val="continuous"/>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Summary of Significant Accounting Policies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Nature of Operations</w:t>
      </w:r>
    </w:p>
    <w:p>
      <w:pPr>
        <w:spacing w:after="0" w:line="25" w:lineRule="exact"/>
        <w:rPr>
          <w:sz w:val="20"/>
          <w:szCs w:val="20"/>
          <w:color w:val="auto"/>
        </w:rPr>
      </w:pPr>
    </w:p>
    <w:p>
      <w:pPr>
        <w:ind w:right="660"/>
        <w:spacing w:after="0" w:line="253" w:lineRule="auto"/>
        <w:rPr>
          <w:sz w:val="20"/>
          <w:szCs w:val="20"/>
          <w:color w:val="auto"/>
        </w:rPr>
      </w:pPr>
      <w:r>
        <w:rPr>
          <w:rFonts w:ascii="Arial" w:cs="Arial" w:eastAsia="Arial" w:hAnsi="Arial"/>
          <w:sz w:val="16"/>
          <w:szCs w:val="16"/>
          <w:color w:val="auto"/>
        </w:rPr>
        <w:t>Winnebago Industries, Inc., founded in 1958 and headquartered in Forest City, Iowa, is one of the leading manufacturers of RVs which we sell through independent dealers, primarily throughout the United States and Canada. Other products manufactured by us consist primarily of original equipment manufacturing parts for other manufacturers and commercial vehicles.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p>
    <w:p>
      <w:pPr>
        <w:spacing w:after="0" w:line="25" w:lineRule="exact"/>
        <w:rPr>
          <w:sz w:val="20"/>
          <w:szCs w:val="20"/>
          <w:color w:val="auto"/>
        </w:rPr>
      </w:pPr>
    </w:p>
    <w:p>
      <w:pPr>
        <w:ind w:right="840"/>
        <w:spacing w:after="0" w:line="260" w:lineRule="auto"/>
        <w:rPr>
          <w:sz w:val="20"/>
          <w:szCs w:val="20"/>
          <w:color w:val="auto"/>
        </w:rPr>
      </w:pPr>
      <w:r>
        <w:rPr>
          <w:rFonts w:ascii="Arial" w:cs="Arial" w:eastAsia="Arial" w:hAnsi="Arial"/>
          <w:sz w:val="16"/>
          <w:szCs w:val="16"/>
          <w:color w:val="auto"/>
        </w:rPr>
        <w:t>The consolidated financial statements for Fiscal 2016 include the parent company and our wholly-owned subsidiary, Winnebago of Indiana, LLC. All intercompany balances and transactions with our subsidiary have been eliminated.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We follow a 52-/53-week fiscal year, ending the last Saturday in August. The financial statements presented are all 52-week fiscal periods.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25"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w:t>
      </w:r>
    </w:p>
    <w:p>
      <w:pPr>
        <w:spacing w:after="0" w:line="25"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Cash and cash equivalents consist primarily of highly liquid investments with an original maturity of three months or less. The carrying amount approximates fair value due to the short maturity of the investments.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Disclosures of Financial Instruments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All financial instruments are carried at amounts believed to approximate fair value.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Instruments and Hedging Activities</w:t>
      </w:r>
    </w:p>
    <w:p>
      <w:pPr>
        <w:spacing w:after="0" w:line="25"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All contracts that contain provisions meeting the definition of a derivative also meet the requirements of, and have been designated as, normal purchases or sales. Our policy is to not enter into contracts with terms that cannot be designated as normal purchases or sales.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Allowance for Doubtful Accounts</w:t>
      </w:r>
    </w:p>
    <w:p>
      <w:pPr>
        <w:spacing w:after="0" w:line="2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allowance for doubtful accounts is based on historical loss experience and any specific customer collection issues identified. Additional amounts are provided through charges to income as we believe necessary after evaluation of receivables and current economic conditions. Amounts which are considered to be uncollectible are written off and recoveries of amounts previously written off are credited to the allowance upon recovery.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Inventories</w:t>
      </w:r>
    </w:p>
    <w:p>
      <w:pPr>
        <w:spacing w:after="0" w:line="25" w:lineRule="exact"/>
        <w:rPr>
          <w:sz w:val="20"/>
          <w:szCs w:val="20"/>
          <w:color w:val="auto"/>
        </w:rPr>
      </w:pPr>
    </w:p>
    <w:p>
      <w:pPr>
        <w:ind w:right="740"/>
        <w:spacing w:after="0" w:line="260" w:lineRule="auto"/>
        <w:rPr>
          <w:sz w:val="20"/>
          <w:szCs w:val="20"/>
          <w:color w:val="auto"/>
        </w:rPr>
      </w:pPr>
      <w:r>
        <w:rPr>
          <w:rFonts w:ascii="Arial" w:cs="Arial" w:eastAsia="Arial" w:hAnsi="Arial"/>
          <w:sz w:val="16"/>
          <w:szCs w:val="16"/>
          <w:color w:val="auto"/>
        </w:rPr>
        <w:t>Substantially, all inventories are stated at the lower of cost or market, determined on the LIFO basis. Manufacturing cost includes materials, labor and manufacturing overhead. Unallocated overhead and abnormal costs are expensed as incurred.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and Equipment</w:t>
      </w:r>
    </w:p>
    <w:p>
      <w:pPr>
        <w:spacing w:after="0" w:line="25" w:lineRule="exact"/>
        <w:rPr>
          <w:sz w:val="20"/>
          <w:szCs w:val="20"/>
          <w:color w:val="auto"/>
        </w:rPr>
      </w:pPr>
    </w:p>
    <w:p>
      <w:pPr>
        <w:ind w:right="780"/>
        <w:spacing w:after="0" w:line="192" w:lineRule="exact"/>
        <w:rPr>
          <w:sz w:val="20"/>
          <w:szCs w:val="20"/>
          <w:color w:val="auto"/>
        </w:rPr>
      </w:pPr>
      <w:r>
        <w:rPr>
          <w:rFonts w:ascii="Arial" w:cs="Arial" w:eastAsia="Arial" w:hAnsi="Arial"/>
          <w:sz w:val="16"/>
          <w:szCs w:val="16"/>
          <w:color w:val="auto"/>
        </w:rPr>
        <w:t>Depreciation of property and equipment is computed using the straight</w:t>
      </w:r>
      <w:r>
        <w:rPr>
          <w:rFonts w:ascii="MS PGothic" w:cs="MS PGothic" w:eastAsia="MS PGothic" w:hAnsi="MS PGothic"/>
          <w:sz w:val="16"/>
          <w:szCs w:val="16"/>
          <w:color w:val="auto"/>
        </w:rPr>
        <w:t>‑</w:t>
      </w:r>
      <w:r>
        <w:rPr>
          <w:rFonts w:ascii="Arial" w:cs="Arial" w:eastAsia="Arial" w:hAnsi="Arial"/>
          <w:sz w:val="16"/>
          <w:szCs w:val="16"/>
          <w:color w:val="auto"/>
        </w:rPr>
        <w:t>line method on the cost of the assets, less allowance for salvage value where appropriate, at rates based upon their estimated service lives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Asset Class</w:t>
            </w:r>
          </w:p>
        </w:tc>
        <w:tc>
          <w:tcPr>
            <w:tcW w:w="53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Asset Life</w:t>
            </w: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Buildings</w:t>
            </w:r>
          </w:p>
        </w:tc>
        <w:tc>
          <w:tcPr>
            <w:tcW w:w="53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10-30 years</w:t>
            </w:r>
          </w:p>
        </w:tc>
      </w:tr>
      <w:tr>
        <w:trPr>
          <w:trHeight w:val="233"/>
        </w:trPr>
        <w:tc>
          <w:tcPr>
            <w:tcW w:w="6060" w:type="dxa"/>
            <w:vAlign w:val="bottom"/>
          </w:tcPr>
          <w:p>
            <w:pPr>
              <w:ind w:left="40"/>
              <w:spacing w:after="0"/>
              <w:rPr>
                <w:sz w:val="20"/>
                <w:szCs w:val="20"/>
                <w:color w:val="auto"/>
              </w:rPr>
            </w:pPr>
            <w:r>
              <w:rPr>
                <w:rFonts w:ascii="Arial" w:cs="Arial" w:eastAsia="Arial" w:hAnsi="Arial"/>
                <w:sz w:val="16"/>
                <w:szCs w:val="16"/>
                <w:color w:val="auto"/>
              </w:rPr>
              <w:t>Machinery and equipment</w:t>
            </w:r>
          </w:p>
        </w:tc>
        <w:tc>
          <w:tcPr>
            <w:tcW w:w="5360" w:type="dxa"/>
            <w:vAlign w:val="bottom"/>
          </w:tcPr>
          <w:p>
            <w:pPr>
              <w:jc w:val="right"/>
              <w:ind w:right="199"/>
              <w:spacing w:after="0"/>
              <w:rPr>
                <w:sz w:val="20"/>
                <w:szCs w:val="20"/>
                <w:color w:val="auto"/>
              </w:rPr>
            </w:pPr>
            <w:r>
              <w:rPr>
                <w:rFonts w:ascii="Arial" w:cs="Arial" w:eastAsia="Arial" w:hAnsi="Arial"/>
                <w:sz w:val="16"/>
                <w:szCs w:val="16"/>
                <w:color w:val="auto"/>
              </w:rPr>
              <w:t>3-15 years</w:t>
            </w:r>
          </w:p>
        </w:tc>
      </w:tr>
      <w:tr>
        <w:trPr>
          <w:trHeight w:val="253"/>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Software</w:t>
            </w:r>
          </w:p>
        </w:tc>
        <w:tc>
          <w:tcPr>
            <w:tcW w:w="53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3-10 years</w:t>
            </w: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Transportation equipment</w:t>
            </w:r>
          </w:p>
        </w:tc>
        <w:tc>
          <w:tcPr>
            <w:tcW w:w="5360" w:type="dxa"/>
            <w:vAlign w:val="bottom"/>
          </w:tcPr>
          <w:p>
            <w:pPr>
              <w:jc w:val="right"/>
              <w:ind w:right="199"/>
              <w:spacing w:after="0"/>
              <w:rPr>
                <w:sz w:val="20"/>
                <w:szCs w:val="20"/>
                <w:color w:val="auto"/>
              </w:rPr>
            </w:pPr>
            <w:r>
              <w:rPr>
                <w:rFonts w:ascii="Arial" w:cs="Arial" w:eastAsia="Arial" w:hAnsi="Arial"/>
                <w:sz w:val="16"/>
                <w:szCs w:val="16"/>
                <w:color w:val="auto"/>
              </w:rPr>
              <w:t>4-6 years</w:t>
            </w:r>
          </w:p>
        </w:tc>
      </w:tr>
    </w:tbl>
    <w:p>
      <w:pPr>
        <w:spacing w:after="0" w:line="18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 xml:space="preserve">We review our long-lived depreciable assets for impairment annually or whenever events or changes in circumstances indicate that the carrying value of an asset may not be recoverable from future cash flows. If the carrying value of a long-lived asset is impaired, an impairment charge is recorded for the amount by which the carrying value of the long-lived asset exceeds its fair value. We assess the potential impairment of long-lived assets in accordance with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We also reviewed all other long-lived depreciable assets for impairment, noting no impairment.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Amortizable Intangible Assets</w:t>
      </w:r>
    </w:p>
    <w:p>
      <w:pPr>
        <w:spacing w:after="0" w:line="25"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Goodwill represents costs in excess of the fair value of net tangible and identifiable net intangible assets acquired in a business combination. Goodwill assets were reviewed for impairment as of August 27, 2016 by applying a fair-value based test on an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41"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annual basis, or more frequently if circumstances indicate a potential impairment. Amortizable intangible assets consisted of dealer network, trademarks and non-compete agreements and are fully amortized.</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Self-Insurance</w:t>
      </w:r>
    </w:p>
    <w:p>
      <w:pPr>
        <w:spacing w:after="0" w:line="25"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Generally, we self-insure for a portion of product liability claims and workers' compensation. Under these plans, liabilities are recognized for claims incurred, including those incurred but not reported. We determined the liability for product liability and workers' compensation claims with the assistance of a third party administrator and actuary using various state statutes and historical claims experience. We have a $35.0 million insurance policy that includes an SIR for product liability of $2.5 million per occurrence and $6.0 million in aggregate per policy year. We maintain excess liability insurance with outside insurance carriers to minimize our risks related to catastrophic claims in excess of our self-insured positions for product liability and personal injury matters. Any material change in the aforementioned factors could have an adverse impact on our operating results. Our product liability and workers' compensation accrual is included within accrued self-insurance on our balance sheet.</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5"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In preparing our financial statements, we are required to estimate our income taxes in each of the jurisdictions in which we operate. This process involves estimating our current tax exposure together with assessing temporary differences resulting from differing treatment of items for tax and accounting purposes. These temporary differences result in deferred tax assets and liabilities, which are included within our balance sheet. We then assess the likelihood that our deferred tax assets will be realized based on future taxable income and, to the extent we believe that recovery is not likely, we establish a valuation allowance. To the extent we establish a valuation allowance or change this allowance in a period, we include an expense or a benefit within the tax provision in our Statements of Income.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w:t>
      </w:r>
    </w:p>
    <w:p>
      <w:pPr>
        <w:spacing w:after="0" w:line="25"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Our accounting policy regarding litigation expense is to accrue for probable exposure including estimated defense costs if we are able to estimate the financial impact.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Generally, revenues for our RVs are recorded when the following conditions are met:</w:t>
      </w:r>
    </w:p>
    <w:p>
      <w:pPr>
        <w:spacing w:after="0" w:line="5"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 order for a product has been received from a dealer</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written or verbal approval for payment has been received from the dealer's floorplan financing institution (if applicable)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 independent transportation company has accepted responsibility for the product as agent for the dealer;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product is removed from the Company's property for delivery to the dealer.</w:t>
      </w:r>
    </w:p>
    <w:p>
      <w:pPr>
        <w:spacing w:after="0" w:line="194"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Our shipping terms are FOB shipping point. Products are not sold on consignment, dealers do not have the right to return products, and dealers are typically responsible for interest costs to floor plan lenders.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Delivery Revenues and Expenses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Delivery revenues for products delivered are included within net sales, while delivery expenses are included within cost of goods sold.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Risk</w:t>
      </w:r>
    </w:p>
    <w:p>
      <w:pPr>
        <w:spacing w:after="0" w:line="25"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One of our dealer organizations accounted for 16.6%, 17.9%, and 19.7% of our consolidated net revenue in Fiscal 2016, 2015 and 2014, respectively. A second dealer organization accounted for 13.0%, 15.0% and 12.5% of our net revenue for Fiscal 2016, Fiscal 2015, and Fiscal 2014, respectively. The loss of either or both of these dealer organizations could have a significant adverse effect on our business. In addition, deterioration in the liquidity or creditworthiness of either or both of these dealers could negatively impact our sales and could trigger repurchase obligations under our repurchase agreements.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Promotions and Incentives</w:t>
      </w:r>
    </w:p>
    <w:p>
      <w:pPr>
        <w:spacing w:after="0" w:line="25"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We accrue for sales promotions and incentive expenses, which are recognized as a reduction to revenues, at the time of sale to the dealer or when the sales incentive is offered to the dealer or retail customer. Examples of sales promotions and incentive programs include dealer and consumer rebates, volume discounts, retail financing programs and dealer sales associate incentives. Sales promotion and incentive expenses are estimated based upon then current program parameters, such as unit or retail volume and historical rates. Actual results may differ from these estimates if market conditions dictate the need to enhance or reduce sales promotion and incentive programs or if the retail customer usage rate varies from historical trends. Historically, sales promotion and incentive expenses have been within our expectations and differences have not been material.</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It is customary practice for manufacturers in the RV industry to enter into repurchase agreements with financing institutions that provide financing to their dealers. Our repurchase agreements generally provide that, in the event of a default by a dealer in its obligation to these lenders, we will repurchase vehicles sold to the dealer that have not been resold to retail customers. The terms of these agreements, which can last up to 18 months, provide that our liability will be the lesser of remaining principal owed by the dealer or dealer invoice less periodic reductions based on the time since the date of the original invoice. Our liability cannot exceed 100% of the dealer invoice. In certain instances, we also repurchase inventory from our dealers due to state law or regulatory requirements that govern voluntary or involuntary relationship terminations.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00"/>
          </w:cols>
          <w:pgMar w:left="240" w:top="141" w:right="25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Based on these repurchase agreements, we establish an associated loss reserve which is disclosed separately as "Accrued loss on repurchases" in the consolidated balance sheets. Repurchased sales are not recorded as a revenue transaction, but the net difference between the original repurchase price and the resale price are recorded against the loss reserve, which is a deduction from gross revenue. Our loss reserve for repurchase commitments contains uncertainties because the calculation requires management to make assumptions and apply judgment regarding a number of factors. See Note 9.</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Reporting Segment</w:t>
      </w:r>
    </w:p>
    <w:p>
      <w:pPr>
        <w:spacing w:after="0" w:line="25" w:lineRule="exact"/>
        <w:rPr>
          <w:sz w:val="20"/>
          <w:szCs w:val="20"/>
          <w:color w:val="auto"/>
        </w:rPr>
      </w:pPr>
    </w:p>
    <w:p>
      <w:pPr>
        <w:ind w:right="660"/>
        <w:spacing w:after="0" w:line="260" w:lineRule="auto"/>
        <w:rPr>
          <w:sz w:val="20"/>
          <w:szCs w:val="20"/>
          <w:color w:val="auto"/>
        </w:rPr>
      </w:pPr>
      <w:r>
        <w:rPr>
          <w:rFonts w:ascii="Arial" w:cs="Arial" w:eastAsia="Arial" w:hAnsi="Arial"/>
          <w:sz w:val="16"/>
          <w:szCs w:val="16"/>
          <w:color w:val="auto"/>
        </w:rPr>
        <w:t>We have one reportable segment, the RV market. We design, develop, manufacture and market motorized and towable recreation products along with supporting products and services.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25"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Research and development expenditures are included within cost of goods sold and are expensed as incurred. A portion of these expenditures qualify for state and federal tax benefits. Development activities generally relate to creating new products and improving or creating variations of existing products to meet new applications. During Fiscal 2016, 2015 and 2014, we spent approximately $4.0 million, $3.9 million and $4.3 million, respectively, on research and development activities.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Advertising</w:t>
      </w:r>
    </w:p>
    <w:p>
      <w:pPr>
        <w:spacing w:after="0" w:line="25" w:lineRule="exact"/>
        <w:rPr>
          <w:sz w:val="20"/>
          <w:szCs w:val="20"/>
          <w:color w:val="auto"/>
        </w:rPr>
      </w:pPr>
    </w:p>
    <w:p>
      <w:pPr>
        <w:ind w:right="440"/>
        <w:spacing w:after="0" w:line="253" w:lineRule="auto"/>
        <w:rPr>
          <w:sz w:val="20"/>
          <w:szCs w:val="20"/>
          <w:color w:val="auto"/>
        </w:rPr>
      </w:pPr>
      <w:r>
        <w:rPr>
          <w:rFonts w:ascii="Arial" w:cs="Arial" w:eastAsia="Arial" w:hAnsi="Arial"/>
          <w:sz w:val="16"/>
          <w:szCs w:val="16"/>
          <w:color w:val="auto"/>
        </w:rPr>
        <w:t>Advertising costs, which consist primarily of literature and trade shows, were $4.9 million, $5.5 million, and $5.1 million in Fiscal 2016, 2015 and 2014, respectively. Advertising costs are included in selling expense and are expensed as incurred with the exception of trade shows which are expensed in the period in which the show occurs.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Per Common Share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Basic income per common share is computed by dividing net income by the weighted average common shares outstanding during the period.</w:t>
      </w:r>
    </w:p>
    <w:p>
      <w:pPr>
        <w:spacing w:after="0" w:line="167"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Diluted income per common share is computed by dividing net income by the weighted average common shares outstanding plus the incremental shares that would have been outstanding upon the assumed exercise of dilutive stock awards and options. See Note 13.</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Events</w:t>
      </w:r>
    </w:p>
    <w:p>
      <w:pPr>
        <w:spacing w:after="0" w:line="25"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We evaluated events occurring between the end of our most recent fiscal year and the date the financial statements were issued. There were no material subsequent events, except those described in Note 11 and Note 16.</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specifies how and when to recognize revenue as well as providing informative, relevant disclosures. In August 2015, the FASB deferred the effective date of this standard by one year, which would become effective for fiscal years beginning after December 15, 2017 (our Fiscal 2019). We are currently evaluating the impact on our consolidated financial statements.</w:t>
      </w:r>
    </w:p>
    <w:p>
      <w:pPr>
        <w:spacing w:after="0" w:line="158"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 xml:space="preserve">In July 2015, the FASB issued ASU 2015-11, </w:t>
      </w:r>
      <w:r>
        <w:rPr>
          <w:rFonts w:ascii="Arial" w:cs="Arial" w:eastAsia="Arial" w:hAnsi="Arial"/>
          <w:sz w:val="16"/>
          <w:szCs w:val="16"/>
          <w:i w:val="1"/>
          <w:iCs w:val="1"/>
          <w:color w:val="auto"/>
        </w:rPr>
        <w:t>Inventory (Topic 330)</w:t>
      </w:r>
      <w:r>
        <w:rPr>
          <w:rFonts w:ascii="Arial" w:cs="Arial" w:eastAsia="Arial" w:hAnsi="Arial"/>
          <w:sz w:val="16"/>
          <w:szCs w:val="16"/>
          <w:color w:val="auto"/>
        </w:rPr>
        <w:t>, which requires inventory measured using any method other than last-in, first-out (“LIFO”) or the retail inventory method to be subsequently measured at the lower of cost or net realizable value, rather than at the lower of cost or market. Under this ASU, subsequent measurement of inventory using the LIFO and retail inventory method is unchanged. ASU 2015-11 will become effective prospectively for fiscal years beginning after December 15, 2016 (our Fiscal 2018). We are currently evaluating the impact on our consolidated financial statements.</w:t>
      </w:r>
    </w:p>
    <w:p>
      <w:pPr>
        <w:spacing w:after="0" w:line="154"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 xml:space="preserve">In September 2015, the FASB issued ASU 2015-16, </w:t>
      </w:r>
      <w:r>
        <w:rPr>
          <w:rFonts w:ascii="Arial" w:cs="Arial" w:eastAsia="Arial" w:hAnsi="Arial"/>
          <w:sz w:val="16"/>
          <w:szCs w:val="16"/>
          <w:i w:val="1"/>
          <w:iCs w:val="1"/>
          <w:color w:val="auto"/>
        </w:rPr>
        <w:t>Business Combinations (Topic 805)</w:t>
      </w:r>
      <w:r>
        <w:rPr>
          <w:rFonts w:ascii="Arial" w:cs="Arial" w:eastAsia="Arial" w:hAnsi="Arial"/>
          <w:sz w:val="16"/>
          <w:szCs w:val="16"/>
          <w:color w:val="auto"/>
        </w:rPr>
        <w:t>, to simplify the accounting for measurement-period adjustments in a business combination. Under the new standard, an acquirer must recognize adjustments to provisional amounts in a business combination in the reporting period in which the adjustment amounts are determined, rather than retrospectively adjusting the provisional amounts recognized at the acquisition date with a corresponding adjustment to goodwill as under current guidance. ASU 2015-16 is effective for fiscal years, and the interim periods within those years, beginning after December 15, 2015 (our Fiscal 2017). This new standard will be applied prospectively to adjustments to provisional amounts that occur after the effective date with earlier application permitted for financial statements that have not been issued. We are currently evaluating the impact of this ASU on our consolidated financial statements, which will be dependent on future acquisitions.</w:t>
      </w:r>
    </w:p>
    <w:p>
      <w:pPr>
        <w:spacing w:after="0" w:line="160"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 xml:space="preserve">In November 2015, the FASB issued ASU 2015-17, </w:t>
      </w:r>
      <w:r>
        <w:rPr>
          <w:rFonts w:ascii="Arial" w:cs="Arial" w:eastAsia="Arial" w:hAnsi="Arial"/>
          <w:sz w:val="16"/>
          <w:szCs w:val="16"/>
          <w:i w:val="1"/>
          <w:iCs w:val="1"/>
          <w:color w:val="auto"/>
        </w:rPr>
        <w:t>Income Taxes (Topic 740)</w:t>
      </w:r>
      <w:r>
        <w:rPr>
          <w:rFonts w:ascii="Arial" w:cs="Arial" w:eastAsia="Arial" w:hAnsi="Arial"/>
          <w:sz w:val="16"/>
          <w:szCs w:val="16"/>
          <w:color w:val="auto"/>
        </w:rPr>
        <w:t>, to simplify the presentation of deferred income taxes. Under the new standard, both deferred tax liabilities and assets are required to be classified as noncurrent in a classified balance sheet. During the first quarter of Fiscal 2016, we elected to prospectively adopt ASU 2015-17, thus reclassifying current deferred tax assets to noncurrent on the accompanying consolidated balance sheet. The prior reporting period was not retrospectively adjusted. The adoption of this guidance had no impact on our consolidated statements of income and comprehensive income.</w:t>
      </w:r>
    </w:p>
    <w:p>
      <w:pPr>
        <w:spacing w:after="0" w:line="157"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 (Topic 718)</w:t>
      </w:r>
      <w:r>
        <w:rPr>
          <w:rFonts w:ascii="Arial" w:cs="Arial" w:eastAsia="Arial" w:hAnsi="Arial"/>
          <w:sz w:val="16"/>
          <w:szCs w:val="16"/>
          <w:color w:val="auto"/>
        </w:rPr>
        <w:t>, which simplifies several aspects of the accounting for employee share-based payment transactions, including the accounting for the related income taxes, forfeitures, statutory tax withholding requirements and classification in the statement of cash flows. ASU 2016-09 is effective for annual reporting periods beginning after December 15, 2016 (our Fiscal 2018), including interim periods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41"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within those annual reporting periods. Early adoption is permitted. We are currently evaluating the impact of this ASU on our consolidated financial statements.</w:t>
      </w:r>
    </w:p>
    <w:p>
      <w:pPr>
        <w:spacing w:after="0" w:line="178" w:lineRule="exact"/>
        <w:rPr>
          <w:sz w:val="20"/>
          <w:szCs w:val="20"/>
          <w:color w:val="auto"/>
        </w:rPr>
      </w:pPr>
    </w:p>
    <w:p>
      <w:pPr>
        <w:ind w:right="240"/>
        <w:spacing w:after="0" w:line="258"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Classification of Certain Cash Receipts and Cash Payments (Topic 230)</w:t>
      </w:r>
      <w:r>
        <w:rPr>
          <w:rFonts w:ascii="Arial" w:cs="Arial" w:eastAsia="Arial" w:hAnsi="Arial"/>
          <w:sz w:val="16"/>
          <w:szCs w:val="16"/>
          <w:color w:val="auto"/>
        </w:rPr>
        <w:t>, which provides guidance for eight specific cash flow issues with the objective of reducing the existing diversity in practice. ASU 2016-15 is effective retrospectively for annual reporting periods beginning after December 15, 2017 (our Fiscal 2019), including interim periods within those annual reporting periods. Early adoption is permitted. We are currently evaluating the impact of this ASU on our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Investments and Fair Value Measurements</w:t>
      </w:r>
    </w:p>
    <w:p>
      <w:pPr>
        <w:spacing w:after="0" w:line="268"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1 - </w:t>
      </w:r>
      <w:r>
        <w:rPr>
          <w:rFonts w:ascii="Arial" w:cs="Arial" w:eastAsia="Arial" w:hAnsi="Arial"/>
          <w:sz w:val="16"/>
          <w:szCs w:val="16"/>
          <w:color w:val="auto"/>
        </w:rPr>
        <w:t>Unadjusted quoted prices that are available in active markets for the identical assets or liabilities at the measurement date.</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2 - </w:t>
      </w:r>
      <w:r>
        <w:rPr>
          <w:rFonts w:ascii="Arial" w:cs="Arial" w:eastAsia="Arial" w:hAnsi="Arial"/>
          <w:sz w:val="16"/>
          <w:szCs w:val="16"/>
          <w:color w:val="auto"/>
        </w:rPr>
        <w:t>Other observable inputs available at the measurement date, other than quoted prices included in Level 1, either directly or indirectly, including:</w:t>
      </w:r>
    </w:p>
    <w:p>
      <w:pPr>
        <w:spacing w:after="0" w:line="21"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6"/>
          <w:szCs w:val="16"/>
          <w:i w:val="1"/>
          <w:iCs w:val="1"/>
          <w:color w:val="auto"/>
        </w:rPr>
      </w:pPr>
      <w:r>
        <w:rPr>
          <w:rFonts w:ascii="Arial" w:cs="Arial" w:eastAsia="Arial" w:hAnsi="Arial"/>
          <w:sz w:val="16"/>
          <w:szCs w:val="16"/>
          <w:color w:val="auto"/>
        </w:rPr>
        <w:t>Quoted prices for similar assets or liabilities in active markets;</w:t>
      </w:r>
    </w:p>
    <w:p>
      <w:pPr>
        <w:spacing w:after="0" w:line="5" w:lineRule="exact"/>
        <w:rPr>
          <w:rFonts w:ascii="Arial" w:cs="Arial" w:eastAsia="Arial" w:hAnsi="Arial"/>
          <w:sz w:val="16"/>
          <w:szCs w:val="16"/>
          <w:i w:val="1"/>
          <w:iCs w:val="1"/>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Quoted prices for identical or similar assets in nonactive markets;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Inputs other than quoted prices that are observable for the asset or liability; and</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Inputs that are derived principally from or corroborated by other observable market data.</w:t>
      </w:r>
    </w:p>
    <w:p>
      <w:pPr>
        <w:spacing w:after="0" w:line="70"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i w:val="1"/>
          <w:iCs w:val="1"/>
          <w:color w:val="auto"/>
        </w:rPr>
        <w:t xml:space="preserve">Level 3 - </w:t>
      </w:r>
      <w:r>
        <w:rPr>
          <w:rFonts w:ascii="Arial" w:cs="Arial" w:eastAsia="Arial" w:hAnsi="Arial"/>
          <w:sz w:val="16"/>
          <w:szCs w:val="16"/>
          <w:color w:val="auto"/>
        </w:rPr>
        <w:t>Unobservable inputs that cannot be corroborated by observable market data and reflect the use of significant management judgment. These values</w:t>
      </w:r>
      <w:r>
        <w:rPr>
          <w:rFonts w:ascii="Arial" w:cs="Arial" w:eastAsia="Arial" w:hAnsi="Arial"/>
          <w:sz w:val="16"/>
          <w:szCs w:val="16"/>
          <w:i w:val="1"/>
          <w:iCs w:val="1"/>
          <w:color w:val="auto"/>
        </w:rPr>
        <w:t xml:space="preserve"> </w:t>
      </w:r>
      <w:r>
        <w:rPr>
          <w:rFonts w:ascii="Arial" w:cs="Arial" w:eastAsia="Arial" w:hAnsi="Arial"/>
          <w:sz w:val="16"/>
          <w:szCs w:val="16"/>
          <w:color w:val="auto"/>
        </w:rPr>
        <w:t>are generally determined using pricing models for which the assumptions utilize management’s estimates of market participant assumptions.</w:t>
      </w:r>
    </w:p>
    <w:p>
      <w:pPr>
        <w:spacing w:after="0" w:line="109" w:lineRule="exact"/>
        <w:rPr>
          <w:sz w:val="20"/>
          <w:szCs w:val="20"/>
          <w:color w:val="auto"/>
        </w:rPr>
      </w:pPr>
    </w:p>
    <w:p>
      <w:pPr>
        <w:spacing w:after="0" w:line="253" w:lineRule="auto"/>
        <w:rPr>
          <w:sz w:val="20"/>
          <w:szCs w:val="20"/>
          <w:color w:val="auto"/>
        </w:rPr>
      </w:pPr>
      <w:r>
        <w:rPr>
          <w:rFonts w:ascii="Arial" w:cs="Arial" w:eastAsia="Arial" w:hAnsi="Arial"/>
          <w:sz w:val="16"/>
          <w:szCs w:val="16"/>
          <w:i w:val="1"/>
          <w:iCs w:val="1"/>
          <w:color w:val="auto"/>
        </w:rPr>
        <w:t xml:space="preserve">Assets and Liabilities that are Measured at Fair Value on a Recurring Basis. </w:t>
      </w:r>
      <w:r>
        <w:rPr>
          <w:rFonts w:ascii="Arial" w:cs="Arial" w:eastAsia="Arial" w:hAnsi="Arial"/>
          <w:sz w:val="16"/>
          <w:szCs w:val="16"/>
          <w:color w:val="auto"/>
        </w:rPr>
        <w:t>We account for fair value measurements in accordance with ASC 820,</w:t>
      </w:r>
      <w:r>
        <w:rPr>
          <w:rFonts w:ascii="Arial" w:cs="Arial" w:eastAsia="Arial" w:hAnsi="Arial"/>
          <w:sz w:val="16"/>
          <w:szCs w:val="16"/>
          <w:i w:val="1"/>
          <w:iCs w:val="1"/>
          <w:color w:val="auto"/>
        </w:rPr>
        <w:t xml:space="preserve"> Fair Value Measurements and Disclosures, </w:t>
      </w:r>
      <w:r>
        <w:rPr>
          <w:rFonts w:ascii="Arial" w:cs="Arial" w:eastAsia="Arial" w:hAnsi="Arial"/>
          <w:sz w:val="16"/>
          <w:szCs w:val="16"/>
          <w:color w:val="auto"/>
        </w:rPr>
        <w:t>which defines fair value, establishes a framework for measurement and expands disclosure about fair value measurement.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89"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The following tables set forth by level within the fair value hierarchy our financial assets that were accounted for at fair value on a recurring basis at August 27, 2016 and August 29, 2015 according to the valuation techniques we used to determine their fair values: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20" w:type="dxa"/>
            <w:vAlign w:val="bottom"/>
            <w:gridSpan w:val="6"/>
          </w:tcPr>
          <w:p>
            <w:pPr>
              <w:jc w:val="center"/>
              <w:ind w:left="779"/>
              <w:spacing w:after="0"/>
              <w:rPr>
                <w:sz w:val="20"/>
                <w:szCs w:val="20"/>
                <w:color w:val="auto"/>
              </w:rPr>
            </w:pPr>
            <w:r>
              <w:rPr>
                <w:rFonts w:ascii="Arial" w:cs="Arial" w:eastAsia="Arial" w:hAnsi="Arial"/>
                <w:sz w:val="16"/>
                <w:szCs w:val="16"/>
                <w:b w:val="1"/>
                <w:bCs w:val="1"/>
                <w:color w:val="auto"/>
              </w:rPr>
              <w:t>Fair Value Measurements</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920" w:type="dxa"/>
            <w:vAlign w:val="bottom"/>
          </w:tcPr>
          <w:p>
            <w:pPr>
              <w:spacing w:after="0"/>
              <w:rPr>
                <w:sz w:val="19"/>
                <w:szCs w:val="19"/>
                <w:color w:val="auto"/>
              </w:rPr>
            </w:pPr>
          </w:p>
        </w:tc>
        <w:tc>
          <w:tcPr>
            <w:tcW w:w="186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Fair Value at August</w:t>
            </w:r>
          </w:p>
        </w:tc>
        <w:tc>
          <w:tcPr>
            <w:tcW w:w="3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jc w:val="center"/>
              <w:ind w:left="779"/>
              <w:spacing w:after="0"/>
              <w:rPr>
                <w:sz w:val="20"/>
                <w:szCs w:val="20"/>
                <w:color w:val="auto"/>
              </w:rPr>
            </w:pPr>
            <w:r>
              <w:rPr>
                <w:rFonts w:ascii="Arial" w:cs="Arial" w:eastAsia="Arial" w:hAnsi="Arial"/>
                <w:sz w:val="16"/>
                <w:szCs w:val="16"/>
                <w:b w:val="1"/>
                <w:bCs w:val="1"/>
                <w:color w:val="auto"/>
              </w:rPr>
              <w:t>Using Inputs Considered As</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9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27, 2016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Level 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Level 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Cash equivalents </w:t>
            </w:r>
            <w:r>
              <w:rPr>
                <w:rFonts w:ascii="Arial" w:cs="Arial" w:eastAsia="Arial" w:hAnsi="Arial"/>
                <w:sz w:val="21"/>
                <w:szCs w:val="21"/>
                <w:color w:val="auto"/>
                <w:vertAlign w:val="superscript"/>
              </w:rPr>
              <w:t>(1)</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77,234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77,234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920" w:type="dxa"/>
            <w:vAlign w:val="bottom"/>
          </w:tcPr>
          <w:p>
            <w:pPr>
              <w:ind w:left="40"/>
              <w:spacing w:after="0"/>
              <w:rPr>
                <w:sz w:val="20"/>
                <w:szCs w:val="20"/>
                <w:color w:val="auto"/>
              </w:rPr>
            </w:pPr>
            <w:r>
              <w:rPr>
                <w:rFonts w:ascii="Arial" w:cs="Arial" w:eastAsia="Arial" w:hAnsi="Arial"/>
                <w:sz w:val="16"/>
                <w:szCs w:val="16"/>
                <w:color w:val="auto"/>
              </w:rPr>
              <w:t>Assets that fund deferred compensation:</w:t>
            </w:r>
          </w:p>
        </w:tc>
        <w:tc>
          <w:tcPr>
            <w:tcW w:w="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Domestic equity funds</w:t>
            </w:r>
          </w:p>
        </w:tc>
        <w:tc>
          <w:tcPr>
            <w:tcW w:w="3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3,587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3,515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920" w:type="dxa"/>
            <w:vAlign w:val="bottom"/>
          </w:tcPr>
          <w:p>
            <w:pPr>
              <w:ind w:left="120"/>
              <w:spacing w:after="0"/>
              <w:rPr>
                <w:sz w:val="20"/>
                <w:szCs w:val="20"/>
                <w:color w:val="auto"/>
              </w:rPr>
            </w:pPr>
            <w:r>
              <w:rPr>
                <w:rFonts w:ascii="Arial" w:cs="Arial" w:eastAsia="Arial" w:hAnsi="Arial"/>
                <w:sz w:val="16"/>
                <w:szCs w:val="16"/>
                <w:color w:val="auto"/>
              </w:rPr>
              <w:t>International equity funds</w:t>
            </w:r>
          </w:p>
        </w:tc>
        <w:tc>
          <w:tcPr>
            <w:tcW w:w="34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4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Fixed income funds</w:t>
            </w:r>
          </w:p>
        </w:tc>
        <w:tc>
          <w:tcPr>
            <w:tcW w:w="3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920" w:type="dxa"/>
            <w:vAlign w:val="bottom"/>
          </w:tcPr>
          <w:p>
            <w:pPr>
              <w:ind w:left="40"/>
              <w:spacing w:after="0"/>
              <w:rPr>
                <w:sz w:val="20"/>
                <w:szCs w:val="20"/>
                <w:color w:val="auto"/>
              </w:rPr>
            </w:pPr>
            <w:r>
              <w:rPr>
                <w:rFonts w:ascii="Arial" w:cs="Arial" w:eastAsia="Arial" w:hAnsi="Arial"/>
                <w:sz w:val="16"/>
                <w:szCs w:val="16"/>
                <w:color w:val="auto"/>
              </w:rPr>
              <w:t>Total assets at fair value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81,344</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81,180</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ind w:left="340" w:right="120" w:hanging="332"/>
        <w:spacing w:after="0" w:line="218" w:lineRule="auto"/>
        <w:tabs>
          <w:tab w:leader="none" w:pos="340"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Cash equivalent balances valued using Level 1 inputs include only those accounts that may fluctuate in value. Cash in disbursing accounts and on-demand accounts are not included above.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20" w:type="dxa"/>
            <w:vAlign w:val="bottom"/>
            <w:gridSpan w:val="6"/>
          </w:tcPr>
          <w:p>
            <w:pPr>
              <w:jc w:val="center"/>
              <w:ind w:left="779"/>
              <w:spacing w:after="0"/>
              <w:rPr>
                <w:sz w:val="20"/>
                <w:szCs w:val="20"/>
                <w:color w:val="auto"/>
              </w:rPr>
            </w:pPr>
            <w:r>
              <w:rPr>
                <w:rFonts w:ascii="Arial" w:cs="Arial" w:eastAsia="Arial" w:hAnsi="Arial"/>
                <w:sz w:val="16"/>
                <w:szCs w:val="16"/>
                <w:b w:val="1"/>
                <w:bCs w:val="1"/>
                <w:color w:val="auto"/>
              </w:rPr>
              <w:t>Fair Value Measurements</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920" w:type="dxa"/>
            <w:vAlign w:val="bottom"/>
          </w:tcPr>
          <w:p>
            <w:pPr>
              <w:spacing w:after="0"/>
              <w:rPr>
                <w:sz w:val="19"/>
                <w:szCs w:val="19"/>
                <w:color w:val="auto"/>
              </w:rPr>
            </w:pPr>
          </w:p>
        </w:tc>
        <w:tc>
          <w:tcPr>
            <w:tcW w:w="186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Fair Value at August</w:t>
            </w:r>
          </w:p>
        </w:tc>
        <w:tc>
          <w:tcPr>
            <w:tcW w:w="3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jc w:val="center"/>
              <w:ind w:left="779"/>
              <w:spacing w:after="0"/>
              <w:rPr>
                <w:sz w:val="20"/>
                <w:szCs w:val="20"/>
                <w:color w:val="auto"/>
              </w:rPr>
            </w:pPr>
            <w:r>
              <w:rPr>
                <w:rFonts w:ascii="Arial" w:cs="Arial" w:eastAsia="Arial" w:hAnsi="Arial"/>
                <w:sz w:val="16"/>
                <w:szCs w:val="16"/>
                <w:b w:val="1"/>
                <w:bCs w:val="1"/>
                <w:color w:val="auto"/>
              </w:rPr>
              <w:t>Using Inputs Considered As</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9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29, 2015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Level 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Level 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Cash equivalents </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63,107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63,107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920" w:type="dxa"/>
            <w:vAlign w:val="bottom"/>
          </w:tcPr>
          <w:p>
            <w:pPr>
              <w:ind w:left="40"/>
              <w:spacing w:after="0"/>
              <w:rPr>
                <w:sz w:val="20"/>
                <w:szCs w:val="20"/>
                <w:color w:val="auto"/>
              </w:rPr>
            </w:pPr>
            <w:r>
              <w:rPr>
                <w:rFonts w:ascii="Arial" w:cs="Arial" w:eastAsia="Arial" w:hAnsi="Arial"/>
                <w:sz w:val="16"/>
                <w:szCs w:val="16"/>
                <w:color w:val="auto"/>
              </w:rPr>
              <w:t>Assets that fund deferred compensation:</w:t>
            </w:r>
          </w:p>
        </w:tc>
        <w:tc>
          <w:tcPr>
            <w:tcW w:w="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Domestic equity funds</w:t>
            </w:r>
          </w:p>
        </w:tc>
        <w:tc>
          <w:tcPr>
            <w:tcW w:w="3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4,937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4,894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920" w:type="dxa"/>
            <w:vAlign w:val="bottom"/>
          </w:tcPr>
          <w:p>
            <w:pPr>
              <w:ind w:left="120"/>
              <w:spacing w:after="0"/>
              <w:rPr>
                <w:sz w:val="20"/>
                <w:szCs w:val="20"/>
                <w:color w:val="auto"/>
              </w:rPr>
            </w:pPr>
            <w:r>
              <w:rPr>
                <w:rFonts w:ascii="Arial" w:cs="Arial" w:eastAsia="Arial" w:hAnsi="Arial"/>
                <w:sz w:val="16"/>
                <w:szCs w:val="16"/>
                <w:color w:val="auto"/>
              </w:rPr>
              <w:t>International equity funds</w:t>
            </w:r>
          </w:p>
        </w:tc>
        <w:tc>
          <w:tcPr>
            <w:tcW w:w="34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493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4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Fixed income funds</w:t>
            </w:r>
          </w:p>
        </w:tc>
        <w:tc>
          <w:tcPr>
            <w:tcW w:w="3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920" w:type="dxa"/>
            <w:vAlign w:val="bottom"/>
          </w:tcPr>
          <w:p>
            <w:pPr>
              <w:ind w:left="40"/>
              <w:spacing w:after="0"/>
              <w:rPr>
                <w:sz w:val="20"/>
                <w:szCs w:val="20"/>
                <w:color w:val="auto"/>
              </w:rPr>
            </w:pPr>
            <w:r>
              <w:rPr>
                <w:rFonts w:ascii="Arial" w:cs="Arial" w:eastAsia="Arial" w:hAnsi="Arial"/>
                <w:sz w:val="16"/>
                <w:szCs w:val="16"/>
                <w:color w:val="auto"/>
              </w:rPr>
              <w:t>Total assets at fair value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68,821</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68,729</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ind w:left="340" w:right="120" w:hanging="332"/>
        <w:spacing w:after="0" w:line="218" w:lineRule="auto"/>
        <w:tabs>
          <w:tab w:leader="none" w:pos="340"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Cash equivalent balances valued using Level 1 inputs include only those accounts that may fluctuate in value. Cash in disbursing accounts and on-demand accounts are not included above.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41"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151"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i w:val="1"/>
          <w:iCs w:val="1"/>
          <w:color w:val="auto"/>
        </w:rPr>
        <w:t xml:space="preserve">Cash Equivalents. </w:t>
      </w:r>
      <w:r>
        <w:rPr>
          <w:rFonts w:ascii="Arial" w:cs="Arial" w:eastAsia="Arial" w:hAnsi="Arial"/>
          <w:sz w:val="16"/>
          <w:szCs w:val="16"/>
          <w:color w:val="auto"/>
        </w:rPr>
        <w:t>The carrying value of cash equivalents approximates fair value as original maturities are less than three months. Our cash equivalents are</w:t>
      </w:r>
      <w:r>
        <w:rPr>
          <w:rFonts w:ascii="Arial" w:cs="Arial" w:eastAsia="Arial" w:hAnsi="Arial"/>
          <w:sz w:val="16"/>
          <w:szCs w:val="16"/>
          <w:i w:val="1"/>
          <w:iCs w:val="1"/>
          <w:color w:val="auto"/>
        </w:rPr>
        <w:t xml:space="preserve"> </w:t>
      </w:r>
      <w:r>
        <w:rPr>
          <w:rFonts w:ascii="Arial" w:cs="Arial" w:eastAsia="Arial" w:hAnsi="Arial"/>
          <w:sz w:val="16"/>
          <w:szCs w:val="16"/>
          <w:color w:val="auto"/>
        </w:rPr>
        <w:t>comprised of money market funds traded in an active market with no restrictions and are included in cash and cash equivalents on the accompanying consolidated balance sheets.</w:t>
      </w:r>
    </w:p>
    <w:p>
      <w:pPr>
        <w:spacing w:after="0" w:line="149"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i w:val="1"/>
          <w:iCs w:val="1"/>
          <w:color w:val="auto"/>
        </w:rPr>
        <w:t>Assets that fund deferred compensation</w:t>
      </w:r>
      <w:r>
        <w:rPr>
          <w:rFonts w:ascii="Arial" w:cs="Arial" w:eastAsia="Arial" w:hAnsi="Arial"/>
          <w:sz w:val="16"/>
          <w:szCs w:val="16"/>
          <w:color w:val="auto"/>
        </w:rPr>
        <w:t>. Our assets that fund deferred compensation are marketable equity securities measured at fair value using quoted</w:t>
      </w:r>
      <w:r>
        <w:rPr>
          <w:rFonts w:ascii="Arial" w:cs="Arial" w:eastAsia="Arial" w:hAnsi="Arial"/>
          <w:sz w:val="16"/>
          <w:szCs w:val="16"/>
          <w:i w:val="1"/>
          <w:iCs w:val="1"/>
          <w:color w:val="auto"/>
        </w:rPr>
        <w:t xml:space="preserve"> </w:t>
      </w:r>
      <w:r>
        <w:rPr>
          <w:rFonts w:ascii="Arial" w:cs="Arial" w:eastAsia="Arial" w:hAnsi="Arial"/>
          <w:sz w:val="16"/>
          <w:szCs w:val="16"/>
          <w:color w:val="auto"/>
        </w:rPr>
        <w:t>market prices and primarily consist of equity-based mutual funds. The majority of which are classified as Level 1 as they are traded in an active market for which closing stock prices are readily available. These securities fund the Executive Share Option Plan and the Executive Deferred Compensation Plan (2007) (see Note 8) deferred compensation programs. The Executive Plan assets related to those options that will expire within a year are included in prepaid expenses and other assets in the accompanying balance sheets. The remaining assets are included in other assets.</w:t>
      </w:r>
    </w:p>
    <w:p>
      <w:pPr>
        <w:spacing w:after="0" w:line="157"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i w:val="1"/>
          <w:iCs w:val="1"/>
          <w:color w:val="auto"/>
        </w:rPr>
        <w:t xml:space="preserve">Assets and Liabilities that are measured at Fair Value on a Nonrecurring Basis. </w:t>
      </w:r>
      <w:r>
        <w:rPr>
          <w:rFonts w:ascii="Arial" w:cs="Arial" w:eastAsia="Arial" w:hAnsi="Arial"/>
          <w:sz w:val="16"/>
          <w:szCs w:val="16"/>
          <w:color w:val="auto"/>
        </w:rPr>
        <w:t>Our non-financial assets, which include goodwill and property and equipment,</w:t>
      </w:r>
      <w:r>
        <w:rPr>
          <w:rFonts w:ascii="Arial" w:cs="Arial" w:eastAsia="Arial" w:hAnsi="Arial"/>
          <w:sz w:val="16"/>
          <w:szCs w:val="16"/>
          <w:i w:val="1"/>
          <w:iCs w:val="1"/>
          <w:color w:val="auto"/>
        </w:rPr>
        <w:t xml:space="preserve"> </w:t>
      </w:r>
      <w:r>
        <w:rPr>
          <w:rFonts w:ascii="Arial" w:cs="Arial" w:eastAsia="Arial" w:hAnsi="Arial"/>
          <w:sz w:val="16"/>
          <w:szCs w:val="16"/>
          <w:color w:val="auto"/>
        </w:rPr>
        <w:t>are not required to be measured at fair value on a recurring basis. However, if certain triggering events occur, or if an annual impairment test is required, we must evaluate the non-financial asset for impairment. If an impairment did occur, the asset is required to be recorded at the estimated fair value. Using Level 2 inputs, we recorded an impairment of $462,000 for our corporate plane during the fiscal year ended August 29, 2015. See Note 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spacing w:after="0"/>
              <w:rPr>
                <w:sz w:val="20"/>
                <w:szCs w:val="20"/>
                <w:color w:val="auto"/>
              </w:rPr>
            </w:pPr>
            <w:r>
              <w:rPr>
                <w:rFonts w:ascii="Arial" w:cs="Arial" w:eastAsia="Arial" w:hAnsi="Arial"/>
                <w:sz w:val="16"/>
                <w:szCs w:val="16"/>
                <w:b w:val="1"/>
                <w:bCs w:val="1"/>
                <w:color w:val="auto"/>
              </w:rPr>
              <w:t>Note 3: Inventories</w:t>
            </w:r>
          </w:p>
        </w:tc>
        <w:tc>
          <w:tcPr>
            <w:tcW w:w="3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351"/>
        </w:trPr>
        <w:tc>
          <w:tcPr>
            <w:tcW w:w="6360" w:type="dxa"/>
            <w:vAlign w:val="bottom"/>
          </w:tcPr>
          <w:p>
            <w:pPr>
              <w:spacing w:after="0"/>
              <w:rPr>
                <w:sz w:val="20"/>
                <w:szCs w:val="20"/>
                <w:color w:val="auto"/>
              </w:rPr>
            </w:pPr>
            <w:r>
              <w:rPr>
                <w:rFonts w:ascii="Arial" w:cs="Arial" w:eastAsia="Arial" w:hAnsi="Arial"/>
                <w:sz w:val="16"/>
                <w:szCs w:val="16"/>
                <w:color w:val="auto"/>
              </w:rPr>
              <w:t>Inventories consist of the following:</w:t>
            </w:r>
          </w:p>
        </w:tc>
        <w:tc>
          <w:tcPr>
            <w:tcW w:w="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91"/>
        </w:trPr>
        <w:tc>
          <w:tcPr>
            <w:tcW w:w="63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24"/>
                <w:szCs w:val="24"/>
                <w:color w:val="auto"/>
              </w:rPr>
            </w:pPr>
          </w:p>
        </w:tc>
        <w:tc>
          <w:tcPr>
            <w:tcW w:w="2200" w:type="dxa"/>
            <w:vAlign w:val="bottom"/>
            <w:gridSpan w:val="2"/>
          </w:tcPr>
          <w:p>
            <w:pPr>
              <w:ind w:left="240"/>
              <w:spacing w:after="0"/>
              <w:rPr>
                <w:sz w:val="20"/>
                <w:szCs w:val="20"/>
                <w:color w:val="auto"/>
              </w:rPr>
            </w:pPr>
            <w:r>
              <w:rPr>
                <w:rFonts w:ascii="Arial" w:cs="Arial" w:eastAsia="Arial" w:hAnsi="Arial"/>
                <w:sz w:val="16"/>
                <w:szCs w:val="16"/>
                <w:b w:val="1"/>
                <w:bCs w:val="1"/>
                <w:color w:val="auto"/>
              </w:rPr>
              <w:t>August 27, 2016</w:t>
            </w:r>
          </w:p>
        </w:tc>
        <w:tc>
          <w:tcPr>
            <w:tcW w:w="380" w:type="dxa"/>
            <w:vAlign w:val="bottom"/>
          </w:tcPr>
          <w:p>
            <w:pPr>
              <w:spacing w:after="0"/>
              <w:rPr>
                <w:sz w:val="24"/>
                <w:szCs w:val="24"/>
                <w:color w:val="auto"/>
              </w:rPr>
            </w:pPr>
          </w:p>
        </w:tc>
        <w:tc>
          <w:tcPr>
            <w:tcW w:w="2100" w:type="dxa"/>
            <w:vAlign w:val="bottom"/>
          </w:tcPr>
          <w:p>
            <w:pPr>
              <w:jc w:val="right"/>
              <w:ind w:right="539"/>
              <w:spacing w:after="0"/>
              <w:rPr>
                <w:sz w:val="20"/>
                <w:szCs w:val="20"/>
                <w:color w:val="auto"/>
              </w:rPr>
            </w:pPr>
            <w:r>
              <w:rPr>
                <w:rFonts w:ascii="Arial" w:cs="Arial" w:eastAsia="Arial" w:hAnsi="Arial"/>
                <w:sz w:val="16"/>
                <w:szCs w:val="16"/>
                <w:b w:val="1"/>
                <w:bCs w:val="1"/>
                <w:color w:val="auto"/>
              </w:rPr>
              <w:t>August 29, 2015</w:t>
            </w:r>
          </w:p>
        </w:tc>
      </w:tr>
      <w:tr>
        <w:trPr>
          <w:trHeight w:val="257"/>
        </w:trPr>
        <w:tc>
          <w:tcPr>
            <w:tcW w:w="63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19,129</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12,179</w:t>
            </w:r>
          </w:p>
        </w:tc>
      </w:tr>
      <w:tr>
        <w:trPr>
          <w:trHeight w:val="260"/>
        </w:trPr>
        <w:tc>
          <w:tcPr>
            <w:tcW w:w="6360" w:type="dxa"/>
            <w:vAlign w:val="bottom"/>
          </w:tcPr>
          <w:p>
            <w:pPr>
              <w:ind w:left="40"/>
              <w:spacing w:after="0"/>
              <w:rPr>
                <w:sz w:val="20"/>
                <w:szCs w:val="20"/>
                <w:color w:val="auto"/>
              </w:rPr>
            </w:pPr>
            <w:r>
              <w:rPr>
                <w:rFonts w:ascii="Arial" w:cs="Arial" w:eastAsia="Arial" w:hAnsi="Arial"/>
                <w:sz w:val="16"/>
                <w:szCs w:val="16"/>
                <w:color w:val="auto"/>
              </w:rPr>
              <w:t>Work-in-process</w:t>
            </w:r>
          </w:p>
        </w:tc>
        <w:tc>
          <w:tcPr>
            <w:tcW w:w="380" w:type="dxa"/>
            <w:vAlign w:val="bottom"/>
          </w:tcPr>
          <w:p>
            <w:pPr>
              <w:spacing w:after="0"/>
              <w:rPr>
                <w:sz w:val="22"/>
                <w:szCs w:val="22"/>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76,350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66,602</w:t>
            </w:r>
          </w:p>
        </w:tc>
      </w:tr>
      <w:tr>
        <w:trPr>
          <w:trHeight w:val="273"/>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Raw materials</w:t>
            </w:r>
          </w:p>
        </w:tc>
        <w:tc>
          <w:tcPr>
            <w:tcW w:w="3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60,740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65,928</w:t>
            </w:r>
          </w:p>
        </w:tc>
      </w:tr>
      <w:tr>
        <w:trPr>
          <w:trHeight w:val="247"/>
        </w:trPr>
        <w:tc>
          <w:tcPr>
            <w:tcW w:w="6360" w:type="dxa"/>
            <w:vAlign w:val="bottom"/>
          </w:tcPr>
          <w:p>
            <w:pPr>
              <w:ind w:left="40"/>
              <w:spacing w:after="0"/>
              <w:rPr>
                <w:sz w:val="20"/>
                <w:szCs w:val="20"/>
                <w:color w:val="auto"/>
              </w:rPr>
            </w:pPr>
            <w:r>
              <w:rPr>
                <w:rFonts w:ascii="Arial" w:cs="Arial" w:eastAsia="Arial" w:hAnsi="Arial"/>
                <w:sz w:val="16"/>
                <w:szCs w:val="16"/>
                <w:color w:val="auto"/>
              </w:rPr>
              <w:t>Total</w:t>
            </w:r>
          </w:p>
        </w:tc>
        <w:tc>
          <w:tcPr>
            <w:tcW w:w="380" w:type="dxa"/>
            <w:vAlign w:val="bottom"/>
          </w:tcPr>
          <w:p>
            <w:pPr>
              <w:spacing w:after="0"/>
              <w:rPr>
                <w:sz w:val="21"/>
                <w:szCs w:val="21"/>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156,219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144,709</w:t>
            </w:r>
          </w:p>
        </w:tc>
      </w:tr>
      <w:tr>
        <w:trPr>
          <w:trHeight w:val="273"/>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LIFO reserve</w:t>
            </w:r>
          </w:p>
        </w:tc>
        <w:tc>
          <w:tcPr>
            <w:tcW w:w="3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(33,697)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(32,544)</w:t>
            </w:r>
          </w:p>
        </w:tc>
      </w:tr>
      <w:tr>
        <w:trPr>
          <w:trHeight w:val="240"/>
        </w:trPr>
        <w:tc>
          <w:tcPr>
            <w:tcW w:w="6360" w:type="dxa"/>
            <w:vAlign w:val="bottom"/>
          </w:tcPr>
          <w:p>
            <w:pPr>
              <w:ind w:left="40"/>
              <w:spacing w:after="0"/>
              <w:rPr>
                <w:sz w:val="20"/>
                <w:szCs w:val="20"/>
                <w:color w:val="auto"/>
              </w:rPr>
            </w:pPr>
            <w:r>
              <w:rPr>
                <w:rFonts w:ascii="Arial" w:cs="Arial" w:eastAsia="Arial" w:hAnsi="Arial"/>
                <w:sz w:val="16"/>
                <w:szCs w:val="16"/>
                <w:color w:val="auto"/>
              </w:rPr>
              <w:t>Total inventories</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122,522</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112,165</w:t>
            </w:r>
          </w:p>
        </w:tc>
      </w:tr>
      <w:tr>
        <w:trPr>
          <w:trHeight w:val="20"/>
        </w:trPr>
        <w:tc>
          <w:tcPr>
            <w:tcW w:w="6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The above value of inventories, before reduction for the LIFO reserve, approximates replacement cost at the respective dates. Of the $156.2 million and $144.7 million inventory at August 27, 2016 and August 29, 2015, respectively, $149.4 million and $135.3 million is valued on a LIFO basis. The remaining inventories of $6.8 million and $8.4 million at August 27, 2016 and August 29, 2015, respectively, are valued on a FIFO basis.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Property, Plant and Equipment and Assets Held for Sale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9"/>
                <w:szCs w:val="19"/>
                <w:color w:val="auto"/>
              </w:rPr>
            </w:pPr>
          </w:p>
        </w:tc>
        <w:tc>
          <w:tcPr>
            <w:tcW w:w="2200" w:type="dxa"/>
            <w:vAlign w:val="bottom"/>
            <w:gridSpan w:val="2"/>
          </w:tcPr>
          <w:p>
            <w:pPr>
              <w:ind w:left="240"/>
              <w:spacing w:after="0"/>
              <w:rPr>
                <w:sz w:val="20"/>
                <w:szCs w:val="20"/>
                <w:color w:val="auto"/>
              </w:rPr>
            </w:pPr>
            <w:r>
              <w:rPr>
                <w:rFonts w:ascii="Arial" w:cs="Arial" w:eastAsia="Arial" w:hAnsi="Arial"/>
                <w:sz w:val="16"/>
                <w:szCs w:val="16"/>
                <w:b w:val="1"/>
                <w:bCs w:val="1"/>
                <w:color w:val="auto"/>
              </w:rPr>
              <w:t>August 27, 2016</w:t>
            </w:r>
          </w:p>
        </w:tc>
        <w:tc>
          <w:tcPr>
            <w:tcW w:w="380" w:type="dxa"/>
            <w:vAlign w:val="bottom"/>
          </w:tcPr>
          <w:p>
            <w:pPr>
              <w:spacing w:after="0"/>
              <w:rPr>
                <w:sz w:val="19"/>
                <w:szCs w:val="19"/>
                <w:color w:val="auto"/>
              </w:rPr>
            </w:pPr>
          </w:p>
        </w:tc>
        <w:tc>
          <w:tcPr>
            <w:tcW w:w="2100" w:type="dxa"/>
            <w:vAlign w:val="bottom"/>
          </w:tcPr>
          <w:p>
            <w:pPr>
              <w:jc w:val="right"/>
              <w:ind w:right="539"/>
              <w:spacing w:after="0"/>
              <w:rPr>
                <w:sz w:val="20"/>
                <w:szCs w:val="20"/>
                <w:color w:val="auto"/>
              </w:rPr>
            </w:pPr>
            <w:r>
              <w:rPr>
                <w:rFonts w:ascii="Arial" w:cs="Arial" w:eastAsia="Arial" w:hAnsi="Arial"/>
                <w:sz w:val="16"/>
                <w:szCs w:val="16"/>
                <w:b w:val="1"/>
                <w:bCs w:val="1"/>
                <w:color w:val="auto"/>
              </w:rPr>
              <w:t>August 29, 2015</w:t>
            </w:r>
          </w:p>
        </w:tc>
      </w:tr>
      <w:tr>
        <w:trPr>
          <w:trHeight w:val="270"/>
        </w:trPr>
        <w:tc>
          <w:tcPr>
            <w:tcW w:w="63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3,864</w:t>
            </w:r>
          </w:p>
        </w:tc>
        <w:tc>
          <w:tcPr>
            <w:tcW w:w="10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1,874</w:t>
            </w:r>
          </w:p>
        </w:tc>
      </w:tr>
      <w:tr>
        <w:trPr>
          <w:trHeight w:val="260"/>
        </w:trPr>
        <w:tc>
          <w:tcPr>
            <w:tcW w:w="6360" w:type="dxa"/>
            <w:vAlign w:val="bottom"/>
          </w:tcPr>
          <w:p>
            <w:pPr>
              <w:ind w:left="40"/>
              <w:spacing w:after="0"/>
              <w:rPr>
                <w:sz w:val="20"/>
                <w:szCs w:val="20"/>
                <w:color w:val="auto"/>
              </w:rPr>
            </w:pPr>
            <w:r>
              <w:rPr>
                <w:rFonts w:ascii="Arial" w:cs="Arial" w:eastAsia="Arial" w:hAnsi="Arial"/>
                <w:sz w:val="16"/>
                <w:szCs w:val="16"/>
                <w:color w:val="auto"/>
              </w:rPr>
              <w:t>Buildings and building improvements</w:t>
            </w:r>
          </w:p>
        </w:tc>
        <w:tc>
          <w:tcPr>
            <w:tcW w:w="380" w:type="dxa"/>
            <w:vAlign w:val="bottom"/>
          </w:tcPr>
          <w:p>
            <w:pPr>
              <w:spacing w:after="0"/>
              <w:rPr>
                <w:sz w:val="22"/>
                <w:szCs w:val="22"/>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62,073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53,388</w:t>
            </w:r>
          </w:p>
        </w:tc>
      </w:tr>
      <w:tr>
        <w:trPr>
          <w:trHeight w:val="280"/>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380" w:type="dxa"/>
            <w:vAlign w:val="bottom"/>
            <w:shd w:val="clear" w:color="auto" w:fill="CCEEFF"/>
          </w:tcPr>
          <w:p>
            <w:pPr>
              <w:spacing w:after="0"/>
              <w:rPr>
                <w:sz w:val="24"/>
                <w:szCs w:val="24"/>
                <w:color w:val="auto"/>
              </w:rPr>
            </w:pPr>
          </w:p>
        </w:tc>
        <w:tc>
          <w:tcPr>
            <w:tcW w:w="21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95,087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1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94,034</w:t>
            </w:r>
          </w:p>
        </w:tc>
      </w:tr>
      <w:tr>
        <w:trPr>
          <w:trHeight w:val="260"/>
        </w:trPr>
        <w:tc>
          <w:tcPr>
            <w:tcW w:w="6360" w:type="dxa"/>
            <w:vAlign w:val="bottom"/>
          </w:tcPr>
          <w:p>
            <w:pPr>
              <w:ind w:left="40"/>
              <w:spacing w:after="0"/>
              <w:rPr>
                <w:sz w:val="20"/>
                <w:szCs w:val="20"/>
                <w:color w:val="auto"/>
              </w:rPr>
            </w:pPr>
            <w:r>
              <w:rPr>
                <w:rFonts w:ascii="Arial" w:cs="Arial" w:eastAsia="Arial" w:hAnsi="Arial"/>
                <w:sz w:val="16"/>
                <w:szCs w:val="16"/>
                <w:color w:val="auto"/>
              </w:rPr>
              <w:t>Software</w:t>
            </w:r>
          </w:p>
        </w:tc>
        <w:tc>
          <w:tcPr>
            <w:tcW w:w="380" w:type="dxa"/>
            <w:vAlign w:val="bottom"/>
          </w:tcPr>
          <w:p>
            <w:pPr>
              <w:spacing w:after="0"/>
              <w:rPr>
                <w:sz w:val="22"/>
                <w:szCs w:val="22"/>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15,878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8,033</w:t>
            </w:r>
          </w:p>
        </w:tc>
      </w:tr>
      <w:tr>
        <w:trPr>
          <w:trHeight w:val="273"/>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Transportation</w:t>
            </w:r>
          </w:p>
        </w:tc>
        <w:tc>
          <w:tcPr>
            <w:tcW w:w="3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8,956</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8,913</w:t>
            </w:r>
          </w:p>
        </w:tc>
      </w:tr>
      <w:tr>
        <w:trPr>
          <w:trHeight w:val="247"/>
        </w:trPr>
        <w:tc>
          <w:tcPr>
            <w:tcW w:w="6360" w:type="dxa"/>
            <w:vAlign w:val="bottom"/>
          </w:tcPr>
          <w:p>
            <w:pPr>
              <w:ind w:left="40"/>
              <w:spacing w:after="0"/>
              <w:rPr>
                <w:sz w:val="20"/>
                <w:szCs w:val="20"/>
                <w:color w:val="auto"/>
              </w:rPr>
            </w:pPr>
            <w:r>
              <w:rPr>
                <w:rFonts w:ascii="Arial" w:cs="Arial" w:eastAsia="Arial" w:hAnsi="Arial"/>
                <w:sz w:val="16"/>
                <w:szCs w:val="16"/>
                <w:color w:val="auto"/>
              </w:rPr>
              <w:t>Total property, plant and equipment, gross</w:t>
            </w:r>
          </w:p>
        </w:tc>
        <w:tc>
          <w:tcPr>
            <w:tcW w:w="380" w:type="dxa"/>
            <w:vAlign w:val="bottom"/>
          </w:tcPr>
          <w:p>
            <w:pPr>
              <w:spacing w:after="0"/>
              <w:rPr>
                <w:sz w:val="21"/>
                <w:szCs w:val="21"/>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185,858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166,242</w:t>
            </w:r>
          </w:p>
        </w:tc>
      </w:tr>
      <w:tr>
        <w:trPr>
          <w:trHeight w:val="273"/>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3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(129,927)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(128,992)</w:t>
            </w:r>
          </w:p>
        </w:tc>
      </w:tr>
      <w:tr>
        <w:trPr>
          <w:trHeight w:val="240"/>
        </w:trPr>
        <w:tc>
          <w:tcPr>
            <w:tcW w:w="6360" w:type="dxa"/>
            <w:vAlign w:val="bottom"/>
          </w:tcPr>
          <w:p>
            <w:pPr>
              <w:ind w:left="40"/>
              <w:spacing w:after="0"/>
              <w:rPr>
                <w:sz w:val="20"/>
                <w:szCs w:val="20"/>
                <w:color w:val="auto"/>
              </w:rPr>
            </w:pPr>
            <w:r>
              <w:rPr>
                <w:rFonts w:ascii="Arial" w:cs="Arial" w:eastAsia="Arial" w:hAnsi="Arial"/>
                <w:sz w:val="16"/>
                <w:szCs w:val="16"/>
                <w:color w:val="auto"/>
              </w:rPr>
              <w:t>Total property, plant and equipment, net</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55,931</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37,250</w:t>
            </w:r>
          </w:p>
        </w:tc>
      </w:tr>
      <w:tr>
        <w:trPr>
          <w:trHeight w:val="20"/>
        </w:trPr>
        <w:tc>
          <w:tcPr>
            <w:tcW w:w="6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On April 17, 2015 we purchased the Towables assembly facilities in Middlebury, Indiana for $5.4 million and on May 5, 2015 we purchased a facility in Waverly, Iowa for $850,000 for expansion of our subassembly operations.</w:t>
      </w:r>
    </w:p>
    <w:p>
      <w:pPr>
        <w:spacing w:after="0" w:line="16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On November 30, 2015 we purchased land and buildings from Country Coach in Junction City, Oregon for approximately $5.7 million. On January 6, 2016 we purchased adjacent property in Junction City for approximately $4.0 million. These properties are currently being used for expansion of West Coast motorhome manufacturing and service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Held for Sale</w:t>
      </w:r>
    </w:p>
    <w:p>
      <w:pPr>
        <w:spacing w:after="0" w:line="25"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At August 29, 2015 and August 27, 2016, we had no assets held for sale. In the third quarter of Fiscal 2015 we placed our corporate plane for sale, recorded an impairment of $462,000 and reclassified the net book value to current other assets in the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41"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consolidated balance sheets. In the fourth quarter of Fiscal 2015 we took our plane off the market and reclassified the net book value to property, plant and equipment in the consolidated balance sheets.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Goodwill</w:t>
      </w:r>
    </w:p>
    <w:p>
      <w:pPr>
        <w:spacing w:after="0" w:line="214" w:lineRule="exact"/>
        <w:rPr>
          <w:sz w:val="20"/>
          <w:szCs w:val="20"/>
          <w:color w:val="auto"/>
        </w:rPr>
      </w:pPr>
    </w:p>
    <w:p>
      <w:pPr>
        <w:ind w:right="460"/>
        <w:spacing w:after="0" w:line="253" w:lineRule="auto"/>
        <w:rPr>
          <w:sz w:val="20"/>
          <w:szCs w:val="20"/>
          <w:color w:val="auto"/>
        </w:rPr>
      </w:pPr>
      <w:r>
        <w:rPr>
          <w:rFonts w:ascii="Arial" w:cs="Arial" w:eastAsia="Arial" w:hAnsi="Arial"/>
          <w:sz w:val="16"/>
          <w:szCs w:val="16"/>
          <w:color w:val="auto"/>
        </w:rPr>
        <w:t>Goodwill is the result of the acquisition of SunnyBrook during Fiscal 2011. Goodwill of $1.2 million is not subject to amortization for financial statement purposes, but is amortizable for tax return purposes. Goodwill is reviewed for impairment by applying a fair-value based test on an annual basis, or more frequently if circumstances indicate a potential impairment. No impairment of goodwill has been identified.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Credit Facilities</w:t>
      </w:r>
    </w:p>
    <w:p>
      <w:pPr>
        <w:spacing w:after="0" w:line="18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On October 31, 2012, we entered into a Credit Agreement with GECC. The Credit Agreement provides for an initial $35.0 million revolving credit facility, based on our eligible inventory and was to expire on October 31, 2015 before the amendment described below. There is no termination fee associated with the agreement.</w:t>
      </w:r>
    </w:p>
    <w:p>
      <w:pPr>
        <w:spacing w:after="0" w:line="14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Credit Agreement contains no financial covenant restrictions for borrowings where we have excess borrowing availability under the facility of greater than $5.0 million. The Credit Agreement requires us to comply with a fixed charge ratio if excess borrowing availability under the facility is less than $5.0 million. In addition the Credit Agreement also includes a framework to expand the size of the facility up to $50.0 million, based on mutually agreeable terms at the time of the expansion. The initial unused line fee associated with the Credit Agreement is 0.5% per annum and has the ability to be lowered based upon facility usage.</w:t>
      </w:r>
    </w:p>
    <w:p>
      <w:pPr>
        <w:spacing w:after="0" w:line="149" w:lineRule="exact"/>
        <w:rPr>
          <w:sz w:val="20"/>
          <w:szCs w:val="20"/>
          <w:color w:val="auto"/>
        </w:rPr>
      </w:pPr>
    </w:p>
    <w:p>
      <w:pPr>
        <w:ind w:right="260"/>
        <w:spacing w:after="0" w:line="250" w:lineRule="auto"/>
        <w:rPr>
          <w:sz w:val="20"/>
          <w:szCs w:val="20"/>
          <w:color w:val="auto"/>
        </w:rPr>
      </w:pPr>
      <w:r>
        <w:rPr>
          <w:rFonts w:ascii="Arial" w:cs="Arial" w:eastAsia="Arial" w:hAnsi="Arial"/>
          <w:sz w:val="16"/>
          <w:szCs w:val="16"/>
          <w:color w:val="auto"/>
        </w:rPr>
        <w:t>The Credit Agreement contains typical affirmative representations and covenants for a credit agreement of this size and nature. Additionally, the Credit Agreement contains negative covenants limiting our ability, among other things, to incur debt, grant liens, make acquisitions, make certain investments, pay certain dividends and distributions, engage in mergers, consolidations or acquisitions and sell certain assets. Obligations under the Credit Agreement are secured by a security interest in all of our accounts and other receivables, chattel paper, documents, deposit accounts, instruments, equipment, inventory, investment property, leasehold interest, cash and cash equivalents, letter-of-credit rights, most real property and fixtures and certain other business assets.</w:t>
      </w:r>
    </w:p>
    <w:p>
      <w:pPr>
        <w:spacing w:after="0" w:line="17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On May 28, 2014, we amended this Credit Agreement (the "Amended Credit Agreement"). The Amended Credit Agreement extends the term of the credit facility from October 31, 2015 to May 28, 2019. In addition, interest on loans made under the Amended Credit Facility will be based on LIBOR plus a margin of 2.0%. The amendment also revised and added definitions of several terms including an expanded Restricted Payment Basket that now permits up to $15.0 million purchases of company stock or cash dividends to be excluded from the Fixed Charge ratio. In addition, the definition of Eligible Accounts was expanded to permit certain receivables to be included in the Borrowing Base. The Amended Credit Agreement also permits us to engage in certain sale lease buyback transactions in the ordinary course of business subject to certain restrictions and increases our ability to incur capital lease obligations. In Fiscal 2016, Wells Fargo Capital Finance acquired GECC's corporate finance business.</w:t>
      </w:r>
    </w:p>
    <w:p>
      <w:pPr>
        <w:spacing w:after="0" w:line="182"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During the second quarter of Fiscal 2015 we utilized the credit facility to meet working capital needs. As of August 27, 2016, we are in compliance with the financial covenants of the Amended Credit Agreement, and no borrowings are outstanding.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Warranty</w:t>
      </w:r>
    </w:p>
    <w:p>
      <w:pPr>
        <w:spacing w:after="0" w:line="21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We provide our motorhome customers a comprehensive 12-month/15,000-mile warranty on our Class A, B, and C motorhomes, and a 3-year/36,000-mile structural warranty on Class A and C sidewalls and floors. We provide a comprehensive 12-month warranty on all towable products. From time to time, we voluntarily incur costs for certain warranty-type expenses occurring after the normal warranty period to help protect the reputation of our products and the goodwill of our customers. Estimated costs related to product warranty are accrued at the time of sale and are based upon past warranty claims and unit sales history. Accruals are adjusted as needed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w:t>
      </w:r>
    </w:p>
    <w:p>
      <w:pPr>
        <w:spacing w:after="0" w:line="182"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In addition to the costs associated with the contractual warranty coverage provided on our products,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380"/>
          </w:cols>
          <w:pgMar w:left="240" w:top="141" w:right="27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4"/>
        </w:trPr>
        <w:tc>
          <w:tcPr>
            <w:tcW w:w="514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340" w:type="dxa"/>
            <w:vAlign w:val="bottom"/>
            <w:gridSpan w:val="6"/>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600" w:type="dxa"/>
            <w:vAlign w:val="bottom"/>
            <w:gridSpan w:val="7"/>
          </w:tcPr>
          <w:p>
            <w:pPr>
              <w:spacing w:after="0"/>
              <w:rPr>
                <w:sz w:val="20"/>
                <w:szCs w:val="20"/>
                <w:color w:val="auto"/>
              </w:rPr>
            </w:pPr>
            <w:r>
              <w:rPr>
                <w:rFonts w:ascii="Arial" w:cs="Arial" w:eastAsia="Arial" w:hAnsi="Arial"/>
                <w:sz w:val="16"/>
                <w:szCs w:val="16"/>
                <w:color w:val="auto"/>
              </w:rPr>
              <w:t>Changes in our product warranty liability during Fiscal 2016, Fiscal 2015, and Fiscal 2014 are as follows:</w:t>
            </w: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14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4"/>
                <w:szCs w:val="24"/>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b w:val="1"/>
                <w:bCs w:val="1"/>
                <w:color w:val="auto"/>
              </w:rPr>
              <w:t>August 27, 2016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3"/>
          </w:tcPr>
          <w:p>
            <w:pPr>
              <w:ind w:left="60"/>
              <w:spacing w:after="0"/>
              <w:rPr>
                <w:sz w:val="20"/>
                <w:szCs w:val="20"/>
                <w:color w:val="auto"/>
              </w:rPr>
            </w:pPr>
            <w:r>
              <w:rPr>
                <w:rFonts w:ascii="Arial" w:cs="Arial" w:eastAsia="Arial" w:hAnsi="Arial"/>
                <w:sz w:val="16"/>
                <w:szCs w:val="16"/>
                <w:b w:val="1"/>
                <w:bCs w:val="1"/>
                <w:color w:val="auto"/>
              </w:rPr>
              <w:t>August 29, 2015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30, 2014</w:t>
            </w:r>
          </w:p>
        </w:tc>
        <w:tc>
          <w:tcPr>
            <w:tcW w:w="0" w:type="dxa"/>
            <w:vAlign w:val="bottom"/>
          </w:tcPr>
          <w:p>
            <w:pPr>
              <w:spacing w:after="0"/>
              <w:rPr>
                <w:sz w:val="1"/>
                <w:szCs w:val="1"/>
                <w:color w:val="auto"/>
              </w:rPr>
            </w:pPr>
          </w:p>
        </w:tc>
      </w:tr>
      <w:tr>
        <w:trPr>
          <w:trHeight w:val="257"/>
        </w:trPr>
        <w:tc>
          <w:tcPr>
            <w:tcW w:w="514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year</w:t>
            </w: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11,254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auto"/>
            </w:tcBorders>
            <w:shd w:val="clear" w:color="auto" w:fill="CCEEFF"/>
          </w:tcPr>
          <w:p>
            <w:pPr>
              <w:spacing w:after="0"/>
              <w:rPr>
                <w:sz w:val="22"/>
                <w:szCs w:val="22"/>
                <w:color w:val="auto"/>
              </w:rPr>
            </w:pPr>
          </w:p>
        </w:tc>
        <w:tc>
          <w:tcPr>
            <w:tcW w:w="170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9,501</w:t>
            </w:r>
          </w:p>
        </w:tc>
        <w:tc>
          <w:tcPr>
            <w:tcW w:w="6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8,443</w:t>
            </w:r>
          </w:p>
        </w:tc>
        <w:tc>
          <w:tcPr>
            <w:tcW w:w="0" w:type="dxa"/>
            <w:vAlign w:val="bottom"/>
          </w:tcPr>
          <w:p>
            <w:pPr>
              <w:spacing w:after="0"/>
              <w:rPr>
                <w:sz w:val="1"/>
                <w:szCs w:val="1"/>
                <w:color w:val="auto"/>
              </w:rPr>
            </w:pPr>
          </w:p>
        </w:tc>
      </w:tr>
      <w:tr>
        <w:trPr>
          <w:trHeight w:val="260"/>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Provision</w:t>
            </w:r>
          </w:p>
        </w:tc>
        <w:tc>
          <w:tcPr>
            <w:tcW w:w="360" w:type="dxa"/>
            <w:vAlign w:val="bottom"/>
          </w:tcPr>
          <w:p>
            <w:pPr>
              <w:spacing w:after="0"/>
              <w:rPr>
                <w:sz w:val="22"/>
                <w:szCs w:val="22"/>
                <w:color w:val="auto"/>
              </w:rPr>
            </w:pPr>
          </w:p>
        </w:tc>
        <w:tc>
          <w:tcPr>
            <w:tcW w:w="1660" w:type="dxa"/>
            <w:vAlign w:val="bottom"/>
          </w:tcPr>
          <w:p>
            <w:pPr>
              <w:jc w:val="right"/>
              <w:ind w:right="339"/>
              <w:spacing w:after="0"/>
              <w:rPr>
                <w:sz w:val="20"/>
                <w:szCs w:val="20"/>
                <w:color w:val="auto"/>
              </w:rPr>
            </w:pPr>
            <w:r>
              <w:rPr>
                <w:rFonts w:ascii="Arial" w:cs="Arial" w:eastAsia="Arial" w:hAnsi="Arial"/>
                <w:sz w:val="16"/>
                <w:szCs w:val="16"/>
                <w:color w:val="auto"/>
              </w:rPr>
              <w:t>16,503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12,892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jc w:val="right"/>
              <w:ind w:right="359"/>
              <w:spacing w:after="0"/>
              <w:rPr>
                <w:sz w:val="20"/>
                <w:szCs w:val="20"/>
                <w:color w:val="auto"/>
              </w:rPr>
            </w:pPr>
            <w:r>
              <w:rPr>
                <w:rFonts w:ascii="Arial" w:cs="Arial" w:eastAsia="Arial" w:hAnsi="Arial"/>
                <w:sz w:val="16"/>
                <w:szCs w:val="16"/>
                <w:color w:val="auto"/>
              </w:rPr>
              <w:t>10,947</w:t>
            </w:r>
          </w:p>
        </w:tc>
        <w:tc>
          <w:tcPr>
            <w:tcW w:w="0" w:type="dxa"/>
            <w:vAlign w:val="bottom"/>
          </w:tcPr>
          <w:p>
            <w:pPr>
              <w:spacing w:after="0"/>
              <w:rPr>
                <w:sz w:val="1"/>
                <w:szCs w:val="1"/>
                <w:color w:val="auto"/>
              </w:rPr>
            </w:pPr>
          </w:p>
        </w:tc>
      </w:tr>
      <w:tr>
        <w:trPr>
          <w:trHeight w:val="273"/>
        </w:trPr>
        <w:tc>
          <w:tcPr>
            <w:tcW w:w="5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Claims paid</w:t>
            </w:r>
          </w:p>
        </w:tc>
        <w:tc>
          <w:tcPr>
            <w:tcW w:w="36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(15,345)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(11,139)</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(9,889)</w:t>
            </w:r>
          </w:p>
        </w:tc>
        <w:tc>
          <w:tcPr>
            <w:tcW w:w="0" w:type="dxa"/>
            <w:vAlign w:val="bottom"/>
          </w:tcPr>
          <w:p>
            <w:pPr>
              <w:spacing w:after="0"/>
              <w:rPr>
                <w:sz w:val="1"/>
                <w:szCs w:val="1"/>
                <w:color w:val="auto"/>
              </w:rPr>
            </w:pPr>
          </w:p>
        </w:tc>
      </w:tr>
      <w:tr>
        <w:trPr>
          <w:trHeight w:val="237"/>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Balance at end of year</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12,412</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11,254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9,501</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Note 8: Employee and Retiree Benefits</w:t>
            </w:r>
          </w:p>
        </w:tc>
        <w:tc>
          <w:tcPr>
            <w:tcW w:w="3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1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280" w:type="dxa"/>
            <w:vAlign w:val="bottom"/>
            <w:gridSpan w:val="5"/>
          </w:tcPr>
          <w:p>
            <w:pPr>
              <w:spacing w:after="0"/>
              <w:rPr>
                <w:sz w:val="20"/>
                <w:szCs w:val="20"/>
                <w:color w:val="auto"/>
              </w:rPr>
            </w:pPr>
            <w:r>
              <w:rPr>
                <w:rFonts w:ascii="Arial" w:cs="Arial" w:eastAsia="Arial" w:hAnsi="Arial"/>
                <w:sz w:val="16"/>
                <w:szCs w:val="16"/>
                <w:color w:val="auto"/>
              </w:rPr>
              <w:t>Postretirement health care and deferred compensation benefits are as follows: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1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August 27, 2016</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August 29, 2015</w:t>
            </w:r>
          </w:p>
        </w:tc>
        <w:tc>
          <w:tcPr>
            <w:tcW w:w="0" w:type="dxa"/>
            <w:vAlign w:val="bottom"/>
          </w:tcPr>
          <w:p>
            <w:pPr>
              <w:spacing w:after="0"/>
              <w:rPr>
                <w:sz w:val="1"/>
                <w:szCs w:val="1"/>
                <w:color w:val="auto"/>
              </w:rPr>
            </w:pPr>
          </w:p>
        </w:tc>
      </w:tr>
      <w:tr>
        <w:trPr>
          <w:trHeight w:val="257"/>
        </w:trPr>
        <w:tc>
          <w:tcPr>
            <w:tcW w:w="5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Postretirement health care benefit cost</w:t>
            </w:r>
          </w:p>
        </w:tc>
        <w:tc>
          <w:tcPr>
            <w:tcW w:w="36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6,346</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34,535</w:t>
            </w:r>
          </w:p>
        </w:tc>
        <w:tc>
          <w:tcPr>
            <w:tcW w:w="0" w:type="dxa"/>
            <w:vAlign w:val="bottom"/>
          </w:tcPr>
          <w:p>
            <w:pPr>
              <w:spacing w:after="0"/>
              <w:rPr>
                <w:sz w:val="1"/>
                <w:szCs w:val="1"/>
                <w:color w:val="auto"/>
              </w:rPr>
            </w:pPr>
          </w:p>
        </w:tc>
      </w:tr>
      <w:tr>
        <w:trPr>
          <w:trHeight w:val="260"/>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Non-qualified deferred compensation</w:t>
            </w:r>
          </w:p>
        </w:tc>
        <w:tc>
          <w:tcPr>
            <w:tcW w:w="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tcPr>
          <w:p>
            <w:pPr>
              <w:jc w:val="right"/>
              <w:ind w:right="299"/>
              <w:spacing w:after="0"/>
              <w:rPr>
                <w:sz w:val="20"/>
                <w:szCs w:val="20"/>
                <w:color w:val="auto"/>
              </w:rPr>
            </w:pPr>
            <w:r>
              <w:rPr>
                <w:rFonts w:ascii="Arial" w:cs="Arial" w:eastAsia="Arial" w:hAnsi="Arial"/>
                <w:sz w:val="16"/>
                <w:szCs w:val="16"/>
                <w:color w:val="auto"/>
              </w:rPr>
              <w:t>18,003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jc w:val="right"/>
              <w:ind w:right="359"/>
              <w:spacing w:after="0"/>
              <w:rPr>
                <w:sz w:val="20"/>
                <w:szCs w:val="20"/>
                <w:color w:val="auto"/>
              </w:rPr>
            </w:pPr>
            <w:r>
              <w:rPr>
                <w:rFonts w:ascii="Arial" w:cs="Arial" w:eastAsia="Arial" w:hAnsi="Arial"/>
                <w:sz w:val="16"/>
                <w:szCs w:val="16"/>
                <w:color w:val="auto"/>
              </w:rPr>
              <w:t>19,508</w:t>
            </w:r>
          </w:p>
        </w:tc>
        <w:tc>
          <w:tcPr>
            <w:tcW w:w="0" w:type="dxa"/>
            <w:vAlign w:val="bottom"/>
          </w:tcPr>
          <w:p>
            <w:pPr>
              <w:spacing w:after="0"/>
              <w:rPr>
                <w:sz w:val="1"/>
                <w:szCs w:val="1"/>
                <w:color w:val="auto"/>
              </w:rPr>
            </w:pPr>
          </w:p>
        </w:tc>
      </w:tr>
      <w:tr>
        <w:trPr>
          <w:trHeight w:val="280"/>
        </w:trPr>
        <w:tc>
          <w:tcPr>
            <w:tcW w:w="5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Executive share option plan liability</w:t>
            </w:r>
          </w:p>
        </w:tc>
        <w:tc>
          <w:tcPr>
            <w:tcW w:w="3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3,341</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4,788</w:t>
            </w:r>
          </w:p>
        </w:tc>
        <w:tc>
          <w:tcPr>
            <w:tcW w:w="0" w:type="dxa"/>
            <w:vAlign w:val="bottom"/>
          </w:tcPr>
          <w:p>
            <w:pPr>
              <w:spacing w:after="0"/>
              <w:rPr>
                <w:sz w:val="1"/>
                <w:szCs w:val="1"/>
                <w:color w:val="auto"/>
              </w:rPr>
            </w:pPr>
          </w:p>
        </w:tc>
      </w:tr>
      <w:tr>
        <w:trPr>
          <w:trHeight w:val="260"/>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SERP benefit liability</w:t>
            </w:r>
          </w:p>
        </w:tc>
        <w:tc>
          <w:tcPr>
            <w:tcW w:w="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tcPr>
          <w:p>
            <w:pPr>
              <w:jc w:val="right"/>
              <w:ind w:right="299"/>
              <w:spacing w:after="0"/>
              <w:rPr>
                <w:sz w:val="20"/>
                <w:szCs w:val="20"/>
                <w:color w:val="auto"/>
              </w:rPr>
            </w:pPr>
            <w:r>
              <w:rPr>
                <w:rFonts w:ascii="Arial" w:cs="Arial" w:eastAsia="Arial" w:hAnsi="Arial"/>
                <w:sz w:val="16"/>
                <w:szCs w:val="16"/>
                <w:color w:val="auto"/>
              </w:rPr>
              <w:t>2,681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jc w:val="right"/>
              <w:ind w:right="359"/>
              <w:spacing w:after="0"/>
              <w:rPr>
                <w:sz w:val="20"/>
                <w:szCs w:val="20"/>
                <w:color w:val="auto"/>
              </w:rPr>
            </w:pPr>
            <w:r>
              <w:rPr>
                <w:rFonts w:ascii="Arial" w:cs="Arial" w:eastAsia="Arial" w:hAnsi="Arial"/>
                <w:sz w:val="16"/>
                <w:szCs w:val="16"/>
                <w:color w:val="auto"/>
              </w:rPr>
              <w:t>2,649</w:t>
            </w:r>
          </w:p>
        </w:tc>
        <w:tc>
          <w:tcPr>
            <w:tcW w:w="0" w:type="dxa"/>
            <w:vAlign w:val="bottom"/>
          </w:tcPr>
          <w:p>
            <w:pPr>
              <w:spacing w:after="0"/>
              <w:rPr>
                <w:sz w:val="1"/>
                <w:szCs w:val="1"/>
                <w:color w:val="auto"/>
              </w:rPr>
            </w:pPr>
          </w:p>
        </w:tc>
      </w:tr>
      <w:tr>
        <w:trPr>
          <w:trHeight w:val="280"/>
        </w:trPr>
        <w:tc>
          <w:tcPr>
            <w:tcW w:w="5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Executive deferred compensation</w:t>
            </w:r>
          </w:p>
        </w:tc>
        <w:tc>
          <w:tcPr>
            <w:tcW w:w="3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389</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Officer stock-based compensation</w:t>
            </w:r>
          </w:p>
        </w:tc>
        <w:tc>
          <w:tcPr>
            <w:tcW w:w="360" w:type="dxa"/>
            <w:vAlign w:val="bottom"/>
            <w:tcBorders>
              <w:bottom w:val="single" w:sz="8" w:color="CCEEFF"/>
            </w:tcBorders>
          </w:tcPr>
          <w:p>
            <w:pPr>
              <w:spacing w:after="0"/>
              <w:rPr>
                <w:sz w:val="22"/>
                <w:szCs w:val="22"/>
                <w:color w:val="auto"/>
              </w:rPr>
            </w:pPr>
          </w:p>
        </w:tc>
        <w:tc>
          <w:tcPr>
            <w:tcW w:w="1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763</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57"/>
        </w:trPr>
        <w:tc>
          <w:tcPr>
            <w:tcW w:w="5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postretirement health care and deferred compensation benefits</w:t>
            </w:r>
          </w:p>
        </w:tc>
        <w:tc>
          <w:tcPr>
            <w:tcW w:w="36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31,523</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62,021</w:t>
            </w:r>
          </w:p>
        </w:tc>
        <w:tc>
          <w:tcPr>
            <w:tcW w:w="0" w:type="dxa"/>
            <w:vAlign w:val="bottom"/>
          </w:tcPr>
          <w:p>
            <w:pPr>
              <w:spacing w:after="0"/>
              <w:rPr>
                <w:sz w:val="1"/>
                <w:szCs w:val="1"/>
                <w:color w:val="auto"/>
              </w:rPr>
            </w:pPr>
          </w:p>
        </w:tc>
      </w:tr>
      <w:tr>
        <w:trPr>
          <w:trHeight w:val="270"/>
        </w:trPr>
        <w:tc>
          <w:tcPr>
            <w:tcW w:w="51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Less current portion</w:t>
            </w:r>
            <w:r>
              <w:rPr>
                <w:rFonts w:ascii="Arial" w:cs="Arial" w:eastAsia="Arial" w:hAnsi="Arial"/>
                <w:sz w:val="21"/>
                <w:szCs w:val="21"/>
                <w:color w:val="auto"/>
                <w:vertAlign w:val="superscript"/>
              </w:rPr>
              <w:t>(1)</w:t>
            </w:r>
          </w:p>
        </w:tc>
        <w:tc>
          <w:tcPr>
            <w:tcW w:w="360" w:type="dxa"/>
            <w:vAlign w:val="bottom"/>
            <w:tcBorders>
              <w:bottom w:val="single" w:sz="8" w:color="CCEEFF"/>
            </w:tcBorders>
          </w:tcPr>
          <w:p>
            <w:pPr>
              <w:spacing w:after="0"/>
              <w:rPr>
                <w:sz w:val="23"/>
                <w:szCs w:val="23"/>
                <w:color w:val="auto"/>
              </w:rPr>
            </w:pPr>
          </w:p>
        </w:tc>
        <w:tc>
          <w:tcPr>
            <w:tcW w:w="16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(4,574)</w:t>
            </w: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(4,931)</w:t>
            </w:r>
          </w:p>
        </w:tc>
        <w:tc>
          <w:tcPr>
            <w:tcW w:w="0" w:type="dxa"/>
            <w:vAlign w:val="bottom"/>
          </w:tcPr>
          <w:p>
            <w:pPr>
              <w:spacing w:after="0"/>
              <w:rPr>
                <w:sz w:val="1"/>
                <w:szCs w:val="1"/>
                <w:color w:val="auto"/>
              </w:rPr>
            </w:pPr>
          </w:p>
        </w:tc>
      </w:tr>
      <w:tr>
        <w:trPr>
          <w:trHeight w:val="237"/>
        </w:trPr>
        <w:tc>
          <w:tcPr>
            <w:tcW w:w="5500" w:type="dxa"/>
            <w:vAlign w:val="bottom"/>
            <w:gridSpan w:val="3"/>
            <w:shd w:val="clear" w:color="auto" w:fill="CCEEFF"/>
          </w:tcPr>
          <w:p>
            <w:pPr>
              <w:ind w:left="40"/>
              <w:spacing w:after="0" w:line="237" w:lineRule="exact"/>
              <w:rPr>
                <w:sz w:val="20"/>
                <w:szCs w:val="20"/>
                <w:color w:val="auto"/>
              </w:rPr>
            </w:pPr>
            <w:r>
              <w:rPr>
                <w:rFonts w:ascii="Arial" w:cs="Arial" w:eastAsia="Arial" w:hAnsi="Arial"/>
                <w:sz w:val="16"/>
                <w:szCs w:val="16"/>
                <w:color w:val="auto"/>
              </w:rPr>
              <w:t>Long-term postretirement health care and deferred compensation benefits</w:t>
            </w:r>
            <w:r>
              <w:rPr>
                <w:rFonts w:ascii="Arial" w:cs="Arial" w:eastAsia="Arial" w:hAnsi="Arial"/>
                <w:sz w:val="21"/>
                <w:szCs w:val="21"/>
                <w:color w:val="auto"/>
                <w:vertAlign w:val="superscript"/>
              </w:rPr>
              <w:t>(2)</w:t>
            </w: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26,949</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57,090</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 w:lineRule="exact"/>
        <w:rPr>
          <w:sz w:val="20"/>
          <w:szCs w:val="20"/>
          <w:color w:val="auto"/>
        </w:rPr>
      </w:pPr>
    </w:p>
    <w:p>
      <w:pPr>
        <w:ind w:left="180" w:hanging="172"/>
        <w:spacing w:after="0"/>
        <w:tabs>
          <w:tab w:leader="none" w:pos="18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Included in current liabilities in the Consolidated Balance Sheets</w:t>
      </w:r>
    </w:p>
    <w:p>
      <w:pPr>
        <w:ind w:left="180" w:hanging="172"/>
        <w:spacing w:after="0" w:line="199" w:lineRule="auto"/>
        <w:tabs>
          <w:tab w:leader="none" w:pos="18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Included in long-term liabilities in the Consolidated Balance Sheets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Postretirement Health Care Benefits</w:t>
      </w:r>
    </w:p>
    <w:p>
      <w:pPr>
        <w:spacing w:after="0" w:line="25"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at age 55 with 15 years of continuous service. We use a September 1 measurement date for this plan and our postretirement health care plan currently is not funded.</w:t>
      </w:r>
    </w:p>
    <w:p>
      <w:pPr>
        <w:spacing w:after="0" w:line="169"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In Fiscal 2005, through a plan amendment, we established dollar caps on the amount that we will pay for postretirement health care benefits per retiree on an annual basis so that we were not exposed to continued medical inflation. Retirees are required to pay a monthly premium in excess of the employer dollar caps for medical coverage based on years of service and age at retirement. Each year from 2012 to 2015, the employer established dollar caps were reduced by 10% through plan amendments. On January 1, 2016, postretirement health care benefits were discontinued for retirees age 65 and over. The plan amendment also included a 10% reduction in employer paid premiums for retirees under age 65. As a result of these amendments, our liability for postretirement health care was reduced as presented in the following table.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Liability</w:t>
            </w:r>
          </w:p>
        </w:tc>
        <w:tc>
          <w:tcPr>
            <w:tcW w:w="1480" w:type="dxa"/>
            <w:vAlign w:val="bottom"/>
          </w:tcPr>
          <w:p>
            <w:pPr>
              <w:spacing w:after="0"/>
              <w:rPr>
                <w:sz w:val="16"/>
                <w:szCs w:val="16"/>
                <w:color w:val="auto"/>
              </w:rPr>
            </w:pPr>
          </w:p>
        </w:tc>
      </w:tr>
      <w:tr>
        <w:trPr>
          <w:trHeight w:val="189"/>
        </w:trPr>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Reduction (in</w:t>
            </w:r>
          </w:p>
        </w:tc>
        <w:tc>
          <w:tcPr>
            <w:tcW w:w="1480" w:type="dxa"/>
            <w:vAlign w:val="bottom"/>
          </w:tcPr>
          <w:p>
            <w:pPr>
              <w:jc w:val="right"/>
              <w:ind w:right="159"/>
              <w:spacing w:after="0"/>
              <w:rPr>
                <w:sz w:val="20"/>
                <w:szCs w:val="20"/>
                <w:color w:val="auto"/>
              </w:rPr>
            </w:pPr>
            <w:r>
              <w:rPr>
                <w:rFonts w:ascii="Arial" w:cs="Arial" w:eastAsia="Arial" w:hAnsi="Arial"/>
                <w:sz w:val="16"/>
                <w:szCs w:val="16"/>
                <w:b w:val="1"/>
                <w:bCs w:val="1"/>
                <w:color w:val="auto"/>
              </w:rPr>
              <w:t>Amortization</w:t>
            </w:r>
          </w:p>
        </w:tc>
      </w:tr>
      <w:tr>
        <w:trPr>
          <w:trHeight w:val="234"/>
        </w:trPr>
        <w:tc>
          <w:tcPr>
            <w:tcW w:w="14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Date</w:t>
            </w:r>
          </w:p>
        </w:tc>
        <w:tc>
          <w:tcPr>
            <w:tcW w:w="120" w:type="dxa"/>
            <w:vAlign w:val="bottom"/>
            <w:tcBorders>
              <w:bottom w:val="single" w:sz="8" w:color="CCEEFF"/>
            </w:tcBorders>
          </w:tcPr>
          <w:p>
            <w:pPr>
              <w:spacing w:after="0"/>
              <w:rPr>
                <w:sz w:val="20"/>
                <w:szCs w:val="20"/>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Plan Amendment</w:t>
            </w:r>
          </w:p>
        </w:tc>
        <w:tc>
          <w:tcPr>
            <w:tcW w:w="12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Dollar Cap Reduction</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9"/>
              </w:rPr>
              <w:t>thousands)</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319"/>
              <w:spacing w:after="0" w:line="234" w:lineRule="exact"/>
              <w:rPr>
                <w:sz w:val="20"/>
                <w:szCs w:val="20"/>
                <w:color w:val="auto"/>
              </w:rPr>
            </w:pPr>
            <w:r>
              <w:rPr>
                <w:rFonts w:ascii="Arial" w:cs="Arial" w:eastAsia="Arial" w:hAnsi="Arial"/>
                <w:sz w:val="16"/>
                <w:szCs w:val="16"/>
                <w:b w:val="1"/>
                <w:bCs w:val="1"/>
                <w:color w:val="auto"/>
              </w:rPr>
              <w:t xml:space="preserve">Period </w:t>
            </w:r>
            <w:r>
              <w:rPr>
                <w:rFonts w:ascii="Arial" w:cs="Arial" w:eastAsia="Arial" w:hAnsi="Arial"/>
                <w:sz w:val="21"/>
                <w:szCs w:val="21"/>
                <w:b w:val="1"/>
                <w:bCs w:val="1"/>
                <w:color w:val="auto"/>
                <w:vertAlign w:val="superscript"/>
              </w:rPr>
              <w:t>(1)</w:t>
            </w:r>
          </w:p>
        </w:tc>
      </w:tr>
      <w:tr>
        <w:trPr>
          <w:trHeight w:val="264"/>
        </w:trPr>
        <w:tc>
          <w:tcPr>
            <w:tcW w:w="1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Fiscal 2005</w:t>
            </w:r>
          </w:p>
        </w:tc>
        <w:tc>
          <w:tcPr>
            <w:tcW w:w="5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Established employer dollar cap</w:t>
            </w:r>
          </w:p>
        </w:tc>
        <w:tc>
          <w:tcPr>
            <w:tcW w:w="20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40,414</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11.5 years</w:t>
            </w:r>
          </w:p>
        </w:tc>
      </w:tr>
      <w:tr>
        <w:trPr>
          <w:trHeight w:val="260"/>
        </w:trPr>
        <w:tc>
          <w:tcPr>
            <w:tcW w:w="1540" w:type="dxa"/>
            <w:vAlign w:val="bottom"/>
            <w:gridSpan w:val="2"/>
          </w:tcPr>
          <w:p>
            <w:pPr>
              <w:ind w:left="40"/>
              <w:spacing w:after="0"/>
              <w:rPr>
                <w:sz w:val="20"/>
                <w:szCs w:val="20"/>
                <w:color w:val="auto"/>
              </w:rPr>
            </w:pPr>
            <w:r>
              <w:rPr>
                <w:rFonts w:ascii="Arial" w:cs="Arial" w:eastAsia="Arial" w:hAnsi="Arial"/>
                <w:sz w:val="16"/>
                <w:szCs w:val="16"/>
                <w:color w:val="auto"/>
              </w:rPr>
              <w:t>January 2012</w:t>
            </w:r>
          </w:p>
        </w:tc>
        <w:tc>
          <w:tcPr>
            <w:tcW w:w="5000" w:type="dxa"/>
            <w:vAlign w:val="bottom"/>
            <w:gridSpan w:val="2"/>
          </w:tcPr>
          <w:p>
            <w:pPr>
              <w:ind w:left="20"/>
              <w:spacing w:after="0"/>
              <w:rPr>
                <w:sz w:val="20"/>
                <w:szCs w:val="20"/>
                <w:color w:val="auto"/>
              </w:rPr>
            </w:pPr>
            <w:r>
              <w:rPr>
                <w:rFonts w:ascii="Arial" w:cs="Arial" w:eastAsia="Arial" w:hAnsi="Arial"/>
                <w:sz w:val="16"/>
                <w:szCs w:val="16"/>
                <w:color w:val="auto"/>
              </w:rPr>
              <w:t>Reduced employer dollar cap</w:t>
            </w:r>
          </w:p>
        </w:tc>
        <w:tc>
          <w:tcPr>
            <w:tcW w:w="1740" w:type="dxa"/>
            <w:vAlign w:val="bottom"/>
          </w:tcPr>
          <w:p>
            <w:pPr>
              <w:jc w:val="right"/>
              <w:ind w:right="29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4,598</w:t>
            </w:r>
          </w:p>
        </w:tc>
        <w:tc>
          <w:tcPr>
            <w:tcW w:w="100" w:type="dxa"/>
            <w:vAlign w:val="bottom"/>
          </w:tcPr>
          <w:p>
            <w:pPr>
              <w:spacing w:after="0"/>
              <w:rPr>
                <w:sz w:val="22"/>
                <w:szCs w:val="22"/>
                <w:color w:val="auto"/>
              </w:rPr>
            </w:pPr>
          </w:p>
        </w:tc>
        <w:tc>
          <w:tcPr>
            <w:tcW w:w="1480" w:type="dxa"/>
            <w:vAlign w:val="bottom"/>
          </w:tcPr>
          <w:p>
            <w:pPr>
              <w:jc w:val="right"/>
              <w:ind w:right="179"/>
              <w:spacing w:after="0"/>
              <w:rPr>
                <w:sz w:val="20"/>
                <w:szCs w:val="20"/>
                <w:color w:val="auto"/>
              </w:rPr>
            </w:pPr>
            <w:r>
              <w:rPr>
                <w:rFonts w:ascii="Arial" w:cs="Arial" w:eastAsia="Arial" w:hAnsi="Arial"/>
                <w:sz w:val="16"/>
                <w:szCs w:val="16"/>
                <w:color w:val="auto"/>
              </w:rPr>
              <w:t>7.8 years</w:t>
            </w:r>
          </w:p>
        </w:tc>
      </w:tr>
      <w:tr>
        <w:trPr>
          <w:trHeight w:val="280"/>
        </w:trPr>
        <w:tc>
          <w:tcPr>
            <w:tcW w:w="1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January 2013</w:t>
            </w:r>
          </w:p>
        </w:tc>
        <w:tc>
          <w:tcPr>
            <w:tcW w:w="5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Reduced employer dollar cap</w:t>
            </w:r>
          </w:p>
        </w:tc>
        <w:tc>
          <w:tcPr>
            <w:tcW w:w="17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4,289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7.5 years</w:t>
            </w:r>
          </w:p>
        </w:tc>
      </w:tr>
      <w:tr>
        <w:trPr>
          <w:trHeight w:val="260"/>
        </w:trPr>
        <w:tc>
          <w:tcPr>
            <w:tcW w:w="1540" w:type="dxa"/>
            <w:vAlign w:val="bottom"/>
            <w:gridSpan w:val="2"/>
          </w:tcPr>
          <w:p>
            <w:pPr>
              <w:ind w:left="40"/>
              <w:spacing w:after="0"/>
              <w:rPr>
                <w:sz w:val="20"/>
                <w:szCs w:val="20"/>
                <w:color w:val="auto"/>
              </w:rPr>
            </w:pPr>
            <w:r>
              <w:rPr>
                <w:rFonts w:ascii="Arial" w:cs="Arial" w:eastAsia="Arial" w:hAnsi="Arial"/>
                <w:sz w:val="16"/>
                <w:szCs w:val="16"/>
                <w:color w:val="auto"/>
              </w:rPr>
              <w:t>January 2014</w:t>
            </w:r>
          </w:p>
        </w:tc>
        <w:tc>
          <w:tcPr>
            <w:tcW w:w="5000" w:type="dxa"/>
            <w:vAlign w:val="bottom"/>
            <w:gridSpan w:val="2"/>
          </w:tcPr>
          <w:p>
            <w:pPr>
              <w:ind w:left="20"/>
              <w:spacing w:after="0"/>
              <w:rPr>
                <w:sz w:val="20"/>
                <w:szCs w:val="20"/>
                <w:color w:val="auto"/>
              </w:rPr>
            </w:pPr>
            <w:r>
              <w:rPr>
                <w:rFonts w:ascii="Arial" w:cs="Arial" w:eastAsia="Arial" w:hAnsi="Arial"/>
                <w:sz w:val="16"/>
                <w:szCs w:val="16"/>
                <w:color w:val="auto"/>
              </w:rPr>
              <w:t>Reduced employer dollar cap</w:t>
            </w:r>
          </w:p>
        </w:tc>
        <w:tc>
          <w:tcPr>
            <w:tcW w:w="1740" w:type="dxa"/>
            <w:vAlign w:val="bottom"/>
          </w:tcPr>
          <w:p>
            <w:pPr>
              <w:jc w:val="right"/>
              <w:ind w:right="29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3,580</w:t>
            </w:r>
          </w:p>
        </w:tc>
        <w:tc>
          <w:tcPr>
            <w:tcW w:w="100" w:type="dxa"/>
            <w:vAlign w:val="bottom"/>
          </w:tcPr>
          <w:p>
            <w:pPr>
              <w:spacing w:after="0"/>
              <w:rPr>
                <w:sz w:val="22"/>
                <w:szCs w:val="22"/>
                <w:color w:val="auto"/>
              </w:rPr>
            </w:pPr>
          </w:p>
        </w:tc>
        <w:tc>
          <w:tcPr>
            <w:tcW w:w="1480" w:type="dxa"/>
            <w:vAlign w:val="bottom"/>
          </w:tcPr>
          <w:p>
            <w:pPr>
              <w:jc w:val="right"/>
              <w:ind w:right="179"/>
              <w:spacing w:after="0"/>
              <w:rPr>
                <w:sz w:val="20"/>
                <w:szCs w:val="20"/>
                <w:color w:val="auto"/>
              </w:rPr>
            </w:pPr>
            <w:r>
              <w:rPr>
                <w:rFonts w:ascii="Arial" w:cs="Arial" w:eastAsia="Arial" w:hAnsi="Arial"/>
                <w:sz w:val="16"/>
                <w:szCs w:val="16"/>
                <w:color w:val="auto"/>
              </w:rPr>
              <w:t>7.3 years</w:t>
            </w:r>
          </w:p>
        </w:tc>
      </w:tr>
      <w:tr>
        <w:trPr>
          <w:trHeight w:val="280"/>
        </w:trPr>
        <w:tc>
          <w:tcPr>
            <w:tcW w:w="1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January 2015</w:t>
            </w:r>
          </w:p>
        </w:tc>
        <w:tc>
          <w:tcPr>
            <w:tcW w:w="5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Reduced employer dollar cap</w:t>
            </w:r>
          </w:p>
        </w:tc>
        <w:tc>
          <w:tcPr>
            <w:tcW w:w="17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3,960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7.1 years</w:t>
            </w:r>
          </w:p>
        </w:tc>
      </w:tr>
      <w:tr>
        <w:trPr>
          <w:trHeight w:val="218"/>
        </w:trPr>
        <w:tc>
          <w:tcPr>
            <w:tcW w:w="1540" w:type="dxa"/>
            <w:vAlign w:val="bottom"/>
            <w:gridSpan w:val="2"/>
          </w:tcPr>
          <w:p>
            <w:pPr>
              <w:ind w:left="40"/>
              <w:spacing w:after="0"/>
              <w:rPr>
                <w:sz w:val="20"/>
                <w:szCs w:val="20"/>
                <w:color w:val="auto"/>
              </w:rPr>
            </w:pPr>
            <w:r>
              <w:rPr>
                <w:rFonts w:ascii="Arial" w:cs="Arial" w:eastAsia="Arial" w:hAnsi="Arial"/>
                <w:sz w:val="16"/>
                <w:szCs w:val="16"/>
                <w:color w:val="auto"/>
              </w:rPr>
              <w:t>January 2016</w:t>
            </w:r>
          </w:p>
        </w:tc>
        <w:tc>
          <w:tcPr>
            <w:tcW w:w="5000" w:type="dxa"/>
            <w:vAlign w:val="bottom"/>
            <w:gridSpan w:val="2"/>
          </w:tcPr>
          <w:p>
            <w:pPr>
              <w:ind w:left="20"/>
              <w:spacing w:after="0"/>
              <w:rPr>
                <w:sz w:val="20"/>
                <w:szCs w:val="20"/>
                <w:color w:val="auto"/>
              </w:rPr>
            </w:pPr>
            <w:r>
              <w:rPr>
                <w:rFonts w:ascii="Arial" w:cs="Arial" w:eastAsia="Arial" w:hAnsi="Arial"/>
                <w:sz w:val="16"/>
                <w:szCs w:val="16"/>
                <w:color w:val="auto"/>
              </w:rPr>
              <w:t>Reduced employer dollar cap for retirees under age 65;</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5"/>
        </w:trPr>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0" w:type="dxa"/>
            <w:vAlign w:val="bottom"/>
            <w:gridSpan w:val="2"/>
          </w:tcPr>
          <w:p>
            <w:pPr>
              <w:ind w:left="20"/>
              <w:spacing w:after="0"/>
              <w:rPr>
                <w:sz w:val="20"/>
                <w:szCs w:val="20"/>
                <w:color w:val="auto"/>
              </w:rPr>
            </w:pPr>
            <w:r>
              <w:rPr>
                <w:rFonts w:ascii="Arial" w:cs="Arial" w:eastAsia="Arial" w:hAnsi="Arial"/>
                <w:sz w:val="16"/>
                <w:szCs w:val="16"/>
                <w:color w:val="auto"/>
              </w:rPr>
              <w:t>discontinued retiree benefits for retirees age 65 and over</w:t>
            </w:r>
          </w:p>
        </w:tc>
        <w:tc>
          <w:tcPr>
            <w:tcW w:w="1740" w:type="dxa"/>
            <w:vAlign w:val="bottom"/>
          </w:tcPr>
          <w:p>
            <w:pPr>
              <w:jc w:val="right"/>
              <w:ind w:right="29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28,596</w:t>
            </w:r>
          </w:p>
        </w:tc>
        <w:tc>
          <w:tcPr>
            <w:tcW w:w="100" w:type="dxa"/>
            <w:vAlign w:val="bottom"/>
          </w:tcPr>
          <w:p>
            <w:pPr>
              <w:spacing w:after="0"/>
              <w:rPr>
                <w:sz w:val="16"/>
                <w:szCs w:val="16"/>
                <w:color w:val="auto"/>
              </w:rPr>
            </w:pPr>
          </w:p>
        </w:tc>
        <w:tc>
          <w:tcPr>
            <w:tcW w:w="1480" w:type="dxa"/>
            <w:vAlign w:val="bottom"/>
          </w:tcPr>
          <w:p>
            <w:pPr>
              <w:jc w:val="right"/>
              <w:ind w:right="179"/>
              <w:spacing w:after="0"/>
              <w:rPr>
                <w:sz w:val="20"/>
                <w:szCs w:val="20"/>
                <w:color w:val="auto"/>
              </w:rPr>
            </w:pPr>
            <w:r>
              <w:rPr>
                <w:rFonts w:ascii="Arial" w:cs="Arial" w:eastAsia="Arial" w:hAnsi="Arial"/>
                <w:sz w:val="16"/>
                <w:szCs w:val="16"/>
                <w:color w:val="auto"/>
              </w:rPr>
              <w:t>6.9 years</w:t>
            </w:r>
          </w:p>
        </w:tc>
      </w:tr>
    </w:tbl>
    <w:p>
      <w:pPr>
        <w:ind w:left="220" w:hanging="212"/>
        <w:spacing w:after="0" w:line="212" w:lineRule="auto"/>
        <w:tabs>
          <w:tab w:leader="none" w:pos="22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Plan amendments are amortized on a straight-line basis over the expected remaining service period of active plan participants.</w:t>
      </w:r>
    </w:p>
    <w:p>
      <w:pPr>
        <w:spacing w:after="0" w:line="203"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Based on actuarial evaluations, the discount rate used in determining the accumulated postretirement benefit obligation was 2.73% at August 27, 2016 and 4.15% at August 29, 2015, which increased the benefit obligation by $850,000 and $684,000 at August 27, 2016 and August 29, 2015, respectively. Assumed health care cost trend rates do not have a significant effect in determining the accumulated postretirement benefit obligation due to employer caps established.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18"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84"/>
        </w:trPr>
        <w:tc>
          <w:tcPr>
            <w:tcW w:w="740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47"/>
        </w:trPr>
        <w:tc>
          <w:tcPr>
            <w:tcW w:w="7400" w:type="dxa"/>
            <w:vAlign w:val="bottom"/>
            <w:gridSpan w:val="2"/>
          </w:tcPr>
          <w:p>
            <w:pPr>
              <w:spacing w:after="0"/>
              <w:rPr>
                <w:sz w:val="20"/>
                <w:szCs w:val="20"/>
                <w:color w:val="auto"/>
              </w:rPr>
            </w:pPr>
            <w:r>
              <w:rPr>
                <w:rFonts w:ascii="Arial" w:cs="Arial" w:eastAsia="Arial" w:hAnsi="Arial"/>
                <w:sz w:val="16"/>
                <w:szCs w:val="16"/>
                <w:color w:val="auto"/>
              </w:rPr>
              <w:t>Changes in our postretirement health care liability are as follows:</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91"/>
        </w:trPr>
        <w:tc>
          <w:tcPr>
            <w:tcW w:w="740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4"/>
                <w:szCs w:val="24"/>
                <w:color w:val="auto"/>
              </w:rPr>
            </w:pPr>
          </w:p>
        </w:tc>
        <w:tc>
          <w:tcPr>
            <w:tcW w:w="182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27, 2016</w:t>
            </w:r>
          </w:p>
        </w:tc>
        <w:tc>
          <w:tcPr>
            <w:tcW w:w="240" w:type="dxa"/>
            <w:vAlign w:val="bottom"/>
          </w:tcPr>
          <w:p>
            <w:pPr>
              <w:spacing w:after="0"/>
              <w:rPr>
                <w:sz w:val="24"/>
                <w:szCs w:val="24"/>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29, 2015</w:t>
            </w:r>
          </w:p>
        </w:tc>
      </w:tr>
      <w:tr>
        <w:trPr>
          <w:trHeight w:val="257"/>
        </w:trPr>
        <w:tc>
          <w:tcPr>
            <w:tcW w:w="740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year</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34,535</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36,930</w:t>
            </w:r>
          </w:p>
        </w:tc>
      </w:tr>
      <w:tr>
        <w:trPr>
          <w:trHeight w:val="260"/>
        </w:trPr>
        <w:tc>
          <w:tcPr>
            <w:tcW w:w="7400" w:type="dxa"/>
            <w:vAlign w:val="bottom"/>
            <w:gridSpan w:val="2"/>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1,382</w:t>
            </w:r>
          </w:p>
        </w:tc>
      </w:tr>
      <w:tr>
        <w:trPr>
          <w:trHeight w:val="280"/>
        </w:trPr>
        <w:tc>
          <w:tcPr>
            <w:tcW w:w="7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427</w:t>
            </w:r>
          </w:p>
        </w:tc>
      </w:tr>
      <w:tr>
        <w:trPr>
          <w:trHeight w:val="260"/>
        </w:trPr>
        <w:tc>
          <w:tcPr>
            <w:tcW w:w="7400" w:type="dxa"/>
            <w:vAlign w:val="bottom"/>
            <w:gridSpan w:val="2"/>
          </w:tcPr>
          <w:p>
            <w:pPr>
              <w:ind w:left="40"/>
              <w:spacing w:after="0"/>
              <w:rPr>
                <w:sz w:val="20"/>
                <w:szCs w:val="20"/>
                <w:color w:val="auto"/>
              </w:rPr>
            </w:pPr>
            <w:r>
              <w:rPr>
                <w:rFonts w:ascii="Arial" w:cs="Arial" w:eastAsia="Arial" w:hAnsi="Arial"/>
                <w:sz w:val="16"/>
                <w:szCs w:val="16"/>
                <w:color w:val="auto"/>
              </w:rPr>
              <w:t>Net benefits paid</w:t>
            </w:r>
          </w:p>
        </w:tc>
        <w:tc>
          <w:tcPr>
            <w:tcW w:w="240" w:type="dxa"/>
            <w:vAlign w:val="bottom"/>
          </w:tcPr>
          <w:p>
            <w:pPr>
              <w:spacing w:after="0"/>
              <w:rPr>
                <w:sz w:val="22"/>
                <w:szCs w:val="22"/>
                <w:color w:val="auto"/>
              </w:rPr>
            </w:pPr>
          </w:p>
        </w:tc>
        <w:tc>
          <w:tcPr>
            <w:tcW w:w="1720" w:type="dxa"/>
            <w:vAlign w:val="bottom"/>
          </w:tcPr>
          <w:p>
            <w:pPr>
              <w:jc w:val="right"/>
              <w:ind w:right="299"/>
              <w:spacing w:after="0"/>
              <w:rPr>
                <w:sz w:val="20"/>
                <w:szCs w:val="20"/>
                <w:color w:val="auto"/>
              </w:rPr>
            </w:pPr>
            <w:r>
              <w:rPr>
                <w:rFonts w:ascii="Arial" w:cs="Arial" w:eastAsia="Arial" w:hAnsi="Arial"/>
                <w:sz w:val="16"/>
                <w:szCs w:val="16"/>
                <w:color w:val="auto"/>
              </w:rPr>
              <w:t>(878)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299"/>
              <w:spacing w:after="0"/>
              <w:rPr>
                <w:sz w:val="20"/>
                <w:szCs w:val="20"/>
                <w:color w:val="auto"/>
              </w:rPr>
            </w:pPr>
            <w:r>
              <w:rPr>
                <w:rFonts w:ascii="Arial" w:cs="Arial" w:eastAsia="Arial" w:hAnsi="Arial"/>
                <w:sz w:val="16"/>
                <w:szCs w:val="16"/>
                <w:color w:val="auto"/>
              </w:rPr>
              <w:t>(928)</w:t>
            </w:r>
          </w:p>
        </w:tc>
      </w:tr>
      <w:tr>
        <w:trPr>
          <w:trHeight w:val="280"/>
        </w:trPr>
        <w:tc>
          <w:tcPr>
            <w:tcW w:w="7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Actuarial loss</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850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684</w:t>
            </w:r>
          </w:p>
        </w:tc>
      </w:tr>
      <w:tr>
        <w:trPr>
          <w:trHeight w:val="264"/>
        </w:trPr>
        <w:tc>
          <w:tcPr>
            <w:tcW w:w="74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Plan amendment</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(28,596)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(3,960)</w:t>
            </w:r>
          </w:p>
        </w:tc>
      </w:tr>
      <w:tr>
        <w:trPr>
          <w:trHeight w:val="240"/>
        </w:trPr>
        <w:tc>
          <w:tcPr>
            <w:tcW w:w="7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end of year</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6,346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34,535</w:t>
            </w:r>
          </w:p>
        </w:tc>
      </w:tr>
      <w:tr>
        <w:trPr>
          <w:trHeight w:val="20"/>
        </w:trPr>
        <w:tc>
          <w:tcPr>
            <w:tcW w:w="12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Net periodic postretirement benefit income for the past three fiscal years consisted of the following components: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99"/>
              </w:rPr>
              <w:t>Year Ended</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r>
      <w:tr>
        <w:trPr>
          <w:trHeight w:val="264"/>
        </w:trPr>
        <w:tc>
          <w:tcPr>
            <w:tcW w:w="52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2"/>
                <w:szCs w:val="22"/>
                <w:color w:val="auto"/>
              </w:rPr>
            </w:pPr>
          </w:p>
        </w:tc>
        <w:tc>
          <w:tcPr>
            <w:tcW w:w="184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27, 2016</w:t>
            </w:r>
          </w:p>
        </w:tc>
        <w:tc>
          <w:tcPr>
            <w:tcW w:w="240" w:type="dxa"/>
            <w:vAlign w:val="bottom"/>
          </w:tcPr>
          <w:p>
            <w:pPr>
              <w:spacing w:after="0"/>
              <w:rPr>
                <w:sz w:val="22"/>
                <w:szCs w:val="22"/>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August 29, 2015</w:t>
            </w:r>
          </w:p>
        </w:tc>
        <w:tc>
          <w:tcPr>
            <w:tcW w:w="240" w:type="dxa"/>
            <w:vAlign w:val="bottom"/>
          </w:tcPr>
          <w:p>
            <w:pPr>
              <w:spacing w:after="0"/>
              <w:rPr>
                <w:sz w:val="22"/>
                <w:szCs w:val="22"/>
                <w:color w:val="auto"/>
              </w:rPr>
            </w:pPr>
          </w:p>
        </w:tc>
        <w:tc>
          <w:tcPr>
            <w:tcW w:w="174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30, 2014</w:t>
            </w:r>
          </w:p>
        </w:tc>
      </w:tr>
      <w:tr>
        <w:trPr>
          <w:trHeight w:val="257"/>
        </w:trPr>
        <w:tc>
          <w:tcPr>
            <w:tcW w:w="5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327</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1,382</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1,540</w:t>
            </w:r>
          </w:p>
        </w:tc>
      </w:tr>
      <w:tr>
        <w:trPr>
          <w:trHeight w:val="260"/>
        </w:trPr>
        <w:tc>
          <w:tcPr>
            <w:tcW w:w="524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60" w:type="dxa"/>
            <w:vAlign w:val="bottom"/>
          </w:tcPr>
          <w:p>
            <w:pPr>
              <w:spacing w:after="0"/>
              <w:rPr>
                <w:sz w:val="22"/>
                <w:szCs w:val="22"/>
                <w:color w:val="auto"/>
              </w:rPr>
            </w:pPr>
          </w:p>
        </w:tc>
        <w:tc>
          <w:tcPr>
            <w:tcW w:w="1740" w:type="dxa"/>
            <w:vAlign w:val="bottom"/>
          </w:tcPr>
          <w:p>
            <w:pPr>
              <w:jc w:val="right"/>
              <w:ind w:right="459"/>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40" w:type="dxa"/>
            <w:vAlign w:val="bottom"/>
          </w:tcPr>
          <w:p>
            <w:pPr>
              <w:jc w:val="right"/>
              <w:ind w:right="459"/>
              <w:spacing w:after="0"/>
              <w:rPr>
                <w:sz w:val="20"/>
                <w:szCs w:val="20"/>
                <w:color w:val="auto"/>
              </w:rPr>
            </w:pPr>
            <w:r>
              <w:rPr>
                <w:rFonts w:ascii="Arial" w:cs="Arial" w:eastAsia="Arial" w:hAnsi="Arial"/>
                <w:sz w:val="16"/>
                <w:szCs w:val="16"/>
                <w:color w:val="auto"/>
              </w:rPr>
              <w:t>427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40" w:type="dxa"/>
            <w:vAlign w:val="bottom"/>
          </w:tcPr>
          <w:p>
            <w:pPr>
              <w:jc w:val="right"/>
              <w:ind w:right="459"/>
              <w:spacing w:after="0"/>
              <w:rPr>
                <w:sz w:val="20"/>
                <w:szCs w:val="20"/>
                <w:color w:val="auto"/>
              </w:rPr>
            </w:pPr>
            <w:r>
              <w:rPr>
                <w:rFonts w:ascii="Arial" w:cs="Arial" w:eastAsia="Arial" w:hAnsi="Arial"/>
                <w:sz w:val="16"/>
                <w:szCs w:val="16"/>
                <w:color w:val="auto"/>
              </w:rPr>
              <w:t>393</w:t>
            </w:r>
          </w:p>
        </w:tc>
      </w:tr>
      <w:tr>
        <w:trPr>
          <w:trHeight w:val="280"/>
        </w:trPr>
        <w:tc>
          <w:tcPr>
            <w:tcW w:w="5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prior service benefit</w:t>
            </w: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(7,736)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(5,538)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(5,650)</w:t>
            </w:r>
          </w:p>
        </w:tc>
      </w:tr>
      <w:tr>
        <w:trPr>
          <w:trHeight w:val="264"/>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Amortization of net actuarial loss</w:t>
            </w:r>
          </w:p>
        </w:tc>
        <w:tc>
          <w:tcPr>
            <w:tcW w:w="2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1,612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1,465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1,077</w:t>
            </w:r>
          </w:p>
        </w:tc>
      </w:tr>
      <w:tr>
        <w:trPr>
          <w:trHeight w:val="24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periodic postretirement benefit income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(5,689)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(2,264)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(2,640)</w:t>
            </w:r>
          </w:p>
        </w:tc>
      </w:tr>
      <w:tr>
        <w:trPr>
          <w:trHeight w:val="20"/>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For accounting purposes, we recognized net periodic postretirement income as presented in the previous table, due to the amortization of prior service benefit associated with the establishment of caps on the employer portion of benefits in Fiscal 2005 and the plan amendments made over the past five years.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Amounts not yet recognized in net periodic benefit cost and included in accumulated other comprehensive income (before taxes)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8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9"/>
                <w:szCs w:val="19"/>
                <w:color w:val="auto"/>
              </w:rPr>
            </w:pPr>
          </w:p>
        </w:tc>
        <w:tc>
          <w:tcPr>
            <w:tcW w:w="182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27, 2016</w:t>
            </w:r>
          </w:p>
        </w:tc>
        <w:tc>
          <w:tcPr>
            <w:tcW w:w="260" w:type="dxa"/>
            <w:vAlign w:val="bottom"/>
          </w:tcPr>
          <w:p>
            <w:pPr>
              <w:spacing w:after="0"/>
              <w:rPr>
                <w:sz w:val="19"/>
                <w:szCs w:val="19"/>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29, 2015</w:t>
            </w:r>
          </w:p>
        </w:tc>
      </w:tr>
      <w:tr>
        <w:trPr>
          <w:trHeight w:val="257"/>
        </w:trPr>
        <w:tc>
          <w:tcPr>
            <w:tcW w:w="73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Prior service credit</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(34,139)</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(13,279)</w:t>
            </w:r>
          </w:p>
        </w:tc>
      </w:tr>
      <w:tr>
        <w:trPr>
          <w:trHeight w:val="264"/>
        </w:trPr>
        <w:tc>
          <w:tcPr>
            <w:tcW w:w="73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actuarial loss</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15,648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16,410</w:t>
            </w:r>
          </w:p>
        </w:tc>
      </w:tr>
      <w:tr>
        <w:trPr>
          <w:trHeight w:val="24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(18,491)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3,131</w:t>
            </w:r>
          </w:p>
        </w:tc>
      </w:tr>
      <w:tr>
        <w:trPr>
          <w:trHeight w:val="20"/>
        </w:trPr>
        <w:tc>
          <w:tcPr>
            <w:tcW w:w="7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estimated amounts that will be amortized from accumulated other comprehensive income to net periodic benefit cost in Fiscal 2017 include a prior service credit of $6.4 million and an actuarial net loss of $1.6 million.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Expected future benefit payments for postretirement health care for the next ten years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7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9"/>
                <w:szCs w:val="19"/>
                <w:color w:val="auto"/>
              </w:rPr>
            </w:pPr>
          </w:p>
        </w:tc>
        <w:tc>
          <w:tcPr>
            <w:tcW w:w="1380" w:type="dxa"/>
            <w:vAlign w:val="bottom"/>
          </w:tcPr>
          <w:p>
            <w:pPr>
              <w:jc w:val="right"/>
              <w:ind w:right="459"/>
              <w:spacing w:after="0"/>
              <w:rPr>
                <w:sz w:val="20"/>
                <w:szCs w:val="20"/>
                <w:color w:val="auto"/>
              </w:rPr>
            </w:pPr>
            <w:r>
              <w:rPr>
                <w:rFonts w:ascii="Arial" w:cs="Arial" w:eastAsia="Arial" w:hAnsi="Arial"/>
                <w:sz w:val="16"/>
                <w:szCs w:val="16"/>
                <w:b w:val="1"/>
                <w:bCs w:val="1"/>
                <w:color w:val="auto"/>
              </w:rPr>
              <w:t>Amount</w:t>
            </w:r>
          </w:p>
        </w:tc>
      </w:tr>
      <w:tr>
        <w:trPr>
          <w:trHeight w:val="257"/>
        </w:trPr>
        <w:tc>
          <w:tcPr>
            <w:tcW w:w="6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Year:</w:t>
            </w:r>
          </w:p>
        </w:tc>
        <w:tc>
          <w:tcPr>
            <w:tcW w:w="89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2017</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416</w:t>
            </w:r>
          </w:p>
        </w:tc>
      </w:tr>
      <w:tr>
        <w:trPr>
          <w:trHeight w:val="260"/>
        </w:trPr>
        <w:tc>
          <w:tcPr>
            <w:tcW w:w="680" w:type="dxa"/>
            <w:vAlign w:val="bottom"/>
          </w:tcPr>
          <w:p>
            <w:pPr>
              <w:spacing w:after="0"/>
              <w:rPr>
                <w:sz w:val="22"/>
                <w:szCs w:val="22"/>
                <w:color w:val="auto"/>
              </w:rPr>
            </w:pPr>
          </w:p>
        </w:tc>
        <w:tc>
          <w:tcPr>
            <w:tcW w:w="8940" w:type="dxa"/>
            <w:vAlign w:val="bottom"/>
          </w:tcPr>
          <w:p>
            <w:pPr>
              <w:ind w:left="280"/>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283</w:t>
            </w:r>
          </w:p>
        </w:tc>
      </w:tr>
      <w:tr>
        <w:trPr>
          <w:trHeight w:val="280"/>
        </w:trPr>
        <w:tc>
          <w:tcPr>
            <w:tcW w:w="680" w:type="dxa"/>
            <w:vAlign w:val="bottom"/>
            <w:shd w:val="clear" w:color="auto" w:fill="CCEEFF"/>
          </w:tcPr>
          <w:p>
            <w:pPr>
              <w:spacing w:after="0"/>
              <w:rPr>
                <w:sz w:val="24"/>
                <w:szCs w:val="24"/>
                <w:color w:val="auto"/>
              </w:rPr>
            </w:pPr>
          </w:p>
        </w:tc>
        <w:tc>
          <w:tcPr>
            <w:tcW w:w="8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381</w:t>
            </w:r>
          </w:p>
        </w:tc>
      </w:tr>
      <w:tr>
        <w:trPr>
          <w:trHeight w:val="260"/>
        </w:trPr>
        <w:tc>
          <w:tcPr>
            <w:tcW w:w="680" w:type="dxa"/>
            <w:vAlign w:val="bottom"/>
          </w:tcPr>
          <w:p>
            <w:pPr>
              <w:spacing w:after="0"/>
              <w:rPr>
                <w:sz w:val="22"/>
                <w:szCs w:val="22"/>
                <w:color w:val="auto"/>
              </w:rPr>
            </w:pPr>
          </w:p>
        </w:tc>
        <w:tc>
          <w:tcPr>
            <w:tcW w:w="8940" w:type="dxa"/>
            <w:vAlign w:val="bottom"/>
          </w:tcPr>
          <w:p>
            <w:pPr>
              <w:ind w:left="28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455</w:t>
            </w:r>
          </w:p>
        </w:tc>
      </w:tr>
      <w:tr>
        <w:trPr>
          <w:trHeight w:val="280"/>
        </w:trPr>
        <w:tc>
          <w:tcPr>
            <w:tcW w:w="680" w:type="dxa"/>
            <w:vAlign w:val="bottom"/>
            <w:shd w:val="clear" w:color="auto" w:fill="CCEEFF"/>
          </w:tcPr>
          <w:p>
            <w:pPr>
              <w:spacing w:after="0"/>
              <w:rPr>
                <w:sz w:val="24"/>
                <w:szCs w:val="24"/>
                <w:color w:val="auto"/>
              </w:rPr>
            </w:pPr>
          </w:p>
        </w:tc>
        <w:tc>
          <w:tcPr>
            <w:tcW w:w="8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489</w:t>
            </w:r>
          </w:p>
        </w:tc>
      </w:tr>
      <w:tr>
        <w:trPr>
          <w:trHeight w:val="264"/>
        </w:trPr>
        <w:tc>
          <w:tcPr>
            <w:tcW w:w="680" w:type="dxa"/>
            <w:vAlign w:val="bottom"/>
            <w:tcBorders>
              <w:bottom w:val="single" w:sz="8" w:color="CCEEFF"/>
            </w:tcBorders>
          </w:tcPr>
          <w:p>
            <w:pPr>
              <w:spacing w:after="0"/>
              <w:rPr>
                <w:sz w:val="22"/>
                <w:szCs w:val="22"/>
                <w:color w:val="auto"/>
              </w:rPr>
            </w:pPr>
          </w:p>
        </w:tc>
        <w:tc>
          <w:tcPr>
            <w:tcW w:w="89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2022 - 2026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2,484</w:t>
            </w:r>
          </w:p>
        </w:tc>
      </w:tr>
      <w:tr>
        <w:trPr>
          <w:trHeight w:val="240"/>
        </w:trPr>
        <w:tc>
          <w:tcPr>
            <w:tcW w:w="680" w:type="dxa"/>
            <w:vAlign w:val="bottom"/>
            <w:tcBorders>
              <w:bottom w:val="single" w:sz="8" w:color="CCEEFF"/>
            </w:tcBorders>
            <w:shd w:val="clear" w:color="auto" w:fill="CCEEFF"/>
          </w:tcPr>
          <w:p>
            <w:pPr>
              <w:spacing w:after="0"/>
              <w:rPr>
                <w:sz w:val="20"/>
                <w:szCs w:val="20"/>
                <w:color w:val="auto"/>
              </w:rPr>
            </w:pPr>
          </w:p>
        </w:tc>
        <w:tc>
          <w:tcPr>
            <w:tcW w:w="9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4,508</w:t>
            </w:r>
          </w:p>
        </w:tc>
      </w:tr>
      <w:tr>
        <w:trPr>
          <w:trHeight w:val="20"/>
        </w:trPr>
        <w:tc>
          <w:tcPr>
            <w:tcW w:w="68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The expected future benefit payments have been estimated based on the same assumptions used to measure our benefit obligation as of August 27, 2016, and include benefits attached to estimated current employees' future services.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Compensation Benefits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Non-Qualified Deferred Compensation Program (1981)</w:t>
      </w:r>
    </w:p>
    <w:p>
      <w:pPr>
        <w:spacing w:after="0" w:line="25"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We have a Non-Qualified Deferred Compensation Program which permitted key employees to annually elect to defer a portion of their compensation until their retirement. The plan has been closed to any additional deferrals since January 2001. The retirement benefit to be provided is based upon the amount of compensation deferred and the age of the individual at the time of the contracted deferral. An individual generally vests at age 55 and 5 years of participation under the plan. For deferrals prior to December 1992, vesting occurs at the later of age 55 and 5 years of service from first deferral or 20 years of service. Deferred compensation expense was $1.3 million, $1.3 million and $1.4 million in Fiscal 2016, 2015 and 2014, respectively. Total deferred compensation liabilities were $18.0 million and $19.5 million at August 27, 2016 and August 29, 2015, respectively.</w:t>
      </w:r>
    </w:p>
    <w:p>
      <w:pPr>
        <w:sectPr>
          <w:pgSz w:w="11900" w:h="16838" w:orient="portrait"/>
          <w:cols w:equalWidth="0" w:num="1">
            <w:col w:w="11420"/>
          </w:cols>
          <w:pgMar w:left="240" w:top="118" w:right="239" w:bottom="1440" w:gutter="0" w:footer="0" w:header="0"/>
        </w:sect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18" w:right="239" w:bottom="1440" w:gutter="0" w:footer="0" w:header="0"/>
          <w:type w:val="continuous"/>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Supplemental Executive Retirement Plan (SERP)</w:t>
      </w:r>
    </w:p>
    <w:p>
      <w:pPr>
        <w:spacing w:after="0" w:line="2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primary purpose of this plan was to provide our officers and managers with supplemental retirement income for a period of 15 years after retirement. We have not offered this plan on a continuing basis to members of management since 1998. The plan was funded with individual whole life insurance policies (Split Dollar Program) owned by the named insured officer or manager. We initially paid the life insurance premiums on the life of the individual and the individual would receive life insurance and supplemental cash payment during the 15 years following retirement. In October 2008, the plan was amended as a result of changes in the tax and accounting regulations and rising administrative costs. Under the redesigned SERP, the underlying life insurance policies previously owned by the insured individual became COLI by a release of all interests by the participant and assignment to us as a prerequisite to participation in the SERP and transition from the Split Dollar Program. Total SERP liabilities were $2.7 million and $2.6 million at August 27, 2016 and August 29, 2015, respectively. This program remains closed to new employee participation.</w:t>
      </w:r>
    </w:p>
    <w:p>
      <w:pPr>
        <w:spacing w:after="0" w:line="18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To assist in funding the deferred compensation and SERP liabilities, we have invested in COLI policies. The cash surrender value of these policies is presented as investment in life insurance in the accompanying balance sheets and consists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9"/>
                <w:szCs w:val="19"/>
                <w:color w:val="auto"/>
              </w:rPr>
            </w:pPr>
          </w:p>
        </w:tc>
        <w:tc>
          <w:tcPr>
            <w:tcW w:w="182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27, 2016</w:t>
            </w:r>
          </w:p>
        </w:tc>
        <w:tc>
          <w:tcPr>
            <w:tcW w:w="240" w:type="dxa"/>
            <w:vAlign w:val="bottom"/>
          </w:tcPr>
          <w:p>
            <w:pPr>
              <w:spacing w:after="0"/>
              <w:rPr>
                <w:sz w:val="19"/>
                <w:szCs w:val="19"/>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29, 2015</w:t>
            </w:r>
          </w:p>
        </w:tc>
      </w:tr>
      <w:tr>
        <w:trPr>
          <w:trHeight w:val="257"/>
        </w:trPr>
        <w:tc>
          <w:tcPr>
            <w:tcW w:w="74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Cash value</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60,263</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58,501</w:t>
            </w:r>
          </w:p>
        </w:tc>
      </w:tr>
      <w:tr>
        <w:trPr>
          <w:trHeight w:val="264"/>
        </w:trPr>
        <w:tc>
          <w:tcPr>
            <w:tcW w:w="7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Borrowings</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(33,771)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(32,329)</w:t>
            </w:r>
          </w:p>
        </w:tc>
      </w:tr>
      <w:tr>
        <w:trPr>
          <w:trHeight w:val="24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life insurance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26,492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26,172</w:t>
            </w:r>
          </w:p>
        </w:tc>
      </w:tr>
      <w:tr>
        <w:trPr>
          <w:trHeight w:val="20"/>
        </w:trPr>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Non-Qualified Share Option Program (2001)</w:t>
      </w:r>
    </w:p>
    <w:p>
      <w:pPr>
        <w:spacing w:after="0" w:line="25"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The Non-Qualified Share Option Program permitted participants in the Executive Share Option Plan (the "Executive Plan") to choose to defer a portion of their salary or other eligible compensation in the form of options to purchase selected securities, primarily equity-based mutual funds. These assets are treated as trading securities and are recorded at fair value. The Executive Plan has been closed to any additional deferrals since January 2005. The Executive Plan assets related to those options that will expire within a year are included in prepaid expenses and other assets in the accompanying balance sheets. The remaining assets are included in other assets. Total assets on August 27, 2016 and August 29, 2015 were $3.7 million and $5.4 million, respectively, and the liabilities were $3.3 million and $4.8 million, respectively. The difference between the asset and liability balances represents the additional 25% we contributed at the time of the initial deferrals to aid in potential additional earnings to the participant. This contribution is required to be paid back to us when the option is exercised. A participant may exercise his or her options per the plan document, but there is a requirement that after these dollars have been invested for 15 years the participant is required to exercise such option.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Executive Deferred Compensation Plan (2007)</w:t>
      </w:r>
    </w:p>
    <w:p>
      <w:pPr>
        <w:spacing w:after="0" w:line="2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December 2006, we adopted the Winnebago Industries, Inc. Executive Deferred Compensation Plan (the "Executive Deferred Compensation Plan"). Under the Executive Deferred Compensation Plan, corporate officers and certain key employees may annually choose to defer up to 50% of their salary and up to 100% of their cash incentive awards. The assets are presented as other assets and the liabilities are presented as postretirement health care and deferred compensation benefits in the accompanying balance sheets. Such assets on August 27, 2016 and August 29, 2015 were $388,000 and $297,000, respectively, and liabilities were $389,000 and $299,000,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Profit Sharing Plan</w:t>
      </w:r>
    </w:p>
    <w:p>
      <w:pPr>
        <w:spacing w:after="0" w:line="2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We have a qualified profit sharing and contributory 401(k) plan for eligible employees. The plan provides quarterly discretionary matching cash contributions as approved by our Board of Directors. Contributions to the plan for Fiscal 2016, 2015 and 2014 were $1.5 million, $1.2 million and $1.1 million,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Generally, manufacturers in the RV industry enter into repurchase agreements with lending institutions which have provided wholesale floorplan financing to dealers. Most dealers' RVs are financed on a "floorplan" basis under which a bank or finance company lends the dealer all, or substantially all, of the purchase price, collateralized by a security interest in the RVs purchased.</w:t>
      </w:r>
    </w:p>
    <w:p>
      <w:pPr>
        <w:spacing w:after="0" w:line="147" w:lineRule="exact"/>
        <w:rPr>
          <w:sz w:val="20"/>
          <w:szCs w:val="20"/>
          <w:color w:val="auto"/>
        </w:rPr>
      </w:pPr>
    </w:p>
    <w:p>
      <w:pPr>
        <w:jc w:val="both"/>
        <w:ind w:right="80"/>
        <w:spacing w:after="0" w:line="251" w:lineRule="auto"/>
        <w:rPr>
          <w:sz w:val="20"/>
          <w:szCs w:val="20"/>
          <w:color w:val="auto"/>
        </w:rPr>
      </w:pPr>
      <w:r>
        <w:rPr>
          <w:rFonts w:ascii="Arial" w:cs="Arial" w:eastAsia="Arial" w:hAnsi="Arial"/>
          <w:sz w:val="16"/>
          <w:szCs w:val="16"/>
          <w:color w:val="auto"/>
        </w:rPr>
        <w:t>Our repurchase agreements provide that, in the event of default by the dealer on the agreement to pay the lending institution, we will repurchase the financed merchandise. The terms of these agreements, which generally can last up to 18 months, provide that our liability will be the lesser of remaining principal owed by the dealer to the lending institution, or dealer invoice less periodic reductions based on the time since the date of the original invoice. Our contingent liability on all repurchase agreements was approximately $409.3 million and $386.0 million at August 27, 2016 and August 29, 2015, respectively.</w:t>
      </w:r>
    </w:p>
    <w:p>
      <w:pPr>
        <w:spacing w:after="0" w:line="14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certain instances, we also repurchase inventory from our dealers due to state law or regulatory requirements that govern voluntary or involuntary relationship terminations. Although laws vary from state to state, some states have laws in place that require manufacturers of RVs to repurchase current inventory if a dealership exits the business. Incremental repurchase exposure beyond existing repurchase agreements, related to dealer inventory in states that we have had historical experience of repurchasing inventory, totaled $7.9 million and $7.2 million at August 27, 2016 and August 29, 2015, respectively.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41"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Our risk of loss related to these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 reporting date subject to a repurchase agreement, net of the greater of periodic reductions per the agreement or dealer principal payments. Based on the repurchase exposure as previously described, we established an associated loss reserve. Our accrued losses on repurchases were $881,000 as of August 27, 2016 and $1.3 million as of August 29, 2015. Repurchase risk is affected by the credit worthiness of our dealer network and if we are obligated to repurchase a substantially larger number of RVs in the future, this would increase our costs and could have a material adverse effect on our results of operations, financial condition, and cash flows.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60" w:type="dxa"/>
            <w:vAlign w:val="bottom"/>
          </w:tcPr>
          <w:p>
            <w:pPr>
              <w:spacing w:after="0"/>
              <w:rPr>
                <w:sz w:val="20"/>
                <w:szCs w:val="20"/>
                <w:color w:val="auto"/>
              </w:rPr>
            </w:pPr>
            <w:r>
              <w:rPr>
                <w:rFonts w:ascii="Arial" w:cs="Arial" w:eastAsia="Arial" w:hAnsi="Arial"/>
                <w:sz w:val="16"/>
                <w:szCs w:val="16"/>
                <w:color w:val="auto"/>
              </w:rPr>
              <w:t>A summary of the activity for the fiscal years stated for repurchased units is as follows:</w:t>
            </w: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98"/>
        </w:trPr>
        <w:tc>
          <w:tcPr>
            <w:tcW w:w="666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620" w:type="dxa"/>
            <w:vAlign w:val="bottom"/>
          </w:tcPr>
          <w:p>
            <w:pPr>
              <w:spacing w:after="0"/>
              <w:rPr>
                <w:sz w:val="24"/>
                <w:szCs w:val="24"/>
                <w:color w:val="auto"/>
              </w:rPr>
            </w:pPr>
          </w:p>
        </w:tc>
        <w:tc>
          <w:tcPr>
            <w:tcW w:w="1300" w:type="dxa"/>
            <w:vAlign w:val="bottom"/>
            <w:gridSpan w:val="2"/>
          </w:tcPr>
          <w:p>
            <w:pPr>
              <w:ind w:left="80"/>
              <w:spacing w:after="0"/>
              <w:rPr>
                <w:sz w:val="20"/>
                <w:szCs w:val="20"/>
                <w:color w:val="auto"/>
              </w:rPr>
            </w:pPr>
            <w:r>
              <w:rPr>
                <w:rFonts w:ascii="Arial" w:cs="Arial" w:eastAsia="Arial" w:hAnsi="Arial"/>
                <w:sz w:val="16"/>
                <w:szCs w:val="16"/>
                <w:b w:val="1"/>
                <w:bCs w:val="1"/>
                <w:color w:val="auto"/>
              </w:rPr>
              <w:t>Fiscal 2016</w:t>
            </w:r>
          </w:p>
        </w:tc>
        <w:tc>
          <w:tcPr>
            <w:tcW w:w="14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 xml:space="preserve">Fiscal 2015 </w:t>
            </w:r>
            <w:r>
              <w:rPr>
                <w:rFonts w:ascii="Arial" w:cs="Arial" w:eastAsia="Arial" w:hAnsi="Arial"/>
                <w:sz w:val="21"/>
                <w:szCs w:val="21"/>
                <w:b w:val="1"/>
                <w:bCs w:val="1"/>
                <w:color w:val="auto"/>
                <w:vertAlign w:val="superscript"/>
              </w:rPr>
              <w:t>(1)</w:t>
            </w:r>
          </w:p>
        </w:tc>
        <w:tc>
          <w:tcPr>
            <w:tcW w:w="180" w:type="dxa"/>
            <w:vAlign w:val="bottom"/>
          </w:tcPr>
          <w:p>
            <w:pPr>
              <w:spacing w:after="0"/>
              <w:rPr>
                <w:sz w:val="24"/>
                <w:szCs w:val="24"/>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b w:val="1"/>
                <w:bCs w:val="1"/>
                <w:color w:val="auto"/>
              </w:rPr>
              <w:t>Fiscal 2014</w:t>
            </w:r>
          </w:p>
        </w:tc>
      </w:tr>
      <w:tr>
        <w:trPr>
          <w:trHeight w:val="264"/>
        </w:trPr>
        <w:tc>
          <w:tcPr>
            <w:tcW w:w="66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Inventory repurchased:</w:t>
            </w:r>
          </w:p>
        </w:tc>
        <w:tc>
          <w:tcPr>
            <w:tcW w:w="62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r>
      <w:tr>
        <w:trPr>
          <w:trHeight w:val="260"/>
        </w:trPr>
        <w:tc>
          <w:tcPr>
            <w:tcW w:w="6660" w:type="dxa"/>
            <w:vAlign w:val="bottom"/>
          </w:tcPr>
          <w:p>
            <w:pPr>
              <w:ind w:left="280"/>
              <w:spacing w:after="0"/>
              <w:rPr>
                <w:sz w:val="20"/>
                <w:szCs w:val="20"/>
                <w:color w:val="auto"/>
              </w:rPr>
            </w:pPr>
            <w:r>
              <w:rPr>
                <w:rFonts w:ascii="Arial" w:cs="Arial" w:eastAsia="Arial" w:hAnsi="Arial"/>
                <w:sz w:val="16"/>
                <w:szCs w:val="16"/>
                <w:color w:val="auto"/>
              </w:rPr>
              <w:t>Units</w:t>
            </w:r>
          </w:p>
        </w:tc>
        <w:tc>
          <w:tcPr>
            <w:tcW w:w="62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280"/>
        </w:trPr>
        <w:tc>
          <w:tcPr>
            <w:tcW w:w="6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Dollars</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1,605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7,472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467</w:t>
            </w:r>
          </w:p>
        </w:tc>
      </w:tr>
      <w:tr>
        <w:trPr>
          <w:trHeight w:val="260"/>
        </w:trPr>
        <w:tc>
          <w:tcPr>
            <w:tcW w:w="6660" w:type="dxa"/>
            <w:vAlign w:val="bottom"/>
          </w:tcPr>
          <w:p>
            <w:pPr>
              <w:ind w:left="40"/>
              <w:spacing w:after="0"/>
              <w:rPr>
                <w:sz w:val="20"/>
                <w:szCs w:val="20"/>
                <w:color w:val="auto"/>
              </w:rPr>
            </w:pPr>
            <w:r>
              <w:rPr>
                <w:rFonts w:ascii="Arial" w:cs="Arial" w:eastAsia="Arial" w:hAnsi="Arial"/>
                <w:sz w:val="16"/>
                <w:szCs w:val="16"/>
                <w:color w:val="auto"/>
              </w:rPr>
              <w:t>Inventory resold:</w:t>
            </w:r>
          </w:p>
        </w:tc>
        <w:tc>
          <w:tcPr>
            <w:tcW w:w="6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80"/>
        </w:trPr>
        <w:tc>
          <w:tcPr>
            <w:tcW w:w="6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Units</w:t>
            </w:r>
          </w:p>
        </w:tc>
        <w:tc>
          <w:tcPr>
            <w:tcW w:w="6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60"/>
        </w:trPr>
        <w:tc>
          <w:tcPr>
            <w:tcW w:w="6660" w:type="dxa"/>
            <w:vAlign w:val="bottom"/>
          </w:tcPr>
          <w:p>
            <w:pPr>
              <w:ind w:left="280"/>
              <w:spacing w:after="0"/>
              <w:rPr>
                <w:sz w:val="20"/>
                <w:szCs w:val="20"/>
                <w:color w:val="auto"/>
              </w:rPr>
            </w:pPr>
            <w:r>
              <w:rPr>
                <w:rFonts w:ascii="Arial" w:cs="Arial" w:eastAsia="Arial" w:hAnsi="Arial"/>
                <w:sz w:val="16"/>
                <w:szCs w:val="16"/>
                <w:color w:val="auto"/>
              </w:rPr>
              <w:t>Cash collected</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1,510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6,409</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392</w:t>
            </w:r>
          </w:p>
        </w:tc>
      </w:tr>
      <w:tr>
        <w:trPr>
          <w:trHeight w:val="280"/>
        </w:trPr>
        <w:tc>
          <w:tcPr>
            <w:tcW w:w="6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Loss recognized</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r>
      <w:tr>
        <w:trPr>
          <w:trHeight w:val="251"/>
        </w:trPr>
        <w:tc>
          <w:tcPr>
            <w:tcW w:w="6660" w:type="dxa"/>
            <w:vAlign w:val="bottom"/>
          </w:tcPr>
          <w:p>
            <w:pPr>
              <w:ind w:left="40"/>
              <w:spacing w:after="0"/>
              <w:rPr>
                <w:sz w:val="20"/>
                <w:szCs w:val="20"/>
                <w:color w:val="auto"/>
              </w:rPr>
            </w:pPr>
            <w:r>
              <w:rPr>
                <w:rFonts w:ascii="Arial" w:cs="Arial" w:eastAsia="Arial" w:hAnsi="Arial"/>
                <w:sz w:val="16"/>
                <w:szCs w:val="16"/>
                <w:color w:val="auto"/>
              </w:rPr>
              <w:t>Units in ending inventory</w:t>
            </w:r>
          </w:p>
        </w:tc>
        <w:tc>
          <w:tcPr>
            <w:tcW w:w="620" w:type="dxa"/>
            <w:vAlign w:val="bottom"/>
          </w:tcPr>
          <w:p>
            <w:pPr>
              <w:spacing w:after="0"/>
              <w:rPr>
                <w:sz w:val="21"/>
                <w:szCs w:val="21"/>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w:t>
            </w:r>
          </w:p>
        </w:tc>
      </w:tr>
    </w:tbl>
    <w:p>
      <w:pPr>
        <w:spacing w:after="0" w:line="24" w:lineRule="exact"/>
        <w:rPr>
          <w:sz w:val="20"/>
          <w:szCs w:val="20"/>
          <w:color w:val="auto"/>
        </w:rPr>
      </w:pPr>
    </w:p>
    <w:p>
      <w:pPr>
        <w:ind w:right="280" w:firstLine="8"/>
        <w:spacing w:after="0"/>
        <w:tabs>
          <w:tab w:leader="none" w:pos="135" w:val="left"/>
        </w:tabs>
        <w:numPr>
          <w:ilvl w:val="0"/>
          <w:numId w:val="45"/>
        </w:numPr>
        <w:rPr>
          <w:rFonts w:ascii="Arial" w:cs="Arial" w:eastAsia="Arial" w:hAnsi="Arial"/>
          <w:sz w:val="15"/>
          <w:szCs w:val="15"/>
          <w:color w:val="auto"/>
          <w:vertAlign w:val="superscript"/>
        </w:rPr>
      </w:pPr>
      <w:r>
        <w:rPr>
          <w:rFonts w:ascii="Arial" w:cs="Arial" w:eastAsia="Arial" w:hAnsi="Arial"/>
          <w:sz w:val="12"/>
          <w:szCs w:val="12"/>
          <w:color w:val="auto"/>
        </w:rPr>
        <w:t>A significant number of the units repurchased in Fiscal 2015 were attributable to a single dealership for which we had established a specific repurchase loss reserve in Fiscal 2014.</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5"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We are involved in various legal proceedings which are ordinary and routine litigation incidental to our business, some of which are covered in whole or in part by insurance. While we believe the ultimate disposition of litigation will not have material adverse effect on our financial position, the results of operations or liquidity, there exists the possibility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management’s view of these matters may change in the future.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 Commitments</w:t>
      </w:r>
    </w:p>
    <w:p>
      <w:pPr>
        <w:spacing w:after="0" w:line="39"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We have operating leases for certain land, buildings and equipment. Lease expense was $582,000 for Fiscal 2016, $901,000 for Fiscal 2015 and $1.1 million for Fiscal 2014. Minimum future lease commitments under noncancelable lease agreements in excess of one year as of August 27, 2016 are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8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Amount</w:t>
            </w:r>
          </w:p>
        </w:tc>
      </w:tr>
      <w:tr>
        <w:trPr>
          <w:trHeight w:val="257"/>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Year Ended:</w:t>
            </w:r>
          </w:p>
        </w:tc>
        <w:tc>
          <w:tcPr>
            <w:tcW w:w="8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w:t>
            </w:r>
          </w:p>
        </w:tc>
      </w:tr>
      <w:tr>
        <w:trPr>
          <w:trHeight w:val="260"/>
        </w:trPr>
        <w:tc>
          <w:tcPr>
            <w:tcW w:w="1340" w:type="dxa"/>
            <w:vAlign w:val="bottom"/>
          </w:tcPr>
          <w:p>
            <w:pPr>
              <w:spacing w:after="0"/>
              <w:rPr>
                <w:sz w:val="22"/>
                <w:szCs w:val="22"/>
                <w:color w:val="auto"/>
              </w:rPr>
            </w:pPr>
          </w:p>
        </w:tc>
        <w:tc>
          <w:tcPr>
            <w:tcW w:w="8720" w:type="dxa"/>
            <w:vAlign w:val="bottom"/>
          </w:tcPr>
          <w:p>
            <w:pPr>
              <w:ind w:left="180"/>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77</w:t>
            </w:r>
          </w:p>
        </w:tc>
      </w:tr>
      <w:tr>
        <w:trPr>
          <w:trHeight w:val="280"/>
        </w:trPr>
        <w:tc>
          <w:tcPr>
            <w:tcW w:w="1340" w:type="dxa"/>
            <w:vAlign w:val="bottom"/>
            <w:shd w:val="clear" w:color="auto" w:fill="CCEEFF"/>
          </w:tcPr>
          <w:p>
            <w:pPr>
              <w:spacing w:after="0"/>
              <w:rPr>
                <w:sz w:val="24"/>
                <w:szCs w:val="24"/>
                <w:color w:val="auto"/>
              </w:rPr>
            </w:pPr>
          </w:p>
        </w:tc>
        <w:tc>
          <w:tcPr>
            <w:tcW w:w="8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r>
      <w:tr>
        <w:trPr>
          <w:trHeight w:val="260"/>
        </w:trPr>
        <w:tc>
          <w:tcPr>
            <w:tcW w:w="1340" w:type="dxa"/>
            <w:vAlign w:val="bottom"/>
          </w:tcPr>
          <w:p>
            <w:pPr>
              <w:spacing w:after="0"/>
              <w:rPr>
                <w:sz w:val="22"/>
                <w:szCs w:val="22"/>
                <w:color w:val="auto"/>
              </w:rPr>
            </w:pPr>
          </w:p>
        </w:tc>
        <w:tc>
          <w:tcPr>
            <w:tcW w:w="8720" w:type="dxa"/>
            <w:vAlign w:val="bottom"/>
          </w:tcPr>
          <w:p>
            <w:pPr>
              <w:ind w:left="18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3"/>
        </w:trPr>
        <w:tc>
          <w:tcPr>
            <w:tcW w:w="1340" w:type="dxa"/>
            <w:vAlign w:val="bottom"/>
            <w:shd w:val="clear" w:color="auto" w:fill="CCEEFF"/>
          </w:tcPr>
          <w:p>
            <w:pPr>
              <w:spacing w:after="0"/>
              <w:rPr>
                <w:sz w:val="23"/>
                <w:szCs w:val="23"/>
                <w:color w:val="auto"/>
              </w:rPr>
            </w:pPr>
          </w:p>
        </w:tc>
        <w:tc>
          <w:tcPr>
            <w:tcW w:w="8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40"/>
        </w:trPr>
        <w:tc>
          <w:tcPr>
            <w:tcW w:w="1340" w:type="dxa"/>
            <w:vAlign w:val="bottom"/>
          </w:tcPr>
          <w:p>
            <w:pPr>
              <w:spacing w:after="0"/>
              <w:rPr>
                <w:sz w:val="20"/>
                <w:szCs w:val="20"/>
                <w:color w:val="auto"/>
              </w:rPr>
            </w:pPr>
          </w:p>
        </w:tc>
        <w:tc>
          <w:tcPr>
            <w:tcW w:w="882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275</w:t>
            </w:r>
          </w:p>
        </w:tc>
      </w:tr>
      <w:tr>
        <w:trPr>
          <w:trHeight w:val="20"/>
        </w:trPr>
        <w:tc>
          <w:tcPr>
            <w:tcW w:w="134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40" w:type="dxa"/>
            <w:vAlign w:val="bottom"/>
          </w:tcPr>
          <w:p>
            <w:pPr>
              <w:spacing w:after="0"/>
              <w:rPr>
                <w:sz w:val="20"/>
                <w:szCs w:val="20"/>
                <w:color w:val="auto"/>
              </w:rPr>
            </w:pPr>
            <w:r>
              <w:rPr>
                <w:rFonts w:ascii="Arial" w:cs="Arial" w:eastAsia="Arial" w:hAnsi="Arial"/>
                <w:sz w:val="16"/>
                <w:szCs w:val="16"/>
                <w:b w:val="1"/>
                <w:bCs w:val="1"/>
                <w:color w:val="auto"/>
              </w:rPr>
              <w:t>Note 10: Income Taxes</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51"/>
        </w:trPr>
        <w:tc>
          <w:tcPr>
            <w:tcW w:w="5840" w:type="dxa"/>
            <w:vAlign w:val="bottom"/>
          </w:tcPr>
          <w:p>
            <w:pPr>
              <w:spacing w:after="0"/>
              <w:rPr>
                <w:sz w:val="20"/>
                <w:szCs w:val="20"/>
                <w:color w:val="auto"/>
              </w:rPr>
            </w:pPr>
            <w:r>
              <w:rPr>
                <w:rFonts w:ascii="Arial" w:cs="Arial" w:eastAsia="Arial" w:hAnsi="Arial"/>
                <w:sz w:val="16"/>
                <w:szCs w:val="16"/>
                <w:color w:val="auto"/>
              </w:rPr>
              <w:t>Income tax expense consisted of the following:</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91"/>
        </w:trPr>
        <w:tc>
          <w:tcPr>
            <w:tcW w:w="58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rPr>
              <w:t>Year Ended</w:t>
            </w: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r>
        <w:trPr>
          <w:trHeight w:val="264"/>
        </w:trPr>
        <w:tc>
          <w:tcPr>
            <w:tcW w:w="58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22"/>
                <w:szCs w:val="22"/>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August 27, 2016</w:t>
            </w:r>
          </w:p>
        </w:tc>
        <w:tc>
          <w:tcPr>
            <w:tcW w:w="180" w:type="dxa"/>
            <w:vAlign w:val="bottom"/>
          </w:tcPr>
          <w:p>
            <w:pPr>
              <w:spacing w:after="0"/>
              <w:rPr>
                <w:sz w:val="22"/>
                <w:szCs w:val="22"/>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August 29, 2015</w:t>
            </w:r>
          </w:p>
        </w:tc>
        <w:tc>
          <w:tcPr>
            <w:tcW w:w="260" w:type="dxa"/>
            <w:vAlign w:val="bottom"/>
          </w:tcPr>
          <w:p>
            <w:pPr>
              <w:spacing w:after="0"/>
              <w:rPr>
                <w:sz w:val="22"/>
                <w:szCs w:val="22"/>
                <w:color w:val="auto"/>
              </w:rPr>
            </w:pPr>
          </w:p>
        </w:tc>
        <w:tc>
          <w:tcPr>
            <w:tcW w:w="174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30, 2014</w:t>
            </w:r>
          </w:p>
        </w:tc>
      </w:tr>
      <w:tr>
        <w:trPr>
          <w:trHeight w:val="270"/>
        </w:trPr>
        <w:tc>
          <w:tcPr>
            <w:tcW w:w="58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180" w:type="dxa"/>
            <w:vAlign w:val="bottom"/>
            <w:tcBorders>
              <w:top w:val="single" w:sz="8" w:color="auto"/>
            </w:tcBorders>
            <w:shd w:val="clear" w:color="auto" w:fill="CCEEFF"/>
          </w:tcPr>
          <w:p>
            <w:pPr>
              <w:spacing w:after="0"/>
              <w:rPr>
                <w:sz w:val="23"/>
                <w:szCs w:val="23"/>
                <w:color w:val="auto"/>
              </w:rPr>
            </w:pPr>
          </w:p>
        </w:tc>
        <w:tc>
          <w:tcPr>
            <w:tcW w:w="15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5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740" w:type="dxa"/>
            <w:vAlign w:val="bottom"/>
            <w:tcBorders>
              <w:top w:val="single" w:sz="8" w:color="auto"/>
            </w:tcBorders>
            <w:shd w:val="clear" w:color="auto" w:fill="CCEEFF"/>
          </w:tcPr>
          <w:p>
            <w:pPr>
              <w:spacing w:after="0"/>
              <w:rPr>
                <w:sz w:val="23"/>
                <w:szCs w:val="23"/>
                <w:color w:val="auto"/>
              </w:rPr>
            </w:pPr>
          </w:p>
        </w:tc>
      </w:tr>
      <w:tr>
        <w:trPr>
          <w:trHeight w:val="260"/>
        </w:trPr>
        <w:tc>
          <w:tcPr>
            <w:tcW w:w="5840" w:type="dxa"/>
            <w:vAlign w:val="bottom"/>
          </w:tcPr>
          <w:p>
            <w:pPr>
              <w:ind w:left="180"/>
              <w:spacing w:after="0"/>
              <w:rPr>
                <w:sz w:val="20"/>
                <w:szCs w:val="20"/>
                <w:color w:val="auto"/>
              </w:rPr>
            </w:pPr>
            <w:r>
              <w:rPr>
                <w:rFonts w:ascii="Arial" w:cs="Arial" w:eastAsia="Arial" w:hAnsi="Arial"/>
                <w:sz w:val="16"/>
                <w:szCs w:val="16"/>
                <w:color w:val="auto"/>
              </w:rPr>
              <w:t>Federal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14,293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15,406</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359"/>
              <w:spacing w:after="0"/>
              <w:rPr>
                <w:sz w:val="20"/>
                <w:szCs w:val="20"/>
                <w:color w:val="auto"/>
              </w:rPr>
            </w:pPr>
            <w:r>
              <w:rPr>
                <w:rFonts w:ascii="Arial" w:cs="Arial" w:eastAsia="Arial" w:hAnsi="Arial"/>
                <w:sz w:val="16"/>
                <w:szCs w:val="16"/>
                <w:color w:val="auto"/>
              </w:rPr>
              <w:t>17,923</w:t>
            </w:r>
          </w:p>
        </w:tc>
      </w:tr>
      <w:tr>
        <w:trPr>
          <w:trHeight w:val="273"/>
        </w:trPr>
        <w:tc>
          <w:tcPr>
            <w:tcW w:w="5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State</w:t>
            </w:r>
          </w:p>
        </w:tc>
        <w:tc>
          <w:tcPr>
            <w:tcW w:w="1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1,685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1,124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(170)</w:t>
            </w:r>
          </w:p>
        </w:tc>
      </w:tr>
      <w:tr>
        <w:trPr>
          <w:trHeight w:val="250"/>
        </w:trPr>
        <w:tc>
          <w:tcPr>
            <w:tcW w:w="5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15,978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16,530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17,753</w:t>
            </w:r>
          </w:p>
        </w:tc>
      </w:tr>
      <w:tr>
        <w:trPr>
          <w:trHeight w:val="270"/>
        </w:trPr>
        <w:tc>
          <w:tcPr>
            <w:tcW w:w="5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r>
      <w:tr>
        <w:trPr>
          <w:trHeight w:val="260"/>
        </w:trPr>
        <w:tc>
          <w:tcPr>
            <w:tcW w:w="5840" w:type="dxa"/>
            <w:vAlign w:val="bottom"/>
          </w:tcPr>
          <w:p>
            <w:pPr>
              <w:ind w:left="180"/>
              <w:spacing w:after="0"/>
              <w:rPr>
                <w:sz w:val="20"/>
                <w:szCs w:val="20"/>
                <w:color w:val="auto"/>
              </w:rPr>
            </w:pPr>
            <w:r>
              <w:rPr>
                <w:rFonts w:ascii="Arial" w:cs="Arial" w:eastAsia="Arial" w:hAnsi="Arial"/>
                <w:sz w:val="16"/>
                <w:szCs w:val="16"/>
                <w:color w:val="auto"/>
              </w:rPr>
              <w:t>Federal</w:t>
            </w:r>
          </w:p>
        </w:tc>
        <w:tc>
          <w:tcPr>
            <w:tcW w:w="18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4,280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1,486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40" w:type="dxa"/>
            <w:vAlign w:val="bottom"/>
          </w:tcPr>
          <w:p>
            <w:pPr>
              <w:jc w:val="right"/>
              <w:ind w:right="359"/>
              <w:spacing w:after="0"/>
              <w:rPr>
                <w:sz w:val="20"/>
                <w:szCs w:val="20"/>
                <w:color w:val="auto"/>
              </w:rPr>
            </w:pPr>
            <w:r>
              <w:rPr>
                <w:rFonts w:ascii="Arial" w:cs="Arial" w:eastAsia="Arial" w:hAnsi="Arial"/>
                <w:sz w:val="16"/>
                <w:szCs w:val="16"/>
                <w:color w:val="auto"/>
              </w:rPr>
              <w:t>1,415</w:t>
            </w:r>
          </w:p>
        </w:tc>
      </w:tr>
      <w:tr>
        <w:trPr>
          <w:trHeight w:val="273"/>
        </w:trPr>
        <w:tc>
          <w:tcPr>
            <w:tcW w:w="5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State</w:t>
            </w:r>
          </w:p>
        </w:tc>
        <w:tc>
          <w:tcPr>
            <w:tcW w:w="1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456</w:t>
            </w:r>
          </w:p>
        </w:tc>
      </w:tr>
      <w:tr>
        <w:trPr>
          <w:trHeight w:val="250"/>
        </w:trPr>
        <w:tc>
          <w:tcPr>
            <w:tcW w:w="5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4,724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1,794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1,871</w:t>
            </w:r>
          </w:p>
        </w:tc>
      </w:tr>
      <w:tr>
        <w:trPr>
          <w:trHeight w:val="24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20,702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18,324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19,624</w:t>
            </w: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41" w:right="23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184"/>
        </w:trPr>
        <w:tc>
          <w:tcPr>
            <w:tcW w:w="528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81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47"/>
        </w:trPr>
        <w:tc>
          <w:tcPr>
            <w:tcW w:w="9420" w:type="dxa"/>
            <w:vAlign w:val="bottom"/>
            <w:gridSpan w:val="9"/>
          </w:tcPr>
          <w:p>
            <w:pPr>
              <w:spacing w:after="0"/>
              <w:rPr>
                <w:sz w:val="20"/>
                <w:szCs w:val="20"/>
                <w:color w:val="auto"/>
              </w:rPr>
            </w:pPr>
            <w:r>
              <w:rPr>
                <w:rFonts w:ascii="Arial" w:cs="Arial" w:eastAsia="Arial" w:hAnsi="Arial"/>
                <w:sz w:val="16"/>
                <w:szCs w:val="16"/>
                <w:color w:val="auto"/>
              </w:rPr>
              <w:t>The following table provides a reconciliation of the US statutory income tax rate to our effective income tax rate:</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6"/>
                <w:szCs w:val="16"/>
                <w:b w:val="1"/>
                <w:bCs w:val="1"/>
                <w:color w:val="auto"/>
                <w:w w:val="99"/>
              </w:rPr>
              <w:t>Year Ended</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64"/>
        </w:trPr>
        <w:tc>
          <w:tcPr>
            <w:tcW w:w="5280" w:type="dxa"/>
            <w:vAlign w:val="bottom"/>
            <w:gridSpan w:val="2"/>
          </w:tcPr>
          <w:p>
            <w:pPr>
              <w:ind w:left="40"/>
              <w:spacing w:after="0"/>
              <w:rPr>
                <w:sz w:val="20"/>
                <w:szCs w:val="20"/>
                <w:color w:val="auto"/>
              </w:rPr>
            </w:pPr>
            <w:r>
              <w:rPr>
                <w:rFonts w:ascii="Arial" w:cs="Arial" w:eastAsia="Arial" w:hAnsi="Arial"/>
                <w:sz w:val="16"/>
                <w:szCs w:val="16"/>
                <w:b w:val="1"/>
                <w:bCs w:val="1"/>
                <w:color w:val="auto"/>
              </w:rPr>
              <w:t>(A percentage)</w:t>
            </w:r>
          </w:p>
        </w:tc>
        <w:tc>
          <w:tcPr>
            <w:tcW w:w="2080" w:type="dxa"/>
            <w:vAlign w:val="bottom"/>
            <w:gridSpan w:val="2"/>
          </w:tcPr>
          <w:p>
            <w:pPr>
              <w:ind w:left="260"/>
              <w:spacing w:after="0"/>
              <w:rPr>
                <w:sz w:val="20"/>
                <w:szCs w:val="20"/>
                <w:color w:val="auto"/>
              </w:rPr>
            </w:pPr>
            <w:r>
              <w:rPr>
                <w:rFonts w:ascii="Arial" w:cs="Arial" w:eastAsia="Arial" w:hAnsi="Arial"/>
                <w:sz w:val="16"/>
                <w:szCs w:val="16"/>
                <w:b w:val="1"/>
                <w:bCs w:val="1"/>
                <w:color w:val="auto"/>
              </w:rPr>
              <w:t>August 27, 2016</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0" w:type="dxa"/>
            <w:vAlign w:val="bottom"/>
            <w:gridSpan w:val="3"/>
          </w:tcPr>
          <w:p>
            <w:pPr>
              <w:ind w:left="100"/>
              <w:spacing w:after="0"/>
              <w:rPr>
                <w:sz w:val="20"/>
                <w:szCs w:val="20"/>
                <w:color w:val="auto"/>
              </w:rPr>
            </w:pPr>
            <w:r>
              <w:rPr>
                <w:rFonts w:ascii="Arial" w:cs="Arial" w:eastAsia="Arial" w:hAnsi="Arial"/>
                <w:sz w:val="16"/>
                <w:szCs w:val="16"/>
                <w:b w:val="1"/>
                <w:bCs w:val="1"/>
                <w:color w:val="auto"/>
              </w:rPr>
              <w:t>August 29, 2015</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30, 2014</w:t>
            </w:r>
          </w:p>
        </w:tc>
      </w:tr>
      <w:tr>
        <w:trPr>
          <w:trHeight w:val="270"/>
        </w:trPr>
        <w:tc>
          <w:tcPr>
            <w:tcW w:w="528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US federal statutory rate</w:t>
            </w:r>
          </w:p>
        </w:tc>
        <w:tc>
          <w:tcPr>
            <w:tcW w:w="196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35.0 %</w:t>
            </w:r>
          </w:p>
        </w:tc>
        <w:tc>
          <w:tcPr>
            <w:tcW w:w="12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7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35.0 %</w:t>
            </w:r>
          </w:p>
        </w:tc>
        <w:tc>
          <w:tcPr>
            <w:tcW w:w="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35.0 %</w:t>
            </w:r>
          </w:p>
        </w:tc>
      </w:tr>
      <w:tr>
        <w:trPr>
          <w:trHeight w:val="260"/>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State taxes, net of federal benefit</w:t>
            </w:r>
          </w:p>
        </w:tc>
        <w:tc>
          <w:tcPr>
            <w:tcW w:w="1960" w:type="dxa"/>
            <w:vAlign w:val="bottom"/>
          </w:tcPr>
          <w:p>
            <w:pPr>
              <w:jc w:val="right"/>
              <w:ind w:right="199"/>
              <w:spacing w:after="0"/>
              <w:rPr>
                <w:sz w:val="20"/>
                <w:szCs w:val="20"/>
                <w:color w:val="auto"/>
              </w:rPr>
            </w:pPr>
            <w:r>
              <w:rPr>
                <w:rFonts w:ascii="Arial" w:cs="Arial" w:eastAsia="Arial" w:hAnsi="Arial"/>
                <w:sz w:val="16"/>
                <w:szCs w:val="16"/>
                <w:color w:val="auto"/>
              </w:rPr>
              <w:t>2.5 %</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ind w:right="219"/>
              <w:spacing w:after="0"/>
              <w:rPr>
                <w:sz w:val="20"/>
                <w:szCs w:val="20"/>
                <w:color w:val="auto"/>
              </w:rPr>
            </w:pPr>
            <w:r>
              <w:rPr>
                <w:rFonts w:ascii="Arial" w:cs="Arial" w:eastAsia="Arial" w:hAnsi="Arial"/>
                <w:sz w:val="16"/>
                <w:szCs w:val="16"/>
                <w:color w:val="auto"/>
              </w:rPr>
              <w:t>2.4 %</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319"/>
              <w:spacing w:after="0"/>
              <w:rPr>
                <w:sz w:val="20"/>
                <w:szCs w:val="20"/>
                <w:color w:val="auto"/>
              </w:rPr>
            </w:pPr>
            <w:r>
              <w:rPr>
                <w:rFonts w:ascii="Arial" w:cs="Arial" w:eastAsia="Arial" w:hAnsi="Arial"/>
                <w:sz w:val="16"/>
                <w:szCs w:val="16"/>
                <w:color w:val="auto"/>
              </w:rPr>
              <w:t>2.3 %</w:t>
            </w:r>
          </w:p>
        </w:tc>
      </w:tr>
      <w:tr>
        <w:trPr>
          <w:trHeight w:val="280"/>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Tax-free and dividend income</w:t>
            </w:r>
          </w:p>
        </w:tc>
        <w:tc>
          <w:tcPr>
            <w:tcW w:w="19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(1.3)%</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(1.5)%</w:t>
            </w:r>
          </w:p>
        </w:tc>
      </w:tr>
      <w:tr>
        <w:trPr>
          <w:trHeight w:val="260"/>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Income tax credits</w:t>
            </w:r>
          </w:p>
        </w:tc>
        <w:tc>
          <w:tcPr>
            <w:tcW w:w="1960" w:type="dxa"/>
            <w:vAlign w:val="bottom"/>
          </w:tcPr>
          <w:p>
            <w:pPr>
              <w:jc w:val="right"/>
              <w:ind w:right="17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ind w:right="199"/>
              <w:spacing w:after="0"/>
              <w:rPr>
                <w:sz w:val="20"/>
                <w:szCs w:val="20"/>
                <w:color w:val="auto"/>
              </w:rPr>
            </w:pPr>
            <w:r>
              <w:rPr>
                <w:rFonts w:ascii="Arial" w:cs="Arial" w:eastAsia="Arial" w:hAnsi="Arial"/>
                <w:sz w:val="16"/>
                <w:szCs w:val="16"/>
                <w:color w:val="auto"/>
              </w:rPr>
              <w:t>(0.3)%</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299"/>
              <w:spacing w:after="0"/>
              <w:rPr>
                <w:sz w:val="20"/>
                <w:szCs w:val="20"/>
                <w:color w:val="auto"/>
              </w:rPr>
            </w:pPr>
            <w:r>
              <w:rPr>
                <w:rFonts w:ascii="Arial" w:cs="Arial" w:eastAsia="Arial" w:hAnsi="Arial"/>
                <w:sz w:val="16"/>
                <w:szCs w:val="16"/>
                <w:color w:val="auto"/>
              </w:rPr>
              <w:t>(0.4)%</w:t>
            </w:r>
          </w:p>
        </w:tc>
      </w:tr>
      <w:tr>
        <w:trPr>
          <w:trHeight w:val="280"/>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Domestic production activities deduction</w:t>
            </w:r>
          </w:p>
        </w:tc>
        <w:tc>
          <w:tcPr>
            <w:tcW w:w="19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(3.7)%</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(2.8)%</w:t>
            </w:r>
          </w:p>
        </w:tc>
      </w:tr>
      <w:tr>
        <w:trPr>
          <w:trHeight w:val="260"/>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Other permanent items</w:t>
            </w:r>
          </w:p>
        </w:tc>
        <w:tc>
          <w:tcPr>
            <w:tcW w:w="1960" w:type="dxa"/>
            <w:vAlign w:val="bottom"/>
          </w:tcPr>
          <w:p>
            <w:pPr>
              <w:jc w:val="right"/>
              <w:ind w:right="17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ind w:right="199"/>
              <w:spacing w:after="0"/>
              <w:rPr>
                <w:sz w:val="20"/>
                <w:szCs w:val="20"/>
                <w:color w:val="auto"/>
              </w:rPr>
            </w:pPr>
            <w:r>
              <w:rPr>
                <w:rFonts w:ascii="Arial" w:cs="Arial" w:eastAsia="Arial" w:hAnsi="Arial"/>
                <w:sz w:val="16"/>
                <w:szCs w:val="16"/>
                <w:color w:val="auto"/>
              </w:rPr>
              <w:t>(0.8)%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299"/>
              <w:spacing w:after="0"/>
              <w:rPr>
                <w:sz w:val="20"/>
                <w:szCs w:val="20"/>
                <w:color w:val="auto"/>
              </w:rPr>
            </w:pPr>
            <w:r>
              <w:rPr>
                <w:rFonts w:ascii="Arial" w:cs="Arial" w:eastAsia="Arial" w:hAnsi="Arial"/>
                <w:sz w:val="16"/>
                <w:szCs w:val="16"/>
                <w:color w:val="auto"/>
              </w:rPr>
              <w:t>(0.9)%</w:t>
            </w:r>
          </w:p>
        </w:tc>
      </w:tr>
      <w:tr>
        <w:trPr>
          <w:trHeight w:val="280"/>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Valuation allowance</w:t>
            </w:r>
          </w:p>
        </w:tc>
        <w:tc>
          <w:tcPr>
            <w:tcW w:w="2080" w:type="dxa"/>
            <w:vAlign w:val="bottom"/>
            <w:gridSpan w:val="2"/>
            <w:shd w:val="clear" w:color="auto" w:fill="CCEEFF"/>
          </w:tcPr>
          <w:p>
            <w:pPr>
              <w:ind w:left="1340"/>
              <w:spacing w:after="0"/>
              <w:rPr>
                <w:sz w:val="20"/>
                <w:szCs w:val="20"/>
                <w:color w:val="auto"/>
              </w:rPr>
            </w:pPr>
            <w:r>
              <w:rPr>
                <w:rFonts w:ascii="Arial" w:cs="Arial" w:eastAsia="Arial" w:hAnsi="Arial"/>
                <w:sz w:val="16"/>
                <w:szCs w:val="16"/>
                <w:color w:val="auto"/>
              </w:rPr>
              <w:t>— %</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0" w:type="dxa"/>
            <w:vAlign w:val="bottom"/>
            <w:gridSpan w:val="3"/>
            <w:shd w:val="clear" w:color="auto" w:fill="CCEEFF"/>
          </w:tcPr>
          <w:p>
            <w:pPr>
              <w:ind w:left="1060"/>
              <w:spacing w:after="0"/>
              <w:rPr>
                <w:sz w:val="20"/>
                <w:szCs w:val="20"/>
                <w:color w:val="auto"/>
              </w:rPr>
            </w:pPr>
            <w:r>
              <w:rPr>
                <w:rFonts w:ascii="Arial" w:cs="Arial" w:eastAsia="Arial" w:hAnsi="Arial"/>
                <w:sz w:val="16"/>
                <w:szCs w:val="16"/>
                <w:color w:val="auto"/>
              </w:rPr>
              <w:t>— %</w:t>
            </w: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(0.4)%</w:t>
            </w:r>
          </w:p>
        </w:tc>
      </w:tr>
      <w:tr>
        <w:trPr>
          <w:trHeight w:val="264"/>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Uncertain tax positions settlements and adjustments</w:t>
            </w:r>
          </w:p>
        </w:tc>
        <w:tc>
          <w:tcPr>
            <w:tcW w:w="2080" w:type="dxa"/>
            <w:vAlign w:val="bottom"/>
            <w:gridSpan w:val="2"/>
          </w:tcPr>
          <w:p>
            <w:pPr>
              <w:ind w:left="1340"/>
              <w:spacing w:after="0"/>
              <w:rPr>
                <w:sz w:val="20"/>
                <w:szCs w:val="20"/>
                <w:color w:val="auto"/>
              </w:rPr>
            </w:pPr>
            <w:r>
              <w:rPr>
                <w:rFonts w:ascii="Arial" w:cs="Arial" w:eastAsia="Arial" w:hAnsi="Arial"/>
                <w:sz w:val="16"/>
                <w:szCs w:val="16"/>
                <w:color w:val="auto"/>
              </w:rPr>
              <w:t>— %</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ind w:right="199"/>
              <w:spacing w:after="0"/>
              <w:rPr>
                <w:sz w:val="20"/>
                <w:szCs w:val="20"/>
                <w:color w:val="auto"/>
              </w:rPr>
            </w:pPr>
            <w:r>
              <w:rPr>
                <w:rFonts w:ascii="Arial" w:cs="Arial" w:eastAsia="Arial" w:hAnsi="Arial"/>
                <w:sz w:val="16"/>
                <w:szCs w:val="16"/>
                <w:color w:val="auto"/>
              </w:rPr>
              <w:t>(0.5)%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299"/>
              <w:spacing w:after="0"/>
              <w:rPr>
                <w:sz w:val="20"/>
                <w:szCs w:val="20"/>
                <w:color w:val="auto"/>
              </w:rPr>
            </w:pPr>
            <w:r>
              <w:rPr>
                <w:rFonts w:ascii="Arial" w:cs="Arial" w:eastAsia="Arial" w:hAnsi="Arial"/>
                <w:sz w:val="16"/>
                <w:szCs w:val="16"/>
                <w:color w:val="auto"/>
              </w:rPr>
              <w:t>(1.0)%</w:t>
            </w:r>
          </w:p>
        </w:tc>
      </w:tr>
      <w:tr>
        <w:trPr>
          <w:trHeight w:val="240"/>
        </w:trPr>
        <w:tc>
          <w:tcPr>
            <w:tcW w:w="52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Effective tax provision rate</w:t>
            </w:r>
          </w:p>
        </w:tc>
        <w:tc>
          <w:tcPr>
            <w:tcW w:w="196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31.3 %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30.8 %</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72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30.3 %</w:t>
            </w:r>
          </w:p>
        </w:tc>
      </w:tr>
      <w:tr>
        <w:trPr>
          <w:trHeight w:val="20"/>
        </w:trPr>
        <w:tc>
          <w:tcPr>
            <w:tcW w:w="12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369"/>
        </w:trPr>
        <w:tc>
          <w:tcPr>
            <w:tcW w:w="7360" w:type="dxa"/>
            <w:vAlign w:val="bottom"/>
            <w:gridSpan w:val="4"/>
          </w:tcPr>
          <w:p>
            <w:pPr>
              <w:spacing w:after="0"/>
              <w:rPr>
                <w:sz w:val="20"/>
                <w:szCs w:val="20"/>
                <w:color w:val="auto"/>
              </w:rPr>
            </w:pPr>
            <w:r>
              <w:rPr>
                <w:rFonts w:ascii="Arial" w:cs="Arial" w:eastAsia="Arial" w:hAnsi="Arial"/>
                <w:sz w:val="16"/>
                <w:szCs w:val="16"/>
                <w:color w:val="auto"/>
              </w:rPr>
              <w:t>The tax effects of temporary differences that give rise to deferred income taxes were as follows: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91"/>
        </w:trPr>
        <w:tc>
          <w:tcPr>
            <w:tcW w:w="528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rPr>
              <w:t>August 27, 2016</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29, 2015</w:t>
            </w:r>
          </w:p>
        </w:tc>
      </w:tr>
      <w:tr>
        <w:trPr>
          <w:trHeight w:val="270"/>
        </w:trPr>
        <w:tc>
          <w:tcPr>
            <w:tcW w:w="528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Deferred income tax asset (liability)</w:t>
            </w:r>
          </w:p>
        </w:tc>
        <w:tc>
          <w:tcPr>
            <w:tcW w:w="1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70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r>
      <w:tr>
        <w:trPr>
          <w:trHeight w:val="260"/>
        </w:trPr>
        <w:tc>
          <w:tcPr>
            <w:tcW w:w="5280" w:type="dxa"/>
            <w:vAlign w:val="bottom"/>
            <w:gridSpan w:val="2"/>
          </w:tcPr>
          <w:p>
            <w:pPr>
              <w:ind w:left="180"/>
              <w:spacing w:after="0"/>
              <w:rPr>
                <w:sz w:val="20"/>
                <w:szCs w:val="20"/>
                <w:color w:val="auto"/>
              </w:rPr>
            </w:pPr>
            <w:r>
              <w:rPr>
                <w:rFonts w:ascii="Arial" w:cs="Arial" w:eastAsia="Arial" w:hAnsi="Arial"/>
                <w:sz w:val="16"/>
                <w:szCs w:val="16"/>
                <w:color w:val="auto"/>
              </w:rPr>
              <w:t>Deferred compensation</w:t>
            </w: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319"/>
              <w:spacing w:after="0"/>
              <w:rPr>
                <w:sz w:val="20"/>
                <w:szCs w:val="20"/>
                <w:color w:val="auto"/>
              </w:rPr>
            </w:pPr>
            <w:r>
              <w:rPr>
                <w:rFonts w:ascii="Arial" w:cs="Arial" w:eastAsia="Arial" w:hAnsi="Arial"/>
                <w:sz w:val="16"/>
                <w:szCs w:val="16"/>
                <w:color w:val="auto"/>
              </w:rPr>
              <w:t>9,609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10,757</w:t>
            </w:r>
          </w:p>
        </w:tc>
      </w:tr>
      <w:tr>
        <w:trPr>
          <w:trHeight w:val="280"/>
        </w:trPr>
        <w:tc>
          <w:tcPr>
            <w:tcW w:w="5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Warranty reserves</w:t>
            </w:r>
          </w:p>
        </w:tc>
        <w:tc>
          <w:tcPr>
            <w:tcW w:w="1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4,729</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4,288</w:t>
            </w:r>
          </w:p>
        </w:tc>
      </w:tr>
      <w:tr>
        <w:trPr>
          <w:trHeight w:val="260"/>
        </w:trPr>
        <w:tc>
          <w:tcPr>
            <w:tcW w:w="5280" w:type="dxa"/>
            <w:vAlign w:val="bottom"/>
            <w:gridSpan w:val="2"/>
          </w:tcPr>
          <w:p>
            <w:pPr>
              <w:ind w:left="180"/>
              <w:spacing w:after="0"/>
              <w:rPr>
                <w:sz w:val="20"/>
                <w:szCs w:val="20"/>
                <w:color w:val="auto"/>
              </w:rPr>
            </w:pPr>
            <w:r>
              <w:rPr>
                <w:rFonts w:ascii="Arial" w:cs="Arial" w:eastAsia="Arial" w:hAnsi="Arial"/>
                <w:sz w:val="16"/>
                <w:szCs w:val="16"/>
                <w:color w:val="auto"/>
              </w:rPr>
              <w:t>Postretirement health care benefits</w:t>
            </w: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ind w:right="319"/>
              <w:spacing w:after="0"/>
              <w:rPr>
                <w:sz w:val="20"/>
                <w:szCs w:val="20"/>
                <w:color w:val="auto"/>
              </w:rPr>
            </w:pPr>
            <w:r>
              <w:rPr>
                <w:rFonts w:ascii="Arial" w:cs="Arial" w:eastAsia="Arial" w:hAnsi="Arial"/>
                <w:sz w:val="16"/>
                <w:szCs w:val="16"/>
                <w:color w:val="auto"/>
              </w:rPr>
              <w:t>2,262</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12,792</w:t>
            </w:r>
          </w:p>
        </w:tc>
      </w:tr>
      <w:tr>
        <w:trPr>
          <w:trHeight w:val="280"/>
        </w:trPr>
        <w:tc>
          <w:tcPr>
            <w:tcW w:w="5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Self-insurance reserve</w:t>
            </w:r>
          </w:p>
        </w:tc>
        <w:tc>
          <w:tcPr>
            <w:tcW w:w="1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2,214</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2,378</w:t>
            </w:r>
          </w:p>
        </w:tc>
      </w:tr>
      <w:tr>
        <w:trPr>
          <w:trHeight w:val="260"/>
        </w:trPr>
        <w:tc>
          <w:tcPr>
            <w:tcW w:w="5280" w:type="dxa"/>
            <w:vAlign w:val="bottom"/>
            <w:gridSpan w:val="2"/>
          </w:tcPr>
          <w:p>
            <w:pPr>
              <w:ind w:left="180"/>
              <w:spacing w:after="0"/>
              <w:rPr>
                <w:sz w:val="20"/>
                <w:szCs w:val="20"/>
                <w:color w:val="auto"/>
              </w:rPr>
            </w:pPr>
            <w:r>
              <w:rPr>
                <w:rFonts w:ascii="Arial" w:cs="Arial" w:eastAsia="Arial" w:hAnsi="Arial"/>
                <w:sz w:val="16"/>
                <w:szCs w:val="16"/>
                <w:color w:val="auto"/>
              </w:rPr>
              <w:t>Accrued vacation</w:t>
            </w: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ind w:right="319"/>
              <w:spacing w:after="0"/>
              <w:rPr>
                <w:sz w:val="20"/>
                <w:szCs w:val="20"/>
                <w:color w:val="auto"/>
              </w:rPr>
            </w:pPr>
            <w:r>
              <w:rPr>
                <w:rFonts w:ascii="Arial" w:cs="Arial" w:eastAsia="Arial" w:hAnsi="Arial"/>
                <w:sz w:val="16"/>
                <w:szCs w:val="16"/>
                <w:color w:val="auto"/>
              </w:rPr>
              <w:t>2,006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1,938</w:t>
            </w:r>
          </w:p>
        </w:tc>
      </w:tr>
      <w:tr>
        <w:trPr>
          <w:trHeight w:val="280"/>
        </w:trPr>
        <w:tc>
          <w:tcPr>
            <w:tcW w:w="5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Stock based compensation</w:t>
            </w:r>
          </w:p>
        </w:tc>
        <w:tc>
          <w:tcPr>
            <w:tcW w:w="1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1,030</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1,239</w:t>
            </w:r>
          </w:p>
        </w:tc>
      </w:tr>
      <w:tr>
        <w:trPr>
          <w:trHeight w:val="260"/>
        </w:trPr>
        <w:tc>
          <w:tcPr>
            <w:tcW w:w="5280" w:type="dxa"/>
            <w:vAlign w:val="bottom"/>
            <w:gridSpan w:val="2"/>
          </w:tcPr>
          <w:p>
            <w:pPr>
              <w:ind w:left="180"/>
              <w:spacing w:after="0"/>
              <w:rPr>
                <w:sz w:val="20"/>
                <w:szCs w:val="20"/>
                <w:color w:val="auto"/>
              </w:rPr>
            </w:pPr>
            <w:r>
              <w:rPr>
                <w:rFonts w:ascii="Arial" w:cs="Arial" w:eastAsia="Arial" w:hAnsi="Arial"/>
                <w:sz w:val="16"/>
                <w:szCs w:val="16"/>
                <w:color w:val="auto"/>
              </w:rPr>
              <w:t>Unrecognized tax benefit</w:t>
            </w: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ind w:right="319"/>
              <w:spacing w:after="0"/>
              <w:rPr>
                <w:sz w:val="20"/>
                <w:szCs w:val="20"/>
                <w:color w:val="auto"/>
              </w:rPr>
            </w:pPr>
            <w:r>
              <w:rPr>
                <w:rFonts w:ascii="Arial" w:cs="Arial" w:eastAsia="Arial" w:hAnsi="Arial"/>
                <w:sz w:val="16"/>
                <w:szCs w:val="16"/>
                <w:color w:val="auto"/>
              </w:rPr>
              <w:t>698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726</w:t>
            </w:r>
          </w:p>
        </w:tc>
      </w:tr>
      <w:tr>
        <w:trPr>
          <w:trHeight w:val="280"/>
        </w:trPr>
        <w:tc>
          <w:tcPr>
            <w:tcW w:w="5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7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1,785</w:t>
            </w:r>
          </w:p>
        </w:tc>
        <w:tc>
          <w:tcPr>
            <w:tcW w:w="40" w:type="dxa"/>
            <w:vAlign w:val="bottom"/>
            <w:tcBorders>
              <w:bottom w:val="single" w:sz="8" w:color="auto"/>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1,592</w:t>
            </w:r>
          </w:p>
        </w:tc>
      </w:tr>
      <w:tr>
        <w:trPr>
          <w:trHeight w:val="240"/>
        </w:trPr>
        <w:tc>
          <w:tcPr>
            <w:tcW w:w="5280" w:type="dxa"/>
            <w:vAlign w:val="bottom"/>
            <w:gridSpan w:val="2"/>
          </w:tcPr>
          <w:p>
            <w:pPr>
              <w:ind w:left="400"/>
              <w:spacing w:after="0"/>
              <w:rPr>
                <w:sz w:val="20"/>
                <w:szCs w:val="20"/>
                <w:color w:val="auto"/>
              </w:rPr>
            </w:pPr>
            <w:r>
              <w:rPr>
                <w:rFonts w:ascii="Arial" w:cs="Arial" w:eastAsia="Arial" w:hAnsi="Arial"/>
                <w:sz w:val="16"/>
                <w:szCs w:val="16"/>
                <w:color w:val="auto"/>
              </w:rPr>
              <w:t>Total deferred tax assets</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ind w:right="319"/>
              <w:spacing w:after="0"/>
              <w:rPr>
                <w:sz w:val="20"/>
                <w:szCs w:val="20"/>
                <w:color w:val="auto"/>
              </w:rPr>
            </w:pPr>
            <w:r>
              <w:rPr>
                <w:rFonts w:ascii="Arial" w:cs="Arial" w:eastAsia="Arial" w:hAnsi="Arial"/>
                <w:sz w:val="16"/>
                <w:szCs w:val="16"/>
                <w:color w:val="auto"/>
              </w:rPr>
              <w:t>24,333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35,710</w:t>
            </w:r>
          </w:p>
        </w:tc>
      </w:tr>
      <w:tr>
        <w:trPr>
          <w:trHeight w:val="280"/>
        </w:trPr>
        <w:tc>
          <w:tcPr>
            <w:tcW w:w="5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Inventory</w:t>
            </w:r>
          </w:p>
        </w:tc>
        <w:tc>
          <w:tcPr>
            <w:tcW w:w="1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(1,930)</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(2,383)</w:t>
            </w:r>
          </w:p>
        </w:tc>
      </w:tr>
      <w:tr>
        <w:trPr>
          <w:trHeight w:val="264"/>
        </w:trPr>
        <w:tc>
          <w:tcPr>
            <w:tcW w:w="52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Depreciation</w:t>
            </w:r>
          </w:p>
        </w:tc>
        <w:tc>
          <w:tcPr>
            <w:tcW w:w="19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(3,650)</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(1,338)</w:t>
            </w:r>
          </w:p>
        </w:tc>
      </w:tr>
      <w:tr>
        <w:trPr>
          <w:trHeight w:val="250"/>
        </w:trPr>
        <w:tc>
          <w:tcPr>
            <w:tcW w:w="52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Total deferred tax liabilities</w:t>
            </w:r>
          </w:p>
        </w:tc>
        <w:tc>
          <w:tcPr>
            <w:tcW w:w="1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(5,580)</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(3,721)</w:t>
            </w: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Total deferred income tax assets, net of deferred tax liabilities</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319"/>
              <w:spacing w:after="0"/>
              <w:rPr>
                <w:sz w:val="20"/>
                <w:szCs w:val="20"/>
                <w:color w:val="auto"/>
              </w:rPr>
            </w:pPr>
            <w:r>
              <w:rPr>
                <w:rFonts w:ascii="Arial" w:cs="Arial" w:eastAsia="Arial" w:hAnsi="Arial"/>
                <w:sz w:val="16"/>
                <w:szCs w:val="16"/>
                <w:color w:val="auto"/>
              </w:rPr>
              <w:t>18,753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31,989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3810</wp:posOffset>
            </wp:positionV>
            <wp:extent cx="255587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55875" cy="26035"/>
                    </a:xfrm>
                    <a:prstGeom prst="rect">
                      <a:avLst/>
                    </a:prstGeom>
                    <a:noFill/>
                  </pic:spPr>
                </pic:pic>
              </a:graphicData>
            </a:graphic>
          </wp:anchor>
        </w:drawing>
      </w:r>
    </w:p>
    <w:p>
      <w:pPr>
        <w:spacing w:after="0" w:line="31" w:lineRule="exact"/>
        <w:rPr>
          <w:sz w:val="20"/>
          <w:szCs w:val="20"/>
          <w:color w:val="auto"/>
        </w:rPr>
      </w:pPr>
    </w:p>
    <w:p>
      <w:pPr>
        <w:ind w:left="260" w:right="520" w:hanging="252"/>
        <w:spacing w:after="0" w:line="218" w:lineRule="auto"/>
        <w:tabs>
          <w:tab w:leader="none" w:pos="26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At August 27, 2016, Other includes $95,000 related to state NOLs that will begin to expire in Fiscal 2021. We have evaluated all the positive and negative evidence and consider it more likely than not that these carryforwards can be realized.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Unrecognized Tax Benefits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unrecognized tax benefits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9"/>
                <w:szCs w:val="19"/>
                <w:color w:val="auto"/>
              </w:rPr>
            </w:pPr>
          </w:p>
        </w:tc>
        <w:tc>
          <w:tcPr>
            <w:tcW w:w="1780" w:type="dxa"/>
            <w:vAlign w:val="bottom"/>
            <w:gridSpan w:val="2"/>
          </w:tcPr>
          <w:p>
            <w:pPr>
              <w:ind w:left="100"/>
              <w:spacing w:after="0"/>
              <w:rPr>
                <w:sz w:val="20"/>
                <w:szCs w:val="20"/>
                <w:color w:val="auto"/>
              </w:rPr>
            </w:pPr>
            <w:r>
              <w:rPr>
                <w:rFonts w:ascii="Arial" w:cs="Arial" w:eastAsia="Arial" w:hAnsi="Arial"/>
                <w:sz w:val="16"/>
                <w:szCs w:val="16"/>
                <w:b w:val="1"/>
                <w:bCs w:val="1"/>
                <w:color w:val="auto"/>
              </w:rPr>
              <w:t>August 27, 2016</w:t>
            </w:r>
          </w:p>
        </w:tc>
        <w:tc>
          <w:tcPr>
            <w:tcW w:w="220" w:type="dxa"/>
            <w:vAlign w:val="bottom"/>
          </w:tcPr>
          <w:p>
            <w:pPr>
              <w:spacing w:after="0"/>
              <w:rPr>
                <w:sz w:val="19"/>
                <w:szCs w:val="19"/>
                <w:color w:val="auto"/>
              </w:rPr>
            </w:pPr>
          </w:p>
        </w:tc>
        <w:tc>
          <w:tcPr>
            <w:tcW w:w="180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29, 2015</w:t>
            </w:r>
          </w:p>
        </w:tc>
        <w:tc>
          <w:tcPr>
            <w:tcW w:w="240" w:type="dxa"/>
            <w:vAlign w:val="bottom"/>
          </w:tcPr>
          <w:p>
            <w:pPr>
              <w:spacing w:after="0"/>
              <w:rPr>
                <w:sz w:val="19"/>
                <w:szCs w:val="19"/>
                <w:color w:val="auto"/>
              </w:rPr>
            </w:pPr>
          </w:p>
        </w:tc>
        <w:tc>
          <w:tcPr>
            <w:tcW w:w="168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30, 2014</w:t>
            </w:r>
          </w:p>
        </w:tc>
      </w:tr>
      <w:tr>
        <w:trPr>
          <w:trHeight w:val="257"/>
        </w:trPr>
        <w:tc>
          <w:tcPr>
            <w:tcW w:w="54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Unrecognized tax benefits - beginning balance</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1,589</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1,709</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2,134</w:t>
            </w:r>
          </w:p>
        </w:tc>
      </w:tr>
      <w:tr>
        <w:trPr>
          <w:trHeight w:val="260"/>
        </w:trPr>
        <w:tc>
          <w:tcPr>
            <w:tcW w:w="5460" w:type="dxa"/>
            <w:vAlign w:val="bottom"/>
          </w:tcPr>
          <w:p>
            <w:pPr>
              <w:ind w:left="40"/>
              <w:spacing w:after="0"/>
              <w:rPr>
                <w:sz w:val="20"/>
                <w:szCs w:val="20"/>
                <w:color w:val="auto"/>
              </w:rPr>
            </w:pPr>
            <w:r>
              <w:rPr>
                <w:rFonts w:ascii="Arial" w:cs="Arial" w:eastAsia="Arial" w:hAnsi="Arial"/>
                <w:sz w:val="16"/>
                <w:szCs w:val="16"/>
                <w:color w:val="auto"/>
              </w:rPr>
              <w:t>Gross decreases - tax positions in a prior period</w:t>
            </w:r>
          </w:p>
        </w:tc>
        <w:tc>
          <w:tcPr>
            <w:tcW w:w="240" w:type="dxa"/>
            <w:vAlign w:val="bottom"/>
          </w:tcPr>
          <w:p>
            <w:pPr>
              <w:spacing w:after="0"/>
              <w:rPr>
                <w:sz w:val="22"/>
                <w:szCs w:val="22"/>
                <w:color w:val="auto"/>
              </w:rPr>
            </w:pPr>
          </w:p>
        </w:tc>
        <w:tc>
          <w:tcPr>
            <w:tcW w:w="1660" w:type="dxa"/>
            <w:vAlign w:val="bottom"/>
          </w:tcPr>
          <w:p>
            <w:pPr>
              <w:jc w:val="right"/>
              <w:ind w:right="279"/>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ind w:right="299"/>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tcPr>
          <w:p>
            <w:pPr>
              <w:jc w:val="right"/>
              <w:ind w:right="299"/>
              <w:spacing w:after="0"/>
              <w:rPr>
                <w:sz w:val="20"/>
                <w:szCs w:val="20"/>
                <w:color w:val="auto"/>
              </w:rPr>
            </w:pPr>
            <w:r>
              <w:rPr>
                <w:rFonts w:ascii="Arial" w:cs="Arial" w:eastAsia="Arial" w:hAnsi="Arial"/>
                <w:sz w:val="16"/>
                <w:szCs w:val="16"/>
                <w:color w:val="auto"/>
              </w:rPr>
              <w:t>(816)</w:t>
            </w:r>
          </w:p>
        </w:tc>
      </w:tr>
      <w:tr>
        <w:trPr>
          <w:trHeight w:val="273"/>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increases - current period tax positions</w:t>
            </w:r>
          </w:p>
        </w:tc>
        <w:tc>
          <w:tcPr>
            <w:tcW w:w="24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476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448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391</w:t>
            </w:r>
          </w:p>
        </w:tc>
      </w:tr>
      <w:tr>
        <w:trPr>
          <w:trHeight w:val="247"/>
        </w:trPr>
        <w:tc>
          <w:tcPr>
            <w:tcW w:w="5460" w:type="dxa"/>
            <w:vAlign w:val="bottom"/>
          </w:tcPr>
          <w:p>
            <w:pPr>
              <w:ind w:left="40"/>
              <w:spacing w:after="0"/>
              <w:rPr>
                <w:sz w:val="20"/>
                <w:szCs w:val="20"/>
                <w:color w:val="auto"/>
              </w:rPr>
            </w:pPr>
            <w:r>
              <w:rPr>
                <w:rFonts w:ascii="Arial" w:cs="Arial" w:eastAsia="Arial" w:hAnsi="Arial"/>
                <w:sz w:val="16"/>
                <w:szCs w:val="16"/>
                <w:color w:val="auto"/>
              </w:rPr>
              <w:t>Unrecognized tax benefits - ending balance</w:t>
            </w:r>
          </w:p>
        </w:tc>
        <w:tc>
          <w:tcPr>
            <w:tcW w:w="240" w:type="dxa"/>
            <w:vAlign w:val="bottom"/>
          </w:tcPr>
          <w:p>
            <w:pPr>
              <w:spacing w:after="0"/>
              <w:rPr>
                <w:sz w:val="21"/>
                <w:szCs w:val="21"/>
                <w:color w:val="auto"/>
              </w:rPr>
            </w:pPr>
          </w:p>
        </w:tc>
        <w:tc>
          <w:tcPr>
            <w:tcW w:w="1660" w:type="dxa"/>
            <w:vAlign w:val="bottom"/>
          </w:tcPr>
          <w:p>
            <w:pPr>
              <w:jc w:val="right"/>
              <w:ind w:right="339"/>
              <w:spacing w:after="0"/>
              <w:rPr>
                <w:sz w:val="20"/>
                <w:szCs w:val="20"/>
                <w:color w:val="auto"/>
              </w:rPr>
            </w:pPr>
            <w:r>
              <w:rPr>
                <w:rFonts w:ascii="Arial" w:cs="Arial" w:eastAsia="Arial" w:hAnsi="Arial"/>
                <w:sz w:val="16"/>
                <w:szCs w:val="16"/>
                <w:color w:val="auto"/>
              </w:rPr>
              <w:t>1,710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1,589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1,709</w:t>
            </w:r>
          </w:p>
        </w:tc>
      </w:tr>
      <w:tr>
        <w:trPr>
          <w:trHeight w:val="273"/>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interest and penalties</w:t>
            </w:r>
          </w:p>
        </w:tc>
        <w:tc>
          <w:tcPr>
            <w:tcW w:w="24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751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922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1,315</w:t>
            </w:r>
          </w:p>
        </w:tc>
      </w:tr>
      <w:tr>
        <w:trPr>
          <w:trHeight w:val="240"/>
        </w:trPr>
        <w:tc>
          <w:tcPr>
            <w:tcW w:w="5460" w:type="dxa"/>
            <w:vAlign w:val="bottom"/>
          </w:tcPr>
          <w:p>
            <w:pPr>
              <w:ind w:left="40"/>
              <w:spacing w:after="0"/>
              <w:rPr>
                <w:sz w:val="20"/>
                <w:szCs w:val="20"/>
                <w:color w:val="auto"/>
              </w:rPr>
            </w:pPr>
            <w:r>
              <w:rPr>
                <w:rFonts w:ascii="Arial" w:cs="Arial" w:eastAsia="Arial" w:hAnsi="Arial"/>
                <w:sz w:val="16"/>
                <w:szCs w:val="16"/>
                <w:color w:val="auto"/>
              </w:rPr>
              <w:t>Total unrecognized tax benefits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2,461</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2,511</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3,024</w:t>
            </w: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amount of unrecognized tax benefits is not expected to change materially within the next 12 months.</w:t>
      </w:r>
    </w:p>
    <w:p>
      <w:pPr>
        <w:spacing w:after="0" w:line="16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If the remaining uncertain tax positions are ultimately resolved favorably, $1.8 million of unrecognized tax benefits would have a positive impact on our effective tax rate. It is our policy to recognize interest and penalties accrued relative to unrecognized tax benefits into tax expense.</w:t>
      </w:r>
    </w:p>
    <w:p>
      <w:pPr>
        <w:spacing w:after="0" w:line="142"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We file tax returns in the US federal jurisdiction, as well as state jurisdictions and in Canada. Although certain years are no longer subject to examinations by the IRS and various state taxing authorities, NOL carryforwards generated in those years may be adjusted upon examination by the IRS or state taxing authorities if they have been or will be used in a future period. As of August 27, 2016, our federal returns from Fiscal 2013 to present are subject to review by the IRS. As of August 27, 2016, our Fiscal 2014 Federal return is being reviewed. We anticipate this audit to be concluded with no material adjustments. With limited exception, state returns from Fiscal 2013 to present continue to be subject to review by state taxing jurisdictions. A number of years may lapse before an uncertain tax position is audited and finally resolved and it is difficult to predict the outcome of such audits. During the year, we finalized a state audit with a nominal impact.</w:t>
      </w:r>
    </w:p>
    <w:p>
      <w:pPr>
        <w:sectPr>
          <w:pgSz w:w="11900" w:h="16838" w:orient="portrait"/>
          <w:cols w:equalWidth="0" w:num="1">
            <w:col w:w="11420"/>
          </w:cols>
          <w:pgMar w:left="240" w:top="118" w:right="23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18" w:right="239" w:bottom="1440" w:gutter="0" w:footer="0" w:header="0"/>
          <w:type w:val="continuous"/>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Stock-Based Compensation Plans</w:t>
      </w:r>
    </w:p>
    <w:p>
      <w:pPr>
        <w:spacing w:after="0" w:line="187" w:lineRule="exact"/>
        <w:rPr>
          <w:sz w:val="20"/>
          <w:szCs w:val="20"/>
          <w:color w:val="auto"/>
        </w:rPr>
      </w:pPr>
    </w:p>
    <w:p>
      <w:pPr>
        <w:ind w:right="200"/>
        <w:spacing w:after="0" w:line="249" w:lineRule="auto"/>
        <w:rPr>
          <w:sz w:val="20"/>
          <w:szCs w:val="20"/>
          <w:color w:val="auto"/>
        </w:rPr>
      </w:pPr>
      <w:r>
        <w:rPr>
          <w:rFonts w:ascii="Arial" w:cs="Arial" w:eastAsia="Arial" w:hAnsi="Arial"/>
          <w:sz w:val="16"/>
          <w:szCs w:val="16"/>
          <w:color w:val="auto"/>
        </w:rPr>
        <w:t>We have a 2014 Omnibus Equity, Performance Award, and Incentive Compensation Plan approved by shareholders (as amended, the "Plan") in place which allows us to grant or issue non-qualified stock options, incentive stock options, share awards and other equity compensation to key employees and to non-employee directors. No more than 3.6 million shares of common stock may be issued under the Plan and no more than 3.6 million of those shares may be used for awards other than stock options or stock appreciation rights. Shares subject to awards that are forfeited or terminated, expire unexercised, are cancelled and settled in cash in lieu of common stock or are exchanged for awards that do not involve common stock, shall be added back to the limits and again immediately become available for awards.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 and Share Awards</w:t>
      </w:r>
    </w:p>
    <w:p>
      <w:pPr>
        <w:spacing w:after="0" w:line="25"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The term of any options granted under the Plan may not exceed ten years from the date of the grant. Stock options are granted at the closing market price on the date of grant. Options issued to key employees generally vest over a three-year period in equal annual installments, beginning one year after the date of grant, with immediate vesting upon retirement or upon a change of control (as defined in the Plan), if earlier. Historically, options issued to directors vested six months after grant.</w:t>
      </w:r>
    </w:p>
    <w:p>
      <w:pPr>
        <w:spacing w:after="0" w:line="149"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Share awards generally vest over a three-year period in equal annual installments with continued employment, beginning one year after the date of grant, with immediate vesting upon retirement for awards made prior to October 2016 or upon a change of control (collectively, "time-based") or upon attainment of established goals. Share awards that are not time-based typically vest at the end of a one year or three-year incentive period based upon the achievement of company goals ("performance-based"). The value of time-based restricted share awards is based on the number of shares granted and the closing price of our common stock on the date of grant. The value of performance-based restricted share awards is based upon the terms of the plan and an assessment of the probability of reaching the established performance targets. Historically, the terms of these plans linked the incentive payment to a percentage of base salary compensation and if the established goals are met, shares of the appropriate value are then granted.</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Incentive Plans</w:t>
      </w:r>
    </w:p>
    <w:p>
      <w:pPr>
        <w:spacing w:after="0" w:line="25"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For Fiscal 2014, Fiscal 2015 and Fiscal 2016, the Human Resources Committee of our Board of Directors established annual incentive plans for the officers that were to be paid in 2/3 cash and 1/3 restricted stock (stock must be held for one year from date of grant except for shares we agree to repurchase in lieu of executives' payment of payroll taxes). We repurchase shares from employees who elect to pay their payroll tax via delivery of shares of common stock as opposed to cash.</w:t>
      </w:r>
    </w:p>
    <w:p>
      <w:pPr>
        <w:spacing w:after="0" w:line="162" w:lineRule="exact"/>
        <w:rPr>
          <w:sz w:val="20"/>
          <w:szCs w:val="20"/>
          <w:color w:val="auto"/>
        </w:rPr>
      </w:pPr>
    </w:p>
    <w:p>
      <w:pPr>
        <w:ind w:right="640"/>
        <w:spacing w:after="0" w:line="295" w:lineRule="auto"/>
        <w:rPr>
          <w:sz w:val="20"/>
          <w:szCs w:val="20"/>
          <w:color w:val="auto"/>
        </w:rPr>
      </w:pPr>
      <w:r>
        <w:rPr>
          <w:rFonts w:ascii="Arial" w:cs="Arial" w:eastAsia="Arial" w:hAnsi="Arial"/>
          <w:sz w:val="16"/>
          <w:szCs w:val="16"/>
          <w:color w:val="auto"/>
        </w:rPr>
        <w:t>The following table shows the amount accrued each fiscal year for stock-based compensation under the annual incentive plan. The Human Resources Committee of the Board of Directors approved the awards of restricted stock to the officers on the dates shown.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gridSpan w:val="2"/>
          </w:tcPr>
          <w:p>
            <w:pPr>
              <w:ind w:left="100"/>
              <w:spacing w:after="0"/>
              <w:rPr>
                <w:sz w:val="20"/>
                <w:szCs w:val="20"/>
                <w:color w:val="auto"/>
              </w:rPr>
            </w:pPr>
            <w:r>
              <w:rPr>
                <w:rFonts w:ascii="Arial" w:cs="Arial" w:eastAsia="Arial" w:hAnsi="Arial"/>
                <w:sz w:val="16"/>
                <w:szCs w:val="16"/>
                <w:b w:val="1"/>
                <w:bCs w:val="1"/>
                <w:color w:val="auto"/>
              </w:rPr>
              <w:t>August 27, 2016</w:t>
            </w:r>
          </w:p>
        </w:tc>
        <w:tc>
          <w:tcPr>
            <w:tcW w:w="220" w:type="dxa"/>
            <w:vAlign w:val="bottom"/>
          </w:tcPr>
          <w:p>
            <w:pPr>
              <w:spacing w:after="0"/>
              <w:rPr>
                <w:sz w:val="19"/>
                <w:szCs w:val="19"/>
                <w:color w:val="auto"/>
              </w:rPr>
            </w:pPr>
          </w:p>
        </w:tc>
        <w:tc>
          <w:tcPr>
            <w:tcW w:w="1760" w:type="dxa"/>
            <w:vAlign w:val="bottom"/>
            <w:gridSpan w:val="2"/>
          </w:tcPr>
          <w:p>
            <w:pPr>
              <w:ind w:left="100"/>
              <w:spacing w:after="0"/>
              <w:rPr>
                <w:sz w:val="20"/>
                <w:szCs w:val="20"/>
                <w:color w:val="auto"/>
              </w:rPr>
            </w:pPr>
            <w:r>
              <w:rPr>
                <w:rFonts w:ascii="Arial" w:cs="Arial" w:eastAsia="Arial" w:hAnsi="Arial"/>
                <w:sz w:val="16"/>
                <w:szCs w:val="16"/>
                <w:b w:val="1"/>
                <w:bCs w:val="1"/>
                <w:color w:val="auto"/>
              </w:rPr>
              <w:t>August 29, 2015</w:t>
            </w:r>
          </w:p>
        </w:tc>
        <w:tc>
          <w:tcPr>
            <w:tcW w:w="220" w:type="dxa"/>
            <w:vAlign w:val="bottom"/>
          </w:tcPr>
          <w:p>
            <w:pPr>
              <w:spacing w:after="0"/>
              <w:rPr>
                <w:sz w:val="19"/>
                <w:szCs w:val="19"/>
                <w:color w:val="auto"/>
              </w:rPr>
            </w:pPr>
          </w:p>
        </w:tc>
        <w:tc>
          <w:tcPr>
            <w:tcW w:w="1640" w:type="dxa"/>
            <w:vAlign w:val="bottom"/>
          </w:tcPr>
          <w:p>
            <w:pPr>
              <w:jc w:val="right"/>
              <w:ind w:right="239"/>
              <w:spacing w:after="0"/>
              <w:rPr>
                <w:sz w:val="20"/>
                <w:szCs w:val="20"/>
                <w:color w:val="auto"/>
              </w:rPr>
            </w:pPr>
            <w:r>
              <w:rPr>
                <w:rFonts w:ascii="Arial" w:cs="Arial" w:eastAsia="Arial" w:hAnsi="Arial"/>
                <w:sz w:val="16"/>
                <w:szCs w:val="16"/>
                <w:b w:val="1"/>
                <w:bCs w:val="1"/>
                <w:color w:val="auto"/>
              </w:rPr>
              <w:t>August 30, 2014</w:t>
            </w:r>
          </w:p>
        </w:tc>
      </w:tr>
      <w:tr>
        <w:trPr>
          <w:trHeight w:val="257"/>
        </w:trPr>
        <w:tc>
          <w:tcPr>
            <w:tcW w:w="50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Annual incentive accrual (in thousands)</w:t>
            </w:r>
          </w:p>
        </w:tc>
        <w:tc>
          <w:tcPr>
            <w:tcW w:w="7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1,467</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454</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2,600</w:t>
            </w:r>
          </w:p>
        </w:tc>
      </w:tr>
      <w:tr>
        <w:trPr>
          <w:trHeight w:val="260"/>
        </w:trPr>
        <w:tc>
          <w:tcPr>
            <w:tcW w:w="5080" w:type="dxa"/>
            <w:vAlign w:val="bottom"/>
          </w:tcPr>
          <w:p>
            <w:pPr>
              <w:ind w:left="40"/>
              <w:spacing w:after="0"/>
              <w:rPr>
                <w:sz w:val="20"/>
                <w:szCs w:val="20"/>
                <w:color w:val="auto"/>
              </w:rPr>
            </w:pPr>
            <w:r>
              <w:rPr>
                <w:rFonts w:ascii="Arial" w:cs="Arial" w:eastAsia="Arial" w:hAnsi="Arial"/>
                <w:sz w:val="16"/>
                <w:szCs w:val="16"/>
                <w:color w:val="auto"/>
              </w:rPr>
              <w:t>Date of award</w:t>
            </w:r>
          </w:p>
        </w:tc>
        <w:tc>
          <w:tcPr>
            <w:tcW w:w="740" w:type="dxa"/>
            <w:vAlign w:val="bottom"/>
          </w:tcPr>
          <w:p>
            <w:pPr>
              <w:spacing w:after="0"/>
              <w:rPr>
                <w:sz w:val="22"/>
                <w:szCs w:val="22"/>
                <w:color w:val="auto"/>
              </w:rPr>
            </w:pPr>
          </w:p>
        </w:tc>
        <w:tc>
          <w:tcPr>
            <w:tcW w:w="1660" w:type="dxa"/>
            <w:vAlign w:val="bottom"/>
          </w:tcPr>
          <w:p>
            <w:pPr>
              <w:jc w:val="right"/>
              <w:ind w:right="239"/>
              <w:spacing w:after="0"/>
              <w:rPr>
                <w:sz w:val="20"/>
                <w:szCs w:val="20"/>
                <w:color w:val="auto"/>
              </w:rPr>
            </w:pPr>
            <w:r>
              <w:rPr>
                <w:rFonts w:ascii="Arial" w:cs="Arial" w:eastAsia="Arial" w:hAnsi="Arial"/>
                <w:sz w:val="16"/>
                <w:szCs w:val="16"/>
                <w:color w:val="auto"/>
              </w:rPr>
              <w:t>10/11/2016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40" w:type="dxa"/>
            <w:vAlign w:val="bottom"/>
          </w:tcPr>
          <w:p>
            <w:pPr>
              <w:jc w:val="right"/>
              <w:ind w:right="239"/>
              <w:spacing w:after="0"/>
              <w:rPr>
                <w:sz w:val="20"/>
                <w:szCs w:val="20"/>
                <w:color w:val="auto"/>
              </w:rPr>
            </w:pPr>
            <w:r>
              <w:rPr>
                <w:rFonts w:ascii="Arial" w:cs="Arial" w:eastAsia="Arial" w:hAnsi="Arial"/>
                <w:sz w:val="16"/>
                <w:szCs w:val="16"/>
                <w:color w:val="auto"/>
              </w:rPr>
              <w:t>10/13/2015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40" w:type="dxa"/>
            <w:vAlign w:val="bottom"/>
          </w:tcPr>
          <w:p>
            <w:pPr>
              <w:jc w:val="right"/>
              <w:ind w:right="239"/>
              <w:spacing w:after="0"/>
              <w:rPr>
                <w:sz w:val="20"/>
                <w:szCs w:val="20"/>
                <w:color w:val="auto"/>
              </w:rPr>
            </w:pPr>
            <w:r>
              <w:rPr>
                <w:rFonts w:ascii="Arial" w:cs="Arial" w:eastAsia="Arial" w:hAnsi="Arial"/>
                <w:sz w:val="16"/>
                <w:szCs w:val="16"/>
                <w:color w:val="auto"/>
              </w:rPr>
              <w:t>10/14/2014</w:t>
            </w:r>
          </w:p>
        </w:tc>
      </w:tr>
      <w:tr>
        <w:trPr>
          <w:trHeight w:val="28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Stock-based portion of annual incentive accrual (in thousands)</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489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866</w:t>
            </w:r>
          </w:p>
        </w:tc>
      </w:tr>
      <w:tr>
        <w:trPr>
          <w:trHeight w:val="260"/>
        </w:trPr>
        <w:tc>
          <w:tcPr>
            <w:tcW w:w="5080" w:type="dxa"/>
            <w:vAlign w:val="bottom"/>
          </w:tcPr>
          <w:p>
            <w:pPr>
              <w:ind w:left="40"/>
              <w:spacing w:after="0"/>
              <w:rPr>
                <w:sz w:val="20"/>
                <w:szCs w:val="20"/>
                <w:color w:val="auto"/>
              </w:rPr>
            </w:pPr>
            <w:r>
              <w:rPr>
                <w:rFonts w:ascii="Arial" w:cs="Arial" w:eastAsia="Arial" w:hAnsi="Arial"/>
                <w:sz w:val="16"/>
                <w:szCs w:val="16"/>
                <w:color w:val="auto"/>
              </w:rPr>
              <w:t>Restricted shares awarded</w:t>
            </w:r>
          </w:p>
        </w:tc>
        <w:tc>
          <w:tcPr>
            <w:tcW w:w="740" w:type="dxa"/>
            <w:vAlign w:val="bottom"/>
          </w:tcPr>
          <w:p>
            <w:pPr>
              <w:spacing w:after="0"/>
              <w:rPr>
                <w:sz w:val="22"/>
                <w:szCs w:val="22"/>
                <w:color w:val="auto"/>
              </w:rPr>
            </w:pPr>
          </w:p>
        </w:tc>
        <w:tc>
          <w:tcPr>
            <w:tcW w:w="1660" w:type="dxa"/>
            <w:vAlign w:val="bottom"/>
          </w:tcPr>
          <w:p>
            <w:pPr>
              <w:jc w:val="right"/>
              <w:ind w:right="239"/>
              <w:spacing w:after="0"/>
              <w:rPr>
                <w:sz w:val="20"/>
                <w:szCs w:val="20"/>
                <w:color w:val="auto"/>
              </w:rPr>
            </w:pPr>
            <w:r>
              <w:rPr>
                <w:rFonts w:ascii="Arial" w:cs="Arial" w:eastAsia="Arial" w:hAnsi="Arial"/>
                <w:sz w:val="16"/>
                <w:szCs w:val="16"/>
                <w:color w:val="auto"/>
              </w:rPr>
              <w:t>17,532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40" w:type="dxa"/>
            <w:vAlign w:val="bottom"/>
          </w:tcPr>
          <w:p>
            <w:pPr>
              <w:jc w:val="right"/>
              <w:ind w:right="239"/>
              <w:spacing w:after="0"/>
              <w:rPr>
                <w:sz w:val="20"/>
                <w:szCs w:val="20"/>
                <w:color w:val="auto"/>
              </w:rPr>
            </w:pPr>
            <w:r>
              <w:rPr>
                <w:rFonts w:ascii="Arial" w:cs="Arial" w:eastAsia="Arial" w:hAnsi="Arial"/>
                <w:sz w:val="16"/>
                <w:szCs w:val="16"/>
                <w:color w:val="auto"/>
              </w:rPr>
              <w:t>7,914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40" w:type="dxa"/>
            <w:vAlign w:val="bottom"/>
          </w:tcPr>
          <w:p>
            <w:pPr>
              <w:jc w:val="right"/>
              <w:ind w:right="239"/>
              <w:spacing w:after="0"/>
              <w:rPr>
                <w:sz w:val="20"/>
                <w:szCs w:val="20"/>
                <w:color w:val="auto"/>
              </w:rPr>
            </w:pPr>
            <w:r>
              <w:rPr>
                <w:rFonts w:ascii="Arial" w:cs="Arial" w:eastAsia="Arial" w:hAnsi="Arial"/>
                <w:sz w:val="16"/>
                <w:szCs w:val="16"/>
                <w:color w:val="auto"/>
              </w:rPr>
              <w:t>40,495</w:t>
            </w:r>
          </w:p>
        </w:tc>
      </w:tr>
      <w:tr>
        <w:trPr>
          <w:trHeight w:val="28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repurchased for payroll taxes</w:t>
            </w:r>
          </w:p>
        </w:tc>
        <w:tc>
          <w:tcPr>
            <w:tcW w:w="74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(8,412)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(3,511)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(20,638)</w:t>
            </w:r>
          </w:p>
        </w:tc>
      </w:tr>
      <w:tr>
        <w:trPr>
          <w:trHeight w:val="251"/>
        </w:trPr>
        <w:tc>
          <w:tcPr>
            <w:tcW w:w="5080" w:type="dxa"/>
            <w:vAlign w:val="bottom"/>
          </w:tcPr>
          <w:p>
            <w:pPr>
              <w:ind w:left="40"/>
              <w:spacing w:after="0"/>
              <w:rPr>
                <w:sz w:val="20"/>
                <w:szCs w:val="20"/>
                <w:color w:val="auto"/>
              </w:rPr>
            </w:pPr>
            <w:r>
              <w:rPr>
                <w:rFonts w:ascii="Arial" w:cs="Arial" w:eastAsia="Arial" w:hAnsi="Arial"/>
                <w:sz w:val="16"/>
                <w:szCs w:val="16"/>
                <w:color w:val="auto"/>
              </w:rPr>
              <w:t>Restricted shares issued</w:t>
            </w:r>
          </w:p>
        </w:tc>
        <w:tc>
          <w:tcPr>
            <w:tcW w:w="740" w:type="dxa"/>
            <w:vAlign w:val="bottom"/>
          </w:tcPr>
          <w:p>
            <w:pPr>
              <w:spacing w:after="0"/>
              <w:rPr>
                <w:sz w:val="21"/>
                <w:szCs w:val="21"/>
                <w:color w:val="auto"/>
              </w:rPr>
            </w:pPr>
          </w:p>
        </w:tc>
        <w:tc>
          <w:tcPr>
            <w:tcW w:w="1660" w:type="dxa"/>
            <w:vAlign w:val="bottom"/>
          </w:tcPr>
          <w:p>
            <w:pPr>
              <w:jc w:val="right"/>
              <w:ind w:right="239"/>
              <w:spacing w:after="0"/>
              <w:rPr>
                <w:sz w:val="20"/>
                <w:szCs w:val="20"/>
                <w:color w:val="auto"/>
              </w:rPr>
            </w:pPr>
            <w:r>
              <w:rPr>
                <w:rFonts w:ascii="Arial" w:cs="Arial" w:eastAsia="Arial" w:hAnsi="Arial"/>
                <w:sz w:val="16"/>
                <w:szCs w:val="16"/>
                <w:color w:val="auto"/>
              </w:rPr>
              <w:t>9,120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ind w:right="239"/>
              <w:spacing w:after="0"/>
              <w:rPr>
                <w:sz w:val="20"/>
                <w:szCs w:val="20"/>
                <w:color w:val="auto"/>
              </w:rPr>
            </w:pPr>
            <w:r>
              <w:rPr>
                <w:rFonts w:ascii="Arial" w:cs="Arial" w:eastAsia="Arial" w:hAnsi="Arial"/>
                <w:sz w:val="16"/>
                <w:szCs w:val="16"/>
                <w:color w:val="auto"/>
              </w:rPr>
              <w:t>4,403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ind w:right="239"/>
              <w:spacing w:after="0"/>
              <w:rPr>
                <w:sz w:val="20"/>
                <w:szCs w:val="20"/>
                <w:color w:val="auto"/>
              </w:rPr>
            </w:pPr>
            <w:r>
              <w:rPr>
                <w:rFonts w:ascii="Arial" w:cs="Arial" w:eastAsia="Arial" w:hAnsi="Arial"/>
                <w:sz w:val="16"/>
                <w:szCs w:val="16"/>
                <w:color w:val="auto"/>
              </w:rPr>
              <w:t>19,857</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Incentive Plans</w:t>
      </w:r>
    </w:p>
    <w:p>
      <w:pPr>
        <w:spacing w:after="0" w:line="2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For Fiscal 2014, Fiscal 2015 and Fiscal 2016, the Human Resources Committee of our Board of Directors established three different three-year incentive compensation plans (Officers Long-Term Incentive Plan Fiscal 2013-2015, 2014-2016 and 2015-2017) to serve as an incentive to our senior management team to achieve certain ROE targets. If the ROE target is met, restricted stock will be awarded subsequent to the end of each three year period with a one-year restriction on sale upon award (except for shares we agree to repurchase in lieu of executives' payment of payroll taxes). In the event that we do not achieve the required ROE targets, no restricted stock will be granted. If it becomes probable that certain of the ROE performance targets will be achieved, the corresponding estimated cost of the grant will be recorded as stock-based compensation expense over the performance period. The probability of reaching the targets is evaluated each reporting period. If it becomes probable that certain of the target performance levels will be achieved, a cumulative adjustment will be recorded and future stock-based-compensation expense will increase based on the then projected performance levels. If we later determine that it is not probable that the minimum ROE performance threshold for the grants will be met, no further stock-based compensation cost will be recognized and any previously recognized stock-based compensation cost related to these plans will be reversed.</w:t>
      </w:r>
    </w:p>
    <w:p>
      <w:pPr>
        <w:spacing w:after="0" w:line="179" w:lineRule="exact"/>
        <w:rPr>
          <w:sz w:val="20"/>
          <w:szCs w:val="20"/>
          <w:color w:val="auto"/>
        </w:rPr>
      </w:pPr>
    </w:p>
    <w:p>
      <w:pPr>
        <w:jc w:val="both"/>
        <w:ind w:right="240"/>
        <w:spacing w:after="0" w:line="253" w:lineRule="auto"/>
        <w:rPr>
          <w:sz w:val="20"/>
          <w:szCs w:val="20"/>
          <w:color w:val="auto"/>
        </w:rPr>
      </w:pPr>
      <w:r>
        <w:rPr>
          <w:rFonts w:ascii="Arial" w:cs="Arial" w:eastAsia="Arial" w:hAnsi="Arial"/>
          <w:sz w:val="16"/>
          <w:szCs w:val="16"/>
          <w:color w:val="auto"/>
        </w:rPr>
        <w:t>The following table shows the amount accrued each fiscal year for stock-based compensation as a result of ROE targets being met. The Human Resources Committee of the Board of Directors approved the awards of restricted stock to the officers on the dates shown. We repurchase shares from employees who elect to pay their payroll tax via delivery of shares of common stock as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41"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84"/>
        </w:trPr>
        <w:tc>
          <w:tcPr>
            <w:tcW w:w="416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460"/>
        </w:trPr>
        <w:tc>
          <w:tcPr>
            <w:tcW w:w="1260" w:type="dxa"/>
            <w:vAlign w:val="bottom"/>
            <w:tcBorders>
              <w:top w:val="single" w:sz="8" w:color="0000EE"/>
            </w:tcBorders>
          </w:tcPr>
          <w:p>
            <w:pPr>
              <w:spacing w:after="0"/>
              <w:rPr>
                <w:sz w:val="20"/>
                <w:szCs w:val="20"/>
                <w:color w:val="auto"/>
              </w:rPr>
            </w:pPr>
            <w:r>
              <w:rPr>
                <w:rFonts w:ascii="Arial" w:cs="Arial" w:eastAsia="Arial" w:hAnsi="Arial"/>
                <w:sz w:val="16"/>
                <w:szCs w:val="16"/>
                <w:color w:val="auto"/>
              </w:rPr>
              <w:t>opposed to cash.</w:t>
            </w:r>
          </w:p>
        </w:tc>
        <w:tc>
          <w:tcPr>
            <w:tcW w:w="29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05"/>
        </w:trPr>
        <w:tc>
          <w:tcPr>
            <w:tcW w:w="12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60" w:type="dxa"/>
            <w:vAlign w:val="bottom"/>
            <w:gridSpan w:val="2"/>
          </w:tcPr>
          <w:p>
            <w:pPr>
              <w:ind w:left="100"/>
              <w:spacing w:after="0"/>
              <w:rPr>
                <w:sz w:val="20"/>
                <w:szCs w:val="20"/>
                <w:color w:val="auto"/>
              </w:rPr>
            </w:pPr>
            <w:r>
              <w:rPr>
                <w:rFonts w:ascii="Arial" w:cs="Arial" w:eastAsia="Arial" w:hAnsi="Arial"/>
                <w:sz w:val="16"/>
                <w:szCs w:val="16"/>
                <w:b w:val="1"/>
                <w:bCs w:val="1"/>
                <w:color w:val="auto"/>
              </w:rPr>
              <w:t>August 27, 2016</w:t>
            </w:r>
          </w:p>
        </w:tc>
        <w:tc>
          <w:tcPr>
            <w:tcW w:w="220" w:type="dxa"/>
            <w:vAlign w:val="bottom"/>
          </w:tcPr>
          <w:p>
            <w:pPr>
              <w:spacing w:after="0"/>
              <w:rPr>
                <w:sz w:val="24"/>
                <w:szCs w:val="24"/>
                <w:color w:val="auto"/>
              </w:rPr>
            </w:pPr>
          </w:p>
        </w:tc>
        <w:tc>
          <w:tcPr>
            <w:tcW w:w="1580" w:type="dxa"/>
            <w:vAlign w:val="bottom"/>
          </w:tcPr>
          <w:p>
            <w:pPr>
              <w:jc w:val="right"/>
              <w:ind w:right="159"/>
              <w:spacing w:after="0"/>
              <w:rPr>
                <w:sz w:val="20"/>
                <w:szCs w:val="20"/>
                <w:color w:val="auto"/>
              </w:rPr>
            </w:pPr>
            <w:r>
              <w:rPr>
                <w:rFonts w:ascii="Arial" w:cs="Arial" w:eastAsia="Arial" w:hAnsi="Arial"/>
                <w:sz w:val="16"/>
                <w:szCs w:val="16"/>
                <w:b w:val="1"/>
                <w:bCs w:val="1"/>
                <w:color w:val="auto"/>
              </w:rPr>
              <w:t>August 29, 2015</w:t>
            </w:r>
          </w:p>
        </w:tc>
        <w:tc>
          <w:tcPr>
            <w:tcW w:w="400" w:type="dxa"/>
            <w:vAlign w:val="bottom"/>
          </w:tcPr>
          <w:p>
            <w:pPr>
              <w:spacing w:after="0"/>
              <w:rPr>
                <w:sz w:val="24"/>
                <w:szCs w:val="24"/>
                <w:color w:val="auto"/>
              </w:rPr>
            </w:pPr>
          </w:p>
        </w:tc>
        <w:tc>
          <w:tcPr>
            <w:tcW w:w="1640" w:type="dxa"/>
            <w:vAlign w:val="bottom"/>
          </w:tcPr>
          <w:p>
            <w:pPr>
              <w:jc w:val="right"/>
              <w:ind w:right="239"/>
              <w:spacing w:after="0"/>
              <w:rPr>
                <w:sz w:val="20"/>
                <w:szCs w:val="20"/>
                <w:color w:val="auto"/>
              </w:rPr>
            </w:pPr>
            <w:r>
              <w:rPr>
                <w:rFonts w:ascii="Arial" w:cs="Arial" w:eastAsia="Arial" w:hAnsi="Arial"/>
                <w:sz w:val="16"/>
                <w:szCs w:val="16"/>
                <w:b w:val="1"/>
                <w:bCs w:val="1"/>
                <w:color w:val="auto"/>
              </w:rPr>
              <w:t>August 30, 2014</w:t>
            </w:r>
          </w:p>
        </w:tc>
      </w:tr>
      <w:tr>
        <w:trPr>
          <w:trHeight w:val="270"/>
        </w:trPr>
        <w:tc>
          <w:tcPr>
            <w:tcW w:w="416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LTIP accrual (in thousands)</w:t>
            </w:r>
          </w:p>
        </w:tc>
        <w:tc>
          <w:tcPr>
            <w:tcW w:w="16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318</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360</w:t>
            </w:r>
          </w:p>
        </w:tc>
        <w:tc>
          <w:tcPr>
            <w:tcW w:w="4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540</w:t>
            </w:r>
          </w:p>
        </w:tc>
      </w:tr>
      <w:tr>
        <w:trPr>
          <w:trHeight w:val="260"/>
        </w:trPr>
        <w:tc>
          <w:tcPr>
            <w:tcW w:w="4160" w:type="dxa"/>
            <w:vAlign w:val="bottom"/>
            <w:gridSpan w:val="2"/>
          </w:tcPr>
          <w:p>
            <w:pPr>
              <w:ind w:left="40"/>
              <w:spacing w:after="0"/>
              <w:rPr>
                <w:sz w:val="20"/>
                <w:szCs w:val="20"/>
                <w:color w:val="auto"/>
              </w:rPr>
            </w:pPr>
            <w:r>
              <w:rPr>
                <w:rFonts w:ascii="Arial" w:cs="Arial" w:eastAsia="Arial" w:hAnsi="Arial"/>
                <w:sz w:val="16"/>
                <w:szCs w:val="16"/>
                <w:color w:val="auto"/>
              </w:rPr>
              <w:t>LTIP plan year</w:t>
            </w:r>
          </w:p>
        </w:tc>
        <w:tc>
          <w:tcPr>
            <w:tcW w:w="1660" w:type="dxa"/>
            <w:vAlign w:val="bottom"/>
          </w:tcPr>
          <w:p>
            <w:pPr>
              <w:spacing w:after="0"/>
              <w:rPr>
                <w:sz w:val="22"/>
                <w:szCs w:val="22"/>
                <w:color w:val="auto"/>
              </w:rPr>
            </w:pPr>
          </w:p>
        </w:tc>
        <w:tc>
          <w:tcPr>
            <w:tcW w:w="1660" w:type="dxa"/>
            <w:vAlign w:val="bottom"/>
          </w:tcPr>
          <w:p>
            <w:pPr>
              <w:jc w:val="right"/>
              <w:ind w:right="239"/>
              <w:spacing w:after="0"/>
              <w:rPr>
                <w:sz w:val="20"/>
                <w:szCs w:val="20"/>
                <w:color w:val="auto"/>
              </w:rPr>
            </w:pPr>
            <w:r>
              <w:rPr>
                <w:rFonts w:ascii="Arial" w:cs="Arial" w:eastAsia="Arial" w:hAnsi="Arial"/>
                <w:sz w:val="16"/>
                <w:szCs w:val="16"/>
                <w:color w:val="auto"/>
              </w:rPr>
              <w:t>2014-2016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color w:val="auto"/>
              </w:rPr>
              <w:t>2013-2015</w:t>
            </w:r>
          </w:p>
        </w:tc>
        <w:tc>
          <w:tcPr>
            <w:tcW w:w="400" w:type="dxa"/>
            <w:vAlign w:val="bottom"/>
          </w:tcPr>
          <w:p>
            <w:pPr>
              <w:spacing w:after="0"/>
              <w:rPr>
                <w:sz w:val="22"/>
                <w:szCs w:val="22"/>
                <w:color w:val="auto"/>
              </w:rPr>
            </w:pPr>
          </w:p>
        </w:tc>
        <w:tc>
          <w:tcPr>
            <w:tcW w:w="1640" w:type="dxa"/>
            <w:vAlign w:val="bottom"/>
          </w:tcPr>
          <w:p>
            <w:pPr>
              <w:jc w:val="right"/>
              <w:ind w:right="239"/>
              <w:spacing w:after="0"/>
              <w:rPr>
                <w:sz w:val="20"/>
                <w:szCs w:val="20"/>
                <w:color w:val="auto"/>
              </w:rPr>
            </w:pPr>
            <w:r>
              <w:rPr>
                <w:rFonts w:ascii="Arial" w:cs="Arial" w:eastAsia="Arial" w:hAnsi="Arial"/>
                <w:sz w:val="16"/>
                <w:szCs w:val="16"/>
                <w:color w:val="auto"/>
              </w:rPr>
              <w:t>2012-2014</w:t>
            </w:r>
          </w:p>
        </w:tc>
      </w:tr>
      <w:tr>
        <w:trPr>
          <w:trHeight w:val="280"/>
        </w:trPr>
        <w:tc>
          <w:tcPr>
            <w:tcW w:w="4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Date of award</w:t>
            </w:r>
          </w:p>
        </w:tc>
        <w:tc>
          <w:tcPr>
            <w:tcW w:w="166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10/11/2016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10/13/2015</w:t>
            </w:r>
          </w:p>
        </w:tc>
        <w:tc>
          <w:tcPr>
            <w:tcW w:w="4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10/14/2014</w:t>
            </w:r>
          </w:p>
        </w:tc>
      </w:tr>
      <w:tr>
        <w:trPr>
          <w:trHeight w:val="260"/>
        </w:trPr>
        <w:tc>
          <w:tcPr>
            <w:tcW w:w="4160" w:type="dxa"/>
            <w:vAlign w:val="bottom"/>
            <w:gridSpan w:val="2"/>
          </w:tcPr>
          <w:p>
            <w:pPr>
              <w:ind w:left="40"/>
              <w:spacing w:after="0"/>
              <w:rPr>
                <w:sz w:val="20"/>
                <w:szCs w:val="20"/>
                <w:color w:val="auto"/>
              </w:rPr>
            </w:pPr>
            <w:r>
              <w:rPr>
                <w:rFonts w:ascii="Arial" w:cs="Arial" w:eastAsia="Arial" w:hAnsi="Arial"/>
                <w:sz w:val="16"/>
                <w:szCs w:val="16"/>
                <w:color w:val="auto"/>
              </w:rPr>
              <w:t>Restricted shares awarded</w:t>
            </w:r>
          </w:p>
        </w:tc>
        <w:tc>
          <w:tcPr>
            <w:tcW w:w="1660" w:type="dxa"/>
            <w:vAlign w:val="bottom"/>
          </w:tcPr>
          <w:p>
            <w:pPr>
              <w:spacing w:after="0"/>
              <w:rPr>
                <w:sz w:val="22"/>
                <w:szCs w:val="22"/>
                <w:color w:val="auto"/>
              </w:rPr>
            </w:pPr>
          </w:p>
        </w:tc>
        <w:tc>
          <w:tcPr>
            <w:tcW w:w="1660" w:type="dxa"/>
            <w:vAlign w:val="bottom"/>
          </w:tcPr>
          <w:p>
            <w:pPr>
              <w:jc w:val="right"/>
              <w:ind w:right="239"/>
              <w:spacing w:after="0"/>
              <w:rPr>
                <w:sz w:val="20"/>
                <w:szCs w:val="20"/>
                <w:color w:val="auto"/>
              </w:rPr>
            </w:pPr>
            <w:r>
              <w:rPr>
                <w:rFonts w:ascii="Arial" w:cs="Arial" w:eastAsia="Arial" w:hAnsi="Arial"/>
                <w:sz w:val="16"/>
                <w:szCs w:val="16"/>
                <w:color w:val="auto"/>
              </w:rPr>
              <w:t>11,419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color w:val="auto"/>
              </w:rPr>
              <w:t>18,156</w:t>
            </w:r>
          </w:p>
        </w:tc>
        <w:tc>
          <w:tcPr>
            <w:tcW w:w="400" w:type="dxa"/>
            <w:vAlign w:val="bottom"/>
          </w:tcPr>
          <w:p>
            <w:pPr>
              <w:spacing w:after="0"/>
              <w:rPr>
                <w:sz w:val="22"/>
                <w:szCs w:val="22"/>
                <w:color w:val="auto"/>
              </w:rPr>
            </w:pPr>
          </w:p>
        </w:tc>
        <w:tc>
          <w:tcPr>
            <w:tcW w:w="1640" w:type="dxa"/>
            <w:vAlign w:val="bottom"/>
          </w:tcPr>
          <w:p>
            <w:pPr>
              <w:jc w:val="right"/>
              <w:ind w:right="239"/>
              <w:spacing w:after="0"/>
              <w:rPr>
                <w:sz w:val="20"/>
                <w:szCs w:val="20"/>
                <w:color w:val="auto"/>
              </w:rPr>
            </w:pPr>
            <w:r>
              <w:rPr>
                <w:rFonts w:ascii="Arial" w:cs="Arial" w:eastAsia="Arial" w:hAnsi="Arial"/>
                <w:sz w:val="16"/>
                <w:szCs w:val="16"/>
                <w:color w:val="auto"/>
              </w:rPr>
              <w:t>25,529</w:t>
            </w:r>
          </w:p>
        </w:tc>
      </w:tr>
      <w:tr>
        <w:trPr>
          <w:trHeight w:val="280"/>
        </w:trPr>
        <w:tc>
          <w:tcPr>
            <w:tcW w:w="4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Shares repurchased for payroll taxes</w:t>
            </w:r>
          </w:p>
        </w:tc>
        <w:tc>
          <w:tcPr>
            <w:tcW w:w="166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(5,539)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(8,529)</w:t>
            </w:r>
          </w:p>
        </w:tc>
        <w:tc>
          <w:tcPr>
            <w:tcW w:w="4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(13,011)</w:t>
            </w:r>
          </w:p>
        </w:tc>
      </w:tr>
      <w:tr>
        <w:trPr>
          <w:trHeight w:val="251"/>
        </w:trPr>
        <w:tc>
          <w:tcPr>
            <w:tcW w:w="4160" w:type="dxa"/>
            <w:vAlign w:val="bottom"/>
            <w:gridSpan w:val="2"/>
          </w:tcPr>
          <w:p>
            <w:pPr>
              <w:ind w:left="40"/>
              <w:spacing w:after="0"/>
              <w:rPr>
                <w:sz w:val="20"/>
                <w:szCs w:val="20"/>
                <w:color w:val="auto"/>
              </w:rPr>
            </w:pPr>
            <w:r>
              <w:rPr>
                <w:rFonts w:ascii="Arial" w:cs="Arial" w:eastAsia="Arial" w:hAnsi="Arial"/>
                <w:sz w:val="16"/>
                <w:szCs w:val="16"/>
                <w:color w:val="auto"/>
              </w:rPr>
              <w:t>Restricted shares issued</w:t>
            </w:r>
          </w:p>
        </w:tc>
        <w:tc>
          <w:tcPr>
            <w:tcW w:w="1660" w:type="dxa"/>
            <w:vAlign w:val="bottom"/>
          </w:tcPr>
          <w:p>
            <w:pPr>
              <w:spacing w:after="0"/>
              <w:rPr>
                <w:sz w:val="21"/>
                <w:szCs w:val="21"/>
                <w:color w:val="auto"/>
              </w:rPr>
            </w:pPr>
          </w:p>
        </w:tc>
        <w:tc>
          <w:tcPr>
            <w:tcW w:w="1660" w:type="dxa"/>
            <w:vAlign w:val="bottom"/>
          </w:tcPr>
          <w:p>
            <w:pPr>
              <w:jc w:val="right"/>
              <w:ind w:right="239"/>
              <w:spacing w:after="0"/>
              <w:rPr>
                <w:sz w:val="20"/>
                <w:szCs w:val="20"/>
                <w:color w:val="auto"/>
              </w:rPr>
            </w:pPr>
            <w:r>
              <w:rPr>
                <w:rFonts w:ascii="Arial" w:cs="Arial" w:eastAsia="Arial" w:hAnsi="Arial"/>
                <w:sz w:val="16"/>
                <w:szCs w:val="16"/>
                <w:color w:val="auto"/>
              </w:rPr>
              <w:t>5,880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color w:val="auto"/>
              </w:rPr>
              <w:t>9,627</w:t>
            </w:r>
          </w:p>
        </w:tc>
        <w:tc>
          <w:tcPr>
            <w:tcW w:w="400" w:type="dxa"/>
            <w:vAlign w:val="bottom"/>
          </w:tcPr>
          <w:p>
            <w:pPr>
              <w:spacing w:after="0"/>
              <w:rPr>
                <w:sz w:val="21"/>
                <w:szCs w:val="21"/>
                <w:color w:val="auto"/>
              </w:rPr>
            </w:pPr>
          </w:p>
        </w:tc>
        <w:tc>
          <w:tcPr>
            <w:tcW w:w="1640" w:type="dxa"/>
            <w:vAlign w:val="bottom"/>
          </w:tcPr>
          <w:p>
            <w:pPr>
              <w:jc w:val="right"/>
              <w:ind w:right="239"/>
              <w:spacing w:after="0"/>
              <w:rPr>
                <w:sz w:val="20"/>
                <w:szCs w:val="20"/>
                <w:color w:val="auto"/>
              </w:rPr>
            </w:pPr>
            <w:r>
              <w:rPr>
                <w:rFonts w:ascii="Arial" w:cs="Arial" w:eastAsia="Arial" w:hAnsi="Arial"/>
                <w:sz w:val="16"/>
                <w:szCs w:val="16"/>
                <w:color w:val="auto"/>
              </w:rPr>
              <w:t>12,518</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 Awards</w:t>
      </w:r>
    </w:p>
    <w:p>
      <w:pPr>
        <w:spacing w:after="0" w:line="2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Non-employee directors may elect to receive all or part of their annual retainer and board fees in the form of Winnebago Industries stock units credited in the form of shares of our common stock instead of cash. The directors are restricted from selling these shares until their retirement. During Fiscal 2016, there were 5,058 stock units awarded to our non-employee directors in lieu of cash compensation. The aggregate intrinsic value of these awards as of August 27, 2016 was $2.1 million with 86,506 stock units outstanding.</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 expense for the past three fiscal years consisted of the following components: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6"/>
                <w:szCs w:val="16"/>
                <w:b w:val="1"/>
                <w:bCs w:val="1"/>
                <w:color w:val="auto"/>
                <w:w w:val="99"/>
              </w:rPr>
              <w:t>Year Ended</w:t>
            </w: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0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gridSpan w:val="2"/>
          </w:tcPr>
          <w:p>
            <w:pPr>
              <w:jc w:val="right"/>
              <w:ind w:right="144"/>
              <w:spacing w:after="0"/>
              <w:rPr>
                <w:sz w:val="20"/>
                <w:szCs w:val="20"/>
                <w:color w:val="auto"/>
              </w:rPr>
            </w:pPr>
            <w:r>
              <w:rPr>
                <w:rFonts w:ascii="Arial" w:cs="Arial" w:eastAsia="Arial" w:hAnsi="Arial"/>
                <w:sz w:val="16"/>
                <w:szCs w:val="16"/>
                <w:b w:val="1"/>
                <w:bCs w:val="1"/>
                <w:color w:val="auto"/>
              </w:rPr>
              <w:t>August 27, 2016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2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rPr>
              <w:t>August 29, 2015</w:t>
            </w:r>
          </w:p>
        </w:tc>
        <w:tc>
          <w:tcPr>
            <w:tcW w:w="1700" w:type="dxa"/>
            <w:vAlign w:val="bottom"/>
            <w:gridSpan w:val="3"/>
          </w:tcPr>
          <w:p>
            <w:pPr>
              <w:jc w:val="right"/>
              <w:ind w:right="163"/>
              <w:spacing w:after="0"/>
              <w:rPr>
                <w:sz w:val="20"/>
                <w:szCs w:val="20"/>
                <w:color w:val="auto"/>
              </w:rPr>
            </w:pPr>
            <w:r>
              <w:rPr>
                <w:rFonts w:ascii="Arial" w:cs="Arial" w:eastAsia="Arial" w:hAnsi="Arial"/>
                <w:sz w:val="16"/>
                <w:szCs w:val="16"/>
                <w:b w:val="1"/>
                <w:bCs w:val="1"/>
                <w:color w:val="auto"/>
              </w:rPr>
              <w:t>August 30, 2014</w:t>
            </w:r>
          </w:p>
        </w:tc>
        <w:tc>
          <w:tcPr>
            <w:tcW w:w="0" w:type="dxa"/>
            <w:vAlign w:val="bottom"/>
          </w:tcPr>
          <w:p>
            <w:pPr>
              <w:spacing w:after="0"/>
              <w:rPr>
                <w:sz w:val="1"/>
                <w:szCs w:val="1"/>
                <w:color w:val="auto"/>
              </w:rPr>
            </w:pPr>
          </w:p>
        </w:tc>
      </w:tr>
      <w:tr>
        <w:trPr>
          <w:trHeight w:val="270"/>
        </w:trPr>
        <w:tc>
          <w:tcPr>
            <w:tcW w:w="3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Share awards:</w:t>
            </w:r>
          </w:p>
        </w:tc>
        <w:tc>
          <w:tcPr>
            <w:tcW w:w="102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960" w:type="dxa"/>
            <w:vAlign w:val="bottom"/>
            <w:gridSpan w:val="3"/>
          </w:tcPr>
          <w:p>
            <w:pPr>
              <w:ind w:left="180"/>
              <w:spacing w:after="0"/>
              <w:rPr>
                <w:sz w:val="20"/>
                <w:szCs w:val="20"/>
                <w:color w:val="auto"/>
              </w:rPr>
            </w:pPr>
            <w:r>
              <w:rPr>
                <w:rFonts w:ascii="Arial" w:cs="Arial" w:eastAsia="Arial" w:hAnsi="Arial"/>
                <w:sz w:val="16"/>
                <w:szCs w:val="16"/>
                <w:color w:val="auto"/>
              </w:rPr>
              <w:t>Performance-based annual plan employee award expense</w:t>
            </w: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606"/>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489</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right"/>
              <w:ind w:right="52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2"/>
                <w:szCs w:val="22"/>
                <w:color w:val="auto"/>
              </w:rPr>
            </w:pPr>
          </w:p>
        </w:tc>
        <w:tc>
          <w:tcPr>
            <w:tcW w:w="760" w:type="dxa"/>
            <w:vAlign w:val="bottom"/>
          </w:tcPr>
          <w:p>
            <w:pPr>
              <w:jc w:val="right"/>
              <w:ind w:right="566"/>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866</w:t>
            </w:r>
          </w:p>
        </w:tc>
        <w:tc>
          <w:tcPr>
            <w:tcW w:w="0" w:type="dxa"/>
            <w:vAlign w:val="bottom"/>
          </w:tcPr>
          <w:p>
            <w:pPr>
              <w:spacing w:after="0"/>
              <w:rPr>
                <w:sz w:val="1"/>
                <w:szCs w:val="1"/>
                <w:color w:val="auto"/>
              </w:rPr>
            </w:pPr>
          </w:p>
        </w:tc>
      </w:tr>
      <w:tr>
        <w:trPr>
          <w:trHeight w:val="280"/>
        </w:trPr>
        <w:tc>
          <w:tcPr>
            <w:tcW w:w="42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Performance-based LTIP employee award expense</w:t>
            </w: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318</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260"/>
        </w:trPr>
        <w:tc>
          <w:tcPr>
            <w:tcW w:w="3200" w:type="dxa"/>
            <w:vAlign w:val="bottom"/>
          </w:tcPr>
          <w:p>
            <w:pPr>
              <w:ind w:left="180"/>
              <w:spacing w:after="0"/>
              <w:rPr>
                <w:sz w:val="20"/>
                <w:szCs w:val="20"/>
                <w:color w:val="auto"/>
              </w:rPr>
            </w:pPr>
            <w:r>
              <w:rPr>
                <w:rFonts w:ascii="Arial" w:cs="Arial" w:eastAsia="Arial" w:hAnsi="Arial"/>
                <w:sz w:val="16"/>
                <w:szCs w:val="16"/>
                <w:color w:val="auto"/>
              </w:rPr>
              <w:t>Time-based employee award expense</w:t>
            </w:r>
          </w:p>
        </w:tc>
        <w:tc>
          <w:tcPr>
            <w:tcW w:w="10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1,583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2,060</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1,472</w:t>
            </w:r>
          </w:p>
        </w:tc>
        <w:tc>
          <w:tcPr>
            <w:tcW w:w="0" w:type="dxa"/>
            <w:vAlign w:val="bottom"/>
          </w:tcPr>
          <w:p>
            <w:pPr>
              <w:spacing w:after="0"/>
              <w:rPr>
                <w:sz w:val="1"/>
                <w:szCs w:val="1"/>
                <w:color w:val="auto"/>
              </w:rPr>
            </w:pPr>
          </w:p>
        </w:tc>
      </w:tr>
      <w:tr>
        <w:trPr>
          <w:trHeight w:val="280"/>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Time-based directors award expense</w:t>
            </w:r>
          </w:p>
        </w:tc>
        <w:tc>
          <w:tcPr>
            <w:tcW w:w="10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743</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60"/>
        </w:trPr>
        <w:tc>
          <w:tcPr>
            <w:tcW w:w="3200" w:type="dxa"/>
            <w:vAlign w:val="bottom"/>
          </w:tcPr>
          <w:p>
            <w:pPr>
              <w:ind w:left="180"/>
              <w:spacing w:after="0"/>
              <w:rPr>
                <w:sz w:val="20"/>
                <w:szCs w:val="20"/>
                <w:color w:val="auto"/>
              </w:rPr>
            </w:pPr>
            <w:r>
              <w:rPr>
                <w:rFonts w:ascii="Arial" w:cs="Arial" w:eastAsia="Arial" w:hAnsi="Arial"/>
                <w:sz w:val="16"/>
                <w:szCs w:val="16"/>
                <w:color w:val="auto"/>
              </w:rPr>
              <w:t>Directors stock unit expense</w:t>
            </w:r>
          </w:p>
        </w:tc>
        <w:tc>
          <w:tcPr>
            <w:tcW w:w="10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149</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73"/>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0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11</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Total stock-based compensation</w:t>
            </w: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606"/>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3,293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52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3,097</w:t>
            </w:r>
          </w:p>
        </w:tc>
        <w:tc>
          <w:tcPr>
            <w:tcW w:w="100" w:type="dxa"/>
            <w:vAlign w:val="bottom"/>
          </w:tcPr>
          <w:p>
            <w:pPr>
              <w:spacing w:after="0"/>
              <w:rPr>
                <w:sz w:val="20"/>
                <w:szCs w:val="20"/>
                <w:color w:val="auto"/>
              </w:rPr>
            </w:pPr>
          </w:p>
        </w:tc>
        <w:tc>
          <w:tcPr>
            <w:tcW w:w="760" w:type="dxa"/>
            <w:vAlign w:val="bottom"/>
          </w:tcPr>
          <w:p>
            <w:pPr>
              <w:jc w:val="right"/>
              <w:ind w:right="566"/>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3,386</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Stock Options</w:t>
            </w: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32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060" w:type="dxa"/>
            <w:vAlign w:val="bottom"/>
            <w:gridSpan w:val="7"/>
          </w:tcPr>
          <w:p>
            <w:pPr>
              <w:spacing w:after="0"/>
              <w:rPr>
                <w:sz w:val="20"/>
                <w:szCs w:val="20"/>
                <w:color w:val="auto"/>
              </w:rPr>
            </w:pPr>
            <w:r>
              <w:rPr>
                <w:rFonts w:ascii="Arial" w:cs="Arial" w:eastAsia="Arial" w:hAnsi="Arial"/>
                <w:sz w:val="16"/>
                <w:szCs w:val="16"/>
                <w:color w:val="auto"/>
              </w:rPr>
              <w:t>A summary of stock option activity for Fiscal 2016, 2015 and 2014 is as follows:</w:t>
            </w: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2"/>
        </w:trPr>
        <w:tc>
          <w:tcPr>
            <w:tcW w:w="32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Year Ended</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1900" w:type="dxa"/>
            <w:vAlign w:val="bottom"/>
            <w:tcBorders>
              <w:bottom w:val="single" w:sz="8" w:color="auto"/>
            </w:tcBorders>
            <w:gridSpan w:val="3"/>
          </w:tcPr>
          <w:p>
            <w:pPr>
              <w:jc w:val="center"/>
              <w:ind w:left="688"/>
              <w:spacing w:after="0"/>
              <w:rPr>
                <w:sz w:val="20"/>
                <w:szCs w:val="20"/>
                <w:color w:val="auto"/>
              </w:rPr>
            </w:pPr>
            <w:r>
              <w:rPr>
                <w:rFonts w:ascii="Arial" w:cs="Arial" w:eastAsia="Arial" w:hAnsi="Arial"/>
                <w:sz w:val="14"/>
                <w:szCs w:val="14"/>
                <w:b w:val="1"/>
                <w:bCs w:val="1"/>
                <w:color w:val="auto"/>
              </w:rPr>
              <w:t>August 27, 2016</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4"/>
          </w:tcPr>
          <w:p>
            <w:pPr>
              <w:jc w:val="center"/>
              <w:ind w:left="566"/>
              <w:spacing w:after="0"/>
              <w:rPr>
                <w:sz w:val="20"/>
                <w:szCs w:val="20"/>
                <w:color w:val="auto"/>
              </w:rPr>
            </w:pPr>
            <w:r>
              <w:rPr>
                <w:rFonts w:ascii="Arial" w:cs="Arial" w:eastAsia="Arial" w:hAnsi="Arial"/>
                <w:sz w:val="14"/>
                <w:szCs w:val="14"/>
                <w:b w:val="1"/>
                <w:bCs w:val="1"/>
                <w:color w:val="auto"/>
              </w:rPr>
              <w:t>August 29, 2015</w:t>
            </w: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August 30, 2014</w:t>
            </w: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Wtd. Avg.</w:t>
            </w: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Wtd. Avg.</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center"/>
              <w:ind w:right="43"/>
              <w:spacing w:after="0"/>
              <w:rPr>
                <w:sz w:val="20"/>
                <w:szCs w:val="20"/>
                <w:color w:val="auto"/>
              </w:rPr>
            </w:pPr>
            <w:r>
              <w:rPr>
                <w:rFonts w:ascii="Arial" w:cs="Arial" w:eastAsia="Arial" w:hAnsi="Arial"/>
                <w:sz w:val="14"/>
                <w:szCs w:val="14"/>
                <w:b w:val="1"/>
                <w:bCs w:val="1"/>
                <w:color w:val="auto"/>
              </w:rPr>
              <w:t>Wtd. Avg.</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jc w:val="center"/>
              <w:ind w:right="8"/>
              <w:spacing w:after="0"/>
              <w:rPr>
                <w:sz w:val="20"/>
                <w:szCs w:val="20"/>
                <w:color w:val="auto"/>
              </w:rPr>
            </w:pPr>
            <w:r>
              <w:rPr>
                <w:rFonts w:ascii="Arial" w:cs="Arial" w:eastAsia="Arial" w:hAnsi="Arial"/>
                <w:sz w:val="14"/>
                <w:szCs w:val="14"/>
                <w:b w:val="1"/>
                <w:bCs w:val="1"/>
                <w:color w:val="auto"/>
              </w:rPr>
              <w:t>Price per</w:t>
            </w:r>
          </w:p>
        </w:tc>
        <w:tc>
          <w:tcPr>
            <w:tcW w:w="140" w:type="dxa"/>
            <w:vAlign w:val="bottom"/>
          </w:tcPr>
          <w:p>
            <w:pPr>
              <w:spacing w:after="0"/>
              <w:rPr>
                <w:sz w:val="14"/>
                <w:szCs w:val="14"/>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Exercise</w:t>
            </w:r>
          </w:p>
        </w:tc>
        <w:tc>
          <w:tcPr>
            <w:tcW w:w="8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Price per</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Exercise</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Arial" w:cs="Arial" w:eastAsia="Arial" w:hAnsi="Arial"/>
                <w:sz w:val="14"/>
                <w:szCs w:val="14"/>
                <w:b w:val="1"/>
                <w:bCs w:val="1"/>
                <w:color w:val="auto"/>
              </w:rPr>
              <w:t>Price per</w:t>
            </w:r>
          </w:p>
        </w:tc>
        <w:tc>
          <w:tcPr>
            <w:tcW w:w="160" w:type="dxa"/>
            <w:vAlign w:val="bottom"/>
          </w:tcPr>
          <w:p>
            <w:pPr>
              <w:spacing w:after="0"/>
              <w:rPr>
                <w:sz w:val="14"/>
                <w:szCs w:val="14"/>
                <w:color w:val="auto"/>
              </w:rPr>
            </w:pPr>
          </w:p>
        </w:tc>
        <w:tc>
          <w:tcPr>
            <w:tcW w:w="780" w:type="dxa"/>
            <w:vAlign w:val="bottom"/>
          </w:tcPr>
          <w:p>
            <w:pPr>
              <w:jc w:val="center"/>
              <w:ind w:right="23"/>
              <w:spacing w:after="0"/>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1020" w:type="dxa"/>
            <w:vAlign w:val="bottom"/>
          </w:tcPr>
          <w:p>
            <w:pPr>
              <w:jc w:val="right"/>
              <w:ind w:right="268"/>
              <w:spacing w:after="0"/>
              <w:rPr>
                <w:sz w:val="20"/>
                <w:szCs w:val="20"/>
                <w:color w:val="auto"/>
              </w:rPr>
            </w:pPr>
            <w:r>
              <w:rPr>
                <w:rFonts w:ascii="Arial" w:cs="Arial" w:eastAsia="Arial" w:hAnsi="Arial"/>
                <w:sz w:val="14"/>
                <w:szCs w:val="14"/>
                <w:b w:val="1"/>
                <w:bCs w:val="1"/>
                <w:color w:val="auto"/>
              </w:rPr>
              <w:t>Shares</w:t>
            </w:r>
          </w:p>
        </w:tc>
        <w:tc>
          <w:tcPr>
            <w:tcW w:w="740" w:type="dxa"/>
            <w:vAlign w:val="bottom"/>
          </w:tcPr>
          <w:p>
            <w:pPr>
              <w:jc w:val="center"/>
              <w:ind w:right="28"/>
              <w:spacing w:after="0"/>
              <w:rPr>
                <w:sz w:val="20"/>
                <w:szCs w:val="20"/>
                <w:color w:val="auto"/>
              </w:rPr>
            </w:pPr>
            <w:r>
              <w:rPr>
                <w:rFonts w:ascii="Arial" w:cs="Arial" w:eastAsia="Arial" w:hAnsi="Arial"/>
                <w:sz w:val="14"/>
                <w:szCs w:val="14"/>
                <w:b w:val="1"/>
                <w:bCs w:val="1"/>
                <w:color w:val="auto"/>
              </w:rPr>
              <w:t>Share</w:t>
            </w:r>
          </w:p>
        </w:tc>
        <w:tc>
          <w:tcPr>
            <w:tcW w:w="1100" w:type="dxa"/>
            <w:vAlign w:val="bottom"/>
            <w:gridSpan w:val="4"/>
          </w:tcPr>
          <w:p>
            <w:pPr>
              <w:ind w:left="60"/>
              <w:spacing w:after="0"/>
              <w:rPr>
                <w:sz w:val="20"/>
                <w:szCs w:val="20"/>
                <w:color w:val="auto"/>
              </w:rPr>
            </w:pPr>
            <w:r>
              <w:rPr>
                <w:rFonts w:ascii="Arial" w:cs="Arial" w:eastAsia="Arial" w:hAnsi="Arial"/>
                <w:sz w:val="14"/>
                <w:szCs w:val="14"/>
                <w:b w:val="1"/>
                <w:bCs w:val="1"/>
                <w:color w:val="auto"/>
              </w:rPr>
              <w:t>Price/Share</w:t>
            </w:r>
          </w:p>
        </w:tc>
        <w:tc>
          <w:tcPr>
            <w:tcW w:w="800" w:type="dxa"/>
            <w:vAlign w:val="bottom"/>
          </w:tcPr>
          <w:p>
            <w:pPr>
              <w:jc w:val="right"/>
              <w:ind w:right="146"/>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Share</w:t>
            </w:r>
          </w:p>
        </w:tc>
        <w:tc>
          <w:tcPr>
            <w:tcW w:w="960" w:type="dxa"/>
            <w:vAlign w:val="bottom"/>
            <w:gridSpan w:val="5"/>
          </w:tcPr>
          <w:p>
            <w:pPr>
              <w:ind w:left="20"/>
              <w:spacing w:after="0"/>
              <w:rPr>
                <w:sz w:val="20"/>
                <w:szCs w:val="20"/>
                <w:color w:val="auto"/>
              </w:rPr>
            </w:pPr>
            <w:r>
              <w:rPr>
                <w:rFonts w:ascii="Arial" w:cs="Arial" w:eastAsia="Arial" w:hAnsi="Arial"/>
                <w:sz w:val="14"/>
                <w:szCs w:val="14"/>
                <w:b w:val="1"/>
                <w:bCs w:val="1"/>
                <w:color w:val="auto"/>
              </w:rPr>
              <w:t>Price/Share</w:t>
            </w: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760" w:type="dxa"/>
            <w:vAlign w:val="bottom"/>
          </w:tcPr>
          <w:p>
            <w:pPr>
              <w:jc w:val="right"/>
              <w:ind w:right="126"/>
              <w:spacing w:after="0"/>
              <w:rPr>
                <w:sz w:val="20"/>
                <w:szCs w:val="20"/>
                <w:color w:val="auto"/>
              </w:rPr>
            </w:pPr>
            <w:r>
              <w:rPr>
                <w:rFonts w:ascii="Arial" w:cs="Arial" w:eastAsia="Arial" w:hAnsi="Arial"/>
                <w:sz w:val="14"/>
                <w:szCs w:val="14"/>
                <w:b w:val="1"/>
                <w:bCs w:val="1"/>
                <w:color w:val="auto"/>
              </w:rPr>
              <w:t>Share</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Price/Share</w:t>
            </w:r>
          </w:p>
        </w:tc>
        <w:tc>
          <w:tcPr>
            <w:tcW w:w="0" w:type="dxa"/>
            <w:vAlign w:val="bottom"/>
          </w:tcPr>
          <w:p>
            <w:pPr>
              <w:spacing w:after="0"/>
              <w:rPr>
                <w:sz w:val="1"/>
                <w:szCs w:val="1"/>
                <w:color w:val="auto"/>
              </w:rPr>
            </w:pPr>
          </w:p>
        </w:tc>
      </w:tr>
      <w:tr>
        <w:trPr>
          <w:trHeight w:val="270"/>
        </w:trPr>
        <w:tc>
          <w:tcPr>
            <w:tcW w:w="3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Outstanding at beginning of year</w:t>
            </w:r>
          </w:p>
        </w:tc>
        <w:tc>
          <w:tcPr>
            <w:tcW w:w="10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167,394</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$26 - $34</w:t>
            </w:r>
          </w:p>
        </w:tc>
        <w:tc>
          <w:tcPr>
            <w:tcW w:w="1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28.30</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color w:val="auto"/>
              </w:rPr>
              <w:t>457,421</w:t>
            </w:r>
          </w:p>
        </w:tc>
        <w:tc>
          <w:tcPr>
            <w:tcW w:w="9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4"/>
                <w:szCs w:val="14"/>
                <w:color w:val="auto"/>
              </w:rPr>
              <w:t>$26 - $36</w:t>
            </w:r>
          </w:p>
        </w:tc>
        <w:tc>
          <w:tcPr>
            <w:tcW w:w="1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gridSpan w:val="2"/>
            <w:shd w:val="clear" w:color="auto" w:fill="CCEEFF"/>
          </w:tcPr>
          <w:p>
            <w:pPr>
              <w:jc w:val="right"/>
              <w:ind w:right="63"/>
              <w:spacing w:after="0"/>
              <w:rPr>
                <w:sz w:val="20"/>
                <w:szCs w:val="20"/>
                <w:color w:val="auto"/>
              </w:rPr>
            </w:pPr>
            <w:r>
              <w:rPr>
                <w:rFonts w:ascii="Arial" w:cs="Arial" w:eastAsia="Arial" w:hAnsi="Arial"/>
                <w:sz w:val="14"/>
                <w:szCs w:val="14"/>
                <w:color w:val="auto"/>
              </w:rPr>
              <w:t>30.38</w:t>
            </w: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4"/>
                <w:szCs w:val="14"/>
                <w:color w:val="auto"/>
              </w:rPr>
              <w:t>664,994</w:t>
            </w:r>
          </w:p>
        </w:tc>
        <w:tc>
          <w:tcPr>
            <w:tcW w:w="10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$26 - $36</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4"/>
                <w:szCs w:val="14"/>
                <w:color w:val="auto"/>
              </w:rPr>
              <w:t>29.83</w:t>
            </w: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Options granted</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10,000</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$16 - $17</w:t>
            </w:r>
          </w:p>
        </w:tc>
        <w:tc>
          <w:tcPr>
            <w:tcW w:w="140" w:type="dxa"/>
            <w:vAlign w:val="bottom"/>
          </w:tcPr>
          <w:p>
            <w:pPr>
              <w:spacing w:after="0"/>
              <w:rPr>
                <w:sz w:val="22"/>
                <w:szCs w:val="22"/>
                <w:color w:val="auto"/>
              </w:rPr>
            </w:pPr>
          </w:p>
        </w:tc>
        <w:tc>
          <w:tcPr>
            <w:tcW w:w="740" w:type="dxa"/>
            <w:vAlign w:val="bottom"/>
          </w:tcPr>
          <w:p>
            <w:pPr>
              <w:jc w:val="right"/>
              <w:ind w:right="47"/>
              <w:spacing w:after="0"/>
              <w:rPr>
                <w:sz w:val="20"/>
                <w:szCs w:val="20"/>
                <w:color w:val="auto"/>
              </w:rPr>
            </w:pPr>
            <w:r>
              <w:rPr>
                <w:rFonts w:ascii="Arial" w:cs="Arial" w:eastAsia="Arial" w:hAnsi="Arial"/>
                <w:sz w:val="14"/>
                <w:szCs w:val="14"/>
                <w:color w:val="auto"/>
              </w:rPr>
              <w:t>16.67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4"/>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80" w:type="dxa"/>
            <w:vAlign w:val="bottom"/>
          </w:tcPr>
          <w:p>
            <w:pPr>
              <w:jc w:val="right"/>
              <w:ind w:right="2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Options exercised</w:t>
            </w:r>
          </w:p>
        </w:tc>
        <w:tc>
          <w:tcPr>
            <w:tcW w:w="10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(77,833)</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$26 - $27</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4"/>
                <w:szCs w:val="14"/>
                <w:color w:val="auto"/>
              </w:rPr>
              <w:t>26.72</w:t>
            </w: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Options cancelled</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(167,394)</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$26 - $34</w:t>
            </w: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28.30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(290,027)</w:t>
            </w: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$26 - $36</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4"/>
                <w:szCs w:val="14"/>
                <w:color w:val="auto"/>
              </w:rPr>
              <w:t>31.58</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(129,740)</w:t>
            </w: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$26 - $35</w:t>
            </w: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auto"/>
              </w:rPr>
              <w:t>29.75</w:t>
            </w:r>
          </w:p>
        </w:tc>
        <w:tc>
          <w:tcPr>
            <w:tcW w:w="0" w:type="dxa"/>
            <w:vAlign w:val="bottom"/>
          </w:tcPr>
          <w:p>
            <w:pPr>
              <w:spacing w:after="0"/>
              <w:rPr>
                <w:sz w:val="1"/>
                <w:szCs w:val="1"/>
                <w:color w:val="auto"/>
              </w:rPr>
            </w:pPr>
          </w:p>
        </w:tc>
      </w:tr>
      <w:tr>
        <w:trPr>
          <w:trHeight w:val="250"/>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Outstanding at end of year</w:t>
            </w:r>
          </w:p>
        </w:tc>
        <w:tc>
          <w:tcPr>
            <w:tcW w:w="10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10,000</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$16 - $17</w:t>
            </w:r>
          </w:p>
        </w:tc>
        <w:tc>
          <w:tcPr>
            <w:tcW w:w="1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16.67</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color w:val="auto"/>
              </w:rPr>
              <w:t>167,394</w:t>
            </w: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4"/>
                <w:szCs w:val="14"/>
                <w:color w:val="auto"/>
              </w:rPr>
              <w:t>$26 - $34</w:t>
            </w:r>
          </w:p>
        </w:tc>
        <w:tc>
          <w:tcPr>
            <w:tcW w:w="1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shd w:val="clear" w:color="auto" w:fill="CCEEFF"/>
          </w:tcPr>
          <w:p>
            <w:pPr>
              <w:jc w:val="right"/>
              <w:ind w:right="63"/>
              <w:spacing w:after="0"/>
              <w:rPr>
                <w:sz w:val="20"/>
                <w:szCs w:val="20"/>
                <w:color w:val="auto"/>
              </w:rPr>
            </w:pPr>
            <w:r>
              <w:rPr>
                <w:rFonts w:ascii="Arial" w:cs="Arial" w:eastAsia="Arial" w:hAnsi="Arial"/>
                <w:sz w:val="14"/>
                <w:szCs w:val="14"/>
                <w:color w:val="auto"/>
              </w:rPr>
              <w:t>28.30</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4"/>
                <w:szCs w:val="14"/>
                <w:color w:val="auto"/>
              </w:rPr>
              <w:t>457,421</w:t>
            </w: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$26 - $36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4"/>
                <w:szCs w:val="14"/>
                <w:color w:val="auto"/>
              </w:rPr>
              <w:t>30.38</w:t>
            </w:r>
          </w:p>
        </w:tc>
        <w:tc>
          <w:tcPr>
            <w:tcW w:w="0" w:type="dxa"/>
            <w:vAlign w:val="bottom"/>
          </w:tcPr>
          <w:p>
            <w:pPr>
              <w:spacing w:after="0"/>
              <w:rPr>
                <w:sz w:val="1"/>
                <w:szCs w:val="1"/>
                <w:color w:val="auto"/>
              </w:rPr>
            </w:pPr>
          </w:p>
        </w:tc>
      </w:tr>
      <w:tr>
        <w:trPr>
          <w:trHeight w:val="250"/>
        </w:trPr>
        <w:tc>
          <w:tcPr>
            <w:tcW w:w="3200" w:type="dxa"/>
            <w:vAlign w:val="bottom"/>
          </w:tcPr>
          <w:p>
            <w:pPr>
              <w:ind w:left="40"/>
              <w:spacing w:after="0"/>
              <w:rPr>
                <w:sz w:val="20"/>
                <w:szCs w:val="20"/>
                <w:color w:val="auto"/>
              </w:rPr>
            </w:pPr>
            <w:r>
              <w:rPr>
                <w:rFonts w:ascii="Arial" w:cs="Arial" w:eastAsia="Arial" w:hAnsi="Arial"/>
                <w:sz w:val="14"/>
                <w:szCs w:val="14"/>
                <w:color w:val="auto"/>
              </w:rPr>
              <w:t>Exercisable at end of year</w:t>
            </w:r>
          </w:p>
        </w:tc>
        <w:tc>
          <w:tcPr>
            <w:tcW w:w="1020" w:type="dxa"/>
            <w:vAlign w:val="bottom"/>
          </w:tcPr>
          <w:p>
            <w:pPr>
              <w:jc w:val="right"/>
              <w:spacing w:after="0"/>
              <w:rPr>
                <w:sz w:val="20"/>
                <w:szCs w:val="20"/>
                <w:color w:val="auto"/>
              </w:rPr>
            </w:pPr>
            <w:r>
              <w:rPr>
                <w:rFonts w:ascii="Arial" w:cs="Arial" w:eastAsia="Arial" w:hAnsi="Arial"/>
                <w:sz w:val="14"/>
                <w:szCs w:val="14"/>
                <w:color w:val="auto"/>
              </w:rPr>
              <w:t>—  $</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ind w:left="60"/>
              <w:spacing w:after="0"/>
              <w:rPr>
                <w:sz w:val="20"/>
                <w:szCs w:val="20"/>
                <w:color w:val="auto"/>
              </w:rPr>
            </w:pPr>
            <w:r>
              <w:rPr>
                <w:rFonts w:ascii="Arial" w:cs="Arial" w:eastAsia="Arial" w:hAnsi="Arial"/>
                <w:sz w:val="14"/>
                <w:szCs w:val="14"/>
                <w:color w:val="auto"/>
                <w:w w:val="76"/>
              </w:rPr>
              <w:t>$</w:t>
            </w:r>
          </w:p>
        </w:tc>
        <w:tc>
          <w:tcPr>
            <w:tcW w:w="96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6"/>
              <w:spacing w:after="0"/>
              <w:rPr>
                <w:sz w:val="20"/>
                <w:szCs w:val="20"/>
                <w:color w:val="auto"/>
              </w:rPr>
            </w:pPr>
            <w:r>
              <w:rPr>
                <w:rFonts w:ascii="Arial" w:cs="Arial" w:eastAsia="Arial" w:hAnsi="Arial"/>
                <w:sz w:val="14"/>
                <w:szCs w:val="14"/>
                <w:color w:val="auto"/>
              </w:rPr>
              <w:t>167,394</w:t>
            </w:r>
          </w:p>
        </w:tc>
        <w:tc>
          <w:tcPr>
            <w:tcW w:w="900" w:type="dxa"/>
            <w:vAlign w:val="bottom"/>
          </w:tcPr>
          <w:p>
            <w:pPr>
              <w:jc w:val="right"/>
              <w:ind w:right="24"/>
              <w:spacing w:after="0"/>
              <w:rPr>
                <w:sz w:val="20"/>
                <w:szCs w:val="20"/>
                <w:color w:val="auto"/>
              </w:rPr>
            </w:pPr>
            <w:r>
              <w:rPr>
                <w:rFonts w:ascii="Arial" w:cs="Arial" w:eastAsia="Arial" w:hAnsi="Arial"/>
                <w:sz w:val="14"/>
                <w:szCs w:val="14"/>
                <w:color w:val="auto"/>
              </w:rPr>
              <w:t>$26 - $34</w:t>
            </w:r>
          </w:p>
        </w:tc>
        <w:tc>
          <w:tcPr>
            <w:tcW w:w="1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3"/>
              <w:spacing w:after="0"/>
              <w:rPr>
                <w:sz w:val="20"/>
                <w:szCs w:val="20"/>
                <w:color w:val="auto"/>
              </w:rPr>
            </w:pPr>
            <w:r>
              <w:rPr>
                <w:rFonts w:ascii="Arial" w:cs="Arial" w:eastAsia="Arial" w:hAnsi="Arial"/>
                <w:sz w:val="14"/>
                <w:szCs w:val="14"/>
                <w:color w:val="auto"/>
              </w:rPr>
              <w:t>28.30</w:t>
            </w:r>
          </w:p>
        </w:tc>
        <w:tc>
          <w:tcPr>
            <w:tcW w:w="100" w:type="dxa"/>
            <w:vAlign w:val="bottom"/>
          </w:tcPr>
          <w:p>
            <w:pPr>
              <w:spacing w:after="0"/>
              <w:rPr>
                <w:sz w:val="21"/>
                <w:szCs w:val="21"/>
                <w:color w:val="auto"/>
              </w:rPr>
            </w:pPr>
          </w:p>
        </w:tc>
        <w:tc>
          <w:tcPr>
            <w:tcW w:w="900" w:type="dxa"/>
            <w:vAlign w:val="bottom"/>
          </w:tcPr>
          <w:p>
            <w:pPr>
              <w:jc w:val="right"/>
              <w:ind w:right="23"/>
              <w:spacing w:after="0"/>
              <w:rPr>
                <w:sz w:val="20"/>
                <w:szCs w:val="20"/>
                <w:color w:val="auto"/>
              </w:rPr>
            </w:pPr>
            <w:r>
              <w:rPr>
                <w:rFonts w:ascii="Arial" w:cs="Arial" w:eastAsia="Arial" w:hAnsi="Arial"/>
                <w:sz w:val="14"/>
                <w:szCs w:val="14"/>
                <w:color w:val="auto"/>
              </w:rPr>
              <w:t>457,421</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$26 - $36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3"/>
              <w:spacing w:after="0"/>
              <w:rPr>
                <w:sz w:val="20"/>
                <w:szCs w:val="20"/>
                <w:color w:val="auto"/>
              </w:rPr>
            </w:pPr>
            <w:r>
              <w:rPr>
                <w:rFonts w:ascii="Arial" w:cs="Arial" w:eastAsia="Arial" w:hAnsi="Arial"/>
                <w:sz w:val="14"/>
                <w:szCs w:val="14"/>
                <w:color w:val="auto"/>
              </w:rPr>
              <w:t>30.38</w:t>
            </w:r>
          </w:p>
        </w:tc>
        <w:tc>
          <w:tcPr>
            <w:tcW w:w="0" w:type="dxa"/>
            <w:vAlign w:val="bottom"/>
          </w:tcPr>
          <w:p>
            <w:pPr>
              <w:spacing w:after="0"/>
              <w:rPr>
                <w:sz w:val="1"/>
                <w:szCs w:val="1"/>
                <w:color w:val="auto"/>
              </w:rPr>
            </w:pPr>
          </w:p>
        </w:tc>
      </w:tr>
      <w:tr>
        <w:trPr>
          <w:trHeight w:val="250"/>
        </w:trPr>
        <w:tc>
          <w:tcPr>
            <w:tcW w:w="3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Vested and expected to vest at end of year</w:t>
            </w:r>
          </w:p>
        </w:tc>
        <w:tc>
          <w:tcPr>
            <w:tcW w:w="10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10,000</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$16 - $17</w:t>
            </w:r>
          </w:p>
        </w:tc>
        <w:tc>
          <w:tcPr>
            <w:tcW w:w="1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16.67</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color w:val="auto"/>
              </w:rPr>
              <w:t>167,394</w:t>
            </w:r>
          </w:p>
        </w:tc>
        <w:tc>
          <w:tcPr>
            <w:tcW w:w="9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4"/>
                <w:szCs w:val="14"/>
                <w:color w:val="auto"/>
              </w:rPr>
              <w:t>$26 - $34</w:t>
            </w:r>
          </w:p>
        </w:tc>
        <w:tc>
          <w:tcPr>
            <w:tcW w:w="1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gridSpan w:val="2"/>
            <w:shd w:val="clear" w:color="auto" w:fill="CCEEFF"/>
          </w:tcPr>
          <w:p>
            <w:pPr>
              <w:jc w:val="right"/>
              <w:ind w:right="63"/>
              <w:spacing w:after="0"/>
              <w:rPr>
                <w:sz w:val="20"/>
                <w:szCs w:val="20"/>
                <w:color w:val="auto"/>
              </w:rPr>
            </w:pPr>
            <w:r>
              <w:rPr>
                <w:rFonts w:ascii="Arial" w:cs="Arial" w:eastAsia="Arial" w:hAnsi="Arial"/>
                <w:sz w:val="14"/>
                <w:szCs w:val="14"/>
                <w:color w:val="auto"/>
              </w:rPr>
              <w:t>28.30</w:t>
            </w:r>
          </w:p>
        </w:tc>
        <w:tc>
          <w:tcPr>
            <w:tcW w:w="10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4"/>
                <w:szCs w:val="14"/>
                <w:color w:val="auto"/>
              </w:rPr>
              <w:t>457,421</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$26 - $36</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4"/>
                <w:szCs w:val="14"/>
                <w:color w:val="auto"/>
              </w:rPr>
              <w:t>30.38</w:t>
            </w:r>
          </w:p>
        </w:tc>
        <w:tc>
          <w:tcPr>
            <w:tcW w:w="0" w:type="dxa"/>
            <w:vAlign w:val="bottom"/>
          </w:tcPr>
          <w:p>
            <w:pPr>
              <w:spacing w:after="0"/>
              <w:rPr>
                <w:sz w:val="1"/>
                <w:szCs w:val="1"/>
                <w:color w:val="auto"/>
              </w:rPr>
            </w:pPr>
          </w:p>
        </w:tc>
      </w:tr>
      <w:tr>
        <w:trPr>
          <w:trHeight w:val="628"/>
        </w:trPr>
        <w:tc>
          <w:tcPr>
            <w:tcW w:w="3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each option grant is estimated on the date of grant using the Black-Scholes option-pricing model with the following assumptions: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 w:type="dxa"/>
            <w:vAlign w:val="bottom"/>
          </w:tcPr>
          <w:p>
            <w:pPr>
              <w:spacing w:after="0"/>
              <w:rPr>
                <w:sz w:val="21"/>
                <w:szCs w:val="21"/>
                <w:color w:val="auto"/>
              </w:rPr>
            </w:pPr>
          </w:p>
        </w:tc>
        <w:tc>
          <w:tcPr>
            <w:tcW w:w="9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Valuation Assumptions</w:t>
            </w:r>
            <w:r>
              <w:rPr>
                <w:rFonts w:ascii="Arial" w:cs="Arial" w:eastAsia="Arial" w:hAnsi="Arial"/>
                <w:sz w:val="21"/>
                <w:szCs w:val="21"/>
                <w:color w:val="auto"/>
                <w:vertAlign w:val="superscript"/>
              </w:rPr>
              <w:t>(1)</w:t>
            </w:r>
          </w:p>
        </w:tc>
        <w:tc>
          <w:tcPr>
            <w:tcW w:w="18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Fiscal 2016</w:t>
            </w:r>
          </w:p>
        </w:tc>
      </w:tr>
      <w:tr>
        <w:trPr>
          <w:trHeight w:val="237"/>
        </w:trPr>
        <w:tc>
          <w:tcPr>
            <w:tcW w:w="60" w:type="dxa"/>
            <w:vAlign w:val="bottom"/>
          </w:tcPr>
          <w:p>
            <w:pPr>
              <w:spacing w:after="0"/>
              <w:rPr>
                <w:sz w:val="20"/>
                <w:szCs w:val="20"/>
                <w:color w:val="auto"/>
              </w:rPr>
            </w:pPr>
          </w:p>
        </w:tc>
        <w:tc>
          <w:tcPr>
            <w:tcW w:w="9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dividend yield</w:t>
            </w:r>
          </w:p>
        </w:tc>
        <w:tc>
          <w:tcPr>
            <w:tcW w:w="18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2.40%</w:t>
            </w:r>
          </w:p>
        </w:tc>
      </w:tr>
      <w:tr>
        <w:trPr>
          <w:trHeight w:val="243"/>
        </w:trPr>
        <w:tc>
          <w:tcPr>
            <w:tcW w:w="60" w:type="dxa"/>
            <w:vAlign w:val="bottom"/>
          </w:tcPr>
          <w:p>
            <w:pPr>
              <w:spacing w:after="0"/>
              <w:rPr>
                <w:sz w:val="21"/>
                <w:szCs w:val="21"/>
                <w:color w:val="auto"/>
              </w:rPr>
            </w:pPr>
          </w:p>
        </w:tc>
        <w:tc>
          <w:tcPr>
            <w:tcW w:w="9440" w:type="dxa"/>
            <w:vAlign w:val="bottom"/>
          </w:tcPr>
          <w:p>
            <w:pPr>
              <w:ind w:left="20"/>
              <w:spacing w:after="0"/>
              <w:rPr>
                <w:sz w:val="20"/>
                <w:szCs w:val="20"/>
                <w:color w:val="auto"/>
              </w:rPr>
            </w:pPr>
            <w:r>
              <w:rPr>
                <w:rFonts w:ascii="Arial" w:cs="Arial" w:eastAsia="Arial" w:hAnsi="Arial"/>
                <w:sz w:val="16"/>
                <w:szCs w:val="16"/>
                <w:color w:val="auto"/>
              </w:rPr>
              <w:t xml:space="preserve">Risk-free interest rate </w:t>
            </w:r>
            <w:r>
              <w:rPr>
                <w:rFonts w:ascii="Arial" w:cs="Arial" w:eastAsia="Arial" w:hAnsi="Arial"/>
                <w:sz w:val="21"/>
                <w:szCs w:val="21"/>
                <w:color w:val="auto"/>
                <w:vertAlign w:val="superscript"/>
              </w:rPr>
              <w:t>(2)</w:t>
            </w:r>
          </w:p>
        </w:tc>
        <w:tc>
          <w:tcPr>
            <w:tcW w:w="1880" w:type="dxa"/>
            <w:vAlign w:val="bottom"/>
          </w:tcPr>
          <w:p>
            <w:pPr>
              <w:jc w:val="right"/>
              <w:ind w:right="199"/>
              <w:spacing w:after="0"/>
              <w:rPr>
                <w:sz w:val="20"/>
                <w:szCs w:val="20"/>
                <w:color w:val="auto"/>
              </w:rPr>
            </w:pPr>
            <w:r>
              <w:rPr>
                <w:rFonts w:ascii="Arial" w:cs="Arial" w:eastAsia="Arial" w:hAnsi="Arial"/>
                <w:sz w:val="16"/>
                <w:szCs w:val="16"/>
                <w:color w:val="auto"/>
              </w:rPr>
              <w:t>1.49%</w:t>
            </w:r>
          </w:p>
        </w:tc>
      </w:tr>
      <w:tr>
        <w:trPr>
          <w:trHeight w:val="243"/>
        </w:trPr>
        <w:tc>
          <w:tcPr>
            <w:tcW w:w="60" w:type="dxa"/>
            <w:vAlign w:val="bottom"/>
          </w:tcPr>
          <w:p>
            <w:pPr>
              <w:spacing w:after="0"/>
              <w:rPr>
                <w:sz w:val="21"/>
                <w:szCs w:val="21"/>
                <w:color w:val="auto"/>
              </w:rPr>
            </w:pPr>
          </w:p>
        </w:tc>
        <w:tc>
          <w:tcPr>
            <w:tcW w:w="9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Expected life (in years) </w:t>
            </w:r>
            <w:r>
              <w:rPr>
                <w:rFonts w:ascii="Arial" w:cs="Arial" w:eastAsia="Arial" w:hAnsi="Arial"/>
                <w:sz w:val="21"/>
                <w:szCs w:val="21"/>
                <w:color w:val="auto"/>
                <w:vertAlign w:val="superscript"/>
              </w:rPr>
              <w:t>(3)</w:t>
            </w:r>
          </w:p>
        </w:tc>
        <w:tc>
          <w:tcPr>
            <w:tcW w:w="18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5</w:t>
            </w:r>
          </w:p>
        </w:tc>
      </w:tr>
      <w:tr>
        <w:trPr>
          <w:trHeight w:val="243"/>
        </w:trPr>
        <w:tc>
          <w:tcPr>
            <w:tcW w:w="60" w:type="dxa"/>
            <w:vAlign w:val="bottom"/>
          </w:tcPr>
          <w:p>
            <w:pPr>
              <w:spacing w:after="0"/>
              <w:rPr>
                <w:sz w:val="21"/>
                <w:szCs w:val="21"/>
                <w:color w:val="auto"/>
              </w:rPr>
            </w:pPr>
          </w:p>
        </w:tc>
        <w:tc>
          <w:tcPr>
            <w:tcW w:w="9440" w:type="dxa"/>
            <w:vAlign w:val="bottom"/>
          </w:tcPr>
          <w:p>
            <w:pPr>
              <w:ind w:left="20"/>
              <w:spacing w:after="0"/>
              <w:rPr>
                <w:sz w:val="20"/>
                <w:szCs w:val="20"/>
                <w:color w:val="auto"/>
              </w:rPr>
            </w:pPr>
            <w:r>
              <w:rPr>
                <w:rFonts w:ascii="Arial" w:cs="Arial" w:eastAsia="Arial" w:hAnsi="Arial"/>
                <w:sz w:val="16"/>
                <w:szCs w:val="16"/>
                <w:color w:val="auto"/>
              </w:rPr>
              <w:t xml:space="preserve">Expected volatility </w:t>
            </w:r>
            <w:r>
              <w:rPr>
                <w:rFonts w:ascii="Arial" w:cs="Arial" w:eastAsia="Arial" w:hAnsi="Arial"/>
                <w:sz w:val="21"/>
                <w:szCs w:val="21"/>
                <w:color w:val="auto"/>
                <w:vertAlign w:val="superscript"/>
              </w:rPr>
              <w:t>(4)</w:t>
            </w:r>
          </w:p>
        </w:tc>
        <w:tc>
          <w:tcPr>
            <w:tcW w:w="1880" w:type="dxa"/>
            <w:vAlign w:val="bottom"/>
          </w:tcPr>
          <w:p>
            <w:pPr>
              <w:jc w:val="right"/>
              <w:ind w:right="199"/>
              <w:spacing w:after="0"/>
              <w:rPr>
                <w:sz w:val="20"/>
                <w:szCs w:val="20"/>
                <w:color w:val="auto"/>
              </w:rPr>
            </w:pPr>
            <w:r>
              <w:rPr>
                <w:rFonts w:ascii="Arial" w:cs="Arial" w:eastAsia="Arial" w:hAnsi="Arial"/>
                <w:sz w:val="16"/>
                <w:szCs w:val="16"/>
                <w:color w:val="auto"/>
              </w:rPr>
              <w:t>43.52%</w:t>
            </w:r>
          </w:p>
        </w:tc>
      </w:tr>
      <w:tr>
        <w:trPr>
          <w:trHeight w:val="270"/>
        </w:trPr>
        <w:tc>
          <w:tcPr>
            <w:tcW w:w="60" w:type="dxa"/>
            <w:vAlign w:val="bottom"/>
          </w:tcPr>
          <w:p>
            <w:pPr>
              <w:spacing w:after="0"/>
              <w:rPr>
                <w:sz w:val="23"/>
                <w:szCs w:val="23"/>
                <w:color w:val="auto"/>
              </w:rPr>
            </w:pPr>
          </w:p>
        </w:tc>
        <w:tc>
          <w:tcPr>
            <w:tcW w:w="9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fair value of options granted</w:t>
            </w:r>
          </w:p>
        </w:tc>
        <w:tc>
          <w:tcPr>
            <w:tcW w:w="18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$5.31</w:t>
            </w:r>
          </w:p>
        </w:tc>
      </w:tr>
      <w:tr>
        <w:trPr>
          <w:trHeight w:val="186"/>
        </w:trPr>
        <w:tc>
          <w:tcPr>
            <w:tcW w:w="9500" w:type="dxa"/>
            <w:vAlign w:val="bottom"/>
            <w:gridSpan w:val="2"/>
          </w:tcPr>
          <w:p>
            <w:pPr>
              <w:spacing w:after="0" w:line="186" w:lineRule="exact"/>
              <w:rPr>
                <w:sz w:val="20"/>
                <w:szCs w:val="20"/>
                <w:color w:val="auto"/>
              </w:rPr>
            </w:pPr>
            <w:r>
              <w:rPr>
                <w:rFonts w:ascii="Arial" w:cs="Arial" w:eastAsia="Arial" w:hAnsi="Arial"/>
                <w:sz w:val="21"/>
                <w:szCs w:val="21"/>
                <w:color w:val="auto"/>
                <w:vertAlign w:val="superscript"/>
              </w:rPr>
              <w:t>(1)</w:t>
            </w:r>
            <w:r>
              <w:rPr>
                <w:rFonts w:ascii="Arial" w:cs="Arial" w:eastAsia="Arial" w:hAnsi="Arial"/>
                <w:sz w:val="14"/>
                <w:szCs w:val="14"/>
                <w:color w:val="auto"/>
              </w:rPr>
              <w:t xml:space="preserve"> Forfeitures are estimated based on historical experience.</w:t>
            </w:r>
          </w:p>
        </w:tc>
        <w:tc>
          <w:tcPr>
            <w:tcW w:w="1880" w:type="dxa"/>
            <w:vAlign w:val="bottom"/>
          </w:tcPr>
          <w:p>
            <w:pPr>
              <w:spacing w:after="0"/>
              <w:rPr>
                <w:sz w:val="16"/>
                <w:szCs w:val="16"/>
                <w:color w:val="auto"/>
              </w:rPr>
            </w:pPr>
          </w:p>
        </w:tc>
      </w:tr>
      <w:tr>
        <w:trPr>
          <w:trHeight w:val="197"/>
        </w:trPr>
        <w:tc>
          <w:tcPr>
            <w:tcW w:w="9500" w:type="dxa"/>
            <w:vAlign w:val="bottom"/>
            <w:gridSpan w:val="2"/>
          </w:tcPr>
          <w:p>
            <w:pPr>
              <w:spacing w:after="0" w:line="197" w:lineRule="exact"/>
              <w:rPr>
                <w:sz w:val="20"/>
                <w:szCs w:val="20"/>
                <w:color w:val="auto"/>
              </w:rPr>
            </w:pPr>
            <w:r>
              <w:rPr>
                <w:rFonts w:ascii="Arial" w:cs="Arial" w:eastAsia="Arial" w:hAnsi="Arial"/>
                <w:sz w:val="21"/>
                <w:szCs w:val="21"/>
                <w:color w:val="auto"/>
                <w:vertAlign w:val="superscript"/>
              </w:rPr>
              <w:t>(2</w:t>
            </w:r>
            <w:r>
              <w:rPr>
                <w:rFonts w:ascii="Arial" w:cs="Arial" w:eastAsia="Arial" w:hAnsi="Arial"/>
                <w:sz w:val="17"/>
                <w:szCs w:val="17"/>
                <w:color w:val="auto"/>
                <w:vertAlign w:val="superscript"/>
              </w:rPr>
              <w:t>)</w:t>
            </w:r>
            <w:r>
              <w:rPr>
                <w:rFonts w:ascii="Arial" w:cs="Arial" w:eastAsia="Arial" w:hAnsi="Arial"/>
                <w:sz w:val="14"/>
                <w:szCs w:val="14"/>
                <w:color w:val="auto"/>
              </w:rPr>
              <w:t xml:space="preserve"> Risk-free interest rate is based on Treasury Securities constant maturity interest rate whose term is consistent with the expected life of our</w:t>
            </w:r>
          </w:p>
        </w:tc>
        <w:tc>
          <w:tcPr>
            <w:tcW w:w="1880" w:type="dxa"/>
            <w:vAlign w:val="bottom"/>
          </w:tcPr>
          <w:p>
            <w:pPr>
              <w:spacing w:after="0"/>
              <w:rPr>
                <w:sz w:val="17"/>
                <w:szCs w:val="17"/>
                <w:color w:val="auto"/>
              </w:rPr>
            </w:pPr>
          </w:p>
        </w:tc>
      </w:tr>
    </w:tbl>
    <w:p>
      <w:pPr>
        <w:spacing w:after="0" w:line="229" w:lineRule="auto"/>
        <w:rPr>
          <w:sz w:val="20"/>
          <w:szCs w:val="20"/>
          <w:color w:val="auto"/>
        </w:rPr>
      </w:pPr>
      <w:r>
        <w:rPr>
          <w:rFonts w:ascii="Arial" w:cs="Arial" w:eastAsia="Arial" w:hAnsi="Arial"/>
          <w:sz w:val="14"/>
          <w:szCs w:val="14"/>
          <w:color w:val="auto"/>
        </w:rPr>
        <w:t>stock options.</w:t>
      </w:r>
    </w:p>
    <w:p>
      <w:pPr>
        <w:spacing w:after="0" w:line="188" w:lineRule="auto"/>
        <w:rPr>
          <w:sz w:val="20"/>
          <w:szCs w:val="20"/>
          <w:color w:val="auto"/>
        </w:rPr>
      </w:pPr>
      <w:r>
        <w:rPr>
          <w:rFonts w:ascii="Arial" w:cs="Arial" w:eastAsia="Arial" w:hAnsi="Arial"/>
          <w:sz w:val="21"/>
          <w:szCs w:val="21"/>
          <w:color w:val="auto"/>
          <w:vertAlign w:val="superscript"/>
        </w:rPr>
        <w:t>(3)</w:t>
      </w:r>
      <w:r>
        <w:rPr>
          <w:rFonts w:ascii="Arial" w:cs="Arial" w:eastAsia="Arial" w:hAnsi="Arial"/>
          <w:sz w:val="14"/>
          <w:szCs w:val="14"/>
          <w:color w:val="auto"/>
        </w:rPr>
        <w:t xml:space="preserve"> Expected life of stock options is based on historical experience.</w:t>
      </w:r>
    </w:p>
    <w:p>
      <w:pPr>
        <w:spacing w:after="0"/>
        <w:rPr>
          <w:sz w:val="20"/>
          <w:szCs w:val="20"/>
          <w:color w:val="auto"/>
        </w:rPr>
      </w:pPr>
      <w:r>
        <w:rPr>
          <w:rFonts w:ascii="Arial" w:cs="Arial" w:eastAsia="Arial" w:hAnsi="Arial"/>
          <w:sz w:val="21"/>
          <w:szCs w:val="21"/>
          <w:color w:val="auto"/>
          <w:vertAlign w:val="superscript"/>
        </w:rPr>
        <w:t>(4)</w:t>
      </w:r>
      <w:r>
        <w:rPr>
          <w:rFonts w:ascii="Arial" w:cs="Arial" w:eastAsia="Arial" w:hAnsi="Arial"/>
          <w:sz w:val="14"/>
          <w:szCs w:val="14"/>
          <w:color w:val="auto"/>
        </w:rPr>
        <w:t xml:space="preserve"> Expected stock price volatility is based on historical experience over a term consistent with the expected life of our stock options.</w:t>
      </w:r>
    </w:p>
    <w:p>
      <w:pPr>
        <w:spacing w:after="0" w:line="142"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The weighted average remaining contractual life for options outstanding at August 27, 2016 was 9.4 years. Aggregate intrinsic value for options outstanding at August 27, 2016 was $72,000. As of August 27, 2016, there was $42,000 of unrecognized compensation expense related to option awards that is expected to be recognized over a weighted average period of 2.4 years. Other values related to options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5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Fiscal 2016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Fiscal 2015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Fiscal 2014</w:t>
            </w:r>
          </w:p>
        </w:tc>
      </w:tr>
      <w:tr>
        <w:trPr>
          <w:trHeight w:val="257"/>
        </w:trPr>
        <w:tc>
          <w:tcPr>
            <w:tcW w:w="5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Aggregate intrinsic value of options exercised </w:t>
            </w:r>
            <w:r>
              <w:rPr>
                <w:rFonts w:ascii="Arial" w:cs="Arial" w:eastAsia="Arial" w:hAnsi="Arial"/>
                <w:sz w:val="21"/>
                <w:szCs w:val="21"/>
                <w:color w:val="auto"/>
                <w:vertAlign w:val="superscript"/>
              </w:rPr>
              <w:t>(1)</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3"/>
            <w:shd w:val="clear" w:color="auto" w:fill="CCEEFF"/>
          </w:tcPr>
          <w:p>
            <w:pPr>
              <w:ind w:left="920"/>
              <w:spacing w:after="0"/>
              <w:rPr>
                <w:sz w:val="20"/>
                <w:szCs w:val="20"/>
                <w:color w:val="auto"/>
              </w:rPr>
            </w:pPr>
            <w:r>
              <w:rPr>
                <w:rFonts w:ascii="Arial" w:cs="Arial" w:eastAsia="Arial" w:hAnsi="Arial"/>
                <w:sz w:val="16"/>
                <w:szCs w:val="16"/>
                <w:color w:val="auto"/>
              </w:rPr>
              <w:t>—   $</w:t>
            </w:r>
          </w:p>
        </w:tc>
        <w:tc>
          <w:tcPr>
            <w:tcW w:w="1480" w:type="dxa"/>
            <w:vAlign w:val="bottom"/>
            <w:gridSpan w:val="3"/>
            <w:shd w:val="clear" w:color="auto" w:fill="CCEEFF"/>
          </w:tcPr>
          <w:p>
            <w:pPr>
              <w:ind w:left="920"/>
              <w:spacing w:after="0"/>
              <w:rPr>
                <w:sz w:val="20"/>
                <w:szCs w:val="20"/>
                <w:color w:val="auto"/>
              </w:rPr>
            </w:pPr>
            <w:r>
              <w:rPr>
                <w:rFonts w:ascii="Arial" w:cs="Arial" w:eastAsia="Arial" w:hAnsi="Arial"/>
                <w:sz w:val="16"/>
                <w:szCs w:val="16"/>
                <w:color w:val="auto"/>
              </w:rPr>
              <w:t>—   $</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r>
      <w:tr>
        <w:trPr>
          <w:trHeight w:val="251"/>
        </w:trPr>
        <w:tc>
          <w:tcPr>
            <w:tcW w:w="5780" w:type="dxa"/>
            <w:vAlign w:val="bottom"/>
          </w:tcPr>
          <w:p>
            <w:pPr>
              <w:ind w:left="40"/>
              <w:spacing w:after="0"/>
              <w:rPr>
                <w:sz w:val="20"/>
                <w:szCs w:val="20"/>
                <w:color w:val="auto"/>
              </w:rPr>
            </w:pPr>
            <w:r>
              <w:rPr>
                <w:rFonts w:ascii="Arial" w:cs="Arial" w:eastAsia="Arial" w:hAnsi="Arial"/>
                <w:sz w:val="16"/>
                <w:szCs w:val="16"/>
                <w:color w:val="auto"/>
              </w:rPr>
              <w:t>Net cash proceeds from the exercise of stock options</w:t>
            </w:r>
          </w:p>
        </w:tc>
        <w:tc>
          <w:tcPr>
            <w:tcW w:w="1500" w:type="dxa"/>
            <w:vAlign w:val="bottom"/>
          </w:tcPr>
          <w:p>
            <w:pPr>
              <w:spacing w:after="0"/>
              <w:rPr>
                <w:sz w:val="21"/>
                <w:szCs w:val="21"/>
                <w:color w:val="auto"/>
              </w:rPr>
            </w:pPr>
          </w:p>
        </w:tc>
        <w:tc>
          <w:tcPr>
            <w:tcW w:w="1480" w:type="dxa"/>
            <w:vAlign w:val="bottom"/>
            <w:gridSpan w:val="3"/>
          </w:tcPr>
          <w:p>
            <w:pPr>
              <w:ind w:left="920"/>
              <w:spacing w:after="0"/>
              <w:rPr>
                <w:sz w:val="20"/>
                <w:szCs w:val="20"/>
                <w:color w:val="auto"/>
              </w:rPr>
            </w:pPr>
            <w:r>
              <w:rPr>
                <w:rFonts w:ascii="Arial" w:cs="Arial" w:eastAsia="Arial" w:hAnsi="Arial"/>
                <w:sz w:val="16"/>
                <w:szCs w:val="16"/>
                <w:color w:val="auto"/>
              </w:rPr>
              <w:t>—</w:t>
            </w:r>
          </w:p>
        </w:tc>
        <w:tc>
          <w:tcPr>
            <w:tcW w:w="1480" w:type="dxa"/>
            <w:vAlign w:val="bottom"/>
            <w:gridSpan w:val="3"/>
          </w:tcPr>
          <w:p>
            <w:pPr>
              <w:ind w:left="9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2,080</w:t>
            </w:r>
          </w:p>
        </w:tc>
      </w:tr>
      <w:tr>
        <w:trPr>
          <w:trHeight w:val="270"/>
        </w:trPr>
        <w:tc>
          <w:tcPr>
            <w:tcW w:w="5780" w:type="dxa"/>
            <w:vAlign w:val="bottom"/>
          </w:tcPr>
          <w:p>
            <w:pPr>
              <w:ind w:left="40"/>
              <w:spacing w:after="0"/>
              <w:rPr>
                <w:sz w:val="20"/>
                <w:szCs w:val="20"/>
                <w:color w:val="auto"/>
              </w:rPr>
            </w:pPr>
            <w:r>
              <w:rPr>
                <w:rFonts w:ascii="Arial" w:cs="Arial" w:eastAsia="Arial" w:hAnsi="Arial"/>
                <w:sz w:val="16"/>
                <w:szCs w:val="16"/>
                <w:color w:val="auto"/>
              </w:rPr>
              <w:t>Actual income tax benefit realized from stock option exercises</w:t>
            </w:r>
          </w:p>
        </w:tc>
        <w:tc>
          <w:tcPr>
            <w:tcW w:w="1500" w:type="dxa"/>
            <w:vAlign w:val="bottom"/>
          </w:tcPr>
          <w:p>
            <w:pPr>
              <w:spacing w:after="0"/>
              <w:rPr>
                <w:sz w:val="23"/>
                <w:szCs w:val="23"/>
                <w:color w:val="auto"/>
              </w:rPr>
            </w:pPr>
          </w:p>
        </w:tc>
        <w:tc>
          <w:tcPr>
            <w:tcW w:w="1480" w:type="dxa"/>
            <w:vAlign w:val="bottom"/>
            <w:gridSpan w:val="3"/>
          </w:tcPr>
          <w:p>
            <w:pPr>
              <w:ind w:left="920"/>
              <w:spacing w:after="0"/>
              <w:rPr>
                <w:sz w:val="20"/>
                <w:szCs w:val="20"/>
                <w:color w:val="auto"/>
              </w:rPr>
            </w:pPr>
            <w:r>
              <w:rPr>
                <w:rFonts w:ascii="Arial" w:cs="Arial" w:eastAsia="Arial" w:hAnsi="Arial"/>
                <w:sz w:val="16"/>
                <w:szCs w:val="16"/>
                <w:color w:val="auto"/>
              </w:rPr>
              <w:t>—</w:t>
            </w:r>
          </w:p>
        </w:tc>
        <w:tc>
          <w:tcPr>
            <w:tcW w:w="1480" w:type="dxa"/>
            <w:vAlign w:val="bottom"/>
            <w:gridSpan w:val="3"/>
          </w:tcPr>
          <w:p>
            <w:pPr>
              <w:ind w:left="9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260" w:hanging="238"/>
        <w:spacing w:after="0" w:line="199" w:lineRule="auto"/>
        <w:tabs>
          <w:tab w:leader="none" w:pos="26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The amount by which the closing price of our stock on the date of exercise exceeded the exercise price.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On October 11, 2016 the Human Resources Committee of the Board of Directors approved the grant of 46,800 stock options to our officers.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Awards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share award activity for Fiscal 2016, 2015 and 2014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8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ind w:left="860"/>
              <w:spacing w:after="0"/>
              <w:rPr>
                <w:sz w:val="20"/>
                <w:szCs w:val="20"/>
                <w:color w:val="auto"/>
              </w:rPr>
            </w:pPr>
            <w:r>
              <w:rPr>
                <w:rFonts w:ascii="Arial" w:cs="Arial" w:eastAsia="Arial" w:hAnsi="Arial"/>
                <w:sz w:val="16"/>
                <w:szCs w:val="16"/>
                <w:b w:val="1"/>
                <w:bCs w:val="1"/>
                <w:color w:val="auto"/>
              </w:rPr>
              <w:t>Year Ended</w:t>
            </w:r>
          </w:p>
        </w:tc>
        <w:tc>
          <w:tcPr>
            <w:tcW w:w="1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64"/>
        </w:trPr>
        <w:tc>
          <w:tcPr>
            <w:tcW w:w="3480" w:type="dxa"/>
            <w:vAlign w:val="bottom"/>
          </w:tcPr>
          <w:p>
            <w:pPr>
              <w:spacing w:after="0"/>
              <w:rPr>
                <w:sz w:val="22"/>
                <w:szCs w:val="22"/>
                <w:color w:val="auto"/>
              </w:rPr>
            </w:pPr>
          </w:p>
        </w:tc>
        <w:tc>
          <w:tcPr>
            <w:tcW w:w="256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6"/>
                <w:szCs w:val="16"/>
                <w:b w:val="1"/>
                <w:bCs w:val="1"/>
                <w:color w:val="auto"/>
              </w:rPr>
              <w:t>August 27, 2016</w:t>
            </w:r>
          </w:p>
        </w:tc>
        <w:tc>
          <w:tcPr>
            <w:tcW w:w="120" w:type="dxa"/>
            <w:vAlign w:val="bottom"/>
          </w:tcPr>
          <w:p>
            <w:pPr>
              <w:spacing w:after="0"/>
              <w:rPr>
                <w:sz w:val="22"/>
                <w:szCs w:val="22"/>
                <w:color w:val="auto"/>
              </w:rPr>
            </w:pPr>
          </w:p>
        </w:tc>
        <w:tc>
          <w:tcPr>
            <w:tcW w:w="258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August 29, 2015</w:t>
            </w:r>
          </w:p>
        </w:tc>
        <w:tc>
          <w:tcPr>
            <w:tcW w:w="100" w:type="dxa"/>
            <w:vAlign w:val="bottom"/>
          </w:tcPr>
          <w:p>
            <w:pPr>
              <w:spacing w:after="0"/>
              <w:rPr>
                <w:sz w:val="22"/>
                <w:szCs w:val="22"/>
                <w:color w:val="auto"/>
              </w:rPr>
            </w:pPr>
          </w:p>
        </w:tc>
        <w:tc>
          <w:tcPr>
            <w:tcW w:w="258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August 30, 2014</w:t>
            </w:r>
          </w:p>
        </w:tc>
      </w:tr>
      <w:tr>
        <w:trPr>
          <w:trHeight w:val="198"/>
        </w:trPr>
        <w:tc>
          <w:tcPr>
            <w:tcW w:w="3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Weighted</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Weighted</w:t>
            </w: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3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rPr>
              <w:t>Average Grant</w:t>
            </w:r>
          </w:p>
        </w:tc>
        <w:tc>
          <w:tcPr>
            <w:tcW w:w="1260" w:type="dxa"/>
            <w:vAlign w:val="bottom"/>
          </w:tcPr>
          <w:p>
            <w:pPr>
              <w:spacing w:after="0"/>
              <w:rPr>
                <w:sz w:val="16"/>
                <w:szCs w:val="16"/>
                <w:color w:val="auto"/>
              </w:rPr>
            </w:pPr>
          </w:p>
        </w:tc>
        <w:tc>
          <w:tcPr>
            <w:tcW w:w="142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9"/>
              </w:rPr>
              <w:t>Average Grant</w:t>
            </w:r>
          </w:p>
        </w:tc>
        <w:tc>
          <w:tcPr>
            <w:tcW w:w="126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auto"/>
              </w:rPr>
              <w:t>Average Grant</w:t>
            </w:r>
          </w:p>
        </w:tc>
      </w:tr>
      <w:tr>
        <w:trPr>
          <w:trHeight w:val="189"/>
        </w:trPr>
        <w:tc>
          <w:tcPr>
            <w:tcW w:w="3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Date</w:t>
            </w: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Date</w:t>
            </w: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rPr>
              <w:t>Date</w:t>
            </w:r>
          </w:p>
        </w:tc>
      </w:tr>
      <w:tr>
        <w:trPr>
          <w:trHeight w:val="228"/>
        </w:trPr>
        <w:tc>
          <w:tcPr>
            <w:tcW w:w="3480" w:type="dxa"/>
            <w:vAlign w:val="bottom"/>
          </w:tcPr>
          <w:p>
            <w:pPr>
              <w:spacing w:after="0"/>
              <w:rPr>
                <w:sz w:val="19"/>
                <w:szCs w:val="19"/>
                <w:color w:val="auto"/>
              </w:rPr>
            </w:pPr>
          </w:p>
        </w:tc>
        <w:tc>
          <w:tcPr>
            <w:tcW w:w="1260" w:type="dxa"/>
            <w:vAlign w:val="bottom"/>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Fair Value</w:t>
            </w:r>
          </w:p>
        </w:tc>
        <w:tc>
          <w:tcPr>
            <w:tcW w:w="1260" w:type="dxa"/>
            <w:vAlign w:val="bottom"/>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Fair Value</w:t>
            </w:r>
          </w:p>
        </w:tc>
        <w:tc>
          <w:tcPr>
            <w:tcW w:w="1260" w:type="dxa"/>
            <w:vAlign w:val="bottom"/>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260" w:type="dxa"/>
            <w:vAlign w:val="bottom"/>
          </w:tcPr>
          <w:p>
            <w:pPr>
              <w:spacing w:after="0"/>
              <w:rPr>
                <w:sz w:val="19"/>
                <w:szCs w:val="19"/>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Fair Value</w:t>
            </w:r>
          </w:p>
        </w:tc>
      </w:tr>
      <w:tr>
        <w:trPr>
          <w:trHeight w:val="257"/>
        </w:trPr>
        <w:tc>
          <w:tcPr>
            <w:tcW w:w="34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Beginning of year</w:t>
            </w:r>
          </w:p>
        </w:tc>
        <w:tc>
          <w:tcPr>
            <w:tcW w:w="1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163,420</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20.83</w:t>
            </w:r>
          </w:p>
        </w:tc>
        <w:tc>
          <w:tcPr>
            <w:tcW w:w="120" w:type="dxa"/>
            <w:vAlign w:val="bottom"/>
            <w:tcBorders>
              <w:top w:val="single" w:sz="8" w:color="CCEEFF"/>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198,523</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18.98</w:t>
            </w:r>
          </w:p>
        </w:tc>
        <w:tc>
          <w:tcPr>
            <w:tcW w:w="100" w:type="dxa"/>
            <w:vAlign w:val="bottom"/>
            <w:tcBorders>
              <w:top w:val="single" w:sz="8" w:color="CCEEFF"/>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190,962</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12.46</w:t>
            </w:r>
          </w:p>
        </w:tc>
      </w:tr>
      <w:tr>
        <w:trPr>
          <w:trHeight w:val="260"/>
        </w:trPr>
        <w:tc>
          <w:tcPr>
            <w:tcW w:w="3480" w:type="dxa"/>
            <w:vAlign w:val="bottom"/>
          </w:tcPr>
          <w:p>
            <w:pPr>
              <w:ind w:left="40"/>
              <w:spacing w:after="0"/>
              <w:rPr>
                <w:sz w:val="20"/>
                <w:szCs w:val="20"/>
                <w:color w:val="auto"/>
              </w:rPr>
            </w:pPr>
            <w:r>
              <w:rPr>
                <w:rFonts w:ascii="Arial" w:cs="Arial" w:eastAsia="Arial" w:hAnsi="Arial"/>
                <w:sz w:val="16"/>
                <w:szCs w:val="16"/>
                <w:color w:val="auto"/>
              </w:rPr>
              <w:t>Granted</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240,270</w:t>
            </w:r>
          </w:p>
        </w:tc>
        <w:tc>
          <w:tcPr>
            <w:tcW w:w="24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19.72</w:t>
            </w:r>
          </w:p>
        </w:tc>
        <w:tc>
          <w:tcPr>
            <w:tcW w:w="120" w:type="dxa"/>
            <w:vAlign w:val="bottom"/>
          </w:tcPr>
          <w:p>
            <w:pPr>
              <w:spacing w:after="0"/>
              <w:rPr>
                <w:sz w:val="22"/>
                <w:szCs w:val="22"/>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165,624</w:t>
            </w:r>
          </w:p>
        </w:tc>
        <w:tc>
          <w:tcPr>
            <w:tcW w:w="24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21.70</w:t>
            </w:r>
          </w:p>
        </w:tc>
        <w:tc>
          <w:tcPr>
            <w:tcW w:w="100" w:type="dxa"/>
            <w:vAlign w:val="bottom"/>
          </w:tcPr>
          <w:p>
            <w:pPr>
              <w:spacing w:after="0"/>
              <w:rPr>
                <w:sz w:val="22"/>
                <w:szCs w:val="22"/>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138,345</w:t>
            </w:r>
          </w:p>
        </w:tc>
        <w:tc>
          <w:tcPr>
            <w:tcW w:w="2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27.44</w:t>
            </w:r>
          </w:p>
        </w:tc>
      </w:tr>
      <w:tr>
        <w:trPr>
          <w:trHeight w:val="280"/>
        </w:trPr>
        <w:tc>
          <w:tcPr>
            <w:tcW w:w="3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(110,283)</w:t>
            </w: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19.44</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(198,693)</w:t>
            </w: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19.71</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(129,817)</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18.82</w:t>
            </w:r>
          </w:p>
        </w:tc>
      </w:tr>
      <w:tr>
        <w:trPr>
          <w:trHeight w:val="264"/>
        </w:trPr>
        <w:tc>
          <w:tcPr>
            <w:tcW w:w="3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Canceled</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(9,526)</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20.28</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(2,034)</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20.58</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18.44</w:t>
            </w:r>
          </w:p>
        </w:tc>
      </w:tr>
      <w:tr>
        <w:trPr>
          <w:trHeight w:val="24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 of year</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283,881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20.45</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163,420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20.83</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198,523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18.98</w:t>
            </w:r>
          </w:p>
        </w:tc>
      </w:tr>
      <w:tr>
        <w:trPr>
          <w:trHeight w:val="20"/>
        </w:trPr>
        <w:tc>
          <w:tcPr>
            <w:tcW w:w="34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aggregate intrinsic value of awards outstanding at August 27, 2016 was $6.8 million.</w:t>
      </w:r>
    </w:p>
    <w:p>
      <w:pPr>
        <w:spacing w:after="0" w:line="167"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As of August 27, 2016, there was $2.8 million of unrecognized compensation expense related to restricted stock awards that is expected to be recognized over a weighted average period of 1.9 years. The total fair value of awards vested during Fiscal 2016, 2015 and 2014 was $2.2 million, $4.2 million and $3.6 million, respectively.</w:t>
      </w:r>
    </w:p>
    <w:p>
      <w:pPr>
        <w:spacing w:after="0" w:line="17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On October 11, 2016 the Human Resources Committee of the Board of Directors approved the award of grants of 76,800 shares of our restricted common stock under the Plan valued at $2.1 million to our key management group (approximately 60 employees). The Board of Directors also granted 20,800 shares of our restricted common stock valued at $580,000 to the non-management members of the Board.</w:t>
      </w:r>
    </w:p>
    <w:p>
      <w:pPr>
        <w:spacing w:after="0" w:line="174"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The value of the restricted stock is based on the closing price of our common stock on the date of grant, which was $27.89. The fair value of this award to employees is amortized on a straight-line basis over the requisite service period of three years. Estimated non-cash stock compensation expense based on this restricted stock grant will be approximately $1.0 million for Fiscal 2017.</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41"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84"/>
        </w:trPr>
        <w:tc>
          <w:tcPr>
            <w:tcW w:w="424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240" w:type="dxa"/>
            <w:vAlign w:val="bottom"/>
            <w:gridSpan w:val="2"/>
          </w:tcPr>
          <w:p>
            <w:pPr>
              <w:spacing w:after="0"/>
              <w:rPr>
                <w:sz w:val="20"/>
                <w:szCs w:val="20"/>
                <w:color w:val="auto"/>
              </w:rPr>
            </w:pPr>
            <w:r>
              <w:rPr>
                <w:rFonts w:ascii="Arial" w:cs="Arial" w:eastAsia="Arial" w:hAnsi="Arial"/>
                <w:sz w:val="16"/>
                <w:szCs w:val="16"/>
                <w:b w:val="1"/>
                <w:bCs w:val="1"/>
                <w:color w:val="auto"/>
              </w:rPr>
              <w:t>Note 12: Net Revenues Classifications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240" w:type="dxa"/>
            <w:vAlign w:val="bottom"/>
            <w:gridSpan w:val="2"/>
          </w:tcPr>
          <w:p>
            <w:pPr>
              <w:spacing w:after="0"/>
              <w:rPr>
                <w:sz w:val="20"/>
                <w:szCs w:val="20"/>
                <w:color w:val="auto"/>
              </w:rPr>
            </w:pPr>
            <w:r>
              <w:rPr>
                <w:rFonts w:ascii="Arial" w:cs="Arial" w:eastAsia="Arial" w:hAnsi="Arial"/>
                <w:sz w:val="16"/>
                <w:szCs w:val="16"/>
                <w:color w:val="auto"/>
              </w:rPr>
              <w:t>Net revenue by product class: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b w:val="1"/>
                <w:bCs w:val="1"/>
                <w:color w:val="auto"/>
                <w:w w:val="99"/>
              </w:rPr>
              <w:t>Year Ended</w:t>
            </w: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4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22"/>
                <w:szCs w:val="22"/>
                <w:color w:val="auto"/>
              </w:rPr>
            </w:pPr>
          </w:p>
        </w:tc>
        <w:tc>
          <w:tcPr>
            <w:tcW w:w="2080" w:type="dxa"/>
            <w:vAlign w:val="bottom"/>
            <w:gridSpan w:val="3"/>
          </w:tcPr>
          <w:p>
            <w:pPr>
              <w:ind w:left="220"/>
              <w:spacing w:after="0"/>
              <w:rPr>
                <w:sz w:val="20"/>
                <w:szCs w:val="20"/>
                <w:color w:val="auto"/>
              </w:rPr>
            </w:pPr>
            <w:r>
              <w:rPr>
                <w:rFonts w:ascii="Arial" w:cs="Arial" w:eastAsia="Arial" w:hAnsi="Arial"/>
                <w:sz w:val="16"/>
                <w:szCs w:val="16"/>
                <w:b w:val="1"/>
                <w:bCs w:val="1"/>
                <w:color w:val="auto"/>
              </w:rPr>
              <w:t>August 27, 2016</w:t>
            </w:r>
          </w:p>
        </w:tc>
        <w:tc>
          <w:tcPr>
            <w:tcW w:w="340" w:type="dxa"/>
            <w:vAlign w:val="bottom"/>
          </w:tcPr>
          <w:p>
            <w:pPr>
              <w:spacing w:after="0"/>
              <w:rPr>
                <w:sz w:val="22"/>
                <w:szCs w:val="22"/>
                <w:color w:val="auto"/>
              </w:rPr>
            </w:pPr>
          </w:p>
        </w:tc>
        <w:tc>
          <w:tcPr>
            <w:tcW w:w="210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rPr>
              <w:t>August 29, 2015</w:t>
            </w:r>
          </w:p>
        </w:tc>
        <w:tc>
          <w:tcPr>
            <w:tcW w:w="340" w:type="dxa"/>
            <w:vAlign w:val="bottom"/>
          </w:tcPr>
          <w:p>
            <w:pPr>
              <w:spacing w:after="0"/>
              <w:rPr>
                <w:sz w:val="22"/>
                <w:szCs w:val="22"/>
                <w:color w:val="auto"/>
              </w:rPr>
            </w:pPr>
          </w:p>
        </w:tc>
        <w:tc>
          <w:tcPr>
            <w:tcW w:w="198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August 30, 2014</w:t>
            </w:r>
          </w:p>
        </w:tc>
        <w:tc>
          <w:tcPr>
            <w:tcW w:w="0" w:type="dxa"/>
            <w:vAlign w:val="bottom"/>
          </w:tcPr>
          <w:p>
            <w:pPr>
              <w:spacing w:after="0"/>
              <w:rPr>
                <w:sz w:val="1"/>
                <w:szCs w:val="1"/>
                <w:color w:val="auto"/>
              </w:rPr>
            </w:pPr>
          </w:p>
        </w:tc>
      </w:tr>
      <w:tr>
        <w:trPr>
          <w:trHeight w:val="257"/>
        </w:trPr>
        <w:tc>
          <w:tcPr>
            <w:tcW w:w="424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Motorhomes, parts and service</w:t>
            </w: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875,004</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872,915</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853,488</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0" w:type="dxa"/>
            <w:vAlign w:val="bottom"/>
          </w:tcPr>
          <w:p>
            <w:pPr>
              <w:spacing w:after="0"/>
              <w:rPr>
                <w:sz w:val="1"/>
                <w:szCs w:val="1"/>
                <w:color w:val="auto"/>
              </w:rPr>
            </w:pPr>
          </w:p>
        </w:tc>
      </w:tr>
      <w:tr>
        <w:trPr>
          <w:trHeight w:val="260"/>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Towables and parts</w:t>
            </w:r>
          </w:p>
        </w:tc>
        <w:tc>
          <w:tcPr>
            <w:tcW w:w="340" w:type="dxa"/>
            <w:vAlign w:val="bottom"/>
          </w:tcPr>
          <w:p>
            <w:pPr>
              <w:spacing w:after="0"/>
              <w:rPr>
                <w:sz w:val="22"/>
                <w:szCs w:val="22"/>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89,412</w:t>
            </w:r>
          </w:p>
        </w:tc>
        <w:tc>
          <w:tcPr>
            <w:tcW w:w="84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71,684</w:t>
            </w:r>
          </w:p>
        </w:tc>
        <w:tc>
          <w:tcPr>
            <w:tcW w:w="64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58,123</w:t>
            </w:r>
          </w:p>
        </w:tc>
        <w:tc>
          <w:tcPr>
            <w:tcW w:w="84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73"/>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manufactured products</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10,810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31,906</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33,552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Total net revenues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975,226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976,505</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945,163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6"/>
                <w:szCs w:val="16"/>
                <w:color w:val="auto"/>
              </w:rPr>
              <w:t>Net revenue by geographic area:</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2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b w:val="1"/>
                <w:bCs w:val="1"/>
                <w:color w:val="auto"/>
                <w:w w:val="99"/>
              </w:rPr>
              <w:t>Year Ended</w:t>
            </w: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4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22"/>
                <w:szCs w:val="22"/>
                <w:color w:val="auto"/>
              </w:rPr>
            </w:pPr>
          </w:p>
        </w:tc>
        <w:tc>
          <w:tcPr>
            <w:tcW w:w="2080" w:type="dxa"/>
            <w:vAlign w:val="bottom"/>
            <w:gridSpan w:val="3"/>
          </w:tcPr>
          <w:p>
            <w:pPr>
              <w:ind w:left="220"/>
              <w:spacing w:after="0"/>
              <w:rPr>
                <w:sz w:val="20"/>
                <w:szCs w:val="20"/>
                <w:color w:val="auto"/>
              </w:rPr>
            </w:pPr>
            <w:r>
              <w:rPr>
                <w:rFonts w:ascii="Arial" w:cs="Arial" w:eastAsia="Arial" w:hAnsi="Arial"/>
                <w:sz w:val="16"/>
                <w:szCs w:val="16"/>
                <w:b w:val="1"/>
                <w:bCs w:val="1"/>
                <w:color w:val="auto"/>
              </w:rPr>
              <w:t>August 27, 2016</w:t>
            </w:r>
          </w:p>
        </w:tc>
        <w:tc>
          <w:tcPr>
            <w:tcW w:w="340" w:type="dxa"/>
            <w:vAlign w:val="bottom"/>
          </w:tcPr>
          <w:p>
            <w:pPr>
              <w:spacing w:after="0"/>
              <w:rPr>
                <w:sz w:val="22"/>
                <w:szCs w:val="22"/>
                <w:color w:val="auto"/>
              </w:rPr>
            </w:pPr>
          </w:p>
        </w:tc>
        <w:tc>
          <w:tcPr>
            <w:tcW w:w="210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rPr>
              <w:t>August 29, 2015</w:t>
            </w:r>
          </w:p>
        </w:tc>
        <w:tc>
          <w:tcPr>
            <w:tcW w:w="340" w:type="dxa"/>
            <w:vAlign w:val="bottom"/>
          </w:tcPr>
          <w:p>
            <w:pPr>
              <w:spacing w:after="0"/>
              <w:rPr>
                <w:sz w:val="22"/>
                <w:szCs w:val="22"/>
                <w:color w:val="auto"/>
              </w:rPr>
            </w:pPr>
          </w:p>
        </w:tc>
        <w:tc>
          <w:tcPr>
            <w:tcW w:w="198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August 30, 2014</w:t>
            </w:r>
          </w:p>
        </w:tc>
        <w:tc>
          <w:tcPr>
            <w:tcW w:w="0" w:type="dxa"/>
            <w:vAlign w:val="bottom"/>
          </w:tcPr>
          <w:p>
            <w:pPr>
              <w:spacing w:after="0"/>
              <w:rPr>
                <w:sz w:val="1"/>
                <w:szCs w:val="1"/>
                <w:color w:val="auto"/>
              </w:rPr>
            </w:pPr>
          </w:p>
        </w:tc>
      </w:tr>
      <w:tr>
        <w:trPr>
          <w:trHeight w:val="257"/>
        </w:trPr>
        <w:tc>
          <w:tcPr>
            <w:tcW w:w="424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940,230</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920,315</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873,910</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International</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34,996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56,190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71,253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4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net revenues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975,226</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976,505</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945,163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Earnings Per Share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calculation of basic and diluted income per share for the past three fiscal years: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9"/>
              </w:rPr>
              <w:t>Year Ended</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80" w:type="dxa"/>
            <w:vAlign w:val="bottom"/>
          </w:tcPr>
          <w:p>
            <w:pPr>
              <w:spacing w:after="0"/>
              <w:rPr>
                <w:sz w:val="22"/>
                <w:szCs w:val="22"/>
                <w:color w:val="auto"/>
              </w:rPr>
            </w:pPr>
          </w:p>
        </w:tc>
        <w:tc>
          <w:tcPr>
            <w:tcW w:w="166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27, 2016</w:t>
            </w:r>
          </w:p>
        </w:tc>
        <w:tc>
          <w:tcPr>
            <w:tcW w:w="180" w:type="dxa"/>
            <w:vAlign w:val="bottom"/>
          </w:tcPr>
          <w:p>
            <w:pPr>
              <w:spacing w:after="0"/>
              <w:rPr>
                <w:sz w:val="22"/>
                <w:szCs w:val="22"/>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August 29, 2015</w:t>
            </w:r>
          </w:p>
        </w:tc>
        <w:tc>
          <w:tcPr>
            <w:tcW w:w="180" w:type="dxa"/>
            <w:vAlign w:val="bottom"/>
          </w:tcPr>
          <w:p>
            <w:pPr>
              <w:spacing w:after="0"/>
              <w:rPr>
                <w:sz w:val="22"/>
                <w:szCs w:val="22"/>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August 30, 2014</w:t>
            </w:r>
          </w:p>
        </w:tc>
      </w:tr>
      <w:tr>
        <w:trPr>
          <w:trHeight w:val="270"/>
        </w:trPr>
        <w:tc>
          <w:tcPr>
            <w:tcW w:w="60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Income per share - basic</w:t>
            </w:r>
          </w:p>
        </w:tc>
        <w:tc>
          <w:tcPr>
            <w:tcW w:w="180" w:type="dxa"/>
            <w:vAlign w:val="bottom"/>
            <w:tcBorders>
              <w:top w:val="single" w:sz="8" w:color="auto"/>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520" w:type="dxa"/>
            <w:vAlign w:val="bottom"/>
            <w:tcBorders>
              <w:top w:val="single" w:sz="8" w:color="auto"/>
            </w:tcBorders>
            <w:shd w:val="clear" w:color="auto" w:fill="CCEEFF"/>
          </w:tcPr>
          <w:p>
            <w:pPr>
              <w:spacing w:after="0"/>
              <w:rPr>
                <w:sz w:val="23"/>
                <w:szCs w:val="23"/>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45,496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41,210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45,053</w:t>
            </w: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26,925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26,941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27,430</w:t>
            </w: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Net income per share - basic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1.64</w:t>
            </w:r>
          </w:p>
        </w:tc>
      </w:tr>
      <w:tr>
        <w:trPr>
          <w:trHeight w:val="293"/>
        </w:trPr>
        <w:tc>
          <w:tcPr>
            <w:tcW w:w="6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Income per share - assuming dilution</w:t>
            </w:r>
          </w:p>
        </w:tc>
        <w:tc>
          <w:tcPr>
            <w:tcW w:w="1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45,496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41,210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45,053</w:t>
            </w: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tcPr>
          <w:p>
            <w:pPr>
              <w:spacing w:after="0"/>
              <w:rPr>
                <w:sz w:val="22"/>
                <w:szCs w:val="22"/>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26,925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26,941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27,430</w:t>
            </w: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Dilutive impact of awards and options outstanding</w:t>
            </w: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Weighted average shares and potential dilutive shares outstanding</w:t>
            </w:r>
          </w:p>
        </w:tc>
        <w:tc>
          <w:tcPr>
            <w:tcW w:w="180" w:type="dxa"/>
            <w:vAlign w:val="bottom"/>
          </w:tcPr>
          <w:p>
            <w:pPr>
              <w:spacing w:after="0"/>
              <w:rPr>
                <w:sz w:val="22"/>
                <w:szCs w:val="22"/>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27,033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27,051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27,545</w:t>
            </w: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per share - assuming dilution</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w:t>
            </w:r>
          </w:p>
        </w:tc>
      </w:tr>
    </w:tbl>
    <w:p>
      <w:pPr>
        <w:spacing w:after="0" w:line="191"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The computation of weighted average shares and potential dilutive shares outstanding excludes the effects of options to purchase 10,000, 167,394 and 457,421 shares of common stock for the fiscal years ended August 27, 2016, August 29, 2015 and August 30, 2014, respectively. These amounts were not included in the computation of diluted income per share because they are anti-dilutive under the treasury stock method.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18"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84"/>
        </w:trPr>
        <w:tc>
          <w:tcPr>
            <w:tcW w:w="314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320" w:type="dxa"/>
            <w:vAlign w:val="bottom"/>
            <w:gridSpan w:val="4"/>
          </w:tcPr>
          <w:p>
            <w:pPr>
              <w:spacing w:after="0"/>
              <w:rPr>
                <w:sz w:val="20"/>
                <w:szCs w:val="20"/>
                <w:color w:val="auto"/>
              </w:rPr>
            </w:pPr>
            <w:r>
              <w:rPr>
                <w:rFonts w:ascii="Arial" w:cs="Arial" w:eastAsia="Arial" w:hAnsi="Arial"/>
                <w:sz w:val="16"/>
                <w:szCs w:val="16"/>
                <w:b w:val="1"/>
                <w:bCs w:val="1"/>
                <w:color w:val="auto"/>
              </w:rPr>
              <w:t>Note 14: Interim Financial Information (Unaudited)</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140" w:type="dxa"/>
            <w:vAlign w:val="bottom"/>
            <w:gridSpan w:val="2"/>
          </w:tcPr>
          <w:p>
            <w:pPr>
              <w:ind w:left="40"/>
              <w:spacing w:after="0"/>
              <w:rPr>
                <w:sz w:val="20"/>
                <w:szCs w:val="20"/>
                <w:color w:val="auto"/>
              </w:rPr>
            </w:pPr>
            <w:r>
              <w:rPr>
                <w:rFonts w:ascii="Arial" w:cs="Arial" w:eastAsia="Arial" w:hAnsi="Arial"/>
                <w:sz w:val="16"/>
                <w:szCs w:val="16"/>
                <w:b w:val="1"/>
                <w:bCs w:val="1"/>
                <w:color w:val="auto"/>
              </w:rPr>
              <w:t>Fiscal 2016</w:t>
            </w:r>
          </w:p>
        </w:tc>
        <w:tc>
          <w:tcPr>
            <w:tcW w:w="2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Quarter Ended</w:t>
            </w: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2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November 28,</w:t>
            </w:r>
          </w:p>
        </w:tc>
        <w:tc>
          <w:tcPr>
            <w:tcW w:w="180" w:type="dxa"/>
            <w:vAlign w:val="bottom"/>
          </w:tcPr>
          <w:p>
            <w:pPr>
              <w:spacing w:after="0"/>
              <w:rPr>
                <w:sz w:val="17"/>
                <w:szCs w:val="17"/>
                <w:color w:val="auto"/>
              </w:rPr>
            </w:pPr>
          </w:p>
        </w:tc>
        <w:tc>
          <w:tcPr>
            <w:tcW w:w="1300" w:type="dxa"/>
            <w:vAlign w:val="bottom"/>
            <w:gridSpan w:val="3"/>
          </w:tcPr>
          <w:p>
            <w:pPr>
              <w:jc w:val="center"/>
              <w:ind w:right="139"/>
              <w:spacing w:after="0"/>
              <w:rPr>
                <w:sz w:val="20"/>
                <w:szCs w:val="20"/>
                <w:color w:val="auto"/>
              </w:rPr>
            </w:pPr>
            <w:r>
              <w:rPr>
                <w:rFonts w:ascii="Arial" w:cs="Arial" w:eastAsia="Arial" w:hAnsi="Arial"/>
                <w:sz w:val="16"/>
                <w:szCs w:val="16"/>
                <w:b w:val="1"/>
                <w:bCs w:val="1"/>
                <w:color w:val="auto"/>
              </w:rPr>
              <w:t>February 27,</w:t>
            </w:r>
          </w:p>
        </w:tc>
        <w:tc>
          <w:tcPr>
            <w:tcW w:w="100" w:type="dxa"/>
            <w:vAlign w:val="bottom"/>
          </w:tcPr>
          <w:p>
            <w:pPr>
              <w:spacing w:after="0"/>
              <w:rPr>
                <w:sz w:val="17"/>
                <w:szCs w:val="17"/>
                <w:color w:val="auto"/>
              </w:rPr>
            </w:pPr>
          </w:p>
        </w:tc>
        <w:tc>
          <w:tcPr>
            <w:tcW w:w="1400" w:type="dxa"/>
            <w:vAlign w:val="bottom"/>
            <w:gridSpan w:val="6"/>
          </w:tcPr>
          <w:p>
            <w:pPr>
              <w:jc w:val="center"/>
              <w:spacing w:after="0"/>
              <w:rPr>
                <w:sz w:val="20"/>
                <w:szCs w:val="20"/>
                <w:color w:val="auto"/>
              </w:rPr>
            </w:pPr>
            <w:r>
              <w:rPr>
                <w:rFonts w:ascii="Arial" w:cs="Arial" w:eastAsia="Arial" w:hAnsi="Arial"/>
                <w:sz w:val="16"/>
                <w:szCs w:val="16"/>
                <w:b w:val="1"/>
                <w:bCs w:val="1"/>
                <w:color w:val="auto"/>
              </w:rPr>
              <w:t>May 28,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179"/>
              <w:spacing w:after="0"/>
              <w:rPr>
                <w:sz w:val="20"/>
                <w:szCs w:val="20"/>
                <w:color w:val="auto"/>
              </w:rPr>
            </w:pPr>
            <w:r>
              <w:rPr>
                <w:rFonts w:ascii="Arial" w:cs="Arial" w:eastAsia="Arial" w:hAnsi="Arial"/>
                <w:sz w:val="16"/>
                <w:szCs w:val="16"/>
                <w:b w:val="1"/>
                <w:bCs w:val="1"/>
                <w:color w:val="auto"/>
              </w:rPr>
              <w:t>August 27,</w:t>
            </w:r>
          </w:p>
        </w:tc>
        <w:tc>
          <w:tcPr>
            <w:tcW w:w="0" w:type="dxa"/>
            <w:vAlign w:val="bottom"/>
          </w:tcPr>
          <w:p>
            <w:pPr>
              <w:spacing w:after="0"/>
              <w:rPr>
                <w:sz w:val="1"/>
                <w:szCs w:val="1"/>
                <w:color w:val="auto"/>
              </w:rPr>
            </w:pPr>
          </w:p>
        </w:tc>
      </w:tr>
      <w:tr>
        <w:trPr>
          <w:trHeight w:val="228"/>
        </w:trPr>
        <w:tc>
          <w:tcPr>
            <w:tcW w:w="31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0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center"/>
              <w:ind w:right="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6"/>
                <w:szCs w:val="16"/>
                <w:b w:val="1"/>
                <w:bCs w:val="1"/>
                <w:color w:val="auto"/>
              </w:rPr>
              <w:t>2016</w:t>
            </w: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57"/>
        </w:trPr>
        <w:tc>
          <w:tcPr>
            <w:tcW w:w="3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180" w:type="dxa"/>
            <w:vAlign w:val="bottom"/>
            <w:gridSpan w:val="2"/>
            <w:shd w:val="clear" w:color="auto" w:fill="CCEEFF"/>
          </w:tcPr>
          <w:p>
            <w:pPr>
              <w:ind w:left="20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214,223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225,672</w:t>
            </w:r>
          </w:p>
        </w:tc>
        <w:tc>
          <w:tcPr>
            <w:tcW w:w="620" w:type="dxa"/>
            <w:vAlign w:val="bottom"/>
            <w:gridSpan w:val="2"/>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272,077</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263,254</w:t>
            </w:r>
          </w:p>
        </w:tc>
        <w:tc>
          <w:tcPr>
            <w:tcW w:w="0" w:type="dxa"/>
            <w:vAlign w:val="bottom"/>
          </w:tcPr>
          <w:p>
            <w:pPr>
              <w:spacing w:after="0"/>
              <w:rPr>
                <w:sz w:val="1"/>
                <w:szCs w:val="1"/>
                <w:color w:val="auto"/>
              </w:rPr>
            </w:pPr>
          </w:p>
        </w:tc>
      </w:tr>
      <w:tr>
        <w:trPr>
          <w:trHeight w:val="260"/>
        </w:trPr>
        <w:tc>
          <w:tcPr>
            <w:tcW w:w="3140" w:type="dxa"/>
            <w:vAlign w:val="bottom"/>
            <w:gridSpan w:val="2"/>
          </w:tcPr>
          <w:p>
            <w:pPr>
              <w:ind w:left="40"/>
              <w:spacing w:after="0"/>
              <w:rPr>
                <w:sz w:val="20"/>
                <w:szCs w:val="20"/>
                <w:color w:val="auto"/>
              </w:rPr>
            </w:pPr>
            <w:r>
              <w:rPr>
                <w:rFonts w:ascii="Arial" w:cs="Arial" w:eastAsia="Arial" w:hAnsi="Arial"/>
                <w:sz w:val="16"/>
                <w:szCs w:val="16"/>
                <w:color w:val="auto"/>
              </w:rPr>
              <w:t>Gross profit</w:t>
            </w:r>
          </w:p>
        </w:tc>
        <w:tc>
          <w:tcPr>
            <w:tcW w:w="2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25,249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3"/>
          </w:tcPr>
          <w:p>
            <w:pPr>
              <w:jc w:val="right"/>
              <w:ind w:right="19"/>
              <w:spacing w:after="0"/>
              <w:rPr>
                <w:sz w:val="20"/>
                <w:szCs w:val="20"/>
                <w:color w:val="auto"/>
              </w:rPr>
            </w:pPr>
            <w:r>
              <w:rPr>
                <w:rFonts w:ascii="Arial" w:cs="Arial" w:eastAsia="Arial" w:hAnsi="Arial"/>
                <w:sz w:val="16"/>
                <w:szCs w:val="16"/>
                <w:color w:val="auto"/>
              </w:rPr>
              <w:t>25,276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gridSpan w:val="5"/>
          </w:tcPr>
          <w:p>
            <w:pPr>
              <w:jc w:val="right"/>
              <w:ind w:right="20"/>
              <w:spacing w:after="0"/>
              <w:rPr>
                <w:sz w:val="20"/>
                <w:szCs w:val="20"/>
                <w:color w:val="auto"/>
              </w:rPr>
            </w:pPr>
            <w:r>
              <w:rPr>
                <w:rFonts w:ascii="Arial" w:cs="Arial" w:eastAsia="Arial" w:hAnsi="Arial"/>
                <w:sz w:val="16"/>
                <w:szCs w:val="16"/>
                <w:color w:val="auto"/>
              </w:rPr>
              <w:t>30,257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31,867</w:t>
            </w:r>
          </w:p>
        </w:tc>
        <w:tc>
          <w:tcPr>
            <w:tcW w:w="0" w:type="dxa"/>
            <w:vAlign w:val="bottom"/>
          </w:tcPr>
          <w:p>
            <w:pPr>
              <w:spacing w:after="0"/>
              <w:rPr>
                <w:sz w:val="1"/>
                <w:szCs w:val="1"/>
                <w:color w:val="auto"/>
              </w:rPr>
            </w:pPr>
          </w:p>
        </w:tc>
      </w:tr>
      <w:tr>
        <w:trPr>
          <w:trHeight w:val="280"/>
        </w:trPr>
        <w:tc>
          <w:tcPr>
            <w:tcW w:w="3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12,759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13,503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20,593</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18,886</w:t>
            </w:r>
          </w:p>
        </w:tc>
        <w:tc>
          <w:tcPr>
            <w:tcW w:w="0" w:type="dxa"/>
            <w:vAlign w:val="bottom"/>
          </w:tcPr>
          <w:p>
            <w:pPr>
              <w:spacing w:after="0"/>
              <w:rPr>
                <w:sz w:val="1"/>
                <w:szCs w:val="1"/>
                <w:color w:val="auto"/>
              </w:rPr>
            </w:pPr>
          </w:p>
        </w:tc>
      </w:tr>
      <w:tr>
        <w:trPr>
          <w:trHeight w:val="260"/>
        </w:trPr>
        <w:tc>
          <w:tcPr>
            <w:tcW w:w="314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8,558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3"/>
          </w:tcPr>
          <w:p>
            <w:pPr>
              <w:jc w:val="right"/>
              <w:ind w:right="19"/>
              <w:spacing w:after="0"/>
              <w:rPr>
                <w:sz w:val="20"/>
                <w:szCs w:val="20"/>
                <w:color w:val="auto"/>
              </w:rPr>
            </w:pPr>
            <w:r>
              <w:rPr>
                <w:rFonts w:ascii="Arial" w:cs="Arial" w:eastAsia="Arial" w:hAnsi="Arial"/>
                <w:sz w:val="16"/>
                <w:szCs w:val="16"/>
                <w:color w:val="auto"/>
              </w:rPr>
              <w:t>9,354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gridSpan w:val="5"/>
          </w:tcPr>
          <w:p>
            <w:pPr>
              <w:jc w:val="right"/>
              <w:ind w:right="20"/>
              <w:spacing w:after="0"/>
              <w:rPr>
                <w:sz w:val="20"/>
                <w:szCs w:val="20"/>
                <w:color w:val="auto"/>
              </w:rPr>
            </w:pPr>
            <w:r>
              <w:rPr>
                <w:rFonts w:ascii="Arial" w:cs="Arial" w:eastAsia="Arial" w:hAnsi="Arial"/>
                <w:sz w:val="16"/>
                <w:szCs w:val="16"/>
                <w:color w:val="auto"/>
              </w:rPr>
              <w:t>14,438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13,146</w:t>
            </w:r>
          </w:p>
        </w:tc>
        <w:tc>
          <w:tcPr>
            <w:tcW w:w="0" w:type="dxa"/>
            <w:vAlign w:val="bottom"/>
          </w:tcPr>
          <w:p>
            <w:pPr>
              <w:spacing w:after="0"/>
              <w:rPr>
                <w:sz w:val="1"/>
                <w:szCs w:val="1"/>
                <w:color w:val="auto"/>
              </w:rPr>
            </w:pPr>
          </w:p>
        </w:tc>
      </w:tr>
      <w:tr>
        <w:trPr>
          <w:trHeight w:val="280"/>
        </w:trPr>
        <w:tc>
          <w:tcPr>
            <w:tcW w:w="3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per share (basic)</w:t>
            </w:r>
          </w:p>
        </w:tc>
        <w:tc>
          <w:tcPr>
            <w:tcW w:w="2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0.35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0.54</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0.49</w:t>
            </w:r>
          </w:p>
        </w:tc>
        <w:tc>
          <w:tcPr>
            <w:tcW w:w="0" w:type="dxa"/>
            <w:vAlign w:val="bottom"/>
          </w:tcPr>
          <w:p>
            <w:pPr>
              <w:spacing w:after="0"/>
              <w:rPr>
                <w:sz w:val="1"/>
                <w:szCs w:val="1"/>
                <w:color w:val="auto"/>
              </w:rPr>
            </w:pPr>
          </w:p>
        </w:tc>
      </w:tr>
      <w:tr>
        <w:trPr>
          <w:trHeight w:val="251"/>
        </w:trPr>
        <w:tc>
          <w:tcPr>
            <w:tcW w:w="3140" w:type="dxa"/>
            <w:vAlign w:val="bottom"/>
            <w:gridSpan w:val="2"/>
          </w:tcPr>
          <w:p>
            <w:pPr>
              <w:ind w:left="40"/>
              <w:spacing w:after="0"/>
              <w:rPr>
                <w:sz w:val="20"/>
                <w:szCs w:val="20"/>
                <w:color w:val="auto"/>
              </w:rPr>
            </w:pPr>
            <w:r>
              <w:rPr>
                <w:rFonts w:ascii="Arial" w:cs="Arial" w:eastAsia="Arial" w:hAnsi="Arial"/>
                <w:sz w:val="16"/>
                <w:szCs w:val="16"/>
                <w:color w:val="auto"/>
              </w:rPr>
              <w:t>Net income per share (diluted)</w:t>
            </w:r>
          </w:p>
        </w:tc>
        <w:tc>
          <w:tcPr>
            <w:tcW w:w="2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0.32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3"/>
          </w:tcPr>
          <w:p>
            <w:pPr>
              <w:jc w:val="right"/>
              <w:ind w:right="19"/>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gridSpan w:val="5"/>
          </w:tcPr>
          <w:p>
            <w:pPr>
              <w:jc w:val="right"/>
              <w:ind w:right="20"/>
              <w:spacing w:after="0"/>
              <w:rPr>
                <w:sz w:val="20"/>
                <w:szCs w:val="20"/>
                <w:color w:val="auto"/>
              </w:rPr>
            </w:pPr>
            <w:r>
              <w:rPr>
                <w:rFonts w:ascii="Arial" w:cs="Arial" w:eastAsia="Arial" w:hAnsi="Arial"/>
                <w:sz w:val="16"/>
                <w:szCs w:val="16"/>
                <w:color w:val="auto"/>
              </w:rPr>
              <w:t>0.53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0.49</w:t>
            </w:r>
          </w:p>
        </w:tc>
        <w:tc>
          <w:tcPr>
            <w:tcW w:w="0" w:type="dxa"/>
            <w:vAlign w:val="bottom"/>
          </w:tcPr>
          <w:p>
            <w:pPr>
              <w:spacing w:after="0"/>
              <w:rPr>
                <w:sz w:val="1"/>
                <w:szCs w:val="1"/>
                <w:color w:val="auto"/>
              </w:rPr>
            </w:pPr>
          </w:p>
        </w:tc>
      </w:tr>
      <w:tr>
        <w:trPr>
          <w:trHeight w:val="391"/>
        </w:trPr>
        <w:tc>
          <w:tcPr>
            <w:tcW w:w="3140" w:type="dxa"/>
            <w:vAlign w:val="bottom"/>
            <w:gridSpan w:val="2"/>
          </w:tcPr>
          <w:p>
            <w:pPr>
              <w:ind w:left="40"/>
              <w:spacing w:after="0"/>
              <w:rPr>
                <w:sz w:val="20"/>
                <w:szCs w:val="20"/>
                <w:color w:val="auto"/>
              </w:rPr>
            </w:pPr>
            <w:r>
              <w:rPr>
                <w:rFonts w:ascii="Arial" w:cs="Arial" w:eastAsia="Arial" w:hAnsi="Arial"/>
                <w:sz w:val="16"/>
                <w:szCs w:val="16"/>
                <w:b w:val="1"/>
                <w:bCs w:val="1"/>
                <w:color w:val="auto"/>
              </w:rPr>
              <w:t>Fiscal 2015</w:t>
            </w:r>
          </w:p>
        </w:tc>
        <w:tc>
          <w:tcPr>
            <w:tcW w:w="2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Quarter Ended</w:t>
            </w: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2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November 29,</w:t>
            </w:r>
          </w:p>
        </w:tc>
        <w:tc>
          <w:tcPr>
            <w:tcW w:w="180" w:type="dxa"/>
            <w:vAlign w:val="bottom"/>
          </w:tcPr>
          <w:p>
            <w:pPr>
              <w:spacing w:after="0"/>
              <w:rPr>
                <w:sz w:val="17"/>
                <w:szCs w:val="17"/>
                <w:color w:val="auto"/>
              </w:rPr>
            </w:pPr>
          </w:p>
        </w:tc>
        <w:tc>
          <w:tcPr>
            <w:tcW w:w="1300" w:type="dxa"/>
            <w:vAlign w:val="bottom"/>
            <w:gridSpan w:val="3"/>
          </w:tcPr>
          <w:p>
            <w:pPr>
              <w:jc w:val="center"/>
              <w:ind w:right="139"/>
              <w:spacing w:after="0"/>
              <w:rPr>
                <w:sz w:val="20"/>
                <w:szCs w:val="20"/>
                <w:color w:val="auto"/>
              </w:rPr>
            </w:pPr>
            <w:r>
              <w:rPr>
                <w:rFonts w:ascii="Arial" w:cs="Arial" w:eastAsia="Arial" w:hAnsi="Arial"/>
                <w:sz w:val="16"/>
                <w:szCs w:val="16"/>
                <w:b w:val="1"/>
                <w:bCs w:val="1"/>
                <w:color w:val="auto"/>
              </w:rPr>
              <w:t>February 28,</w:t>
            </w:r>
          </w:p>
        </w:tc>
        <w:tc>
          <w:tcPr>
            <w:tcW w:w="100" w:type="dxa"/>
            <w:vAlign w:val="bottom"/>
          </w:tcPr>
          <w:p>
            <w:pPr>
              <w:spacing w:after="0"/>
              <w:rPr>
                <w:sz w:val="17"/>
                <w:szCs w:val="17"/>
                <w:color w:val="auto"/>
              </w:rPr>
            </w:pPr>
          </w:p>
        </w:tc>
        <w:tc>
          <w:tcPr>
            <w:tcW w:w="1400" w:type="dxa"/>
            <w:vAlign w:val="bottom"/>
            <w:gridSpan w:val="6"/>
          </w:tcPr>
          <w:p>
            <w:pPr>
              <w:jc w:val="center"/>
              <w:spacing w:after="0"/>
              <w:rPr>
                <w:sz w:val="20"/>
                <w:szCs w:val="20"/>
                <w:color w:val="auto"/>
              </w:rPr>
            </w:pPr>
            <w:r>
              <w:rPr>
                <w:rFonts w:ascii="Arial" w:cs="Arial" w:eastAsia="Arial" w:hAnsi="Arial"/>
                <w:sz w:val="16"/>
                <w:szCs w:val="16"/>
                <w:b w:val="1"/>
                <w:bCs w:val="1"/>
                <w:color w:val="auto"/>
              </w:rPr>
              <w:t>May 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179"/>
              <w:spacing w:after="0"/>
              <w:rPr>
                <w:sz w:val="20"/>
                <w:szCs w:val="20"/>
                <w:color w:val="auto"/>
              </w:rPr>
            </w:pPr>
            <w:r>
              <w:rPr>
                <w:rFonts w:ascii="Arial" w:cs="Arial" w:eastAsia="Arial" w:hAnsi="Arial"/>
                <w:sz w:val="16"/>
                <w:szCs w:val="16"/>
                <w:b w:val="1"/>
                <w:bCs w:val="1"/>
                <w:color w:val="auto"/>
              </w:rPr>
              <w:t>August 29,</w:t>
            </w:r>
          </w:p>
        </w:tc>
        <w:tc>
          <w:tcPr>
            <w:tcW w:w="0" w:type="dxa"/>
            <w:vAlign w:val="bottom"/>
          </w:tcPr>
          <w:p>
            <w:pPr>
              <w:spacing w:after="0"/>
              <w:rPr>
                <w:sz w:val="1"/>
                <w:szCs w:val="1"/>
                <w:color w:val="auto"/>
              </w:rPr>
            </w:pPr>
          </w:p>
        </w:tc>
      </w:tr>
      <w:tr>
        <w:trPr>
          <w:trHeight w:val="228"/>
        </w:trPr>
        <w:tc>
          <w:tcPr>
            <w:tcW w:w="31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0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center"/>
              <w:ind w:right="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6"/>
                <w:szCs w:val="16"/>
                <w:b w:val="1"/>
                <w:bCs w:val="1"/>
                <w:color w:val="auto"/>
              </w:rPr>
              <w:t>2015</w:t>
            </w: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57"/>
        </w:trPr>
        <w:tc>
          <w:tcPr>
            <w:tcW w:w="3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180" w:type="dxa"/>
            <w:vAlign w:val="bottom"/>
            <w:gridSpan w:val="2"/>
            <w:shd w:val="clear" w:color="auto" w:fill="CCEEFF"/>
          </w:tcPr>
          <w:p>
            <w:pPr>
              <w:ind w:left="20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224,403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234,543</w:t>
            </w:r>
          </w:p>
        </w:tc>
        <w:tc>
          <w:tcPr>
            <w:tcW w:w="620" w:type="dxa"/>
            <w:vAlign w:val="bottom"/>
            <w:gridSpan w:val="2"/>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266,510</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251,049</w:t>
            </w:r>
          </w:p>
        </w:tc>
        <w:tc>
          <w:tcPr>
            <w:tcW w:w="0" w:type="dxa"/>
            <w:vAlign w:val="bottom"/>
          </w:tcPr>
          <w:p>
            <w:pPr>
              <w:spacing w:after="0"/>
              <w:rPr>
                <w:sz w:val="1"/>
                <w:szCs w:val="1"/>
                <w:color w:val="auto"/>
              </w:rPr>
            </w:pPr>
          </w:p>
        </w:tc>
      </w:tr>
      <w:tr>
        <w:trPr>
          <w:trHeight w:val="260"/>
        </w:trPr>
        <w:tc>
          <w:tcPr>
            <w:tcW w:w="3140" w:type="dxa"/>
            <w:vAlign w:val="bottom"/>
            <w:gridSpan w:val="2"/>
          </w:tcPr>
          <w:p>
            <w:pPr>
              <w:ind w:left="40"/>
              <w:spacing w:after="0"/>
              <w:rPr>
                <w:sz w:val="20"/>
                <w:szCs w:val="20"/>
                <w:color w:val="auto"/>
              </w:rPr>
            </w:pPr>
            <w:r>
              <w:rPr>
                <w:rFonts w:ascii="Arial" w:cs="Arial" w:eastAsia="Arial" w:hAnsi="Arial"/>
                <w:sz w:val="16"/>
                <w:szCs w:val="16"/>
                <w:color w:val="auto"/>
              </w:rPr>
              <w:t>Gross profit</w:t>
            </w:r>
          </w:p>
        </w:tc>
        <w:tc>
          <w:tcPr>
            <w:tcW w:w="2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24,386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3"/>
          </w:tcPr>
          <w:p>
            <w:pPr>
              <w:jc w:val="right"/>
              <w:ind w:right="19"/>
              <w:spacing w:after="0"/>
              <w:rPr>
                <w:sz w:val="20"/>
                <w:szCs w:val="20"/>
                <w:color w:val="auto"/>
              </w:rPr>
            </w:pPr>
            <w:r>
              <w:rPr>
                <w:rFonts w:ascii="Arial" w:cs="Arial" w:eastAsia="Arial" w:hAnsi="Arial"/>
                <w:sz w:val="16"/>
                <w:szCs w:val="16"/>
                <w:color w:val="auto"/>
              </w:rPr>
              <w:t>24,258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gridSpan w:val="5"/>
          </w:tcPr>
          <w:p>
            <w:pPr>
              <w:jc w:val="right"/>
              <w:ind w:right="20"/>
              <w:spacing w:after="0"/>
              <w:rPr>
                <w:sz w:val="20"/>
                <w:szCs w:val="20"/>
                <w:color w:val="auto"/>
              </w:rPr>
            </w:pPr>
            <w:r>
              <w:rPr>
                <w:rFonts w:ascii="Arial" w:cs="Arial" w:eastAsia="Arial" w:hAnsi="Arial"/>
                <w:sz w:val="16"/>
                <w:szCs w:val="16"/>
                <w:color w:val="auto"/>
              </w:rPr>
              <w:t>28,183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28,053</w:t>
            </w:r>
          </w:p>
        </w:tc>
        <w:tc>
          <w:tcPr>
            <w:tcW w:w="0" w:type="dxa"/>
            <w:vAlign w:val="bottom"/>
          </w:tcPr>
          <w:p>
            <w:pPr>
              <w:spacing w:after="0"/>
              <w:rPr>
                <w:sz w:val="1"/>
                <w:szCs w:val="1"/>
                <w:color w:val="auto"/>
              </w:rPr>
            </w:pPr>
          </w:p>
        </w:tc>
      </w:tr>
      <w:tr>
        <w:trPr>
          <w:trHeight w:val="280"/>
        </w:trPr>
        <w:tc>
          <w:tcPr>
            <w:tcW w:w="3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14,442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11,948</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16,118</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16,911</w:t>
            </w:r>
          </w:p>
        </w:tc>
        <w:tc>
          <w:tcPr>
            <w:tcW w:w="0" w:type="dxa"/>
            <w:vAlign w:val="bottom"/>
          </w:tcPr>
          <w:p>
            <w:pPr>
              <w:spacing w:after="0"/>
              <w:rPr>
                <w:sz w:val="1"/>
                <w:szCs w:val="1"/>
                <w:color w:val="auto"/>
              </w:rPr>
            </w:pPr>
          </w:p>
        </w:tc>
      </w:tr>
      <w:tr>
        <w:trPr>
          <w:trHeight w:val="260"/>
        </w:trPr>
        <w:tc>
          <w:tcPr>
            <w:tcW w:w="314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9,895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3"/>
          </w:tcPr>
          <w:p>
            <w:pPr>
              <w:jc w:val="right"/>
              <w:ind w:right="19"/>
              <w:spacing w:after="0"/>
              <w:rPr>
                <w:sz w:val="20"/>
                <w:szCs w:val="20"/>
                <w:color w:val="auto"/>
              </w:rPr>
            </w:pPr>
            <w:r>
              <w:rPr>
                <w:rFonts w:ascii="Arial" w:cs="Arial" w:eastAsia="Arial" w:hAnsi="Arial"/>
                <w:sz w:val="16"/>
                <w:szCs w:val="16"/>
                <w:color w:val="auto"/>
              </w:rPr>
              <w:t>8,096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gridSpan w:val="5"/>
          </w:tcPr>
          <w:p>
            <w:pPr>
              <w:jc w:val="right"/>
              <w:ind w:right="20"/>
              <w:spacing w:after="0"/>
              <w:rPr>
                <w:sz w:val="20"/>
                <w:szCs w:val="20"/>
                <w:color w:val="auto"/>
              </w:rPr>
            </w:pPr>
            <w:r>
              <w:rPr>
                <w:rFonts w:ascii="Arial" w:cs="Arial" w:eastAsia="Arial" w:hAnsi="Arial"/>
                <w:sz w:val="16"/>
                <w:szCs w:val="16"/>
                <w:color w:val="auto"/>
              </w:rPr>
              <w:t>11,502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11,717</w:t>
            </w:r>
          </w:p>
        </w:tc>
        <w:tc>
          <w:tcPr>
            <w:tcW w:w="0" w:type="dxa"/>
            <w:vAlign w:val="bottom"/>
          </w:tcPr>
          <w:p>
            <w:pPr>
              <w:spacing w:after="0"/>
              <w:rPr>
                <w:sz w:val="1"/>
                <w:szCs w:val="1"/>
                <w:color w:val="auto"/>
              </w:rPr>
            </w:pPr>
          </w:p>
        </w:tc>
      </w:tr>
      <w:tr>
        <w:trPr>
          <w:trHeight w:val="280"/>
        </w:trPr>
        <w:tc>
          <w:tcPr>
            <w:tcW w:w="3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per share (basic)</w:t>
            </w:r>
          </w:p>
        </w:tc>
        <w:tc>
          <w:tcPr>
            <w:tcW w:w="2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0.30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0.43</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0.43</w:t>
            </w:r>
          </w:p>
        </w:tc>
        <w:tc>
          <w:tcPr>
            <w:tcW w:w="0" w:type="dxa"/>
            <w:vAlign w:val="bottom"/>
          </w:tcPr>
          <w:p>
            <w:pPr>
              <w:spacing w:after="0"/>
              <w:rPr>
                <w:sz w:val="1"/>
                <w:szCs w:val="1"/>
                <w:color w:val="auto"/>
              </w:rPr>
            </w:pPr>
          </w:p>
        </w:tc>
      </w:tr>
      <w:tr>
        <w:trPr>
          <w:trHeight w:val="251"/>
        </w:trPr>
        <w:tc>
          <w:tcPr>
            <w:tcW w:w="3140" w:type="dxa"/>
            <w:vAlign w:val="bottom"/>
            <w:gridSpan w:val="2"/>
          </w:tcPr>
          <w:p>
            <w:pPr>
              <w:ind w:left="40"/>
              <w:spacing w:after="0"/>
              <w:rPr>
                <w:sz w:val="20"/>
                <w:szCs w:val="20"/>
                <w:color w:val="auto"/>
              </w:rPr>
            </w:pPr>
            <w:r>
              <w:rPr>
                <w:rFonts w:ascii="Arial" w:cs="Arial" w:eastAsia="Arial" w:hAnsi="Arial"/>
                <w:sz w:val="16"/>
                <w:szCs w:val="16"/>
                <w:color w:val="auto"/>
              </w:rPr>
              <w:t>Net income per share (diluted)</w:t>
            </w:r>
          </w:p>
        </w:tc>
        <w:tc>
          <w:tcPr>
            <w:tcW w:w="2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0.37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3"/>
          </w:tcPr>
          <w:p>
            <w:pPr>
              <w:jc w:val="right"/>
              <w:ind w:right="19"/>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gridSpan w:val="5"/>
          </w:tcPr>
          <w:p>
            <w:pPr>
              <w:jc w:val="right"/>
              <w:ind w:right="20"/>
              <w:spacing w:after="0"/>
              <w:rPr>
                <w:sz w:val="20"/>
                <w:szCs w:val="20"/>
                <w:color w:val="auto"/>
              </w:rPr>
            </w:pPr>
            <w:r>
              <w:rPr>
                <w:rFonts w:ascii="Arial" w:cs="Arial" w:eastAsia="Arial" w:hAnsi="Arial"/>
                <w:sz w:val="16"/>
                <w:szCs w:val="16"/>
                <w:color w:val="auto"/>
              </w:rPr>
              <w:t>0.43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0.43</w:t>
            </w:r>
          </w:p>
        </w:tc>
        <w:tc>
          <w:tcPr>
            <w:tcW w:w="0" w:type="dxa"/>
            <w:vAlign w:val="bottom"/>
          </w:tcPr>
          <w:p>
            <w:pPr>
              <w:spacing w:after="0"/>
              <w:rPr>
                <w:sz w:val="1"/>
                <w:szCs w:val="1"/>
                <w:color w:val="auto"/>
              </w:rPr>
            </w:pPr>
          </w:p>
        </w:tc>
      </w:tr>
      <w:tr>
        <w:trPr>
          <w:trHeight w:val="378"/>
        </w:trPr>
        <w:tc>
          <w:tcPr>
            <w:tcW w:w="3140" w:type="dxa"/>
            <w:vAlign w:val="bottom"/>
            <w:gridSpan w:val="2"/>
          </w:tcPr>
          <w:p>
            <w:pPr>
              <w:spacing w:after="0"/>
              <w:rPr>
                <w:sz w:val="20"/>
                <w:szCs w:val="20"/>
                <w:color w:val="auto"/>
              </w:rPr>
            </w:pPr>
            <w:r>
              <w:rPr>
                <w:rFonts w:ascii="Arial" w:cs="Arial" w:eastAsia="Arial" w:hAnsi="Arial"/>
                <w:sz w:val="16"/>
                <w:szCs w:val="16"/>
                <w:b w:val="1"/>
                <w:bCs w:val="1"/>
                <w:color w:val="auto"/>
              </w:rPr>
              <w:t>Note 15: Comprehensive Income</w:t>
            </w: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320" w:type="dxa"/>
            <w:vAlign w:val="bottom"/>
            <w:gridSpan w:val="4"/>
          </w:tcPr>
          <w:p>
            <w:pPr>
              <w:spacing w:after="0"/>
              <w:rPr>
                <w:sz w:val="20"/>
                <w:szCs w:val="20"/>
                <w:color w:val="auto"/>
              </w:rPr>
            </w:pPr>
            <w:r>
              <w:rPr>
                <w:rFonts w:ascii="Arial" w:cs="Arial" w:eastAsia="Arial" w:hAnsi="Arial"/>
                <w:sz w:val="16"/>
                <w:szCs w:val="16"/>
                <w:color w:val="auto"/>
              </w:rPr>
              <w:t>Changes in AOCI for defined benefit pension items, net of tax, were:</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1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0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27, 2016</w:t>
            </w:r>
          </w:p>
        </w:tc>
        <w:tc>
          <w:tcPr>
            <w:tcW w:w="3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August 29, 2015</w:t>
            </w:r>
          </w:p>
        </w:tc>
        <w:tc>
          <w:tcPr>
            <w:tcW w:w="0" w:type="dxa"/>
            <w:vAlign w:val="bottom"/>
          </w:tcPr>
          <w:p>
            <w:pPr>
              <w:spacing w:after="0"/>
              <w:rPr>
                <w:sz w:val="1"/>
                <w:szCs w:val="1"/>
                <w:color w:val="auto"/>
              </w:rPr>
            </w:pPr>
          </w:p>
        </w:tc>
      </w:tr>
      <w:tr>
        <w:trPr>
          <w:trHeight w:val="247"/>
        </w:trPr>
        <w:tc>
          <w:tcPr>
            <w:tcW w:w="3140" w:type="dxa"/>
            <w:vAlign w:val="bottom"/>
            <w:gridSpan w:val="2"/>
          </w:tcPr>
          <w:p>
            <w:pPr>
              <w:ind w:left="40"/>
              <w:spacing w:after="0"/>
              <w:rPr>
                <w:sz w:val="20"/>
                <w:szCs w:val="20"/>
                <w:color w:val="auto"/>
              </w:rPr>
            </w:pPr>
            <w:r>
              <w:rPr>
                <w:rFonts w:ascii="Arial" w:cs="Arial" w:eastAsia="Arial" w:hAnsi="Arial"/>
                <w:sz w:val="16"/>
                <w:szCs w:val="16"/>
                <w:color w:val="auto"/>
              </w:rPr>
              <w:t>Balance at beginning of year</w:t>
            </w:r>
          </w:p>
        </w:tc>
        <w:tc>
          <w:tcPr>
            <w:tcW w:w="2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3"/>
          </w:tcPr>
          <w:p>
            <w:pPr>
              <w:jc w:val="right"/>
              <w:ind w:right="879"/>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(2,274)</w:t>
            </w:r>
          </w:p>
        </w:tc>
        <w:tc>
          <w:tcPr>
            <w:tcW w:w="880" w:type="dxa"/>
            <w:vAlign w:val="bottom"/>
            <w:gridSpan w:val="5"/>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299"/>
              <w:spacing w:after="0"/>
              <w:rPr>
                <w:sz w:val="20"/>
                <w:szCs w:val="20"/>
                <w:color w:val="auto"/>
              </w:rPr>
            </w:pPr>
            <w:r>
              <w:rPr>
                <w:rFonts w:ascii="Arial" w:cs="Arial" w:eastAsia="Arial" w:hAnsi="Arial"/>
                <w:sz w:val="16"/>
                <w:szCs w:val="16"/>
                <w:color w:val="auto"/>
              </w:rPr>
              <w:t>(1,808)</w:t>
            </w:r>
          </w:p>
        </w:tc>
        <w:tc>
          <w:tcPr>
            <w:tcW w:w="0" w:type="dxa"/>
            <w:vAlign w:val="bottom"/>
          </w:tcPr>
          <w:p>
            <w:pPr>
              <w:spacing w:after="0"/>
              <w:rPr>
                <w:sz w:val="1"/>
                <w:szCs w:val="1"/>
                <w:color w:val="auto"/>
              </w:rPr>
            </w:pPr>
          </w:p>
        </w:tc>
      </w:tr>
      <w:tr>
        <w:trPr>
          <w:trHeight w:val="280"/>
        </w:trPr>
        <w:tc>
          <w:tcPr>
            <w:tcW w:w="126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140" w:type="dxa"/>
            <w:vAlign w:val="bottom"/>
            <w:gridSpan w:val="2"/>
          </w:tcPr>
          <w:p>
            <w:pPr>
              <w:ind w:left="180"/>
              <w:spacing w:after="0"/>
              <w:rPr>
                <w:sz w:val="20"/>
                <w:szCs w:val="20"/>
                <w:color w:val="auto"/>
              </w:rPr>
            </w:pPr>
            <w:r>
              <w:rPr>
                <w:rFonts w:ascii="Arial" w:cs="Arial" w:eastAsia="Arial" w:hAnsi="Arial"/>
                <w:sz w:val="16"/>
                <w:szCs w:val="16"/>
                <w:color w:val="auto"/>
              </w:rPr>
              <w:t>OCI before reclassifications</w:t>
            </w:r>
          </w:p>
        </w:tc>
        <w:tc>
          <w:tcPr>
            <w:tcW w:w="2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17,027</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2,044</w:t>
            </w:r>
          </w:p>
        </w:tc>
        <w:tc>
          <w:tcPr>
            <w:tcW w:w="0" w:type="dxa"/>
            <w:vAlign w:val="bottom"/>
          </w:tcPr>
          <w:p>
            <w:pPr>
              <w:spacing w:after="0"/>
              <w:rPr>
                <w:sz w:val="1"/>
                <w:szCs w:val="1"/>
                <w:color w:val="auto"/>
              </w:rPr>
            </w:pPr>
          </w:p>
        </w:tc>
      </w:tr>
      <w:tr>
        <w:trPr>
          <w:trHeight w:val="273"/>
        </w:trPr>
        <w:tc>
          <w:tcPr>
            <w:tcW w:w="31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w:t>
            </w:r>
          </w:p>
        </w:tc>
        <w:tc>
          <w:tcPr>
            <w:tcW w:w="2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(3,778)</w:t>
            </w:r>
          </w:p>
        </w:tc>
        <w:tc>
          <w:tcPr>
            <w:tcW w:w="36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(2,510)</w:t>
            </w:r>
          </w:p>
        </w:tc>
        <w:tc>
          <w:tcPr>
            <w:tcW w:w="0" w:type="dxa"/>
            <w:vAlign w:val="bottom"/>
          </w:tcPr>
          <w:p>
            <w:pPr>
              <w:spacing w:after="0"/>
              <w:rPr>
                <w:sz w:val="1"/>
                <w:szCs w:val="1"/>
                <w:color w:val="auto"/>
              </w:rPr>
            </w:pPr>
          </w:p>
        </w:tc>
      </w:tr>
      <w:tr>
        <w:trPr>
          <w:trHeight w:val="250"/>
        </w:trPr>
        <w:tc>
          <w:tcPr>
            <w:tcW w:w="31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current-period OCI</w:t>
            </w:r>
          </w:p>
        </w:tc>
        <w:tc>
          <w:tcPr>
            <w:tcW w:w="20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13,249</w:t>
            </w:r>
          </w:p>
        </w:tc>
        <w:tc>
          <w:tcPr>
            <w:tcW w:w="36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70"/>
        </w:trPr>
        <w:tc>
          <w:tcPr>
            <w:tcW w:w="126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3140" w:type="dxa"/>
            <w:vAlign w:val="bottom"/>
            <w:gridSpan w:val="2"/>
          </w:tcPr>
          <w:p>
            <w:pPr>
              <w:ind w:left="40"/>
              <w:spacing w:after="0"/>
              <w:rPr>
                <w:sz w:val="20"/>
                <w:szCs w:val="20"/>
                <w:color w:val="auto"/>
              </w:rPr>
            </w:pPr>
            <w:r>
              <w:rPr>
                <w:rFonts w:ascii="Arial" w:cs="Arial" w:eastAsia="Arial" w:hAnsi="Arial"/>
                <w:sz w:val="16"/>
                <w:szCs w:val="16"/>
                <w:color w:val="auto"/>
              </w:rPr>
              <w:t>Balance at end of year</w:t>
            </w:r>
          </w:p>
        </w:tc>
        <w:tc>
          <w:tcPr>
            <w:tcW w:w="2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3"/>
          </w:tcPr>
          <w:p>
            <w:pPr>
              <w:jc w:val="right"/>
              <w:ind w:right="879"/>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10,975</w:t>
            </w:r>
          </w:p>
        </w:tc>
        <w:tc>
          <w:tcPr>
            <w:tcW w:w="880" w:type="dxa"/>
            <w:vAlign w:val="bottom"/>
            <w:gridSpan w:val="5"/>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299"/>
              <w:spacing w:after="0"/>
              <w:rPr>
                <w:sz w:val="20"/>
                <w:szCs w:val="20"/>
                <w:color w:val="auto"/>
              </w:rPr>
            </w:pPr>
            <w:r>
              <w:rPr>
                <w:rFonts w:ascii="Arial" w:cs="Arial" w:eastAsia="Arial" w:hAnsi="Arial"/>
                <w:sz w:val="16"/>
                <w:szCs w:val="16"/>
                <w:color w:val="auto"/>
              </w:rPr>
              <w:t>(2,274)</w:t>
            </w:r>
          </w:p>
        </w:tc>
        <w:tc>
          <w:tcPr>
            <w:tcW w:w="0" w:type="dxa"/>
            <w:vAlign w:val="bottom"/>
          </w:tcPr>
          <w:p>
            <w:pPr>
              <w:spacing w:after="0"/>
              <w:rPr>
                <w:sz w:val="1"/>
                <w:szCs w:val="1"/>
                <w:color w:val="auto"/>
              </w:rPr>
            </w:pPr>
          </w:p>
        </w:tc>
      </w:tr>
      <w:tr>
        <w:trPr>
          <w:trHeight w:val="20"/>
        </w:trPr>
        <w:tc>
          <w:tcPr>
            <w:tcW w:w="6780" w:type="dxa"/>
            <w:vAlign w:val="bottom"/>
            <w:gridSpan w:val="6"/>
            <w:vMerge w:val="restart"/>
          </w:tcPr>
          <w:p>
            <w:pPr>
              <w:spacing w:after="0"/>
              <w:rPr>
                <w:sz w:val="20"/>
                <w:szCs w:val="20"/>
                <w:color w:val="auto"/>
              </w:rPr>
            </w:pPr>
            <w:r>
              <w:rPr>
                <w:rFonts w:ascii="Arial" w:cs="Arial" w:eastAsia="Arial" w:hAnsi="Arial"/>
                <w:sz w:val="16"/>
                <w:szCs w:val="16"/>
                <w:color w:val="auto"/>
              </w:rPr>
              <w:t>Reclassifications out of AOCI in net periodic benefit costs, net of tax, were:</w:t>
            </w: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780" w:type="dxa"/>
            <w:vAlign w:val="bottom"/>
            <w:gridSpan w:val="6"/>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7"/>
              </w:rPr>
              <w:t>Year Ended</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2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640" w:type="dxa"/>
            <w:vAlign w:val="bottom"/>
            <w:gridSpan w:val="4"/>
          </w:tcPr>
          <w:p>
            <w:pPr>
              <w:ind w:left="240"/>
              <w:spacing w:after="0"/>
              <w:rPr>
                <w:sz w:val="20"/>
                <w:szCs w:val="20"/>
                <w:color w:val="auto"/>
              </w:rPr>
            </w:pPr>
            <w:r>
              <w:rPr>
                <w:rFonts w:ascii="Arial" w:cs="Arial" w:eastAsia="Arial" w:hAnsi="Arial"/>
                <w:sz w:val="16"/>
                <w:szCs w:val="16"/>
                <w:b w:val="1"/>
                <w:bCs w:val="1"/>
                <w:color w:val="auto"/>
              </w:rPr>
              <w:t>Location on Consolidated Statements of</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1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640" w:type="dxa"/>
            <w:vAlign w:val="bottom"/>
            <w:tcBorders>
              <w:bottom w:val="single" w:sz="8" w:color="auto"/>
            </w:tcBorders>
            <w:gridSpan w:val="4"/>
          </w:tcPr>
          <w:p>
            <w:pPr>
              <w:ind w:left="240"/>
              <w:spacing w:after="0"/>
              <w:rPr>
                <w:sz w:val="20"/>
                <w:szCs w:val="20"/>
                <w:color w:val="auto"/>
              </w:rPr>
            </w:pPr>
            <w:r>
              <w:rPr>
                <w:rFonts w:ascii="Arial" w:cs="Arial" w:eastAsia="Arial" w:hAnsi="Arial"/>
                <w:sz w:val="16"/>
                <w:szCs w:val="16"/>
                <w:b w:val="1"/>
                <w:bCs w:val="1"/>
                <w:color w:val="auto"/>
              </w:rPr>
              <w:t>Income and Comprehensive Income</w:t>
            </w: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27, 2016</w:t>
            </w:r>
          </w:p>
        </w:tc>
        <w:tc>
          <w:tcPr>
            <w:tcW w:w="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August 29, 2015</w:t>
            </w:r>
          </w:p>
        </w:tc>
        <w:tc>
          <w:tcPr>
            <w:tcW w:w="0" w:type="dxa"/>
            <w:vAlign w:val="bottom"/>
          </w:tcPr>
          <w:p>
            <w:pPr>
              <w:spacing w:after="0"/>
              <w:rPr>
                <w:sz w:val="1"/>
                <w:szCs w:val="1"/>
                <w:color w:val="auto"/>
              </w:rPr>
            </w:pPr>
          </w:p>
        </w:tc>
      </w:tr>
      <w:tr>
        <w:trPr>
          <w:trHeight w:val="270"/>
        </w:trPr>
        <w:tc>
          <w:tcPr>
            <w:tcW w:w="3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prior service credit</w:t>
            </w:r>
          </w:p>
        </w:tc>
        <w:tc>
          <w:tcPr>
            <w:tcW w:w="21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Cost of goods sold</w:t>
            </w: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(4,788)</w:t>
            </w:r>
          </w:p>
        </w:tc>
        <w:tc>
          <w:tcPr>
            <w:tcW w:w="880" w:type="dxa"/>
            <w:vAlign w:val="bottom"/>
            <w:gridSpan w:val="5"/>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(3,428)</w:t>
            </w:r>
          </w:p>
        </w:tc>
        <w:tc>
          <w:tcPr>
            <w:tcW w:w="0" w:type="dxa"/>
            <w:vAlign w:val="bottom"/>
          </w:tcPr>
          <w:p>
            <w:pPr>
              <w:spacing w:after="0"/>
              <w:rPr>
                <w:sz w:val="1"/>
                <w:szCs w:val="1"/>
                <w:color w:val="auto"/>
              </w:rPr>
            </w:pPr>
          </w:p>
        </w:tc>
      </w:tr>
      <w:tr>
        <w:trPr>
          <w:trHeight w:val="264"/>
        </w:trPr>
        <w:tc>
          <w:tcPr>
            <w:tcW w:w="31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Amortization of net actuarial loss</w:t>
            </w:r>
          </w:p>
        </w:tc>
        <w:tc>
          <w:tcPr>
            <w:tcW w:w="218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Cost of goods sold</w:t>
            </w:r>
          </w:p>
        </w:tc>
        <w:tc>
          <w:tcPr>
            <w:tcW w:w="13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1,010</w:t>
            </w:r>
          </w:p>
        </w:tc>
        <w:tc>
          <w:tcPr>
            <w:tcW w:w="3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240"/>
        </w:trPr>
        <w:tc>
          <w:tcPr>
            <w:tcW w:w="3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reclassifications</w:t>
            </w:r>
          </w:p>
        </w:tc>
        <w:tc>
          <w:tcPr>
            <w:tcW w:w="2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(3,778)</w:t>
            </w:r>
          </w:p>
        </w:tc>
        <w:tc>
          <w:tcPr>
            <w:tcW w:w="880" w:type="dxa"/>
            <w:vAlign w:val="bottom"/>
            <w:gridSpan w:val="5"/>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(2,510)</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Subsequent Events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Issues of stock options and restricted common stock</w:t>
      </w:r>
    </w:p>
    <w:p>
      <w:pPr>
        <w:spacing w:after="0" w:line="25" w:lineRule="exact"/>
        <w:rPr>
          <w:sz w:val="20"/>
          <w:szCs w:val="20"/>
          <w:color w:val="auto"/>
        </w:rPr>
      </w:pPr>
    </w:p>
    <w:p>
      <w:pPr>
        <w:jc w:val="both"/>
        <w:ind w:right="80"/>
        <w:spacing w:after="0" w:line="260" w:lineRule="auto"/>
        <w:rPr>
          <w:sz w:val="20"/>
          <w:szCs w:val="20"/>
          <w:color w:val="auto"/>
        </w:rPr>
      </w:pPr>
      <w:r>
        <w:rPr>
          <w:rFonts w:ascii="Arial" w:cs="Arial" w:eastAsia="Arial" w:hAnsi="Arial"/>
          <w:sz w:val="16"/>
          <w:szCs w:val="16"/>
          <w:color w:val="auto"/>
        </w:rPr>
        <w:t>On October 11, 2016 the Human Resources Committee of our Board of Directors issued stock options and shares of restricted common stock, which is further discussed in Note 11.</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w:t>
      </w:r>
    </w:p>
    <w:p>
      <w:pPr>
        <w:spacing w:after="0" w:line="25" w:lineRule="exact"/>
        <w:rPr>
          <w:sz w:val="20"/>
          <w:szCs w:val="20"/>
          <w:color w:val="auto"/>
        </w:rPr>
      </w:pPr>
    </w:p>
    <w:p>
      <w:pPr>
        <w:ind w:right="820"/>
        <w:spacing w:after="0" w:line="260" w:lineRule="auto"/>
        <w:rPr>
          <w:sz w:val="20"/>
          <w:szCs w:val="20"/>
          <w:color w:val="auto"/>
        </w:rPr>
      </w:pPr>
      <w:r>
        <w:rPr>
          <w:rFonts w:ascii="Arial" w:cs="Arial" w:eastAsia="Arial" w:hAnsi="Arial"/>
          <w:sz w:val="16"/>
          <w:szCs w:val="16"/>
          <w:color w:val="auto"/>
        </w:rPr>
        <w:t>On October 12, 2016 our Board of Directors declared a cash dividend of $0.10 per outstanding share of common stock. The dividend will be paid on November 23, 2016 to all shareholders of record at the close of business on November 9, 2016.</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Purchase Agreement</w:t>
      </w:r>
    </w:p>
    <w:p>
      <w:pPr>
        <w:spacing w:after="0" w:line="25" w:lineRule="exact"/>
        <w:rPr>
          <w:sz w:val="20"/>
          <w:szCs w:val="20"/>
          <w:color w:val="auto"/>
        </w:rPr>
      </w:pPr>
    </w:p>
    <w:p>
      <w:pPr>
        <w:ind w:right="360"/>
        <w:spacing w:after="0" w:line="253" w:lineRule="auto"/>
        <w:rPr>
          <w:sz w:val="20"/>
          <w:szCs w:val="20"/>
          <w:color w:val="auto"/>
        </w:rPr>
      </w:pPr>
      <w:r>
        <w:rPr>
          <w:rFonts w:ascii="Arial" w:cs="Arial" w:eastAsia="Arial" w:hAnsi="Arial"/>
          <w:sz w:val="16"/>
          <w:szCs w:val="16"/>
          <w:color w:val="auto"/>
        </w:rPr>
        <w:t>On October 2, 2016, we entered into a Securities Purchase Agreement (the “Purchase Agreement”) with Grand Design, Octavius Corporation (“Octavius”), Summit Partners Growth Equity Fund VIII-A, L.P., Summit Partners Growth Equity Fund VIII-B, L.P., Summit Partners Entrepreneur Advisors Fund I, L.P., Summit Investors I, LLC, Summit Investors I (UK), L.P., SP GE VIII-B GD RV</w:t>
      </w:r>
    </w:p>
    <w:p>
      <w:pPr>
        <w:sectPr>
          <w:pgSz w:w="11900" w:h="16838" w:orient="portrait"/>
          <w:cols w:equalWidth="0" w:num="1">
            <w:col w:w="11420"/>
          </w:cols>
          <w:pgMar w:left="240" w:top="118" w:right="239" w:bottom="1440" w:gutter="0" w:footer="0" w:header="0"/>
        </w:sect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18" w:right="239" w:bottom="1440" w:gutter="0" w:footer="0" w:header="0"/>
          <w:type w:val="continuous"/>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Holdings, L.P. (collectively the “Summit Sellers”), RDB III, Inc., and each of the shareholders of RDB III, Inc. (collectively the “RDB Sellers”). The Summit Sellers and RDB Sellers are hereafter referred to as “Sellers.”</w:t>
      </w:r>
    </w:p>
    <w:p>
      <w:pPr>
        <w:spacing w:after="0" w:line="196"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Purchase Agreement provides that, among other things, and subject to the terms and conditions of the Purchase Agreement, Octavius, a newly formed wholly-owned subsidiary, will acquire all of the equity interests of Grand Design and all of the capital stock of SP GE VIII-B RV Blocker Corp., a Delaware corporation owned by Summit Partners Growth Equity Fund VIII-B, L.P., representing the sale of Grand Design to Winnebago. Following the transaction, Grand Design will be an indirect wholly-owned subsidiary. The purchase price for the acquisition is approximately $500.0 million, consisting of $395.0 million in cash and 4,586,555 shares ($105.0 million) of our common stock to be issued to Sellers. The $500.0 million purchase price is subject to customary closing adjustments pursuant to the terms of the Purchase Agreement. The closing of the acquisition is also subject to customary closing conditions, including the expiration of any applicable waiting period under the Hart Scott Rodino Antitrust Improvements Act of 1976, as amended. The acquisition is expected to close in the first fiscal quarter of 2017.</w:t>
      </w:r>
    </w:p>
    <w:p>
      <w:pPr>
        <w:spacing w:after="0" w:line="208"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In connection with our agreement to acquire Grand Design we executed a customary debt commitment letter with JPM Morgan pursuant to which, subject to customary exceptions and conditions, JPMorgan has committed to provide a seven-year $300.0 million secured term loan B facility, and a five-year $125.0 million asset-based revolving credit facility (collectively the “Credit Facilities”). We intend to use the proceeds from the term loan and a portion of the revolving credit facility together with $60.0 million in cash and $105.0 million in common stock to complete the acquisition of Grand Design. The remainder of the revolving credit facility will be used to fund our working capital needs. The Credit Facilities are expected to be secured by all or substantially all of our assets, and will replace our current credit facility with Wells Fargo Bank, N.A.</w:t>
      </w:r>
    </w:p>
    <w:p>
      <w:pPr>
        <w:spacing w:after="0" w:line="158" w:lineRule="exact"/>
        <w:rPr>
          <w:sz w:val="20"/>
          <w:szCs w:val="20"/>
          <w:color w:val="auto"/>
        </w:rPr>
      </w:pPr>
    </w:p>
    <w:p>
      <w:pPr>
        <w:ind w:right="4440"/>
        <w:spacing w:after="0" w:line="475" w:lineRule="auto"/>
        <w:rPr>
          <w:sz w:val="20"/>
          <w:szCs w:val="20"/>
          <w:color w:val="auto"/>
        </w:rPr>
      </w:pPr>
      <w:r>
        <w:rPr>
          <w:rFonts w:ascii="Arial" w:cs="Arial" w:eastAsia="Arial" w:hAnsi="Arial"/>
          <w:sz w:val="16"/>
          <w:szCs w:val="16"/>
          <w:b w:val="1"/>
          <w:bCs w:val="1"/>
          <w:color w:val="auto"/>
        </w:rPr>
        <w:t xml:space="preserve">Item 9. </w:t>
      </w:r>
      <w:r>
        <w:rPr>
          <w:rFonts w:ascii="Arial" w:cs="Arial" w:eastAsia="Arial" w:hAnsi="Arial"/>
          <w:sz w:val="16"/>
          <w:szCs w:val="16"/>
          <w:color w:val="auto"/>
        </w:rPr>
        <w:t>Changes in and Disagreements with Accountants on Accounting and Financial Disclosure</w:t>
      </w:r>
      <w:r>
        <w:rPr>
          <w:rFonts w:ascii="Arial" w:cs="Arial" w:eastAsia="Arial" w:hAnsi="Arial"/>
          <w:sz w:val="16"/>
          <w:szCs w:val="16"/>
          <w:b w:val="1"/>
          <w:bCs w:val="1"/>
          <w:color w:val="auto"/>
        </w:rPr>
        <w:t xml:space="preserve"> </w:t>
      </w:r>
      <w:r>
        <w:rPr>
          <w:rFonts w:ascii="Arial" w:cs="Arial" w:eastAsia="Arial" w:hAnsi="Arial"/>
          <w:sz w:val="16"/>
          <w:szCs w:val="16"/>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9A. </w:t>
      </w:r>
      <w:r>
        <w:rPr>
          <w:rFonts w:ascii="Arial" w:cs="Arial" w:eastAsia="Arial" w:hAnsi="Arial"/>
          <w:sz w:val="16"/>
          <w:szCs w:val="16"/>
          <w:color w:val="auto"/>
        </w:rPr>
        <w:t>Controls and Procedures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87" w:lineRule="exact"/>
        <w:rPr>
          <w:sz w:val="20"/>
          <w:szCs w:val="20"/>
          <w:color w:val="auto"/>
        </w:rPr>
      </w:pPr>
    </w:p>
    <w:p>
      <w:pPr>
        <w:ind w:right="240"/>
        <w:spacing w:after="0" w:line="249"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disclosures. Management necessarily applied its judgment in assessing the costs and benefits of such controls and procedures and believes that such controls and procedures are effective at the reasonable assurance level.</w:t>
      </w:r>
    </w:p>
    <w:p>
      <w:pPr>
        <w:spacing w:after="0" w:line="151"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We have carried out an evaluation, under the supervision and with the participation of our management, including our Chief Executive Officer and Chief Financial Officer, of the effectiveness of the design and operation of our disclosure controls and procedures, required by Exchange Act Rule 13a-15(b), as of the end of the period covered by this Annual Report (the "Evaluation Date"). Based on this evaluation, the Chief Executive Officer and Chief Financial Officer have concluded that our disclosure controls and procedures were effective as of the Evaluation Date.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Internal Control Over Financial Reporting</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Management's report on internal control over financial reporting as of August 27, 2016 is included within Item 8 of this Annual Report on Form 10-K and is incorporated herein by reference. The report of Deloitte &amp; Touche LLP on the effectiveness of internal control over financial reporting is included within Item 8 of this Annual Report on Form 10-K and is incorporated herein by reference.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68"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We had a change in our internal control over financial reporting that occurred as a result of our implementation of a new ERP system that has materially affected, or is reasonably likely to materially affect, our internal control over financial reporting. During Fiscal 2016, our new ERP system replaced our legacy system for our Finance area, the Towables operation and the human resources/payroll areas. Our new ERP system is intended to provide us with enhanced transactional processing and management tools compared to our legacy system. The new system was subject to extensive testing and data reconciliation during implementation.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41"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9B. </w:t>
      </w:r>
      <w:r>
        <w:rPr>
          <w:rFonts w:ascii="Arial" w:cs="Arial" w:eastAsia="Arial" w:hAnsi="Arial"/>
          <w:sz w:val="16"/>
          <w:szCs w:val="16"/>
          <w:color w:val="auto"/>
        </w:rPr>
        <w:t>Other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10. </w:t>
      </w:r>
      <w:r>
        <w:rPr>
          <w:rFonts w:ascii="Arial" w:cs="Arial" w:eastAsia="Arial" w:hAnsi="Arial"/>
          <w:sz w:val="16"/>
          <w:szCs w:val="16"/>
          <w:color w:val="auto"/>
        </w:rPr>
        <w:t>Directors, Executive Officers and Corporate Governance</w:t>
      </w:r>
    </w:p>
    <w:p>
      <w:pPr>
        <w:spacing w:after="0" w:line="18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Reference is made to the table entitled "Executive Officers of the Registrant" in Part I of this report and to the information included under the captions "Board of Directors, Committees of the Board and Corporate Governance", "Section 16(a) Beneficial Ownership Reporting Compliance", "Election of Directors" and "Fiscal Year 2017 Shareholder Proposals" in our Proxy Statement for the Annual Meeting of Shareholders scheduled to be held December 13, 2016, which information is incorporated by reference herein.</w:t>
      </w:r>
    </w:p>
    <w:p>
      <w:pPr>
        <w:spacing w:after="0" w:line="149"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We have adopted a written code of ethics, the "Code of Ethics for CEO and Senior Financial Officers" (the "Code") which is applicable to our Chief Executive Officer, Chief Financial Officer, and Treasurer (collectively, the "Senior Officers"). In accordance with the rules and regulations of the SEC, a copy of the Code has been filed as an exhibit to this Form 10-K and is posted on our website.</w:t>
      </w:r>
    </w:p>
    <w:p>
      <w:pPr>
        <w:spacing w:after="0" w:line="147"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We intend to disclose any changes in or waivers from the Code applicable to any Senior Officer on our website at www.winnebagoind.com or by filing a Form 8-K.</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11. </w:t>
      </w:r>
      <w:r>
        <w:rPr>
          <w:rFonts w:ascii="Arial" w:cs="Arial" w:eastAsia="Arial" w:hAnsi="Arial"/>
          <w:sz w:val="16"/>
          <w:szCs w:val="16"/>
          <w:color w:val="auto"/>
        </w:rPr>
        <w:t>Executive Compensation</w:t>
      </w:r>
    </w:p>
    <w:p>
      <w:pPr>
        <w:spacing w:after="0" w:line="187"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Reference is made to the information included under the captions "Director Compensation" and "Executive Compensation" in our Proxy Statement for the Annual Meeting of Shareholders scheduled to be held December 13, 2016, which information is incorporated by reference herein.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12. </w:t>
      </w:r>
      <w:r>
        <w:rPr>
          <w:rFonts w:ascii="Arial" w:cs="Arial" w:eastAsia="Arial" w:hAnsi="Arial"/>
          <w:sz w:val="16"/>
          <w:szCs w:val="16"/>
          <w:color w:val="auto"/>
        </w:rPr>
        <w:t>Security Ownership of Certain Beneficial Owners and Management and Related Stockholder Matters</w:t>
      </w:r>
    </w:p>
    <w:p>
      <w:pPr>
        <w:spacing w:after="0" w:line="187"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Reference is made to the table entitled "Equity Compensation Plan Information" in Part II of this report and to the share ownership information included under the caption "Voting Securities and Principal Holders Thereof" in our Proxy Statement for the Annual Meeting of Shareholders scheduled to be held December 13, 2016, which information is incorporated by reference herein.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13. </w:t>
      </w:r>
      <w:r>
        <w:rPr>
          <w:rFonts w:ascii="Arial" w:cs="Arial" w:eastAsia="Arial" w:hAnsi="Arial"/>
          <w:sz w:val="16"/>
          <w:szCs w:val="16"/>
          <w:color w:val="auto"/>
        </w:rPr>
        <w:t>Certain Relationships and Related Transactions, and Director Independence</w:t>
      </w:r>
    </w:p>
    <w:p>
      <w:pPr>
        <w:spacing w:after="0" w:line="187"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Reference is made to the information included under the caption "Board of Directors, Committees of the Board and Corporate Governance" in our Proxy Statement for the Annual Meeting of Shareholders scheduled to be held December 13, 2016, which information is incorporated by reference herein.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14. </w:t>
      </w:r>
      <w:r>
        <w:rPr>
          <w:rFonts w:ascii="Arial" w:cs="Arial" w:eastAsia="Arial" w:hAnsi="Arial"/>
          <w:sz w:val="16"/>
          <w:szCs w:val="16"/>
          <w:color w:val="auto"/>
        </w:rPr>
        <w:t>Principal Accounting Fees and Services</w:t>
      </w:r>
    </w:p>
    <w:p>
      <w:pPr>
        <w:spacing w:after="0" w:line="187"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Reference is made to the information included under the caption "Independent Registered Public Accountants Fees and Services" in our Proxy Statement for the Annual Meeting of Shareholders scheduled to be held December 13, 2016 which information is incorporated by reference herein.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IV</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15. </w:t>
      </w:r>
      <w:r>
        <w:rPr>
          <w:rFonts w:ascii="Arial" w:cs="Arial" w:eastAsia="Arial" w:hAnsi="Arial"/>
          <w:sz w:val="16"/>
          <w:szCs w:val="16"/>
          <w:color w:val="auto"/>
        </w:rPr>
        <w:t>Exhibits</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Statement Schedules</w:t>
      </w:r>
    </w:p>
    <w:p>
      <w:pPr>
        <w:spacing w:after="0" w:line="187"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consolidated financial statements are included in Item 8 and an index to financial statements appears on page 26 of this report.</w:t>
      </w:r>
    </w:p>
    <w:p>
      <w:pPr>
        <w:spacing w:after="0" w:line="167" w:lineRule="exact"/>
        <w:rPr>
          <w:rFonts w:ascii="Arial" w:cs="Arial" w:eastAsia="Arial" w:hAnsi="Arial"/>
          <w:sz w:val="16"/>
          <w:szCs w:val="16"/>
          <w:color w:val="auto"/>
        </w:rPr>
      </w:pPr>
    </w:p>
    <w:p>
      <w:pPr>
        <w:ind w:left="340" w:hanging="332"/>
        <w:spacing w:after="0"/>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Financial Statement Schedules: Winnebago Industries, Inc. and Subsidiaries</w:t>
      </w:r>
    </w:p>
    <w:p>
      <w:pPr>
        <w:spacing w:after="0" w:line="167" w:lineRule="exact"/>
        <w:rPr>
          <w:rFonts w:ascii="Arial" w:cs="Arial" w:eastAsia="Arial" w:hAnsi="Arial"/>
          <w:sz w:val="16"/>
          <w:szCs w:val="16"/>
          <w:color w:val="auto"/>
        </w:rPr>
      </w:pPr>
    </w:p>
    <w:p>
      <w:pPr>
        <w:ind w:left="340" w:right="340"/>
        <w:spacing w:after="0" w:line="260" w:lineRule="auto"/>
        <w:rPr>
          <w:rFonts w:ascii="Arial" w:cs="Arial" w:eastAsia="Arial" w:hAnsi="Arial"/>
          <w:sz w:val="16"/>
          <w:szCs w:val="16"/>
          <w:color w:val="auto"/>
        </w:rPr>
      </w:pPr>
      <w:r>
        <w:rPr>
          <w:rFonts w:ascii="Arial" w:cs="Arial" w:eastAsia="Arial" w:hAnsi="Arial"/>
          <w:sz w:val="16"/>
          <w:szCs w:val="16"/>
          <w:color w:val="auto"/>
        </w:rPr>
        <w:t>All schedules are omitted because of the absence of the conditions under which they are required or because the information required is shown in the consolidated financial statements or the notes thereto.</w:t>
      </w:r>
    </w:p>
    <w:p>
      <w:pPr>
        <w:spacing w:after="0" w:line="141" w:lineRule="exact"/>
        <w:rPr>
          <w:rFonts w:ascii="Arial" w:cs="Arial" w:eastAsia="Arial" w:hAnsi="Arial"/>
          <w:sz w:val="16"/>
          <w:szCs w:val="16"/>
          <w:color w:val="auto"/>
        </w:rPr>
      </w:pPr>
    </w:p>
    <w:p>
      <w:pPr>
        <w:ind w:left="340" w:hanging="332"/>
        <w:spacing w:after="0"/>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Exhibits: See Exhibit Index on pages 53-56.</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380"/>
          </w:cols>
          <w:pgMar w:left="240" w:top="141" w:right="27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87"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WINNEBAGO INDUSTRIES, INC.</w:t>
      </w:r>
    </w:p>
    <w:p>
      <w:pPr>
        <w:spacing w:after="0" w:line="354" w:lineRule="exact"/>
        <w:rPr>
          <w:sz w:val="20"/>
          <w:szCs w:val="20"/>
          <w:color w:val="auto"/>
        </w:rPr>
      </w:pPr>
    </w:p>
    <w:p>
      <w:pPr>
        <w:ind w:left="5060"/>
        <w:spacing w:after="0"/>
        <w:tabs>
          <w:tab w:leader="none" w:pos="56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29210</wp:posOffset>
            </wp:positionV>
            <wp:extent cx="36874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8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Michael J. Happe</w:t>
      </w:r>
    </w:p>
    <w:p>
      <w:pPr>
        <w:spacing w:after="0" w:line="37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President, Chief Executive Officer</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(Principal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October 18, 2016</w:t>
      </w:r>
    </w:p>
    <w:p>
      <w:pPr>
        <w:spacing w:after="0" w:line="38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on, October 18, 2016, by the following persons on behalf of the Registrant and in the capacities indicated.</w:t>
      </w:r>
    </w:p>
    <w:p>
      <w:pPr>
        <w:sectPr>
          <w:pgSz w:w="11900" w:h="16838" w:orient="portrait"/>
          <w:cols w:equalWidth="0" w:num="1">
            <w:col w:w="11080"/>
          </w:cols>
          <w:pgMar w:left="240" w:top="141" w:right="579" w:bottom="1440" w:gutter="0" w:footer="0" w:header="0"/>
        </w:sectPr>
      </w:pPr>
    </w:p>
    <w:p>
      <w:pPr>
        <w:spacing w:after="0" w:line="149" w:lineRule="exact"/>
        <w:rPr>
          <w:sz w:val="20"/>
          <w:szCs w:val="20"/>
          <w:color w:val="auto"/>
        </w:rPr>
      </w:pPr>
    </w:p>
    <w:p>
      <w:pPr>
        <w:jc w:val="right"/>
        <w:ind w:right="2140"/>
        <w:spacing w:after="0"/>
        <w:rPr>
          <w:sz w:val="20"/>
          <w:szCs w:val="20"/>
          <w:color w:val="auto"/>
        </w:rPr>
      </w:pPr>
      <w:r>
        <w:rPr>
          <w:rFonts w:ascii="Arial" w:cs="Arial" w:eastAsia="Arial" w:hAnsi="Arial"/>
          <w:sz w:val="16"/>
          <w:szCs w:val="16"/>
          <w:b w:val="1"/>
          <w:bCs w:val="1"/>
          <w:u w:val="single" w:color="auto"/>
          <w:color w:val="auto"/>
        </w:rPr>
        <w:t>Signature</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0441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Michael J. Happe</w:t>
      </w: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0441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Sarah N. Nielsen</w:t>
      </w: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Christopher J. Braun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0441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Christopher J. Braun</w:t>
      </w:r>
    </w:p>
    <w:p>
      <w:pPr>
        <w:spacing w:after="0" w:line="35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Robert M. Chiusano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0441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Robert M. Chiusano</w:t>
      </w:r>
    </w:p>
    <w:p>
      <w:pPr>
        <w:spacing w:after="0" w:line="35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Jerry N. Currie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0441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Jerry N. Currie</w:t>
      </w:r>
    </w:p>
    <w:p>
      <w:pPr>
        <w:spacing w:after="0" w:line="35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Lawrence A. Erickson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0441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Lawrence A. Erickson</w:t>
      </w:r>
    </w:p>
    <w:p>
      <w:pPr>
        <w:spacing w:after="0" w:line="367"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/s/ William C.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0441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William C. Fisher</w:t>
      </w:r>
    </w:p>
    <w:p>
      <w:pPr>
        <w:spacing w:after="0" w:line="35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David W. Miles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0441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David W. Miles</w:t>
      </w:r>
    </w:p>
    <w:p>
      <w:pPr>
        <w:spacing w:after="0" w:line="367"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/s/ Martha T. Rodamaker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0441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Martha T. Rodamaker</w:t>
      </w:r>
    </w:p>
    <w:p>
      <w:pPr>
        <w:spacing w:after="0" w:line="354"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/s/ Mark T. Schroepfer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0441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82"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Mark T. Schroepfer</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Capacity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President, 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ectPr>
          <w:pgSz w:w="11900" w:h="16838" w:orient="portrait"/>
          <w:cols w:equalWidth="0" w:num="2">
            <w:col w:w="4920" w:space="720"/>
            <w:col w:w="5440"/>
          </w:cols>
          <w:pgMar w:left="240" w:top="141" w:right="579" w:bottom="1440" w:gutter="0" w:footer="0" w:header="0"/>
          <w:type w:val="continuous"/>
        </w:sectPr>
      </w:pPr>
    </w:p>
    <w:p>
      <w:pPr>
        <w:spacing w:after="0" w:line="75"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080"/>
          </w:cols>
          <w:pgMar w:left="240" w:top="141" w:right="579" w:bottom="1440" w:gutter="0" w:footer="0" w:header="0"/>
          <w:type w:val="continuous"/>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Index</w:t>
      </w:r>
    </w:p>
    <w:p>
      <w:pPr>
        <w:spacing w:after="0" w:line="187" w:lineRule="exact"/>
        <w:rPr>
          <w:sz w:val="20"/>
          <w:szCs w:val="20"/>
          <w:color w:val="auto"/>
        </w:rPr>
      </w:pPr>
    </w:p>
    <w:p>
      <w:pPr>
        <w:ind w:left="500" w:right="140" w:hanging="499"/>
        <w:spacing w:after="0" w:line="251" w:lineRule="auto"/>
        <w:tabs>
          <w:tab w:leader="none" w:pos="480" w:val="left"/>
        </w:tabs>
        <w:rPr>
          <w:sz w:val="20"/>
          <w:szCs w:val="20"/>
          <w:color w:val="auto"/>
        </w:rPr>
      </w:pPr>
      <w:r>
        <w:rPr>
          <w:rFonts w:ascii="Arial" w:cs="Arial" w:eastAsia="Arial" w:hAnsi="Arial"/>
          <w:sz w:val="16"/>
          <w:szCs w:val="16"/>
          <w:color w:val="auto"/>
        </w:rPr>
        <w:t>2a.</w:t>
      </w:r>
      <w:r>
        <w:rPr>
          <w:sz w:val="20"/>
          <w:szCs w:val="20"/>
          <w:color w:val="auto"/>
        </w:rPr>
        <w:tab/>
      </w:r>
      <w:r>
        <w:rPr>
          <w:rFonts w:ascii="Arial" w:cs="Arial" w:eastAsia="Arial" w:hAnsi="Arial"/>
          <w:sz w:val="16"/>
          <w:szCs w:val="16"/>
          <w:color w:val="auto"/>
        </w:rPr>
        <w:t>Securities Purchase Agreement by and among, Grand Design RV, LLC, Octavius Corporation, Winnebago Industries, Inc. Summit Partners Growth Equity Fund VIII-B, L.P., Summit Partners Growth Equity Fund VIII-A, L.P., Summit Partners Entrepreneur Advisors Fund I, L.P., Summit Investors I, LLC, Summit Investors I (UK), L.P., SP GE VIII-B GD RV Holdings, L.P., RDB IIII, Inc., and each of the shareholders of RDB III, Inc.previously filed with the Registrant's Current Report on Form 8-K dated October 5, 2016 (Commission File Number 001-06403) and incorporated by reference herein.</w:t>
      </w:r>
    </w:p>
    <w:p>
      <w:pPr>
        <w:spacing w:after="0" w:line="149" w:lineRule="exact"/>
        <w:rPr>
          <w:sz w:val="20"/>
          <w:szCs w:val="20"/>
          <w:color w:val="auto"/>
        </w:rPr>
      </w:pPr>
    </w:p>
    <w:p>
      <w:pPr>
        <w:ind w:left="500" w:right="420" w:hanging="499"/>
        <w:spacing w:after="0" w:line="260" w:lineRule="auto"/>
        <w:tabs>
          <w:tab w:leader="none" w:pos="480" w:val="left"/>
        </w:tabs>
        <w:rPr>
          <w:sz w:val="20"/>
          <w:szCs w:val="20"/>
          <w:color w:val="auto"/>
        </w:rPr>
      </w:pPr>
      <w:r>
        <w:rPr>
          <w:rFonts w:ascii="Arial" w:cs="Arial" w:eastAsia="Arial" w:hAnsi="Arial"/>
          <w:sz w:val="16"/>
          <w:szCs w:val="16"/>
          <w:color w:val="auto"/>
        </w:rPr>
        <w:t>3a.</w:t>
      </w:r>
      <w:r>
        <w:rPr>
          <w:sz w:val="20"/>
          <w:szCs w:val="20"/>
          <w:color w:val="auto"/>
        </w:rPr>
        <w:tab/>
      </w:r>
      <w:r>
        <w:rPr>
          <w:rFonts w:ascii="Arial" w:cs="Arial" w:eastAsia="Arial" w:hAnsi="Arial"/>
          <w:sz w:val="16"/>
          <w:szCs w:val="16"/>
          <w:color w:val="auto"/>
        </w:rPr>
        <w:t>Articles of Incorporation previously filed with the Registrant's Quarterly Report on Form 10-Q for the quarter ended May 27, 2000 (Commission File Number 001-06403) and incorporated by reference herein.</w:t>
      </w:r>
    </w:p>
    <w:p>
      <w:pPr>
        <w:spacing w:after="0" w:line="142"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3b.</w:t>
      </w:r>
      <w:r>
        <w:rPr>
          <w:sz w:val="20"/>
          <w:szCs w:val="20"/>
          <w:color w:val="auto"/>
        </w:rPr>
        <w:tab/>
      </w:r>
      <w:r>
        <w:rPr>
          <w:rFonts w:ascii="Arial" w:cs="Arial" w:eastAsia="Arial" w:hAnsi="Arial"/>
          <w:sz w:val="16"/>
          <w:szCs w:val="16"/>
          <w:color w:val="auto"/>
        </w:rPr>
        <w:t>Amended By-Laws of the Registrant previously filed with the Registrant's Current Report on Form 8-K dated March 24, 2010 (Commission File Number</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001-06403) and incorporated by reference herein.</w:t>
      </w:r>
    </w:p>
    <w:p>
      <w:pPr>
        <w:spacing w:after="0" w:line="167" w:lineRule="exact"/>
        <w:rPr>
          <w:sz w:val="20"/>
          <w:szCs w:val="20"/>
          <w:color w:val="auto"/>
        </w:rPr>
      </w:pPr>
    </w:p>
    <w:p>
      <w:pPr>
        <w:ind w:left="500" w:right="80" w:hanging="499"/>
        <w:spacing w:after="0" w:line="251" w:lineRule="auto"/>
        <w:tabs>
          <w:tab w:leader="none" w:pos="480" w:val="left"/>
        </w:tabs>
        <w:rPr>
          <w:sz w:val="20"/>
          <w:szCs w:val="20"/>
          <w:color w:val="auto"/>
        </w:rPr>
      </w:pPr>
      <w:r>
        <w:rPr>
          <w:rFonts w:ascii="Arial" w:cs="Arial" w:eastAsia="Arial" w:hAnsi="Arial"/>
          <w:sz w:val="16"/>
          <w:szCs w:val="16"/>
          <w:color w:val="auto"/>
        </w:rPr>
        <w:t>10a.</w:t>
        <w:tab/>
        <w:t>Winnebago Industries, Inc. Deferred Compensation Plan previously filed with the Registrant's Quarterly Report on Form 10-Q for the quarter ended March 2, 1991 (Commission File Number 001-06403), and incorporated by reference herein and the Amendment dated June 29, 1995 previously filed with the Registrant's Annual Report on Form 10-K for the fiscal year ended August 26, 1995 (Commission File Number 001-06403) and incorporated by reference herein.*</w:t>
      </w:r>
    </w:p>
    <w:p>
      <w:pPr>
        <w:spacing w:after="0" w:line="149" w:lineRule="exact"/>
        <w:rPr>
          <w:sz w:val="20"/>
          <w:szCs w:val="20"/>
          <w:color w:val="auto"/>
        </w:rPr>
      </w:pPr>
    </w:p>
    <w:p>
      <w:pPr>
        <w:ind w:left="500" w:right="120" w:hanging="499"/>
        <w:spacing w:after="0" w:line="250" w:lineRule="auto"/>
        <w:tabs>
          <w:tab w:leader="none" w:pos="480" w:val="left"/>
        </w:tabs>
        <w:rPr>
          <w:sz w:val="20"/>
          <w:szCs w:val="20"/>
          <w:color w:val="auto"/>
        </w:rPr>
      </w:pPr>
      <w:r>
        <w:rPr>
          <w:rFonts w:ascii="Arial" w:cs="Arial" w:eastAsia="Arial" w:hAnsi="Arial"/>
          <w:sz w:val="16"/>
          <w:szCs w:val="16"/>
          <w:color w:val="auto"/>
        </w:rPr>
        <w:t>10b.</w:t>
        <w:tab/>
        <w:t>Winnebago Industries, Inc. Executive Share Option Plan previously filed with the Registrant's Annual Report on Form 10-K for the fiscal year ended August 29, 1998 (Commission File Number 001-06403) and incorporated by reference herein, and the Amendment dated July 1, 1999 previously filed with the Registrant's Quarterly Report on Form 10-Q for the quarter ended May 29, 1999 (Commission File Number 001-06403) and incorporated by reference herein and the Amendment dated January 1, 2001 previously filed with the Registrant's Quarterly Report on Form 10-Q for the quarter ended February 24, 2001 (Commission File Number 001-06403) and incorporated by reference herein.*</w:t>
      </w:r>
    </w:p>
    <w:p>
      <w:pPr>
        <w:spacing w:after="0" w:line="149" w:lineRule="exact"/>
        <w:rPr>
          <w:sz w:val="20"/>
          <w:szCs w:val="20"/>
          <w:color w:val="auto"/>
        </w:rPr>
      </w:pPr>
    </w:p>
    <w:p>
      <w:pPr>
        <w:ind w:left="500" w:right="140" w:hanging="499"/>
        <w:spacing w:after="0" w:line="260" w:lineRule="auto"/>
        <w:tabs>
          <w:tab w:leader="none" w:pos="480" w:val="left"/>
        </w:tabs>
        <w:rPr>
          <w:sz w:val="20"/>
          <w:szCs w:val="20"/>
          <w:color w:val="auto"/>
        </w:rPr>
      </w:pPr>
      <w:r>
        <w:rPr>
          <w:rFonts w:ascii="Arial" w:cs="Arial" w:eastAsia="Arial" w:hAnsi="Arial"/>
          <w:sz w:val="16"/>
          <w:szCs w:val="16"/>
          <w:color w:val="auto"/>
        </w:rPr>
        <w:t>10c.</w:t>
        <w:tab/>
        <w:t>Winnebago Industries, Inc. Executive Deferred Compensation Plan previously filed with the Registrant's Quarterly Report on Form 10-Q for the quarter ended November 25, 2006 (Commission File Number 001-06403) and incorporated by reference herein.*</w:t>
      </w:r>
    </w:p>
    <w:p>
      <w:pPr>
        <w:spacing w:after="0" w:line="142" w:lineRule="exact"/>
        <w:rPr>
          <w:sz w:val="20"/>
          <w:szCs w:val="20"/>
          <w:color w:val="auto"/>
        </w:rPr>
      </w:pPr>
    </w:p>
    <w:p>
      <w:pPr>
        <w:ind w:left="500" w:right="20" w:hanging="499"/>
        <w:spacing w:after="0" w:line="250" w:lineRule="auto"/>
        <w:tabs>
          <w:tab w:leader="none" w:pos="480" w:val="left"/>
        </w:tabs>
        <w:rPr>
          <w:sz w:val="20"/>
          <w:szCs w:val="20"/>
          <w:color w:val="auto"/>
        </w:rPr>
      </w:pPr>
      <w:r>
        <w:rPr>
          <w:rFonts w:ascii="Arial" w:cs="Arial" w:eastAsia="Arial" w:hAnsi="Arial"/>
          <w:sz w:val="16"/>
          <w:szCs w:val="16"/>
          <w:color w:val="auto"/>
        </w:rPr>
        <w:t>10d.</w:t>
        <w:tab/>
        <w:t>Winnebago Industries, Inc. 2004 Incentive Compensation Plan previously filed as Appendix B with the Registrant's Proxy Statement for the Annual Meeting of Shareholders held on January 13, 2004 (Commission File Number 001-06403) and incorporated by reference herein and the Amendment dated October 11, 2006 previously filed with the Registrant's Quarterly Report on Form 10-Q for the quarter ended November 25, 2006 (Commission File Number 001-06403) and incorporated by reference herein and the Amendment dated March 23, 2011 previously filed with the Registrant's Quarterly Report on Form 10-Q for the quarter ended May 28, 2011 (Commission File Number 001-06403) and incorporated by reference herein.*</w:t>
      </w:r>
    </w:p>
    <w:p>
      <w:pPr>
        <w:spacing w:after="0" w:line="149" w:lineRule="exact"/>
        <w:rPr>
          <w:sz w:val="20"/>
          <w:szCs w:val="20"/>
          <w:color w:val="auto"/>
        </w:rPr>
      </w:pPr>
    </w:p>
    <w:p>
      <w:pPr>
        <w:ind w:left="500" w:right="80" w:hanging="499"/>
        <w:spacing w:after="0" w:line="251" w:lineRule="auto"/>
        <w:tabs>
          <w:tab w:leader="none" w:pos="480" w:val="left"/>
        </w:tabs>
        <w:rPr>
          <w:sz w:val="20"/>
          <w:szCs w:val="20"/>
          <w:color w:val="auto"/>
        </w:rPr>
      </w:pPr>
      <w:r>
        <w:rPr>
          <w:rFonts w:ascii="Arial" w:cs="Arial" w:eastAsia="Arial" w:hAnsi="Arial"/>
          <w:sz w:val="16"/>
          <w:szCs w:val="16"/>
          <w:color w:val="auto"/>
        </w:rPr>
        <w:t>10e.</w:t>
        <w:tab/>
        <w:t>Winnebago Industries, Inc. 2014 Omnibus Equity, Performance Award, and Incentive Compensation Plan previously filed as Appendix B with the Registrant's Proxy Statement for the Annual Meeting of Shareholders held on December 17, 2013 (Commission File Number 001-06403) and incorporated by reference herein and the Supplement dated December 6, 2013 previously filed (Commission File Number 001-06403) and incorporated by reference herein.*</w:t>
      </w:r>
    </w:p>
    <w:p>
      <w:pPr>
        <w:spacing w:after="0" w:line="149" w:lineRule="exact"/>
        <w:rPr>
          <w:sz w:val="20"/>
          <w:szCs w:val="20"/>
          <w:color w:val="auto"/>
        </w:rPr>
      </w:pPr>
    </w:p>
    <w:p>
      <w:pPr>
        <w:ind w:left="500" w:right="100" w:hanging="499"/>
        <w:spacing w:after="0" w:line="250" w:lineRule="auto"/>
        <w:tabs>
          <w:tab w:leader="none" w:pos="480" w:val="left"/>
        </w:tabs>
        <w:rPr>
          <w:sz w:val="20"/>
          <w:szCs w:val="20"/>
          <w:color w:val="auto"/>
        </w:rPr>
      </w:pPr>
      <w:r>
        <w:rPr>
          <w:rFonts w:ascii="Arial" w:cs="Arial" w:eastAsia="Arial" w:hAnsi="Arial"/>
          <w:sz w:val="16"/>
          <w:szCs w:val="16"/>
          <w:color w:val="auto"/>
        </w:rPr>
        <w:t>10f.</w:t>
        <w:tab/>
        <w:t>Winnebago Industries, Inc. Directors' Deferred Compensation Plan previously filed with the Registrant's Annual Report on Form 10-K for the fiscal year ended August 30, 1997 (Commission File Number 001-06403), and incorporated by reference herein and the Amendment dated October 15, 2003 previously filed with the Registrant's Quarterly Report on Form 10-Q for the quarter ended November 29, 2003 (Commission File Number 001-06403) and incorporated by reference herein and the Amendment dated October 11, 2006 previously filed with the Registrant's Quarterly Report on Form 10-Q for the quarter ended November 25, 2006 (Commission File Number 001-06403) and incorporated by reference herein.*</w:t>
      </w:r>
    </w:p>
    <w:p>
      <w:pPr>
        <w:spacing w:after="0" w:line="149" w:lineRule="exact"/>
        <w:rPr>
          <w:sz w:val="20"/>
          <w:szCs w:val="20"/>
          <w:color w:val="auto"/>
        </w:rPr>
      </w:pPr>
    </w:p>
    <w:p>
      <w:pPr>
        <w:ind w:left="500" w:right="60" w:hanging="499"/>
        <w:spacing w:after="0" w:line="250" w:lineRule="auto"/>
        <w:tabs>
          <w:tab w:leader="none" w:pos="480" w:val="left"/>
        </w:tabs>
        <w:rPr>
          <w:sz w:val="20"/>
          <w:szCs w:val="20"/>
          <w:color w:val="auto"/>
        </w:rPr>
      </w:pPr>
      <w:r>
        <w:rPr>
          <w:rFonts w:ascii="Arial" w:cs="Arial" w:eastAsia="Arial" w:hAnsi="Arial"/>
          <w:sz w:val="16"/>
          <w:szCs w:val="16"/>
          <w:color w:val="auto"/>
        </w:rPr>
        <w:t>10g.</w:t>
        <w:tab/>
        <w:t>Winnebago Industries, Inc. Profit Sharing and Deferred Savings Investment Plan previously filed with the Registrant's Annual Report on Form 10-K for the fiscal year ended August 31, 1985 (Commission File Number 001-06403), and incorporated by reference herein, the Amendment dated July 1, 1995 previously filed with the Registrant's Annual Report on Form 10-K for the fiscal year ended August 26, 1995 (Commission File Number 001-06403) and incorporated by reference herein and the Amendment dated March 21, 2007 (Commission File Number 001-06403) and incorporated by reference herein.*</w:t>
      </w:r>
    </w:p>
    <w:p>
      <w:pPr>
        <w:spacing w:after="0" w:line="149" w:lineRule="exact"/>
        <w:rPr>
          <w:sz w:val="20"/>
          <w:szCs w:val="20"/>
          <w:color w:val="auto"/>
        </w:rPr>
      </w:pPr>
    </w:p>
    <w:p>
      <w:pPr>
        <w:ind w:left="500" w:right="560" w:hanging="499"/>
        <w:spacing w:after="0" w:line="260" w:lineRule="auto"/>
        <w:tabs>
          <w:tab w:leader="none" w:pos="480" w:val="left"/>
        </w:tabs>
        <w:rPr>
          <w:sz w:val="20"/>
          <w:szCs w:val="20"/>
          <w:color w:val="auto"/>
        </w:rPr>
      </w:pPr>
      <w:r>
        <w:rPr>
          <w:rFonts w:ascii="Arial" w:cs="Arial" w:eastAsia="Arial" w:hAnsi="Arial"/>
          <w:sz w:val="16"/>
          <w:szCs w:val="16"/>
          <w:color w:val="auto"/>
        </w:rPr>
        <w:t>10h.</w:t>
        <w:tab/>
        <w:t>Winnebago Industries, Inc. Officers' Long-Term Incentive Plan, fiscal three-year period 2014, 2015 and 2016 previously filed with the Registrant's Current Report on Form 8-K dated June 19, 2013 (Commission File Number 001-06403) and incorporated by reference herein.*</w:t>
      </w:r>
    </w:p>
    <w:p>
      <w:pPr>
        <w:spacing w:after="0" w:line="142" w:lineRule="exact"/>
        <w:rPr>
          <w:sz w:val="20"/>
          <w:szCs w:val="20"/>
          <w:color w:val="auto"/>
        </w:rPr>
      </w:pPr>
    </w:p>
    <w:p>
      <w:pPr>
        <w:ind w:left="500" w:right="560" w:hanging="499"/>
        <w:spacing w:after="0" w:line="260" w:lineRule="auto"/>
        <w:tabs>
          <w:tab w:leader="none" w:pos="480" w:val="left"/>
        </w:tabs>
        <w:rPr>
          <w:sz w:val="20"/>
          <w:szCs w:val="20"/>
          <w:color w:val="auto"/>
        </w:rPr>
      </w:pPr>
      <w:r>
        <w:rPr>
          <w:rFonts w:ascii="Arial" w:cs="Arial" w:eastAsia="Arial" w:hAnsi="Arial"/>
          <w:sz w:val="16"/>
          <w:szCs w:val="16"/>
          <w:color w:val="auto"/>
        </w:rPr>
        <w:t>10i.</w:t>
        <w:tab/>
        <w:t>Winnebago Industries, Inc. Officers' Long-Term Incentive Plan, fiscal three-year period 2015, 2016 and 2017 previously filed with the Registrant's Current Report on Form 8-K dated June 18, 2014 (Commission File Number 001-06403) and incorporated by reference herein.*</w:t>
      </w:r>
    </w:p>
    <w:p>
      <w:pPr>
        <w:spacing w:after="0" w:line="142" w:lineRule="exact"/>
        <w:rPr>
          <w:sz w:val="20"/>
          <w:szCs w:val="20"/>
          <w:color w:val="auto"/>
        </w:rPr>
      </w:pPr>
    </w:p>
    <w:p>
      <w:pPr>
        <w:ind w:left="500" w:right="560" w:hanging="499"/>
        <w:spacing w:after="0" w:line="260" w:lineRule="auto"/>
        <w:tabs>
          <w:tab w:leader="none" w:pos="480" w:val="left"/>
        </w:tabs>
        <w:rPr>
          <w:sz w:val="20"/>
          <w:szCs w:val="20"/>
          <w:color w:val="auto"/>
        </w:rPr>
      </w:pPr>
      <w:r>
        <w:rPr>
          <w:rFonts w:ascii="Arial" w:cs="Arial" w:eastAsia="Arial" w:hAnsi="Arial"/>
          <w:sz w:val="16"/>
          <w:szCs w:val="16"/>
          <w:color w:val="auto"/>
        </w:rPr>
        <w:t>10j.</w:t>
        <w:tab/>
        <w:t>Winnebago Industries, Inc. Officers' Long-Term Incentive Plan, fiscal three-year period 2016, 2017 and 2018 previously filed with the Registrant's Current Report on Form 8-K dated June 16, 2015 (Commission File Number 001-06403) and incorporated by reference herein.*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41"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left="500" w:right="560" w:hanging="499"/>
        <w:spacing w:after="0" w:line="260" w:lineRule="auto"/>
        <w:tabs>
          <w:tab w:leader="none" w:pos="480" w:val="left"/>
        </w:tabs>
        <w:rPr>
          <w:sz w:val="20"/>
          <w:szCs w:val="20"/>
          <w:color w:val="auto"/>
        </w:rPr>
      </w:pPr>
      <w:r>
        <w:rPr>
          <w:rFonts w:ascii="Arial" w:cs="Arial" w:eastAsia="Arial" w:hAnsi="Arial"/>
          <w:sz w:val="16"/>
          <w:szCs w:val="16"/>
          <w:color w:val="auto"/>
        </w:rPr>
        <w:t>10k.</w:t>
        <w:tab/>
        <w:t>Winnebago Industries, Inc. Officers' Long-Term Incentive Plan, fiscal three-year period 2017, 2018 and 2019 previously filed with the Registrant's Current Report on Form 8-K dated October 14, 2016 (Commission File Number 001-06403) and incorporated by reference herein.*</w:t>
      </w:r>
    </w:p>
    <w:p>
      <w:pPr>
        <w:spacing w:after="0" w:line="142" w:lineRule="exact"/>
        <w:rPr>
          <w:sz w:val="20"/>
          <w:szCs w:val="20"/>
          <w:color w:val="auto"/>
        </w:rPr>
      </w:pPr>
    </w:p>
    <w:p>
      <w:pPr>
        <w:jc w:val="both"/>
        <w:ind w:left="500" w:right="140" w:hanging="499"/>
        <w:spacing w:after="0" w:line="253" w:lineRule="auto"/>
        <w:tabs>
          <w:tab w:leader="none" w:pos="480" w:val="left"/>
        </w:tabs>
        <w:rPr>
          <w:sz w:val="20"/>
          <w:szCs w:val="20"/>
          <w:color w:val="auto"/>
        </w:rPr>
      </w:pPr>
      <w:r>
        <w:rPr>
          <w:rFonts w:ascii="Arial" w:cs="Arial" w:eastAsia="Arial" w:hAnsi="Arial"/>
          <w:sz w:val="16"/>
          <w:szCs w:val="16"/>
          <w:color w:val="auto"/>
        </w:rPr>
        <w:t>10l.</w:t>
        <w:tab/>
        <w:t>Amended and Restated Executive Change of Control Agreement dated December 17, 2008 between Winnebago Industries, Inc. and Sarah N. Nielsen previously filed with the Registrant's Annual Report on Form 10-K for the fiscal year ended August 29, 2009 (Commission File Number 001-06403) and incorporated by reference herein.*</w:t>
      </w:r>
    </w:p>
    <w:p>
      <w:pPr>
        <w:spacing w:after="0" w:line="147" w:lineRule="exact"/>
        <w:rPr>
          <w:sz w:val="20"/>
          <w:szCs w:val="20"/>
          <w:color w:val="auto"/>
        </w:rPr>
      </w:pPr>
    </w:p>
    <w:p>
      <w:pPr>
        <w:ind w:left="500" w:right="200" w:hanging="499"/>
        <w:spacing w:after="0" w:line="253" w:lineRule="auto"/>
        <w:tabs>
          <w:tab w:leader="none" w:pos="480" w:val="left"/>
        </w:tabs>
        <w:rPr>
          <w:sz w:val="20"/>
          <w:szCs w:val="20"/>
          <w:color w:val="auto"/>
        </w:rPr>
      </w:pPr>
      <w:r>
        <w:rPr>
          <w:rFonts w:ascii="Arial" w:cs="Arial" w:eastAsia="Arial" w:hAnsi="Arial"/>
          <w:sz w:val="16"/>
          <w:szCs w:val="16"/>
          <w:color w:val="auto"/>
        </w:rPr>
        <w:t>10m.</w:t>
        <w:tab/>
        <w:t>Executive Change of Control Agreement dated May 3, 2010 between Winnebago Industries, Inc. and Daryl W. Krieger previously filed with the Registrant's Quarterly Report on Form 10-Q for the quarter ended May 29, 2010 (Commission File Number 001-06403) and incorporated by reference herein.*</w:t>
      </w:r>
    </w:p>
    <w:p>
      <w:pPr>
        <w:spacing w:after="0" w:line="147" w:lineRule="exact"/>
        <w:rPr>
          <w:sz w:val="20"/>
          <w:szCs w:val="20"/>
          <w:color w:val="auto"/>
        </w:rPr>
      </w:pPr>
    </w:p>
    <w:p>
      <w:pPr>
        <w:ind w:left="500" w:right="180" w:hanging="499"/>
        <w:spacing w:after="0" w:line="253" w:lineRule="auto"/>
        <w:tabs>
          <w:tab w:leader="none" w:pos="480" w:val="left"/>
        </w:tabs>
        <w:rPr>
          <w:sz w:val="20"/>
          <w:szCs w:val="20"/>
          <w:color w:val="auto"/>
        </w:rPr>
      </w:pPr>
      <w:r>
        <w:rPr>
          <w:rFonts w:ascii="Arial" w:cs="Arial" w:eastAsia="Arial" w:hAnsi="Arial"/>
          <w:sz w:val="16"/>
          <w:szCs w:val="16"/>
          <w:color w:val="auto"/>
        </w:rPr>
        <w:t>10n.</w:t>
        <w:tab/>
        <w:t>Executive Change of Control Agreement dated August 1, 2011 between Winnebago Industries, Inc. and Donald L. Heidemann previously filed with the Registrant's Annual Report on Form 10-K for the fiscal year ended August 27, 2011 (Commission File Number 001-06403) and incorporated by reference herein.*</w:t>
      </w:r>
    </w:p>
    <w:p>
      <w:pPr>
        <w:spacing w:after="0" w:line="147" w:lineRule="exact"/>
        <w:rPr>
          <w:sz w:val="20"/>
          <w:szCs w:val="20"/>
          <w:color w:val="auto"/>
        </w:rPr>
      </w:pPr>
    </w:p>
    <w:p>
      <w:pPr>
        <w:ind w:left="500" w:right="260" w:hanging="499"/>
        <w:spacing w:after="0" w:line="260" w:lineRule="auto"/>
        <w:tabs>
          <w:tab w:leader="none" w:pos="480" w:val="left"/>
        </w:tabs>
        <w:rPr>
          <w:sz w:val="20"/>
          <w:szCs w:val="20"/>
          <w:color w:val="auto"/>
        </w:rPr>
      </w:pPr>
      <w:r>
        <w:rPr>
          <w:rFonts w:ascii="Arial" w:cs="Arial" w:eastAsia="Arial" w:hAnsi="Arial"/>
          <w:sz w:val="16"/>
          <w:szCs w:val="16"/>
          <w:color w:val="auto"/>
        </w:rPr>
        <w:t>10o.</w:t>
        <w:tab/>
        <w:t>Executive Change of Control dated June 20, 2012 between Winnebago Industries, Inc. and Steven S. Degnan previously filed with the Registrant's Annual Report on Form 10-K for the fiscal year ended August 25, 2012 (Commission File Number 001-06403) and incorporated by reference herein.*</w:t>
      </w:r>
    </w:p>
    <w:p>
      <w:pPr>
        <w:spacing w:after="0" w:line="142" w:lineRule="exact"/>
        <w:rPr>
          <w:sz w:val="20"/>
          <w:szCs w:val="20"/>
          <w:color w:val="auto"/>
        </w:rPr>
      </w:pPr>
    </w:p>
    <w:p>
      <w:pPr>
        <w:ind w:left="500" w:right="40" w:hanging="499"/>
        <w:spacing w:after="0" w:line="260" w:lineRule="auto"/>
        <w:tabs>
          <w:tab w:leader="none" w:pos="480" w:val="left"/>
        </w:tabs>
        <w:rPr>
          <w:sz w:val="20"/>
          <w:szCs w:val="20"/>
          <w:color w:val="auto"/>
        </w:rPr>
      </w:pPr>
      <w:r>
        <w:rPr>
          <w:rFonts w:ascii="Arial" w:cs="Arial" w:eastAsia="Arial" w:hAnsi="Arial"/>
          <w:sz w:val="16"/>
          <w:szCs w:val="16"/>
          <w:color w:val="auto"/>
        </w:rPr>
        <w:t>10p.</w:t>
        <w:tab/>
        <w:t>Executive Change of Control dated June 20, 2012 between Winnebago Industries, Inc. and Scott C. Folkers previously filed with the Registrant's Annual Report on Form 10-K for the fiscal year ended August 25, 2012 (Commission File Number 001-06403) and incorporated by reference herein.*</w:t>
      </w:r>
    </w:p>
    <w:p>
      <w:pPr>
        <w:spacing w:after="0" w:line="142"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10q.</w:t>
        <w:tab/>
        <w:t>Executive Change of Control between Winnebago Industries, Inc. and Steven R. Dummett previously filed with the Registrant's Current Report on Form</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8-K dated January 12, 2015 (Commission File Number 001-06403) and incorporated by reference herein.*</w:t>
      </w:r>
    </w:p>
    <w:p>
      <w:pPr>
        <w:spacing w:after="0" w:line="167" w:lineRule="exact"/>
        <w:rPr>
          <w:sz w:val="20"/>
          <w:szCs w:val="20"/>
          <w:color w:val="auto"/>
        </w:rPr>
      </w:pPr>
    </w:p>
    <w:p>
      <w:pPr>
        <w:ind w:left="500" w:right="80" w:hanging="499"/>
        <w:spacing w:after="0" w:line="260" w:lineRule="auto"/>
        <w:tabs>
          <w:tab w:leader="none" w:pos="480" w:val="left"/>
        </w:tabs>
        <w:rPr>
          <w:sz w:val="20"/>
          <w:szCs w:val="20"/>
          <w:color w:val="auto"/>
        </w:rPr>
      </w:pPr>
      <w:r>
        <w:rPr>
          <w:rFonts w:ascii="Arial" w:cs="Arial" w:eastAsia="Arial" w:hAnsi="Arial"/>
          <w:sz w:val="16"/>
          <w:szCs w:val="16"/>
          <w:color w:val="auto"/>
        </w:rPr>
        <w:t>10r.</w:t>
        <w:tab/>
        <w:t>Executive Change of Control between Winnebago Industries, Inc. and Bret A. Woodson previously filed with the Registrant's Current Report on Form 8-K dated January 12, 2015 (Commission File Number 001-06403) and incorporated by reference herein.*</w:t>
      </w:r>
    </w:p>
    <w:p>
      <w:pPr>
        <w:spacing w:after="0" w:line="142" w:lineRule="exact"/>
        <w:rPr>
          <w:sz w:val="20"/>
          <w:szCs w:val="20"/>
          <w:color w:val="auto"/>
        </w:rPr>
      </w:pPr>
    </w:p>
    <w:p>
      <w:pPr>
        <w:ind w:left="500" w:right="60" w:hanging="499"/>
        <w:spacing w:after="0" w:line="260" w:lineRule="auto"/>
        <w:tabs>
          <w:tab w:leader="none" w:pos="480" w:val="left"/>
        </w:tabs>
        <w:rPr>
          <w:sz w:val="20"/>
          <w:szCs w:val="20"/>
          <w:color w:val="auto"/>
        </w:rPr>
      </w:pPr>
      <w:r>
        <w:rPr>
          <w:rFonts w:ascii="Arial" w:cs="Arial" w:eastAsia="Arial" w:hAnsi="Arial"/>
          <w:sz w:val="16"/>
          <w:szCs w:val="16"/>
          <w:color w:val="auto"/>
        </w:rPr>
        <w:t>10s.</w:t>
        <w:tab/>
        <w:t>Executive Change of Control between Winnebago Industries, Inc. and Michael J. Happe previously filed with the Registrant's Current Report on Form 8-K dated April 26, 2016 (Commission File Number 001-06403) and incorporated by reference herein.*</w:t>
      </w:r>
    </w:p>
    <w:p>
      <w:pPr>
        <w:spacing w:after="0" w:line="142"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10t.</w:t>
        <w:tab/>
        <w:t>Executive Change of Control Agreement between Winnebago Industries, Inc. and Ashis Bhattacharya dated June 1, 2016.*</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10u.</w:t>
        <w:tab/>
        <w:t>Executive Change of Control Agreement between Winnebago Industries, Inc. and Brian Hazelton dated September 16, 2016.*</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10v.</w:t>
        <w:tab/>
        <w:t>Executive Change of Control Agreement between Winnebago Industries, Inc. and Chris West dated September 26, 2016.*</w:t>
      </w:r>
    </w:p>
    <w:p>
      <w:pPr>
        <w:spacing w:after="0" w:line="167" w:lineRule="exact"/>
        <w:rPr>
          <w:sz w:val="20"/>
          <w:szCs w:val="20"/>
          <w:color w:val="auto"/>
        </w:rPr>
      </w:pPr>
    </w:p>
    <w:p>
      <w:pPr>
        <w:ind w:left="500" w:hanging="499"/>
        <w:spacing w:after="0" w:line="260" w:lineRule="auto"/>
        <w:tabs>
          <w:tab w:leader="none" w:pos="480" w:val="left"/>
        </w:tabs>
        <w:rPr>
          <w:sz w:val="20"/>
          <w:szCs w:val="20"/>
          <w:color w:val="auto"/>
        </w:rPr>
      </w:pPr>
      <w:r>
        <w:rPr>
          <w:rFonts w:ascii="Arial" w:cs="Arial" w:eastAsia="Arial" w:hAnsi="Arial"/>
          <w:sz w:val="16"/>
          <w:szCs w:val="16"/>
          <w:color w:val="auto"/>
        </w:rPr>
        <w:t>10w.</w:t>
        <w:tab/>
        <w:t>Winnebago Industries, Inc. Supplemental Executive Retirement Plan previously filed with the Registrant's Annual Report on Form 10-K for the fiscal year ended August 29, 2009 (Commission File Number 001-06403) and incorporated by reference herein.*</w:t>
      </w:r>
    </w:p>
    <w:p>
      <w:pPr>
        <w:spacing w:after="0" w:line="142" w:lineRule="exact"/>
        <w:rPr>
          <w:sz w:val="20"/>
          <w:szCs w:val="20"/>
          <w:color w:val="auto"/>
        </w:rPr>
      </w:pPr>
    </w:p>
    <w:p>
      <w:pPr>
        <w:ind w:left="500" w:right="440" w:hanging="499"/>
        <w:spacing w:after="0" w:line="260" w:lineRule="auto"/>
        <w:tabs>
          <w:tab w:leader="none" w:pos="480" w:val="left"/>
        </w:tabs>
        <w:rPr>
          <w:sz w:val="20"/>
          <w:szCs w:val="20"/>
          <w:color w:val="auto"/>
        </w:rPr>
      </w:pPr>
      <w:r>
        <w:rPr>
          <w:rFonts w:ascii="Arial" w:cs="Arial" w:eastAsia="Arial" w:hAnsi="Arial"/>
          <w:sz w:val="16"/>
          <w:szCs w:val="16"/>
          <w:color w:val="auto"/>
        </w:rPr>
        <w:t>10x.</w:t>
        <w:tab/>
        <w:t>Winnebago Industries, Inc. Officers' Incentive Compensation Plan for Fiscal 2015 previously filed with the Registrant's Current Report on Form 8-K dated June 18, 2014 (Commission File Number 001-06403) and incorporated by reference herein.*</w:t>
      </w:r>
    </w:p>
    <w:p>
      <w:pPr>
        <w:spacing w:after="0" w:line="142" w:lineRule="exact"/>
        <w:rPr>
          <w:sz w:val="20"/>
          <w:szCs w:val="20"/>
          <w:color w:val="auto"/>
        </w:rPr>
      </w:pPr>
    </w:p>
    <w:p>
      <w:pPr>
        <w:ind w:left="500" w:right="440" w:hanging="499"/>
        <w:spacing w:after="0" w:line="260" w:lineRule="auto"/>
        <w:tabs>
          <w:tab w:leader="none" w:pos="480" w:val="left"/>
        </w:tabs>
        <w:rPr>
          <w:sz w:val="20"/>
          <w:szCs w:val="20"/>
          <w:color w:val="auto"/>
        </w:rPr>
      </w:pPr>
      <w:r>
        <w:rPr>
          <w:rFonts w:ascii="Arial" w:cs="Arial" w:eastAsia="Arial" w:hAnsi="Arial"/>
          <w:sz w:val="16"/>
          <w:szCs w:val="16"/>
          <w:color w:val="auto"/>
        </w:rPr>
        <w:t>10y.</w:t>
        <w:tab/>
        <w:t>Winnebago Industries, Inc. Officers' Incentive Compensation Plan for Fiscal 2016 previously filed with the Registrant's Current Report on Form 8-K dated June 16, 2015 (Commission File Number 001-06403) and incorporated by reference herein.*</w:t>
      </w:r>
    </w:p>
    <w:p>
      <w:pPr>
        <w:spacing w:after="0" w:line="142" w:lineRule="exact"/>
        <w:rPr>
          <w:sz w:val="20"/>
          <w:szCs w:val="20"/>
          <w:color w:val="auto"/>
        </w:rPr>
      </w:pPr>
    </w:p>
    <w:p>
      <w:pPr>
        <w:ind w:left="500" w:right="440" w:hanging="499"/>
        <w:spacing w:after="0" w:line="260" w:lineRule="auto"/>
        <w:tabs>
          <w:tab w:leader="none" w:pos="480" w:val="left"/>
        </w:tabs>
        <w:rPr>
          <w:sz w:val="20"/>
          <w:szCs w:val="20"/>
          <w:color w:val="auto"/>
        </w:rPr>
      </w:pPr>
      <w:r>
        <w:rPr>
          <w:rFonts w:ascii="Arial" w:cs="Arial" w:eastAsia="Arial" w:hAnsi="Arial"/>
          <w:sz w:val="16"/>
          <w:szCs w:val="16"/>
          <w:color w:val="auto"/>
        </w:rPr>
        <w:t>10z.</w:t>
        <w:tab/>
        <w:t>Winnebago Industries, Inc. Officers' Incentive Compensation Plan for Fiscal 2017 previously filed with the Registrant's Current Report on Form 8-K dated October 14, 2016 (Commission File Number 001-06403) and incorporated by reference herein.*</w:t>
      </w:r>
    </w:p>
    <w:p>
      <w:pPr>
        <w:spacing w:after="0" w:line="142" w:lineRule="exact"/>
        <w:rPr>
          <w:sz w:val="20"/>
          <w:szCs w:val="20"/>
          <w:color w:val="auto"/>
        </w:rPr>
      </w:pPr>
    </w:p>
    <w:p>
      <w:pPr>
        <w:ind w:left="500" w:right="20" w:hanging="485"/>
        <w:spacing w:after="0" w:line="253" w:lineRule="auto"/>
        <w:rPr>
          <w:sz w:val="20"/>
          <w:szCs w:val="20"/>
          <w:color w:val="auto"/>
        </w:rPr>
      </w:pPr>
      <w:r>
        <w:rPr>
          <w:rFonts w:ascii="Arial" w:cs="Arial" w:eastAsia="Arial" w:hAnsi="Arial"/>
          <w:sz w:val="16"/>
          <w:szCs w:val="16"/>
          <w:color w:val="auto"/>
        </w:rPr>
        <w:t>10aa. Winnebago Industries, Inc. Credit Agreement with GECC (later acquired by Wells Fargo Capital Finance) previously filed with the Registrant's Current Report on Form 8-K dated October 31, 2012 and amended on Form 8-K dated May 28, 2014 (Commission File Number 001-06403) and incorporated by reference herein.</w:t>
      </w:r>
    </w:p>
    <w:p>
      <w:pPr>
        <w:spacing w:after="0" w:line="147" w:lineRule="exact"/>
        <w:rPr>
          <w:sz w:val="20"/>
          <w:szCs w:val="20"/>
          <w:color w:val="auto"/>
        </w:rPr>
      </w:pPr>
    </w:p>
    <w:p>
      <w:pPr>
        <w:ind w:left="500" w:right="160" w:hanging="485"/>
        <w:spacing w:after="0" w:line="260" w:lineRule="auto"/>
        <w:rPr>
          <w:sz w:val="20"/>
          <w:szCs w:val="20"/>
          <w:color w:val="auto"/>
        </w:rPr>
      </w:pPr>
      <w:r>
        <w:rPr>
          <w:rFonts w:ascii="Arial" w:cs="Arial" w:eastAsia="Arial" w:hAnsi="Arial"/>
          <w:sz w:val="16"/>
          <w:szCs w:val="16"/>
          <w:color w:val="auto"/>
        </w:rPr>
        <w:t>10ab. Winnebago Industries, Inc. Registration Statement previously filed on Form S-3 on April 4, 2013 (Commission File Number 333-187720) and amended on Form S-3A on April 30, 2013 (Commission File Number 333-187720) and incorporated by reference herein.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41"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left="500" w:right="640" w:hanging="499"/>
        <w:spacing w:after="0" w:line="260" w:lineRule="auto"/>
        <w:tabs>
          <w:tab w:leader="none" w:pos="480" w:val="left"/>
        </w:tabs>
        <w:rPr>
          <w:sz w:val="20"/>
          <w:szCs w:val="20"/>
          <w:color w:val="auto"/>
        </w:rPr>
      </w:pPr>
      <w:r>
        <w:rPr>
          <w:rFonts w:ascii="Arial" w:cs="Arial" w:eastAsia="Arial" w:hAnsi="Arial"/>
          <w:sz w:val="16"/>
          <w:szCs w:val="16"/>
          <w:color w:val="auto"/>
        </w:rPr>
        <w:t>10ac.</w:t>
        <w:tab/>
        <w:t>Winnebago Industries, Inc. Registration Statement previously filed on Form S-8 on March 28, 2014 (Commission File Number 333-194854) and incorporated by reference herein.</w:t>
      </w:r>
    </w:p>
    <w:p>
      <w:pPr>
        <w:spacing w:after="0" w:line="142" w:lineRule="exact"/>
        <w:rPr>
          <w:sz w:val="20"/>
          <w:szCs w:val="20"/>
          <w:color w:val="auto"/>
        </w:rPr>
      </w:pPr>
    </w:p>
    <w:p>
      <w:pPr>
        <w:ind w:left="500" w:right="40" w:hanging="485"/>
        <w:spacing w:after="0" w:line="253" w:lineRule="auto"/>
        <w:rPr>
          <w:sz w:val="20"/>
          <w:szCs w:val="20"/>
          <w:color w:val="auto"/>
        </w:rPr>
      </w:pPr>
      <w:r>
        <w:rPr>
          <w:rFonts w:ascii="Arial" w:cs="Arial" w:eastAsia="Arial" w:hAnsi="Arial"/>
          <w:sz w:val="16"/>
          <w:szCs w:val="16"/>
          <w:color w:val="auto"/>
        </w:rPr>
        <w:t>10ad. Non-competition, Non-solicitation and Confidentiality Agreement by and among Octavius Corporation, Winnebago Industries, Inc., Grand Design RV, LLC, RDB III, Inc., Ronald Fenech, Donald Clark and William Fenech previously filed with the Registrant's Current Report on Form 8-K dated October 5, 2016 (Commission File Number 001-06403) and incorporated by reference herein.</w:t>
      </w:r>
    </w:p>
    <w:p>
      <w:pPr>
        <w:spacing w:after="0" w:line="147" w:lineRule="exact"/>
        <w:rPr>
          <w:sz w:val="20"/>
          <w:szCs w:val="20"/>
          <w:color w:val="auto"/>
        </w:rPr>
      </w:pPr>
    </w:p>
    <w:p>
      <w:pPr>
        <w:ind w:left="500" w:right="340" w:hanging="485"/>
        <w:spacing w:after="0" w:line="251" w:lineRule="auto"/>
        <w:rPr>
          <w:sz w:val="20"/>
          <w:szCs w:val="20"/>
          <w:color w:val="auto"/>
        </w:rPr>
      </w:pPr>
      <w:r>
        <w:rPr>
          <w:rFonts w:ascii="Arial" w:cs="Arial" w:eastAsia="Arial" w:hAnsi="Arial"/>
          <w:sz w:val="16"/>
          <w:szCs w:val="16"/>
          <w:color w:val="auto"/>
        </w:rPr>
        <w:t>10ae. Non-Solicitation and Confidentiality Agreement by and among Octavius Corporation, Winnebago Industries, Inc., Grand Design, RV, LLC, Summit Partners Growth Equity Fund VIII-B, L.P., Summit Partners Growth Equity Fund VIII-A, L.P., Summit Entrepreneur Advisors Fund I, L.P., Summit Investors I, LLC, Summit Investors I (UK), L.P., and SP GE VIII-B GD RV Holdings previously filed with the Registrant's Current Report on Form 8-K dated October 5, 2016 (Commission File Number 001-06403) and incorporated by reference herein.</w:t>
      </w:r>
    </w:p>
    <w:p>
      <w:pPr>
        <w:spacing w:after="0" w:line="149" w:lineRule="exact"/>
        <w:rPr>
          <w:sz w:val="20"/>
          <w:szCs w:val="20"/>
          <w:color w:val="auto"/>
        </w:rPr>
      </w:pPr>
    </w:p>
    <w:p>
      <w:pPr>
        <w:ind w:left="500" w:right="400" w:hanging="499"/>
        <w:spacing w:after="0" w:line="260" w:lineRule="auto"/>
        <w:tabs>
          <w:tab w:leader="none" w:pos="480" w:val="left"/>
        </w:tabs>
        <w:rPr>
          <w:sz w:val="20"/>
          <w:szCs w:val="20"/>
          <w:color w:val="auto"/>
        </w:rPr>
      </w:pPr>
      <w:r>
        <w:rPr>
          <w:rFonts w:ascii="Arial" w:cs="Arial" w:eastAsia="Arial" w:hAnsi="Arial"/>
          <w:sz w:val="16"/>
          <w:szCs w:val="16"/>
          <w:color w:val="auto"/>
        </w:rPr>
        <w:t>10af.</w:t>
        <w:tab/>
        <w:t>Registration Rights Agreement by and among Winnebago Industries, Inc. and the Shareholder Parties previously filed with the Registrant's Current Report on Form 8-K dated October 5, 2016 (Commission File Number 001-06403) and incorporated by reference herein.</w:t>
      </w:r>
    </w:p>
    <w:p>
      <w:pPr>
        <w:spacing w:after="0" w:line="142" w:lineRule="exact"/>
        <w:rPr>
          <w:sz w:val="20"/>
          <w:szCs w:val="20"/>
          <w:color w:val="auto"/>
        </w:rPr>
      </w:pPr>
    </w:p>
    <w:p>
      <w:pPr>
        <w:ind w:left="500" w:right="380" w:hanging="485"/>
        <w:spacing w:after="0" w:line="251" w:lineRule="auto"/>
        <w:rPr>
          <w:sz w:val="20"/>
          <w:szCs w:val="20"/>
          <w:color w:val="auto"/>
        </w:rPr>
      </w:pPr>
      <w:r>
        <w:rPr>
          <w:rFonts w:ascii="Arial" w:cs="Arial" w:eastAsia="Arial" w:hAnsi="Arial"/>
          <w:sz w:val="16"/>
          <w:szCs w:val="16"/>
          <w:color w:val="auto"/>
        </w:rPr>
        <w:t>10ag. Standstill Agreement by and among Summit Partners Growth Equity Fund VIII-B, L.P., Summit Partners Growth Equity Fund-VIII-A, L.P., Summit Entrepreneur Advisors Fund I, L.P., Summit Investors I, LLC, Summit Investors I (UK), L.P. and SP GE VIII-B GD RV Holdings, L.P. and Winnebago Industries, Inc. previously filed with the Registrant's Current Report on Form 8-K dated October 5, 2016 (Commission File Number 001-06403) and incorporated by reference herein.</w:t>
      </w:r>
    </w:p>
    <w:p>
      <w:pPr>
        <w:spacing w:after="0" w:line="149" w:lineRule="exact"/>
        <w:rPr>
          <w:sz w:val="20"/>
          <w:szCs w:val="20"/>
          <w:color w:val="auto"/>
        </w:rPr>
      </w:pPr>
    </w:p>
    <w:p>
      <w:pPr>
        <w:ind w:left="500" w:right="80" w:hanging="485"/>
        <w:spacing w:after="0" w:line="260" w:lineRule="auto"/>
        <w:rPr>
          <w:sz w:val="20"/>
          <w:szCs w:val="20"/>
          <w:color w:val="auto"/>
        </w:rPr>
      </w:pPr>
      <w:r>
        <w:rPr>
          <w:rFonts w:ascii="Arial" w:cs="Arial" w:eastAsia="Arial" w:hAnsi="Arial"/>
          <w:sz w:val="16"/>
          <w:szCs w:val="16"/>
          <w:color w:val="auto"/>
        </w:rPr>
        <w:t>10ah. Standstill Agreement by and among Donald Clark, Ronald Fenech, William Fenech and Winnebago Industries, Inc. previously filed with the Registrant's Current Report on Form 8-K dated October 5, 2016 (Commission File Number 001-06403) and incorporated by reference herein.</w:t>
      </w:r>
    </w:p>
    <w:p>
      <w:pPr>
        <w:spacing w:after="0" w:line="142" w:lineRule="exact"/>
        <w:rPr>
          <w:sz w:val="20"/>
          <w:szCs w:val="20"/>
          <w:color w:val="auto"/>
        </w:rPr>
      </w:pPr>
    </w:p>
    <w:p>
      <w:pPr>
        <w:ind w:left="500" w:right="260" w:hanging="499"/>
        <w:spacing w:after="0" w:line="260" w:lineRule="auto"/>
        <w:tabs>
          <w:tab w:leader="none" w:pos="480" w:val="left"/>
        </w:tabs>
        <w:rPr>
          <w:sz w:val="20"/>
          <w:szCs w:val="20"/>
          <w:color w:val="auto"/>
        </w:rPr>
      </w:pPr>
      <w:r>
        <w:rPr>
          <w:rFonts w:ascii="Arial" w:cs="Arial" w:eastAsia="Arial" w:hAnsi="Arial"/>
          <w:sz w:val="16"/>
          <w:szCs w:val="16"/>
          <w:color w:val="auto"/>
        </w:rPr>
        <w:t>10ai.</w:t>
        <w:tab/>
        <w:t>Lock-up Letter Agreement to Winnebago Industries, Inc. from Donald Clark, Ronald Fenech and William Fenech previously filed with the Registrant's Current Report on Form 8-K dated October 5, 2016 (Commission File Number 001-06403) and incorporated by reference herein.</w:t>
      </w:r>
    </w:p>
    <w:p>
      <w:pPr>
        <w:spacing w:after="0" w:line="142" w:lineRule="exact"/>
        <w:rPr>
          <w:sz w:val="20"/>
          <w:szCs w:val="20"/>
          <w:color w:val="auto"/>
        </w:rPr>
      </w:pPr>
    </w:p>
    <w:p>
      <w:pPr>
        <w:ind w:left="500" w:right="80" w:hanging="499"/>
        <w:spacing w:after="0" w:line="260" w:lineRule="auto"/>
        <w:tabs>
          <w:tab w:leader="none" w:pos="480" w:val="left"/>
        </w:tabs>
        <w:rPr>
          <w:sz w:val="20"/>
          <w:szCs w:val="20"/>
          <w:color w:val="auto"/>
        </w:rPr>
      </w:pPr>
      <w:r>
        <w:rPr>
          <w:rFonts w:ascii="Arial" w:cs="Arial" w:eastAsia="Arial" w:hAnsi="Arial"/>
          <w:sz w:val="16"/>
          <w:szCs w:val="16"/>
          <w:color w:val="auto"/>
        </w:rPr>
        <w:t>10aj.</w:t>
        <w:tab/>
        <w:t>Consulting Agreement by and between Winnebago Industries, Inc., and Ronald Fenech previously filed with the Registrant's Current Report on Form 8-K dated October 5, 2016 (Commission File Number 001-06403) and incorporated by reference herein.</w:t>
      </w:r>
    </w:p>
    <w:p>
      <w:pPr>
        <w:spacing w:after="0" w:line="142" w:lineRule="exact"/>
        <w:rPr>
          <w:sz w:val="20"/>
          <w:szCs w:val="20"/>
          <w:color w:val="auto"/>
        </w:rPr>
      </w:pPr>
    </w:p>
    <w:p>
      <w:pPr>
        <w:ind w:left="500" w:hanging="499"/>
        <w:spacing w:after="0" w:line="260" w:lineRule="auto"/>
        <w:tabs>
          <w:tab w:leader="none" w:pos="480" w:val="left"/>
        </w:tabs>
        <w:rPr>
          <w:sz w:val="20"/>
          <w:szCs w:val="20"/>
          <w:color w:val="auto"/>
        </w:rPr>
      </w:pPr>
      <w:r>
        <w:rPr>
          <w:rFonts w:ascii="Arial" w:cs="Arial" w:eastAsia="Arial" w:hAnsi="Arial"/>
          <w:sz w:val="16"/>
          <w:szCs w:val="16"/>
          <w:color w:val="auto"/>
        </w:rPr>
        <w:t>10ak.</w:t>
        <w:tab/>
        <w:t>Consulting Agreement by and between Winnebago Industries, Inc. and William Fenech previously filed with the Registrant's Current Report on Form 8-K dated October 5, 2016 (Commission File Number 001-06403) and incorporated by reference herein.</w:t>
      </w:r>
    </w:p>
    <w:p>
      <w:pPr>
        <w:spacing w:after="0" w:line="142" w:lineRule="exact"/>
        <w:rPr>
          <w:sz w:val="20"/>
          <w:szCs w:val="20"/>
          <w:color w:val="auto"/>
        </w:rPr>
      </w:pPr>
    </w:p>
    <w:p>
      <w:pPr>
        <w:ind w:left="500" w:right="320" w:hanging="499"/>
        <w:spacing w:after="0" w:line="260" w:lineRule="auto"/>
        <w:tabs>
          <w:tab w:leader="none" w:pos="480" w:val="left"/>
        </w:tabs>
        <w:rPr>
          <w:sz w:val="20"/>
          <w:szCs w:val="20"/>
          <w:color w:val="auto"/>
        </w:rPr>
      </w:pPr>
      <w:r>
        <w:rPr>
          <w:rFonts w:ascii="Arial" w:cs="Arial" w:eastAsia="Arial" w:hAnsi="Arial"/>
          <w:sz w:val="16"/>
          <w:szCs w:val="16"/>
          <w:color w:val="auto"/>
        </w:rPr>
        <w:t>10al.</w:t>
        <w:tab/>
        <w:t>Employment Agreement by and between Grand Design RV, LLC and Donald Clark previously filed with the Registrant's Current Report on Form 8-K dated October 5, 2016 (Commission File Number 001-06403) and incorporated by reference herein.</w:t>
      </w:r>
    </w:p>
    <w:p>
      <w:pPr>
        <w:spacing w:after="0" w:line="142" w:lineRule="exact"/>
        <w:rPr>
          <w:sz w:val="20"/>
          <w:szCs w:val="20"/>
          <w:color w:val="auto"/>
        </w:rPr>
      </w:pPr>
    </w:p>
    <w:p>
      <w:pPr>
        <w:ind w:left="500" w:right="100" w:hanging="485"/>
        <w:spacing w:after="0" w:line="260" w:lineRule="auto"/>
        <w:rPr>
          <w:sz w:val="20"/>
          <w:szCs w:val="20"/>
          <w:color w:val="auto"/>
        </w:rPr>
      </w:pPr>
      <w:r>
        <w:rPr>
          <w:rFonts w:ascii="Arial" w:cs="Arial" w:eastAsia="Arial" w:hAnsi="Arial"/>
          <w:sz w:val="16"/>
          <w:szCs w:val="16"/>
          <w:color w:val="auto"/>
        </w:rPr>
        <w:t>10am. Commitment Letter between Winnebago Industries, Inc. and JPMorgan Chase Bank, N.A. previously filed with the Registrant's Current Report on Form 8-K dated October 5, 2016 (Commission File Number 001-06403) and incorporated by reference herein.</w:t>
      </w:r>
    </w:p>
    <w:p>
      <w:pPr>
        <w:spacing w:after="0" w:line="142" w:lineRule="exact"/>
        <w:rPr>
          <w:sz w:val="20"/>
          <w:szCs w:val="20"/>
          <w:color w:val="auto"/>
        </w:rPr>
      </w:pPr>
    </w:p>
    <w:p>
      <w:pPr>
        <w:ind w:left="500" w:right="160" w:hanging="485"/>
        <w:spacing w:after="0" w:line="260" w:lineRule="auto"/>
        <w:tabs>
          <w:tab w:leader="none" w:pos="480" w:val="left"/>
        </w:tabs>
        <w:rPr>
          <w:sz w:val="20"/>
          <w:szCs w:val="20"/>
          <w:color w:val="auto"/>
        </w:rPr>
      </w:pPr>
      <w:r>
        <w:rPr>
          <w:rFonts w:ascii="Arial" w:cs="Arial" w:eastAsia="Arial" w:hAnsi="Arial"/>
          <w:sz w:val="16"/>
          <w:szCs w:val="16"/>
          <w:color w:val="auto"/>
        </w:rPr>
        <w:t>14.1</w:t>
        <w:tab/>
        <w:t>Winnebago Industries, Inc. Code of Ethics for CEO and Senior Financial Officers previously filed with the Registrant's Annual Report on Form 10-K for the fiscal year ended August 30, 2003 (Commission File Number 001-06403) and incorporated by reference herein.</w:t>
      </w:r>
    </w:p>
    <w:p>
      <w:pPr>
        <w:spacing w:after="0" w:line="142" w:lineRule="exact"/>
        <w:rPr>
          <w:sz w:val="20"/>
          <w:szCs w:val="20"/>
          <w:color w:val="auto"/>
        </w:rPr>
      </w:pPr>
    </w:p>
    <w:p>
      <w:pPr>
        <w:ind w:left="500" w:hanging="478"/>
        <w:spacing w:after="0"/>
        <w:tabs>
          <w:tab w:leader="none" w:pos="5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List of Subsidiaries.</w:t>
      </w:r>
    </w:p>
    <w:p>
      <w:pPr>
        <w:spacing w:after="0" w:line="167" w:lineRule="exact"/>
        <w:rPr>
          <w:sz w:val="20"/>
          <w:szCs w:val="20"/>
          <w:color w:val="auto"/>
        </w:rPr>
      </w:pPr>
    </w:p>
    <w:p>
      <w:pPr>
        <w:ind w:left="20"/>
        <w:spacing w:after="0"/>
        <w:tabs>
          <w:tab w:leader="none" w:pos="480" w:val="left"/>
        </w:tabs>
        <w:rPr>
          <w:sz w:val="20"/>
          <w:szCs w:val="20"/>
          <w:color w:val="auto"/>
        </w:rPr>
      </w:pPr>
      <w:r>
        <w:rPr>
          <w:rFonts w:ascii="Arial" w:cs="Arial" w:eastAsia="Arial" w:hAnsi="Arial"/>
          <w:sz w:val="16"/>
          <w:szCs w:val="16"/>
          <w:color w:val="auto"/>
        </w:rPr>
        <w:t>31.1</w:t>
        <w:tab/>
        <w:t>Certification by the Chief Executive Officer pursuant to Section 302 of the Sarbanes-Oxley Act of 2002 dated October 18, 2016.</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31.2</w:t>
        <w:tab/>
        <w:t>Certification by the Chief Financial Officer pursuant to Section 302 of the Sarbanes-Oxley Act of 2002 dated October 18, 2016.</w:t>
      </w:r>
    </w:p>
    <w:p>
      <w:pPr>
        <w:spacing w:after="0" w:line="167" w:lineRule="exact"/>
        <w:rPr>
          <w:sz w:val="20"/>
          <w:szCs w:val="20"/>
          <w:color w:val="auto"/>
        </w:rPr>
      </w:pPr>
    </w:p>
    <w:p>
      <w:pPr>
        <w:ind w:left="500" w:right="400" w:hanging="485"/>
        <w:spacing w:after="0" w:line="260" w:lineRule="auto"/>
        <w:tabs>
          <w:tab w:leader="none" w:pos="480" w:val="left"/>
        </w:tabs>
        <w:rPr>
          <w:sz w:val="20"/>
          <w:szCs w:val="20"/>
          <w:color w:val="auto"/>
        </w:rPr>
      </w:pPr>
      <w:r>
        <w:rPr>
          <w:rFonts w:ascii="Arial" w:cs="Arial" w:eastAsia="Arial" w:hAnsi="Arial"/>
          <w:sz w:val="16"/>
          <w:szCs w:val="16"/>
          <w:color w:val="auto"/>
        </w:rPr>
        <w:t>32.1</w:t>
        <w:tab/>
        <w:t>Certification by the Chief Executive Officer pursuant to Section 1350, as adopted pursuant to Section 906 of the Sarbanes-Oxley Act of 2002 dated October 18, 2016.</w:t>
      </w:r>
    </w:p>
    <w:p>
      <w:pPr>
        <w:spacing w:after="0" w:line="142" w:lineRule="exact"/>
        <w:rPr>
          <w:sz w:val="20"/>
          <w:szCs w:val="20"/>
          <w:color w:val="auto"/>
        </w:rPr>
      </w:pPr>
    </w:p>
    <w:p>
      <w:pPr>
        <w:ind w:left="500" w:right="460" w:hanging="485"/>
        <w:spacing w:after="0" w:line="260" w:lineRule="auto"/>
        <w:tabs>
          <w:tab w:leader="none" w:pos="480" w:val="left"/>
        </w:tabs>
        <w:rPr>
          <w:sz w:val="20"/>
          <w:szCs w:val="20"/>
          <w:color w:val="auto"/>
        </w:rPr>
      </w:pPr>
      <w:r>
        <w:rPr>
          <w:rFonts w:ascii="Arial" w:cs="Arial" w:eastAsia="Arial" w:hAnsi="Arial"/>
          <w:sz w:val="16"/>
          <w:szCs w:val="16"/>
          <w:color w:val="auto"/>
        </w:rPr>
        <w:t>32.2</w:t>
        <w:tab/>
        <w:t>Certification by the Chief Financial Officer pursuant to Section 1350, as adopted pursuant to Section 906 of the Sarbanes-Oxley Act of 2002 dated October 18, 2016.</w:t>
      </w:r>
    </w:p>
    <w:p>
      <w:pPr>
        <w:sectPr>
          <w:pgSz w:w="11900" w:h="16838" w:orient="portrait"/>
          <w:cols w:equalWidth="0" w:num="1">
            <w:col w:w="11400"/>
          </w:cols>
          <w:pgMar w:left="240" w:top="141" w:right="259" w:bottom="1440" w:gutter="0" w:footer="0" w:header="0"/>
        </w:sectPr>
      </w:pP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167" w:lineRule="exact"/>
        <w:rPr>
          <w:sz w:val="20"/>
          <w:szCs w:val="20"/>
          <w:color w:val="auto"/>
        </w:rPr>
      </w:pPr>
    </w:p>
    <w:p>
      <w:pPr>
        <w:sectPr>
          <w:pgSz w:w="11900" w:h="16838" w:orient="portrait"/>
          <w:cols w:equalWidth="0" w:num="2">
            <w:col w:w="720" w:space="260"/>
            <w:col w:w="10420"/>
          </w:cols>
          <w:pgMar w:left="240" w:top="1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200" w:lineRule="exact"/>
        <w:rPr>
          <w:sz w:val="20"/>
          <w:szCs w:val="20"/>
          <w:color w:val="auto"/>
        </w:rPr>
      </w:pPr>
    </w:p>
    <w:p>
      <w:pPr>
        <w:sectPr>
          <w:pgSz w:w="11900" w:h="16838" w:orient="portrait"/>
          <w:cols w:equalWidth="0" w:num="2">
            <w:col w:w="800" w:space="180"/>
            <w:col w:w="10420"/>
          </w:cols>
          <w:pgMar w:left="240" w:top="141" w:right="259" w:bottom="1440" w:gutter="0" w:footer="0" w:header="0"/>
          <w:type w:val="continuous"/>
        </w:sect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00"/>
          </w:cols>
          <w:pgMar w:left="240" w:top="141" w:right="259" w:bottom="1440" w:gutter="0" w:footer="0" w:header="0"/>
          <w:type w:val="continuous"/>
        </w:sectPr>
      </w:pPr>
    </w:p>
    <w:bookmarkStart w:id="58" w:name="page59"/>
    <w:bookmarkEnd w:id="58"/>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11400"/>
          </w:cols>
          <w:pgMar w:left="240" w:top="141" w:right="259" w:bottom="1440" w:gutter="0" w:footer="0" w:header="0"/>
        </w:sect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67" w:lineRule="exact"/>
        <w:rPr>
          <w:sz w:val="20"/>
          <w:szCs w:val="20"/>
          <w:color w:val="auto"/>
        </w:rPr>
      </w:pPr>
    </w:p>
    <w:p>
      <w:pPr>
        <w:sectPr>
          <w:pgSz w:w="11900" w:h="16838" w:orient="portrait"/>
          <w:cols w:equalWidth="0" w:num="2">
            <w:col w:w="760" w:space="220"/>
            <w:col w:w="10420"/>
          </w:cols>
          <w:pgMar w:left="240" w:top="1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Definitions Linkbase Document</w:t>
      </w:r>
    </w:p>
    <w:p>
      <w:pPr>
        <w:spacing w:after="0" w:line="167" w:lineRule="exact"/>
        <w:rPr>
          <w:sz w:val="20"/>
          <w:szCs w:val="20"/>
          <w:color w:val="auto"/>
        </w:rPr>
      </w:pPr>
    </w:p>
    <w:p>
      <w:pPr>
        <w:sectPr>
          <w:pgSz w:w="11900" w:h="16838" w:orient="portrait"/>
          <w:cols w:equalWidth="0" w:num="2">
            <w:col w:w="780" w:space="200"/>
            <w:col w:w="10420"/>
          </w:cols>
          <w:pgMar w:left="240" w:top="1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167" w:lineRule="exact"/>
        <w:rPr>
          <w:sz w:val="20"/>
          <w:szCs w:val="20"/>
          <w:color w:val="auto"/>
        </w:rPr>
      </w:pPr>
    </w:p>
    <w:p>
      <w:pPr>
        <w:sectPr>
          <w:pgSz w:w="11900" w:h="16838" w:orient="portrait"/>
          <w:cols w:equalWidth="0" w:num="2">
            <w:col w:w="760" w:space="220"/>
            <w:col w:w="10420"/>
          </w:cols>
          <w:pgMar w:left="240" w:top="1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200" w:lineRule="exact"/>
        <w:rPr>
          <w:sz w:val="20"/>
          <w:szCs w:val="20"/>
          <w:color w:val="auto"/>
        </w:rPr>
      </w:pPr>
    </w:p>
    <w:p>
      <w:pPr>
        <w:sectPr>
          <w:pgSz w:w="11900" w:h="16838" w:orient="portrait"/>
          <w:cols w:equalWidth="0" w:num="2">
            <w:col w:w="780" w:space="200"/>
            <w:col w:w="10420"/>
          </w:cols>
          <w:pgMar w:left="240" w:top="141" w:right="259" w:bottom="1440" w:gutter="0" w:footer="0" w:header="0"/>
          <w:type w:val="continuous"/>
        </w:sect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*Management contract or compensation plan or arrangement.</w:t>
      </w:r>
    </w:p>
    <w:p>
      <w:pPr>
        <w:spacing w:after="0" w:line="167"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**Attached as Exhibit 101 to this report are the following financial statements from our Annual Report on Form 10-K for the year ended August 27, 2016 formatted in XBRL: (i) the Consolidated Balance Sheets, (ii) the Consolidated Statements of Operations, (iii) the Consolidated Statements Stockholders' Equity,</w:t>
      </w:r>
    </w:p>
    <w:p>
      <w:pPr>
        <w:spacing w:after="0" w:line="1" w:lineRule="exact"/>
        <w:rPr>
          <w:sz w:val="20"/>
          <w:szCs w:val="20"/>
          <w:color w:val="auto"/>
        </w:rPr>
      </w:pPr>
    </w:p>
    <w:p>
      <w:pPr>
        <w:ind w:right="100" w:firstLine="8"/>
        <w:spacing w:after="0" w:line="260" w:lineRule="auto"/>
        <w:tabs>
          <w:tab w:leader="none" w:pos="27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Consolidated Statement of Cash Flows, and (v) related notes to these financial statements. Such exhibits are deemed furnished and not filed pursuant to Rule 406T of Regulation S-T.</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00"/>
          </w:cols>
          <w:pgMar w:left="240" w:top="141" w:right="259" w:bottom="1440" w:gutter="0" w:footer="0" w:header="0"/>
          <w:type w:val="continuous"/>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2"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2040" w:type="dxa"/>
            <w:vAlign w:val="bottom"/>
            <w:gridSpan w:val="5"/>
          </w:tcPr>
          <w:p>
            <w:pPr>
              <w:ind w:left="164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3780" w:type="dxa"/>
            <w:vAlign w:val="bottom"/>
          </w:tcPr>
          <w:p>
            <w:pPr>
              <w:spacing w:after="0"/>
              <w:rPr>
                <w:sz w:val="20"/>
                <w:szCs w:val="20"/>
                <w:color w:val="auto"/>
              </w:rPr>
            </w:pPr>
            <w:r>
              <w:rPr>
                <w:rFonts w:ascii="Arial" w:cs="Arial" w:eastAsia="Arial" w:hAnsi="Arial"/>
                <w:sz w:val="13"/>
                <w:szCs w:val="13"/>
                <w:b w:val="1"/>
                <w:bCs w:val="1"/>
                <w:color w:val="auto"/>
              </w:rPr>
              <w:t>BOARD OF DIRECTORS</w:t>
            </w:r>
          </w:p>
        </w:tc>
        <w:tc>
          <w:tcPr>
            <w:tcW w:w="3420" w:type="dxa"/>
            <w:vAlign w:val="bottom"/>
            <w:gridSpan w:val="6"/>
          </w:tcPr>
          <w:p>
            <w:pPr>
              <w:spacing w:after="0"/>
              <w:rPr>
                <w:sz w:val="20"/>
                <w:szCs w:val="20"/>
                <w:color w:val="auto"/>
              </w:rPr>
            </w:pPr>
            <w:r>
              <w:rPr>
                <w:rFonts w:ascii="Arial" w:cs="Arial" w:eastAsia="Arial" w:hAnsi="Arial"/>
                <w:sz w:val="13"/>
                <w:szCs w:val="13"/>
                <w:b w:val="1"/>
                <w:bCs w:val="1"/>
                <w:color w:val="auto"/>
              </w:rPr>
              <w:t>SHAREHOLDER INFORMATION</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Michael J. Happe (45)</w:t>
            </w:r>
          </w:p>
        </w:tc>
        <w:tc>
          <w:tcPr>
            <w:tcW w:w="3420" w:type="dxa"/>
            <w:vAlign w:val="bottom"/>
            <w:gridSpan w:val="6"/>
            <w:vMerge w:val="restart"/>
          </w:tcPr>
          <w:p>
            <w:pPr>
              <w:spacing w:after="0"/>
              <w:rPr>
                <w:sz w:val="20"/>
                <w:szCs w:val="20"/>
                <w:color w:val="auto"/>
              </w:rPr>
            </w:pPr>
            <w:r>
              <w:rPr>
                <w:rFonts w:ascii="Arial" w:cs="Arial" w:eastAsia="Arial" w:hAnsi="Arial"/>
                <w:sz w:val="13"/>
                <w:szCs w:val="13"/>
                <w:b w:val="1"/>
                <w:bCs w:val="1"/>
                <w:color w:val="auto"/>
              </w:rPr>
              <w:t>Publications</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President, Chief Executive Officer</w:t>
            </w:r>
          </w:p>
        </w:tc>
        <w:tc>
          <w:tcPr>
            <w:tcW w:w="34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Winnebago Industries, Inc.</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A notice of Annual Meeting of Shareholders and Proxy</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Statement is furnished to shareholders upon request in</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Christopher J. Braun (50) 1</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advance of the annual meeting.</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Former Chief Executive Officer</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Teton Buildings</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Copies of our quarterly financial earnings releases, the</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w w:val="99"/>
              </w:rPr>
              <w:t>annual report on Form 10-K (without exhibits), the quarterly</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Robert M. Chiusano (65)** 2</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reports on Form 10-Q (without exhibits) and current reports</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Chairman of the Board</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on Form 8-K (without exhibits) as filed by us with the</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Winnebago Industries, Inc.</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Securities and Exchange Commission, may be obtained</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Former Executive Vice President and Chief</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without charge from the corporate offices as follows:</w:t>
            </w:r>
          </w:p>
        </w:tc>
        <w:tc>
          <w:tcPr>
            <w:tcW w:w="0" w:type="dxa"/>
            <w:vAlign w:val="bottom"/>
          </w:tcPr>
          <w:p>
            <w:pPr>
              <w:spacing w:after="0"/>
              <w:rPr>
                <w:sz w:val="1"/>
                <w:szCs w:val="1"/>
                <w:color w:val="auto"/>
              </w:rPr>
            </w:pPr>
          </w:p>
        </w:tc>
      </w:tr>
      <w:tr>
        <w:trPr>
          <w:trHeight w:val="135"/>
        </w:trPr>
        <w:tc>
          <w:tcPr>
            <w:tcW w:w="3780" w:type="dxa"/>
            <w:vAlign w:val="bottom"/>
          </w:tcPr>
          <w:p>
            <w:pPr>
              <w:ind w:left="180"/>
              <w:spacing w:after="0" w:line="135" w:lineRule="exact"/>
              <w:rPr>
                <w:sz w:val="20"/>
                <w:szCs w:val="20"/>
                <w:color w:val="auto"/>
              </w:rPr>
            </w:pPr>
            <w:r>
              <w:rPr>
                <w:rFonts w:ascii="Arial" w:cs="Arial" w:eastAsia="Arial" w:hAnsi="Arial"/>
                <w:sz w:val="13"/>
                <w:szCs w:val="13"/>
                <w:color w:val="auto"/>
              </w:rPr>
              <w:t>Operating Officer - Commercial Systems</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Rockwell Collins, Inc.</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Sam Jefson, PR Specialist</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Winnebago Industries, Inc.</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Jerry N. Currie (71) 1,3</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605 W. Crystal Lake Road</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Former President and Chief Executive Officer</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P.O. Box 152</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CURRIES Company</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Forest City, Iowa 50436-0152</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Telephone: (641) 585-3535</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Lawrence A. Erickson (67) 2</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Fax: (641) 585-6966</w:t>
            </w:r>
          </w:p>
        </w:tc>
        <w:tc>
          <w:tcPr>
            <w:tcW w:w="0" w:type="dxa"/>
            <w:vAlign w:val="bottom"/>
          </w:tcPr>
          <w:p>
            <w:pPr>
              <w:spacing w:after="0"/>
              <w:rPr>
                <w:sz w:val="1"/>
                <w:szCs w:val="1"/>
                <w:color w:val="auto"/>
              </w:rPr>
            </w:pPr>
          </w:p>
        </w:tc>
      </w:tr>
      <w:tr>
        <w:trPr>
          <w:trHeight w:val="128"/>
        </w:trPr>
        <w:tc>
          <w:tcPr>
            <w:tcW w:w="3780" w:type="dxa"/>
            <w:vAlign w:val="bottom"/>
          </w:tcPr>
          <w:p>
            <w:pPr>
              <w:spacing w:after="0" w:line="128" w:lineRule="exact"/>
              <w:rPr>
                <w:sz w:val="20"/>
                <w:szCs w:val="20"/>
                <w:color w:val="auto"/>
              </w:rPr>
            </w:pPr>
            <w:r>
              <w:rPr>
                <w:rFonts w:ascii="Arial" w:cs="Arial" w:eastAsia="Arial" w:hAnsi="Arial"/>
                <w:sz w:val="13"/>
                <w:szCs w:val="13"/>
                <w:color w:val="auto"/>
              </w:rPr>
              <w:t>Former Senior Vice President and Chief</w:t>
            </w:r>
          </w:p>
        </w:tc>
        <w:tc>
          <w:tcPr>
            <w:tcW w:w="3420" w:type="dxa"/>
            <w:vAlign w:val="bottom"/>
            <w:gridSpan w:val="6"/>
          </w:tcPr>
          <w:p>
            <w:pPr>
              <w:spacing w:after="0" w:line="128" w:lineRule="exact"/>
              <w:rPr>
                <w:sz w:val="20"/>
                <w:szCs w:val="20"/>
                <w:color w:val="auto"/>
              </w:rPr>
            </w:pPr>
            <w:r>
              <w:rPr>
                <w:rFonts w:ascii="Arial" w:cs="Arial" w:eastAsia="Arial" w:hAnsi="Arial"/>
                <w:sz w:val="13"/>
                <w:szCs w:val="13"/>
                <w:color w:val="auto"/>
              </w:rPr>
              <w:t>E-Mail: ir@wgo.net</w:t>
            </w:r>
          </w:p>
        </w:tc>
        <w:tc>
          <w:tcPr>
            <w:tcW w:w="0" w:type="dxa"/>
            <w:vAlign w:val="bottom"/>
          </w:tcPr>
          <w:p>
            <w:pPr>
              <w:spacing w:after="0"/>
              <w:rPr>
                <w:sz w:val="1"/>
                <w:szCs w:val="1"/>
                <w:color w:val="auto"/>
              </w:rPr>
            </w:pPr>
          </w:p>
        </w:tc>
      </w:tr>
      <w:tr>
        <w:trPr>
          <w:trHeight w:val="123"/>
        </w:trPr>
        <w:tc>
          <w:tcPr>
            <w:tcW w:w="3780" w:type="dxa"/>
            <w:vAlign w:val="bottom"/>
          </w:tcPr>
          <w:p>
            <w:pPr>
              <w:ind w:left="180"/>
              <w:spacing w:after="0" w:line="123" w:lineRule="exact"/>
              <w:rPr>
                <w:sz w:val="20"/>
                <w:szCs w:val="20"/>
                <w:color w:val="auto"/>
              </w:rPr>
            </w:pPr>
            <w:r>
              <w:rPr>
                <w:rFonts w:ascii="Arial" w:cs="Arial" w:eastAsia="Arial" w:hAnsi="Arial"/>
                <w:sz w:val="13"/>
                <w:szCs w:val="13"/>
                <w:color w:val="auto"/>
              </w:rPr>
              <w:t>Financial Officer</w:t>
            </w:r>
          </w:p>
        </w:tc>
        <w:tc>
          <w:tcPr>
            <w:tcW w:w="4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20"/>
                <w:szCs w:val="20"/>
                <w:color w:val="auto"/>
              </w:rPr>
            </w:pPr>
            <w:r>
              <w:rPr>
                <w:rFonts w:ascii="Arial" w:cs="Arial" w:eastAsia="Arial" w:hAnsi="Arial"/>
                <w:sz w:val="13"/>
                <w:szCs w:val="13"/>
                <w:color w:val="auto"/>
              </w:rPr>
              <w:t>Rockwell Collins, Inc.</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3780" w:type="dxa"/>
            <w:vAlign w:val="bottom"/>
          </w:tcPr>
          <w:p>
            <w:pPr>
              <w:spacing w:after="0"/>
              <w:rPr>
                <w:sz w:val="20"/>
                <w:szCs w:val="20"/>
                <w:color w:val="auto"/>
              </w:rPr>
            </w:pPr>
            <w:r>
              <w:rPr>
                <w:rFonts w:ascii="Arial" w:cs="Arial" w:eastAsia="Arial" w:hAnsi="Arial"/>
                <w:sz w:val="13"/>
                <w:szCs w:val="13"/>
                <w:color w:val="auto"/>
              </w:rPr>
              <w:t>William C. Fisher (62) 2*</w:t>
            </w: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Former Vice President and Chief Information</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ind w:left="180"/>
              <w:spacing w:after="0" w:line="135" w:lineRule="exact"/>
              <w:rPr>
                <w:sz w:val="20"/>
                <w:szCs w:val="20"/>
                <w:color w:val="auto"/>
              </w:rPr>
            </w:pPr>
            <w:r>
              <w:rPr>
                <w:rFonts w:ascii="Arial" w:cs="Arial" w:eastAsia="Arial" w:hAnsi="Arial"/>
                <w:sz w:val="13"/>
                <w:szCs w:val="13"/>
                <w:color w:val="auto"/>
              </w:rPr>
              <w:t>Officer</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20"/>
                <w:szCs w:val="20"/>
                <w:color w:val="auto"/>
              </w:rPr>
            </w:pPr>
            <w:r>
              <w:rPr>
                <w:rFonts w:ascii="Arial" w:cs="Arial" w:eastAsia="Arial" w:hAnsi="Arial"/>
                <w:sz w:val="13"/>
                <w:szCs w:val="13"/>
                <w:color w:val="auto"/>
              </w:rPr>
              <w:t>Polaris Industries, Inc.</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3780" w:type="dxa"/>
            <w:vAlign w:val="bottom"/>
          </w:tcPr>
          <w:p>
            <w:pPr>
              <w:spacing w:after="0"/>
              <w:rPr>
                <w:sz w:val="20"/>
                <w:szCs w:val="20"/>
                <w:color w:val="auto"/>
              </w:rPr>
            </w:pPr>
            <w:r>
              <w:rPr>
                <w:rFonts w:ascii="Arial" w:cs="Arial" w:eastAsia="Arial" w:hAnsi="Arial"/>
                <w:sz w:val="13"/>
                <w:szCs w:val="13"/>
                <w:color w:val="auto"/>
              </w:rPr>
              <w:t>David W. Miles (59) 1</w:t>
            </w: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Chairman and Principal Owner</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20"/>
                <w:szCs w:val="20"/>
                <w:color w:val="auto"/>
              </w:rPr>
            </w:pPr>
            <w:r>
              <w:rPr>
                <w:rFonts w:ascii="Arial" w:cs="Arial" w:eastAsia="Arial" w:hAnsi="Arial"/>
                <w:sz w:val="13"/>
                <w:szCs w:val="13"/>
                <w:color w:val="auto"/>
              </w:rPr>
              <w:t>Miles Capital, Inc.</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3780" w:type="dxa"/>
            <w:vAlign w:val="bottom"/>
          </w:tcPr>
          <w:p>
            <w:pPr>
              <w:spacing w:after="0"/>
              <w:rPr>
                <w:sz w:val="20"/>
                <w:szCs w:val="20"/>
                <w:color w:val="auto"/>
              </w:rPr>
            </w:pPr>
            <w:r>
              <w:rPr>
                <w:rFonts w:ascii="Arial" w:cs="Arial" w:eastAsia="Arial" w:hAnsi="Arial"/>
                <w:sz w:val="13"/>
                <w:szCs w:val="13"/>
                <w:color w:val="auto"/>
              </w:rPr>
              <w:t>Martha T. Rodamaker (54) 2,3*</w:t>
            </w: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President and Chief Executive Officer</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20"/>
                <w:szCs w:val="20"/>
                <w:color w:val="auto"/>
              </w:rPr>
            </w:pPr>
            <w:r>
              <w:rPr>
                <w:rFonts w:ascii="Arial" w:cs="Arial" w:eastAsia="Arial" w:hAnsi="Arial"/>
                <w:sz w:val="13"/>
                <w:szCs w:val="13"/>
                <w:color w:val="auto"/>
              </w:rPr>
              <w:t>First Citizens National Bank</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3780" w:type="dxa"/>
            <w:vAlign w:val="bottom"/>
          </w:tcPr>
          <w:p>
            <w:pPr>
              <w:spacing w:after="0"/>
              <w:rPr>
                <w:sz w:val="20"/>
                <w:szCs w:val="20"/>
                <w:color w:val="auto"/>
              </w:rPr>
            </w:pPr>
            <w:r>
              <w:rPr>
                <w:rFonts w:ascii="Arial" w:cs="Arial" w:eastAsia="Arial" w:hAnsi="Arial"/>
                <w:sz w:val="13"/>
                <w:szCs w:val="13"/>
                <w:color w:val="auto"/>
              </w:rPr>
              <w:t>Mark T. Schroepfer (69) 1*</w:t>
            </w: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Former President and Chief Executive Officer</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20"/>
                <w:szCs w:val="20"/>
                <w:color w:val="auto"/>
              </w:rPr>
            </w:pPr>
            <w:r>
              <w:rPr>
                <w:rFonts w:ascii="Arial" w:cs="Arial" w:eastAsia="Arial" w:hAnsi="Arial"/>
                <w:sz w:val="13"/>
                <w:szCs w:val="13"/>
                <w:color w:val="auto"/>
              </w:rPr>
              <w:t>Lincoln Industrial Corp</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780" w:type="dxa"/>
            <w:vAlign w:val="bottom"/>
          </w:tcPr>
          <w:p>
            <w:pPr>
              <w:spacing w:after="0"/>
              <w:rPr>
                <w:sz w:val="20"/>
                <w:szCs w:val="20"/>
                <w:color w:val="auto"/>
              </w:rPr>
            </w:pPr>
            <w:r>
              <w:rPr>
                <w:rFonts w:ascii="Arial" w:cs="Arial" w:eastAsia="Arial" w:hAnsi="Arial"/>
                <w:sz w:val="13"/>
                <w:szCs w:val="13"/>
                <w:color w:val="auto"/>
              </w:rPr>
              <w:t>Board Committee/Members</w:t>
            </w:r>
          </w:p>
        </w:tc>
        <w:tc>
          <w:tcPr>
            <w:tcW w:w="3420" w:type="dxa"/>
            <w:vAlign w:val="bottom"/>
            <w:gridSpan w:val="6"/>
            <w:vMerge w:val="restart"/>
          </w:tcPr>
          <w:p>
            <w:pPr>
              <w:spacing w:after="0"/>
              <w:rPr>
                <w:sz w:val="20"/>
                <w:szCs w:val="20"/>
                <w:color w:val="auto"/>
              </w:rPr>
            </w:pPr>
            <w:r>
              <w:rPr>
                <w:rFonts w:ascii="Arial" w:cs="Arial" w:eastAsia="Arial" w:hAnsi="Arial"/>
                <w:sz w:val="13"/>
                <w:szCs w:val="13"/>
                <w:color w:val="auto"/>
              </w:rPr>
              <w:t>All news releases issued by us, reports filed by us with the</w:t>
            </w:r>
          </w:p>
        </w:tc>
        <w:tc>
          <w:tcPr>
            <w:tcW w:w="0" w:type="dxa"/>
            <w:vAlign w:val="bottom"/>
          </w:tcPr>
          <w:p>
            <w:pPr>
              <w:spacing w:after="0"/>
              <w:rPr>
                <w:sz w:val="1"/>
                <w:szCs w:val="1"/>
                <w:color w:val="auto"/>
              </w:rPr>
            </w:pPr>
          </w:p>
        </w:tc>
      </w:tr>
      <w:tr>
        <w:trPr>
          <w:trHeight w:val="122"/>
        </w:trPr>
        <w:tc>
          <w:tcPr>
            <w:tcW w:w="3780" w:type="dxa"/>
            <w:vAlign w:val="bottom"/>
          </w:tcPr>
          <w:p>
            <w:pPr>
              <w:spacing w:after="0" w:line="122" w:lineRule="exact"/>
              <w:rPr>
                <w:sz w:val="20"/>
                <w:szCs w:val="20"/>
                <w:color w:val="auto"/>
              </w:rPr>
            </w:pPr>
            <w:r>
              <w:rPr>
                <w:rFonts w:ascii="Arial" w:cs="Arial" w:eastAsia="Arial" w:hAnsi="Arial"/>
                <w:sz w:val="13"/>
                <w:szCs w:val="13"/>
                <w:color w:val="auto"/>
              </w:rPr>
              <w:t>1. Audit</w:t>
            </w:r>
          </w:p>
        </w:tc>
        <w:tc>
          <w:tcPr>
            <w:tcW w:w="34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2. Human Resources</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Securities and Exchange Commission (including exhibits)</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3. Nominating and Governance</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and information on our Corporate Governance Policies and</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 Committee Chairman</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w w:val="96"/>
              </w:rPr>
              <w:t>Procedures may also be viewed at the Winnebago Industries'</w:t>
            </w:r>
          </w:p>
        </w:tc>
        <w:tc>
          <w:tcPr>
            <w:tcW w:w="0" w:type="dxa"/>
            <w:vAlign w:val="bottom"/>
          </w:tcPr>
          <w:p>
            <w:pPr>
              <w:spacing w:after="0"/>
              <w:rPr>
                <w:sz w:val="1"/>
                <w:szCs w:val="1"/>
                <w:color w:val="auto"/>
              </w:rPr>
            </w:pPr>
          </w:p>
        </w:tc>
      </w:tr>
      <w:tr>
        <w:trPr>
          <w:trHeight w:val="128"/>
        </w:trPr>
        <w:tc>
          <w:tcPr>
            <w:tcW w:w="3780" w:type="dxa"/>
            <w:vAlign w:val="bottom"/>
          </w:tcPr>
          <w:p>
            <w:pPr>
              <w:spacing w:after="0" w:line="108" w:lineRule="exact"/>
              <w:rPr>
                <w:sz w:val="20"/>
                <w:szCs w:val="20"/>
                <w:color w:val="auto"/>
              </w:rPr>
            </w:pPr>
            <w:r>
              <w:rPr>
                <w:rFonts w:ascii="Arial" w:cs="Arial" w:eastAsia="Arial" w:hAnsi="Arial"/>
                <w:sz w:val="12"/>
                <w:szCs w:val="12"/>
                <w:color w:val="auto"/>
              </w:rPr>
              <w:t>** Lead Independent Director</w:t>
            </w:r>
          </w:p>
        </w:tc>
        <w:tc>
          <w:tcPr>
            <w:tcW w:w="3420" w:type="dxa"/>
            <w:vAlign w:val="bottom"/>
            <w:gridSpan w:val="6"/>
          </w:tcPr>
          <w:p>
            <w:pPr>
              <w:spacing w:after="0" w:line="108" w:lineRule="exact"/>
              <w:rPr>
                <w:sz w:val="20"/>
                <w:szCs w:val="20"/>
                <w:color w:val="auto"/>
              </w:rPr>
            </w:pPr>
            <w:r>
              <w:rPr>
                <w:rFonts w:ascii="Arial" w:cs="Arial" w:eastAsia="Arial" w:hAnsi="Arial"/>
                <w:sz w:val="12"/>
                <w:szCs w:val="12"/>
                <w:color w:val="auto"/>
              </w:rPr>
              <w:t>website: http://wgo.net/investor.html. Information contained</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80" w:type="dxa"/>
            <w:vAlign w:val="bottom"/>
            <w:vMerge w:val="restart"/>
          </w:tcPr>
          <w:p>
            <w:pPr>
              <w:spacing w:after="0" w:line="143" w:lineRule="exact"/>
              <w:rPr>
                <w:sz w:val="20"/>
                <w:szCs w:val="20"/>
                <w:color w:val="auto"/>
              </w:rPr>
            </w:pPr>
            <w:r>
              <w:rPr>
                <w:rFonts w:ascii="Arial" w:cs="Arial" w:eastAsia="Arial" w:hAnsi="Arial"/>
                <w:sz w:val="13"/>
                <w:szCs w:val="13"/>
                <w:color w:val="auto"/>
              </w:rPr>
              <w:t>not incorporated into</w:t>
            </w:r>
          </w:p>
        </w:tc>
        <w:tc>
          <w:tcPr>
            <w:tcW w:w="0" w:type="dxa"/>
            <w:vAlign w:val="bottom"/>
          </w:tcPr>
          <w:p>
            <w:pPr>
              <w:spacing w:after="0" w:line="20" w:lineRule="exact"/>
              <w:rPr>
                <w:sz w:val="1"/>
                <w:szCs w:val="1"/>
                <w:color w:val="auto"/>
              </w:rPr>
            </w:pPr>
          </w:p>
        </w:tc>
      </w:tr>
      <w:tr>
        <w:trPr>
          <w:trHeight w:val="123"/>
        </w:trPr>
        <w:tc>
          <w:tcPr>
            <w:tcW w:w="3780" w:type="dxa"/>
            <w:vAlign w:val="bottom"/>
          </w:tcPr>
          <w:p>
            <w:pPr>
              <w:spacing w:after="0"/>
              <w:rPr>
                <w:sz w:val="10"/>
                <w:szCs w:val="10"/>
                <w:color w:val="auto"/>
              </w:rPr>
            </w:pPr>
          </w:p>
        </w:tc>
        <w:tc>
          <w:tcPr>
            <w:tcW w:w="2040" w:type="dxa"/>
            <w:vAlign w:val="bottom"/>
            <w:gridSpan w:val="5"/>
          </w:tcPr>
          <w:p>
            <w:pPr>
              <w:spacing w:after="0" w:line="123" w:lineRule="exact"/>
              <w:rPr>
                <w:sz w:val="20"/>
                <w:szCs w:val="20"/>
                <w:color w:val="auto"/>
              </w:rPr>
            </w:pPr>
            <w:r>
              <w:rPr>
                <w:rFonts w:ascii="Arial" w:cs="Arial" w:eastAsia="Arial" w:hAnsi="Arial"/>
                <w:sz w:val="13"/>
                <w:szCs w:val="13"/>
                <w:color w:val="auto"/>
                <w:w w:val="97"/>
              </w:rPr>
              <w:t>on Winnebago Industries' website is</w:t>
            </w: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3420" w:type="dxa"/>
            <w:vAlign w:val="bottom"/>
            <w:gridSpan w:val="6"/>
          </w:tcPr>
          <w:p>
            <w:pPr>
              <w:spacing w:after="0"/>
              <w:rPr>
                <w:sz w:val="20"/>
                <w:szCs w:val="20"/>
                <w:color w:val="auto"/>
              </w:rPr>
            </w:pPr>
            <w:r>
              <w:rPr>
                <w:rFonts w:ascii="Arial" w:cs="Arial" w:eastAsia="Arial" w:hAnsi="Arial"/>
                <w:sz w:val="13"/>
                <w:szCs w:val="13"/>
                <w:color w:val="auto"/>
              </w:rPr>
              <w:t>this Annual Report or other securities filings.</w:t>
            </w:r>
          </w:p>
        </w:tc>
        <w:tc>
          <w:tcPr>
            <w:tcW w:w="0" w:type="dxa"/>
            <w:vAlign w:val="bottom"/>
          </w:tcPr>
          <w:p>
            <w:pPr>
              <w:spacing w:after="0"/>
              <w:rPr>
                <w:sz w:val="1"/>
                <w:szCs w:val="1"/>
                <w:color w:val="auto"/>
              </w:rPr>
            </w:pPr>
          </w:p>
        </w:tc>
      </w:tr>
      <w:tr>
        <w:trPr>
          <w:trHeight w:val="294"/>
        </w:trPr>
        <w:tc>
          <w:tcPr>
            <w:tcW w:w="3780" w:type="dxa"/>
            <w:vAlign w:val="bottom"/>
          </w:tcPr>
          <w:p>
            <w:pPr>
              <w:spacing w:after="0"/>
              <w:rPr>
                <w:sz w:val="20"/>
                <w:szCs w:val="20"/>
                <w:color w:val="auto"/>
              </w:rPr>
            </w:pPr>
            <w:r>
              <w:rPr>
                <w:rFonts w:ascii="Arial" w:cs="Arial" w:eastAsia="Arial" w:hAnsi="Arial"/>
                <w:sz w:val="13"/>
                <w:szCs w:val="13"/>
                <w:b w:val="1"/>
                <w:bCs w:val="1"/>
                <w:color w:val="auto"/>
              </w:rPr>
              <w:t>OFFICERS</w:t>
            </w:r>
          </w:p>
        </w:tc>
        <w:tc>
          <w:tcPr>
            <w:tcW w:w="3420" w:type="dxa"/>
            <w:vAlign w:val="bottom"/>
            <w:gridSpan w:val="6"/>
          </w:tcPr>
          <w:p>
            <w:pPr>
              <w:spacing w:after="0"/>
              <w:rPr>
                <w:sz w:val="20"/>
                <w:szCs w:val="20"/>
                <w:color w:val="auto"/>
              </w:rPr>
            </w:pPr>
            <w:r>
              <w:rPr>
                <w:rFonts w:ascii="Arial" w:cs="Arial" w:eastAsia="Arial" w:hAnsi="Arial"/>
                <w:sz w:val="13"/>
                <w:szCs w:val="13"/>
                <w:b w:val="1"/>
                <w:bCs w:val="1"/>
                <w:color w:val="auto"/>
              </w:rPr>
              <w:t>Number of Shareholders of Record</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Michael J. Happe (45)</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As of October 10, 2016, Winnebago Industries had 2,893</w:t>
            </w:r>
          </w:p>
        </w:tc>
        <w:tc>
          <w:tcPr>
            <w:tcW w:w="0" w:type="dxa"/>
            <w:vAlign w:val="bottom"/>
          </w:tcPr>
          <w:p>
            <w:pPr>
              <w:spacing w:after="0"/>
              <w:rPr>
                <w:sz w:val="1"/>
                <w:szCs w:val="1"/>
                <w:color w:val="auto"/>
              </w:rPr>
            </w:pPr>
          </w:p>
        </w:tc>
      </w:tr>
      <w:tr>
        <w:trPr>
          <w:trHeight w:val="152"/>
        </w:trPr>
        <w:tc>
          <w:tcPr>
            <w:tcW w:w="3780" w:type="dxa"/>
            <w:vAlign w:val="bottom"/>
          </w:tcPr>
          <w:p>
            <w:pPr>
              <w:spacing w:after="0"/>
              <w:rPr>
                <w:sz w:val="20"/>
                <w:szCs w:val="20"/>
                <w:color w:val="auto"/>
              </w:rPr>
            </w:pPr>
            <w:r>
              <w:rPr>
                <w:rFonts w:ascii="Arial" w:cs="Arial" w:eastAsia="Arial" w:hAnsi="Arial"/>
                <w:sz w:val="13"/>
                <w:szCs w:val="13"/>
                <w:color w:val="auto"/>
              </w:rPr>
              <w:t>President, Chief Executive Officer</w:t>
            </w:r>
          </w:p>
        </w:tc>
        <w:tc>
          <w:tcPr>
            <w:tcW w:w="3420" w:type="dxa"/>
            <w:vAlign w:val="bottom"/>
            <w:gridSpan w:val="6"/>
          </w:tcPr>
          <w:p>
            <w:pPr>
              <w:spacing w:after="0"/>
              <w:rPr>
                <w:sz w:val="20"/>
                <w:szCs w:val="20"/>
                <w:color w:val="auto"/>
              </w:rPr>
            </w:pPr>
            <w:r>
              <w:rPr>
                <w:rFonts w:ascii="Arial" w:cs="Arial" w:eastAsia="Arial" w:hAnsi="Arial"/>
                <w:sz w:val="13"/>
                <w:szCs w:val="13"/>
                <w:color w:val="auto"/>
              </w:rPr>
              <w:t>shareholders of record.</w:t>
            </w:r>
          </w:p>
        </w:tc>
        <w:tc>
          <w:tcPr>
            <w:tcW w:w="0" w:type="dxa"/>
            <w:vAlign w:val="bottom"/>
          </w:tcPr>
          <w:p>
            <w:pPr>
              <w:spacing w:after="0"/>
              <w:rPr>
                <w:sz w:val="1"/>
                <w:szCs w:val="1"/>
                <w:color w:val="auto"/>
              </w:rPr>
            </w:pPr>
          </w:p>
        </w:tc>
      </w:tr>
      <w:tr>
        <w:trPr>
          <w:trHeight w:val="253"/>
        </w:trPr>
        <w:tc>
          <w:tcPr>
            <w:tcW w:w="3780" w:type="dxa"/>
            <w:vAlign w:val="bottom"/>
          </w:tcPr>
          <w:p>
            <w:pPr>
              <w:spacing w:after="0"/>
              <w:rPr>
                <w:sz w:val="20"/>
                <w:szCs w:val="20"/>
                <w:color w:val="auto"/>
              </w:rPr>
            </w:pPr>
            <w:r>
              <w:rPr>
                <w:rFonts w:ascii="Arial" w:cs="Arial" w:eastAsia="Arial" w:hAnsi="Arial"/>
                <w:sz w:val="13"/>
                <w:szCs w:val="13"/>
                <w:color w:val="auto"/>
              </w:rPr>
              <w:t>Ashis N. Bhattacharya (53)</w:t>
            </w:r>
          </w:p>
        </w:tc>
        <w:tc>
          <w:tcPr>
            <w:tcW w:w="3420" w:type="dxa"/>
            <w:vAlign w:val="bottom"/>
            <w:gridSpan w:val="6"/>
          </w:tcPr>
          <w:p>
            <w:pPr>
              <w:spacing w:after="0"/>
              <w:rPr>
                <w:sz w:val="20"/>
                <w:szCs w:val="20"/>
                <w:color w:val="auto"/>
              </w:rPr>
            </w:pPr>
            <w:r>
              <w:rPr>
                <w:rFonts w:ascii="Arial" w:cs="Arial" w:eastAsia="Arial" w:hAnsi="Arial"/>
                <w:sz w:val="13"/>
                <w:szCs w:val="13"/>
                <w:b w:val="1"/>
                <w:bCs w:val="1"/>
                <w:color w:val="auto"/>
              </w:rPr>
              <w:t>Dividends Paid</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Vice President, Stategic Planning and</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Quarterly cash dividends of $0.10 were paid in Fiscal 2016</w:t>
            </w:r>
          </w:p>
        </w:tc>
        <w:tc>
          <w:tcPr>
            <w:tcW w:w="0" w:type="dxa"/>
            <w:vAlign w:val="bottom"/>
          </w:tcPr>
          <w:p>
            <w:pPr>
              <w:spacing w:after="0"/>
              <w:rPr>
                <w:sz w:val="1"/>
                <w:szCs w:val="1"/>
                <w:color w:val="auto"/>
              </w:rPr>
            </w:pPr>
          </w:p>
        </w:tc>
      </w:tr>
      <w:tr>
        <w:trPr>
          <w:trHeight w:val="152"/>
        </w:trPr>
        <w:tc>
          <w:tcPr>
            <w:tcW w:w="3780" w:type="dxa"/>
            <w:vAlign w:val="bottom"/>
          </w:tcPr>
          <w:p>
            <w:pPr>
              <w:ind w:left="120"/>
              <w:spacing w:after="0"/>
              <w:rPr>
                <w:sz w:val="20"/>
                <w:szCs w:val="20"/>
                <w:color w:val="auto"/>
              </w:rPr>
            </w:pPr>
            <w:r>
              <w:rPr>
                <w:rFonts w:ascii="Arial" w:cs="Arial" w:eastAsia="Arial" w:hAnsi="Arial"/>
                <w:sz w:val="13"/>
                <w:szCs w:val="13"/>
                <w:color w:val="auto"/>
              </w:rPr>
              <w:t>Development</w:t>
            </w:r>
          </w:p>
        </w:tc>
        <w:tc>
          <w:tcPr>
            <w:tcW w:w="3420" w:type="dxa"/>
            <w:vAlign w:val="bottom"/>
            <w:gridSpan w:val="6"/>
          </w:tcPr>
          <w:p>
            <w:pPr>
              <w:spacing w:after="0"/>
              <w:rPr>
                <w:sz w:val="20"/>
                <w:szCs w:val="20"/>
                <w:color w:val="auto"/>
              </w:rPr>
            </w:pPr>
            <w:r>
              <w:rPr>
                <w:rFonts w:ascii="Arial" w:cs="Arial" w:eastAsia="Arial" w:hAnsi="Arial"/>
                <w:sz w:val="13"/>
                <w:szCs w:val="13"/>
                <w:color w:val="auto"/>
              </w:rPr>
              <w:t>and $.09 in Fiscal 2015.</w:t>
            </w:r>
          </w:p>
        </w:tc>
        <w:tc>
          <w:tcPr>
            <w:tcW w:w="0" w:type="dxa"/>
            <w:vAlign w:val="bottom"/>
          </w:tcPr>
          <w:p>
            <w:pPr>
              <w:spacing w:after="0"/>
              <w:rPr>
                <w:sz w:val="1"/>
                <w:szCs w:val="1"/>
                <w:color w:val="auto"/>
              </w:rPr>
            </w:pPr>
          </w:p>
        </w:tc>
      </w:tr>
      <w:tr>
        <w:trPr>
          <w:trHeight w:val="253"/>
        </w:trPr>
        <w:tc>
          <w:tcPr>
            <w:tcW w:w="3780" w:type="dxa"/>
            <w:vAlign w:val="bottom"/>
          </w:tcPr>
          <w:p>
            <w:pPr>
              <w:spacing w:after="0"/>
              <w:rPr>
                <w:sz w:val="20"/>
                <w:szCs w:val="20"/>
                <w:color w:val="auto"/>
              </w:rPr>
            </w:pPr>
            <w:r>
              <w:rPr>
                <w:rFonts w:ascii="Arial" w:cs="Arial" w:eastAsia="Arial" w:hAnsi="Arial"/>
                <w:sz w:val="13"/>
                <w:szCs w:val="13"/>
                <w:color w:val="auto"/>
              </w:rPr>
              <w:t>S. Scott Degnan (51)</w:t>
            </w:r>
          </w:p>
        </w:tc>
        <w:tc>
          <w:tcPr>
            <w:tcW w:w="3420" w:type="dxa"/>
            <w:vAlign w:val="bottom"/>
            <w:gridSpan w:val="6"/>
          </w:tcPr>
          <w:p>
            <w:pPr>
              <w:spacing w:after="0"/>
              <w:rPr>
                <w:sz w:val="20"/>
                <w:szCs w:val="20"/>
                <w:color w:val="auto"/>
              </w:rPr>
            </w:pPr>
            <w:r>
              <w:rPr>
                <w:rFonts w:ascii="Arial" w:cs="Arial" w:eastAsia="Arial" w:hAnsi="Arial"/>
                <w:sz w:val="13"/>
                <w:szCs w:val="13"/>
                <w:b w:val="1"/>
                <w:bCs w:val="1"/>
                <w:color w:val="auto"/>
              </w:rPr>
              <w:t>Shareholder Account Assistance</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Vice President &amp; General Manager-Towables</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Transfer Agent to contact for address changes, account</w:t>
            </w:r>
          </w:p>
        </w:tc>
        <w:tc>
          <w:tcPr>
            <w:tcW w:w="0" w:type="dxa"/>
            <w:vAlign w:val="bottom"/>
          </w:tcPr>
          <w:p>
            <w:pPr>
              <w:spacing w:after="0"/>
              <w:rPr>
                <w:sz w:val="1"/>
                <w:szCs w:val="1"/>
                <w:color w:val="auto"/>
              </w:rPr>
            </w:pPr>
          </w:p>
        </w:tc>
      </w:tr>
      <w:tr>
        <w:trPr>
          <w:trHeight w:val="152"/>
        </w:trPr>
        <w:tc>
          <w:tcPr>
            <w:tcW w:w="3780" w:type="dxa"/>
            <w:vAlign w:val="bottom"/>
          </w:tcPr>
          <w:p>
            <w:pPr>
              <w:ind w:left="120"/>
              <w:spacing w:after="0"/>
              <w:rPr>
                <w:sz w:val="20"/>
                <w:szCs w:val="20"/>
                <w:color w:val="auto"/>
              </w:rPr>
            </w:pPr>
            <w:r>
              <w:rPr>
                <w:rFonts w:ascii="Arial" w:cs="Arial" w:eastAsia="Arial" w:hAnsi="Arial"/>
                <w:sz w:val="13"/>
                <w:szCs w:val="13"/>
                <w:color w:val="auto"/>
              </w:rPr>
              <w:t>Business</w:t>
            </w:r>
          </w:p>
        </w:tc>
        <w:tc>
          <w:tcPr>
            <w:tcW w:w="3420" w:type="dxa"/>
            <w:vAlign w:val="bottom"/>
            <w:gridSpan w:val="6"/>
          </w:tcPr>
          <w:p>
            <w:pPr>
              <w:spacing w:after="0"/>
              <w:rPr>
                <w:sz w:val="20"/>
                <w:szCs w:val="20"/>
                <w:color w:val="auto"/>
              </w:rPr>
            </w:pPr>
            <w:r>
              <w:rPr>
                <w:rFonts w:ascii="Arial" w:cs="Arial" w:eastAsia="Arial" w:hAnsi="Arial"/>
                <w:sz w:val="13"/>
                <w:szCs w:val="13"/>
                <w:color w:val="auto"/>
              </w:rPr>
              <w:t>certificates and stock holdings:</w:t>
            </w:r>
          </w:p>
        </w:tc>
        <w:tc>
          <w:tcPr>
            <w:tcW w:w="0" w:type="dxa"/>
            <w:vAlign w:val="bottom"/>
          </w:tcPr>
          <w:p>
            <w:pPr>
              <w:spacing w:after="0"/>
              <w:rPr>
                <w:sz w:val="1"/>
                <w:szCs w:val="1"/>
                <w:color w:val="auto"/>
              </w:rPr>
            </w:pPr>
          </w:p>
        </w:tc>
      </w:tr>
      <w:tr>
        <w:trPr>
          <w:trHeight w:val="253"/>
        </w:trPr>
        <w:tc>
          <w:tcPr>
            <w:tcW w:w="3780" w:type="dxa"/>
            <w:vAlign w:val="bottom"/>
          </w:tcPr>
          <w:p>
            <w:pPr>
              <w:spacing w:after="0"/>
              <w:rPr>
                <w:sz w:val="20"/>
                <w:szCs w:val="20"/>
                <w:color w:val="auto"/>
              </w:rPr>
            </w:pPr>
            <w:r>
              <w:rPr>
                <w:rFonts w:ascii="Arial" w:cs="Arial" w:eastAsia="Arial" w:hAnsi="Arial"/>
                <w:sz w:val="13"/>
                <w:szCs w:val="13"/>
                <w:color w:val="auto"/>
              </w:rPr>
              <w:t>Scott C. Folkers (54)</w:t>
            </w:r>
          </w:p>
        </w:tc>
        <w:tc>
          <w:tcPr>
            <w:tcW w:w="3420" w:type="dxa"/>
            <w:vAlign w:val="bottom"/>
            <w:gridSpan w:val="6"/>
          </w:tcPr>
          <w:p>
            <w:pPr>
              <w:spacing w:after="0"/>
              <w:rPr>
                <w:sz w:val="20"/>
                <w:szCs w:val="20"/>
                <w:color w:val="auto"/>
              </w:rPr>
            </w:pPr>
            <w:r>
              <w:rPr>
                <w:rFonts w:ascii="Arial" w:cs="Arial" w:eastAsia="Arial" w:hAnsi="Arial"/>
                <w:sz w:val="13"/>
                <w:szCs w:val="13"/>
                <w:color w:val="auto"/>
              </w:rPr>
              <w:t>Wells Fargo Shareowner Services</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Vice President, General Counsel and Secretary</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P.O. Box 64854</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St. Paul, MN 55164-0854 or</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Brian D. Hazelton (51)</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1110 Centre Pointe Curve, Suite 101</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Vice President &amp; General Manager-</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Mendota Heights, MN 55120</w:t>
            </w:r>
          </w:p>
        </w:tc>
        <w:tc>
          <w:tcPr>
            <w:tcW w:w="0" w:type="dxa"/>
            <w:vAlign w:val="bottom"/>
          </w:tcPr>
          <w:p>
            <w:pPr>
              <w:spacing w:after="0"/>
              <w:rPr>
                <w:sz w:val="1"/>
                <w:szCs w:val="1"/>
                <w:color w:val="auto"/>
              </w:rPr>
            </w:pPr>
          </w:p>
        </w:tc>
      </w:tr>
      <w:tr>
        <w:trPr>
          <w:trHeight w:val="135"/>
        </w:trPr>
        <w:tc>
          <w:tcPr>
            <w:tcW w:w="3780" w:type="dxa"/>
            <w:vAlign w:val="bottom"/>
          </w:tcPr>
          <w:p>
            <w:pPr>
              <w:ind w:left="120"/>
              <w:spacing w:after="0" w:line="135" w:lineRule="exact"/>
              <w:rPr>
                <w:sz w:val="20"/>
                <w:szCs w:val="20"/>
                <w:color w:val="auto"/>
              </w:rPr>
            </w:pPr>
            <w:r>
              <w:rPr>
                <w:rFonts w:ascii="Arial" w:cs="Arial" w:eastAsia="Arial" w:hAnsi="Arial"/>
                <w:sz w:val="13"/>
                <w:szCs w:val="13"/>
                <w:color w:val="auto"/>
              </w:rPr>
              <w:t>Motorhome Business</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Telephone: (800) 468-9716 or (651) 450-4064</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Inquiries:</w:t>
            </w:r>
          </w:p>
        </w:tc>
        <w:tc>
          <w:tcPr>
            <w:tcW w:w="0" w:type="dxa"/>
            <w:vAlign w:val="bottom"/>
          </w:tcPr>
          <w:p>
            <w:pPr>
              <w:spacing w:after="0"/>
              <w:rPr>
                <w:sz w:val="1"/>
                <w:szCs w:val="1"/>
                <w:color w:val="auto"/>
              </w:rPr>
            </w:pPr>
          </w:p>
        </w:tc>
      </w:tr>
      <w:tr>
        <w:trPr>
          <w:trHeight w:val="128"/>
        </w:trPr>
        <w:tc>
          <w:tcPr>
            <w:tcW w:w="3780" w:type="dxa"/>
            <w:vAlign w:val="bottom"/>
          </w:tcPr>
          <w:p>
            <w:pPr>
              <w:spacing w:after="0" w:line="128" w:lineRule="exact"/>
              <w:rPr>
                <w:sz w:val="20"/>
                <w:szCs w:val="20"/>
                <w:color w:val="auto"/>
              </w:rPr>
            </w:pPr>
            <w:r>
              <w:rPr>
                <w:rFonts w:ascii="Arial" w:cs="Arial" w:eastAsia="Arial" w:hAnsi="Arial"/>
                <w:sz w:val="13"/>
                <w:szCs w:val="13"/>
                <w:color w:val="auto"/>
              </w:rPr>
              <w:t>Donald L. Heidemann (44)</w:t>
            </w:r>
          </w:p>
        </w:tc>
        <w:tc>
          <w:tcPr>
            <w:tcW w:w="1580" w:type="dxa"/>
            <w:vAlign w:val="bottom"/>
            <w:tcBorders>
              <w:bottom w:val="single" w:sz="8" w:color="auto"/>
            </w:tcBorders>
            <w:gridSpan w:val="4"/>
          </w:tcPr>
          <w:p>
            <w:pPr>
              <w:spacing w:after="0" w:line="128" w:lineRule="exact"/>
              <w:rPr>
                <w:sz w:val="20"/>
                <w:szCs w:val="20"/>
                <w:color w:val="auto"/>
              </w:rPr>
            </w:pPr>
            <w:r>
              <w:rPr>
                <w:rFonts w:ascii="Arial" w:cs="Arial" w:eastAsia="Arial" w:hAnsi="Arial"/>
                <w:sz w:val="13"/>
                <w:szCs w:val="13"/>
                <w:color w:val="auto"/>
                <w:w w:val="95"/>
              </w:rPr>
              <w:t>www.shareowneronline.com</w:t>
            </w:r>
          </w:p>
        </w:tc>
        <w:tc>
          <w:tcPr>
            <w:tcW w:w="18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780" w:type="dxa"/>
            <w:vAlign w:val="bottom"/>
          </w:tcPr>
          <w:p>
            <w:pPr>
              <w:spacing w:after="0" w:line="140" w:lineRule="exact"/>
              <w:rPr>
                <w:sz w:val="20"/>
                <w:szCs w:val="20"/>
                <w:color w:val="auto"/>
              </w:rPr>
            </w:pPr>
            <w:r>
              <w:rPr>
                <w:rFonts w:ascii="Arial" w:cs="Arial" w:eastAsia="Arial" w:hAnsi="Arial"/>
                <w:sz w:val="13"/>
                <w:szCs w:val="13"/>
                <w:color w:val="auto"/>
              </w:rPr>
              <w:t>Treasurer/Director of Finance</w:t>
            </w:r>
          </w:p>
        </w:tc>
        <w:tc>
          <w:tcPr>
            <w:tcW w:w="3420" w:type="dxa"/>
            <w:vAlign w:val="bottom"/>
            <w:gridSpan w:val="6"/>
            <w:vMerge w:val="restart"/>
          </w:tcPr>
          <w:p>
            <w:pPr>
              <w:spacing w:after="0"/>
              <w:rPr>
                <w:sz w:val="20"/>
                <w:szCs w:val="20"/>
                <w:color w:val="auto"/>
              </w:rPr>
            </w:pPr>
            <w:r>
              <w:rPr>
                <w:rFonts w:ascii="Arial" w:cs="Arial" w:eastAsia="Arial" w:hAnsi="Arial"/>
                <w:sz w:val="13"/>
                <w:szCs w:val="13"/>
                <w:b w:val="1"/>
                <w:bCs w:val="1"/>
                <w:color w:val="auto"/>
              </w:rPr>
              <w:t>Annual Meeting</w:t>
            </w:r>
          </w:p>
        </w:tc>
        <w:tc>
          <w:tcPr>
            <w:tcW w:w="0" w:type="dxa"/>
            <w:vAlign w:val="bottom"/>
          </w:tcPr>
          <w:p>
            <w:pPr>
              <w:spacing w:after="0"/>
              <w:rPr>
                <w:sz w:val="1"/>
                <w:szCs w:val="1"/>
                <w:color w:val="auto"/>
              </w:rPr>
            </w:pPr>
          </w:p>
        </w:tc>
      </w:tr>
      <w:tr>
        <w:trPr>
          <w:trHeight w:val="118"/>
        </w:trPr>
        <w:tc>
          <w:tcPr>
            <w:tcW w:w="3780" w:type="dxa"/>
            <w:vAlign w:val="bottom"/>
          </w:tcPr>
          <w:p>
            <w:pPr>
              <w:spacing w:after="0"/>
              <w:rPr>
                <w:sz w:val="10"/>
                <w:szCs w:val="10"/>
                <w:color w:val="auto"/>
              </w:rPr>
            </w:pPr>
          </w:p>
        </w:tc>
        <w:tc>
          <w:tcPr>
            <w:tcW w:w="34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Sarah N. Nielsen (43)</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w w:val="97"/>
              </w:rPr>
              <w:t>The Annual Meeting of Shareholders is scheduled to be held</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Vice President, Chief Financial Officer</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on Tuesday, December 13, 2016 at 4:00 p.m. (CST) in</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Winnebago Industries' South Office Complex Theater, 605</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Christopher D. West (44)</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W. Crystal Lake Road, Forest City, Iowa.</w:t>
            </w:r>
          </w:p>
        </w:tc>
        <w:tc>
          <w:tcPr>
            <w:tcW w:w="0" w:type="dxa"/>
            <w:vAlign w:val="bottom"/>
          </w:tcPr>
          <w:p>
            <w:pPr>
              <w:spacing w:after="0"/>
              <w:rPr>
                <w:sz w:val="1"/>
                <w:szCs w:val="1"/>
                <w:color w:val="auto"/>
              </w:rPr>
            </w:pPr>
          </w:p>
        </w:tc>
      </w:tr>
      <w:tr>
        <w:trPr>
          <w:trHeight w:val="152"/>
        </w:trPr>
        <w:tc>
          <w:tcPr>
            <w:tcW w:w="3780" w:type="dxa"/>
            <w:vAlign w:val="bottom"/>
          </w:tcPr>
          <w:p>
            <w:pPr>
              <w:spacing w:after="0"/>
              <w:rPr>
                <w:sz w:val="20"/>
                <w:szCs w:val="20"/>
                <w:color w:val="auto"/>
              </w:rPr>
            </w:pPr>
            <w:r>
              <w:rPr>
                <w:rFonts w:ascii="Arial" w:cs="Arial" w:eastAsia="Arial" w:hAnsi="Arial"/>
                <w:sz w:val="13"/>
                <w:szCs w:val="13"/>
                <w:color w:val="auto"/>
              </w:rPr>
              <w:t>Vice President, Operations</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3780" w:type="dxa"/>
            <w:vAlign w:val="bottom"/>
          </w:tcPr>
          <w:p>
            <w:pPr>
              <w:spacing w:after="0"/>
              <w:rPr>
                <w:sz w:val="20"/>
                <w:szCs w:val="20"/>
                <w:color w:val="auto"/>
              </w:rPr>
            </w:pPr>
            <w:r>
              <w:rPr>
                <w:rFonts w:ascii="Arial" w:cs="Arial" w:eastAsia="Arial" w:hAnsi="Arial"/>
                <w:sz w:val="13"/>
                <w:szCs w:val="13"/>
                <w:color w:val="auto"/>
              </w:rPr>
              <w:t>Bret A. Woodson (46)</w:t>
            </w: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20"/>
                <w:szCs w:val="20"/>
                <w:color w:val="auto"/>
              </w:rPr>
            </w:pPr>
            <w:r>
              <w:rPr>
                <w:rFonts w:ascii="Arial" w:cs="Arial" w:eastAsia="Arial" w:hAnsi="Arial"/>
                <w:sz w:val="13"/>
                <w:szCs w:val="13"/>
                <w:color w:val="auto"/>
              </w:rPr>
              <w:t>Vice President, Administration</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Independent Auditors</w:t>
      </w:r>
    </w:p>
    <w:p>
      <w:pPr>
        <w:spacing w:after="0" w:line="219" w:lineRule="auto"/>
        <w:rPr>
          <w:sz w:val="20"/>
          <w:szCs w:val="20"/>
          <w:color w:val="auto"/>
        </w:rPr>
      </w:pPr>
      <w:r>
        <w:rPr>
          <w:rFonts w:ascii="Arial" w:cs="Arial" w:eastAsia="Arial" w:hAnsi="Arial"/>
          <w:sz w:val="13"/>
          <w:szCs w:val="13"/>
          <w:color w:val="auto"/>
        </w:rPr>
        <w:t>Deloitte &amp; Touche LLP</w:t>
      </w:r>
    </w:p>
    <w:p>
      <w:pPr>
        <w:spacing w:after="0" w:line="217" w:lineRule="auto"/>
        <w:rPr>
          <w:sz w:val="20"/>
          <w:szCs w:val="20"/>
          <w:color w:val="auto"/>
        </w:rPr>
      </w:pPr>
      <w:r>
        <w:rPr>
          <w:rFonts w:ascii="Arial" w:cs="Arial" w:eastAsia="Arial" w:hAnsi="Arial"/>
          <w:sz w:val="13"/>
          <w:szCs w:val="13"/>
          <w:color w:val="auto"/>
        </w:rPr>
        <w:t>Suite 2800</w:t>
      </w:r>
    </w:p>
    <w:p>
      <w:pPr>
        <w:spacing w:after="0" w:line="216" w:lineRule="auto"/>
        <w:rPr>
          <w:sz w:val="20"/>
          <w:szCs w:val="20"/>
          <w:color w:val="auto"/>
        </w:rPr>
      </w:pPr>
      <w:r>
        <w:rPr>
          <w:rFonts w:ascii="Arial" w:cs="Arial" w:eastAsia="Arial" w:hAnsi="Arial"/>
          <w:sz w:val="13"/>
          <w:szCs w:val="13"/>
          <w:color w:val="auto"/>
        </w:rPr>
        <w:t>50 South Sixth Street</w:t>
      </w:r>
    </w:p>
    <w:p>
      <w:pPr>
        <w:spacing w:after="0" w:line="1" w:lineRule="exact"/>
        <w:rPr>
          <w:sz w:val="20"/>
          <w:szCs w:val="20"/>
          <w:color w:val="auto"/>
        </w:rPr>
      </w:pPr>
    </w:p>
    <w:p>
      <w:pPr>
        <w:ind w:right="1340"/>
        <w:spacing w:after="0" w:line="230" w:lineRule="auto"/>
        <w:rPr>
          <w:sz w:val="20"/>
          <w:szCs w:val="20"/>
          <w:color w:val="auto"/>
        </w:rPr>
      </w:pPr>
      <w:r>
        <w:rPr>
          <w:rFonts w:ascii="Arial" w:cs="Arial" w:eastAsia="Arial" w:hAnsi="Arial"/>
          <w:sz w:val="13"/>
          <w:szCs w:val="13"/>
          <w:color w:val="auto"/>
        </w:rPr>
        <w:t>Minneapolis, Minnesota 55402-1844 (612) 397-4000</w:t>
      </w:r>
    </w:p>
    <w:p>
      <w:pPr>
        <w:spacing w:after="0" w:line="103" w:lineRule="exact"/>
        <w:rPr>
          <w:sz w:val="20"/>
          <w:szCs w:val="20"/>
          <w:color w:val="auto"/>
        </w:rPr>
      </w:pPr>
    </w:p>
    <w:p>
      <w:pPr>
        <w:ind w:right="580"/>
        <w:spacing w:after="0" w:line="229" w:lineRule="auto"/>
        <w:rPr>
          <w:sz w:val="20"/>
          <w:szCs w:val="20"/>
          <w:color w:val="auto"/>
        </w:rPr>
      </w:pPr>
      <w:r>
        <w:rPr>
          <w:rFonts w:ascii="Arial" w:cs="Arial" w:eastAsia="Arial" w:hAnsi="Arial"/>
          <w:sz w:val="13"/>
          <w:szCs w:val="13"/>
          <w:b w:val="1"/>
          <w:bCs w:val="1"/>
          <w:color w:val="auto"/>
        </w:rPr>
        <w:t>NYSE Annual CEO Certification and Sarbanes-Oxley Section 302 Certifications</w:t>
      </w:r>
    </w:p>
    <w:p>
      <w:pPr>
        <w:spacing w:after="0" w:line="1" w:lineRule="exact"/>
        <w:rPr>
          <w:sz w:val="20"/>
          <w:szCs w:val="20"/>
          <w:color w:val="auto"/>
        </w:rPr>
      </w:pPr>
    </w:p>
    <w:p>
      <w:pPr>
        <w:spacing w:after="0" w:line="138" w:lineRule="exact"/>
        <w:rPr>
          <w:sz w:val="20"/>
          <w:szCs w:val="20"/>
          <w:color w:val="auto"/>
        </w:rPr>
      </w:pPr>
      <w:r>
        <w:rPr>
          <w:rFonts w:ascii="Arial" w:cs="Arial" w:eastAsia="Arial" w:hAnsi="Arial"/>
          <w:sz w:val="13"/>
          <w:szCs w:val="13"/>
          <w:color w:val="auto"/>
        </w:rPr>
        <w:t>We submitted the annual Chief Executive Officer Certification to the New York Stock Exchange (NYSE) as required under the corporate governance rules of the NYSE. We also filed as exhibits to our 2015 Annual Report on Form 10</w:t>
      </w:r>
      <w:r>
        <w:rPr>
          <w:rFonts w:ascii="MS PGothic" w:cs="MS PGothic" w:eastAsia="MS PGothic" w:hAnsi="MS PGothic"/>
          <w:sz w:val="13"/>
          <w:szCs w:val="13"/>
          <w:color w:val="auto"/>
        </w:rPr>
        <w:t>‑</w:t>
      </w:r>
      <w:r>
        <w:rPr>
          <w:rFonts w:ascii="Arial" w:cs="Arial" w:eastAsia="Arial" w:hAnsi="Arial"/>
          <w:sz w:val="13"/>
          <w:szCs w:val="13"/>
          <w:color w:val="auto"/>
        </w:rPr>
        <w:t>K, the Chief Executive Officer and Chief Financial Officer certifications required under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Winnebago Industries is an equal opportunity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2001520</wp:posOffset>
            </wp:positionV>
            <wp:extent cx="737235" cy="7543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723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237" w:lineRule="auto"/>
        <w:rPr>
          <w:sz w:val="20"/>
          <w:szCs w:val="20"/>
          <w:color w:val="auto"/>
        </w:rPr>
      </w:pPr>
      <w:r>
        <w:rPr>
          <w:rFonts w:ascii="Arial" w:cs="Arial" w:eastAsia="Arial" w:hAnsi="Arial"/>
          <w:sz w:val="12"/>
          <w:szCs w:val="12"/>
          <w:color w:val="auto"/>
        </w:rPr>
        <w:t>The Letter to Shareholders contains forward-looking statements within the meaning of the Private Securities Litigation Reform Act of 1995. Investors are cautioned that forward-looking statements are inherently uncertain. A number of factors could cause actual results to differ materially from these statements. These factors are included under “Item 1A. Risk Factors” in Part 1 of the accompanying Annual Report on Form 10-K. Other risk factors that may emerge in the future as significant risks or uncertainties to Winnebago Industries will be disclosed in a future Quarterly Report on Form 10-Q or Current Report on Form 8-K.</w:t>
      </w:r>
    </w:p>
    <w:p>
      <w:pPr>
        <w:sectPr>
          <w:pgSz w:w="11900" w:h="16838" w:orient="portrait"/>
          <w:cols w:equalWidth="0" w:num="2">
            <w:col w:w="7480" w:space="400"/>
            <w:col w:w="3360"/>
          </w:cols>
          <w:pgMar w:left="240" w:top="141" w:right="419" w:bottom="1440" w:gutter="0" w:footer="0" w:header="0"/>
        </w:sectPr>
      </w:pPr>
    </w:p>
    <w:bookmarkStart w:id="60" w:name="page61"/>
    <w:bookmarkEnd w:id="60"/>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CHANGE OF CONTROL AGREEMENT</w:t>
      </w:r>
    </w:p>
    <w:p>
      <w:pPr>
        <w:spacing w:after="0" w:line="200" w:lineRule="exact"/>
        <w:rPr>
          <w:sz w:val="20"/>
          <w:szCs w:val="20"/>
          <w:color w:val="auto"/>
        </w:rPr>
      </w:pPr>
    </w:p>
    <w:p>
      <w:pPr>
        <w:spacing w:after="0" w:line="3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This EXECUTIVE CHANGE OF CONTROL AGREEMENT is made as of June 1, 2016, by and between </w:t>
      </w:r>
      <w:r>
        <w:rPr>
          <w:rFonts w:ascii="Arial" w:cs="Arial" w:eastAsia="Arial" w:hAnsi="Arial"/>
          <w:sz w:val="22"/>
          <w:szCs w:val="22"/>
          <w:b w:val="1"/>
          <w:bCs w:val="1"/>
          <w:color w:val="auto"/>
        </w:rPr>
        <w:t>WINNEBAGO</w:t>
      </w:r>
      <w:r>
        <w:rPr>
          <w:rFonts w:ascii="Arial" w:cs="Arial" w:eastAsia="Arial" w:hAnsi="Arial"/>
          <w:sz w:val="22"/>
          <w:szCs w:val="22"/>
          <w:color w:val="auto"/>
        </w:rPr>
        <w:t xml:space="preserve"> </w:t>
      </w:r>
      <w:r>
        <w:rPr>
          <w:rFonts w:ascii="Arial" w:cs="Arial" w:eastAsia="Arial" w:hAnsi="Arial"/>
          <w:sz w:val="22"/>
          <w:szCs w:val="22"/>
          <w:b w:val="1"/>
          <w:bCs w:val="1"/>
          <w:color w:val="auto"/>
        </w:rPr>
        <w:t>INDUSTRIES, INC.</w:t>
      </w:r>
      <w:r>
        <w:rPr>
          <w:rFonts w:ascii="Arial" w:cs="Arial" w:eastAsia="Arial" w:hAnsi="Arial"/>
          <w:sz w:val="22"/>
          <w:szCs w:val="22"/>
          <w:color w:val="auto"/>
        </w:rPr>
        <w:t>, an Iowa corporation (the "Company"), and Ashis Bhattacharya (the "Executive").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6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Executive is a senior executive and officer of the Company and has made and is expected to continue to</w:t>
      </w:r>
      <w:r>
        <w:rPr>
          <w:rFonts w:ascii="Arial" w:cs="Arial" w:eastAsia="Arial" w:hAnsi="Arial"/>
          <w:sz w:val="22"/>
          <w:szCs w:val="22"/>
          <w:b w:val="1"/>
          <w:bCs w:val="1"/>
          <w:color w:val="auto"/>
        </w:rPr>
        <w:t xml:space="preserve"> </w:t>
      </w:r>
      <w:r>
        <w:rPr>
          <w:rFonts w:ascii="Arial" w:cs="Arial" w:eastAsia="Arial" w:hAnsi="Arial"/>
          <w:sz w:val="22"/>
          <w:szCs w:val="22"/>
          <w:color w:val="auto"/>
        </w:rPr>
        <w:t>make major contributions to the profitability, growth and financial strength of the Company;</w:t>
      </w:r>
    </w:p>
    <w:p>
      <w:pPr>
        <w:spacing w:after="0" w:line="203"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recognizes that, as is the case for most publicly held companies, the possibility of a Change of</w:t>
      </w:r>
      <w:r>
        <w:rPr>
          <w:rFonts w:ascii="Arial" w:cs="Arial" w:eastAsia="Arial" w:hAnsi="Arial"/>
          <w:sz w:val="22"/>
          <w:szCs w:val="22"/>
          <w:b w:val="1"/>
          <w:bCs w:val="1"/>
          <w:color w:val="auto"/>
        </w:rPr>
        <w:t xml:space="preserve"> </w:t>
      </w:r>
      <w:r>
        <w:rPr>
          <w:rFonts w:ascii="Arial" w:cs="Arial" w:eastAsia="Arial" w:hAnsi="Arial"/>
          <w:sz w:val="22"/>
          <w:szCs w:val="22"/>
          <w:color w:val="auto"/>
        </w:rPr>
        <w:t>Control (as hereafter defined) exists;</w:t>
      </w:r>
    </w:p>
    <w:p>
      <w:pPr>
        <w:spacing w:after="0" w:line="20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it is in the best interests of the Company, considering the past and future services of the Executive, to improve</w:t>
      </w:r>
      <w:r>
        <w:rPr>
          <w:rFonts w:ascii="Arial" w:cs="Arial" w:eastAsia="Arial" w:hAnsi="Arial"/>
          <w:sz w:val="22"/>
          <w:szCs w:val="22"/>
          <w:b w:val="1"/>
          <w:bCs w:val="1"/>
          <w:color w:val="auto"/>
        </w:rPr>
        <w:t xml:space="preserve"> </w:t>
      </w:r>
      <w:r>
        <w:rPr>
          <w:rFonts w:ascii="Arial" w:cs="Arial" w:eastAsia="Arial" w:hAnsi="Arial"/>
          <w:sz w:val="22"/>
          <w:szCs w:val="22"/>
          <w:color w:val="auto"/>
        </w:rPr>
        <w:t>the security and climate for objective decision making by providing for the personal security of the Executive upon a Change of Control.</w:t>
      </w:r>
    </w:p>
    <w:p>
      <w:pPr>
        <w:spacing w:after="0" w:line="2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premises and the past and future services rendered and to be</w:t>
      </w:r>
      <w:r>
        <w:rPr>
          <w:rFonts w:ascii="Arial" w:cs="Arial" w:eastAsia="Arial" w:hAnsi="Arial"/>
          <w:sz w:val="22"/>
          <w:szCs w:val="22"/>
          <w:b w:val="1"/>
          <w:bCs w:val="1"/>
          <w:color w:val="auto"/>
        </w:rPr>
        <w:t xml:space="preserve"> </w:t>
      </w:r>
      <w:r>
        <w:rPr>
          <w:rFonts w:ascii="Arial" w:cs="Arial" w:eastAsia="Arial" w:hAnsi="Arial"/>
          <w:sz w:val="22"/>
          <w:szCs w:val="22"/>
          <w:color w:val="auto"/>
        </w:rPr>
        <w:t>rendered by the Executive to the Company and of the mutual covenants and agreements hereinafter set forth, the parties agree as follows: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60" w:lineRule="exact"/>
        <w:rPr>
          <w:sz w:val="20"/>
          <w:szCs w:val="20"/>
          <w:color w:val="auto"/>
        </w:rPr>
      </w:pPr>
    </w:p>
    <w:p>
      <w:pPr>
        <w:jc w:val="both"/>
        <w:ind w:firstLine="656"/>
        <w:spacing w:after="0" w:line="249" w:lineRule="auto"/>
        <w:tabs>
          <w:tab w:leader="none" w:pos="1094"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Continued Service by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event a person or entity, in order to effect a Change of Control, commences a</w:t>
      </w:r>
      <w:r>
        <w:rPr>
          <w:rFonts w:ascii="Arial" w:cs="Arial" w:eastAsia="Arial" w:hAnsi="Arial"/>
          <w:sz w:val="22"/>
          <w:szCs w:val="22"/>
          <w:b w:val="1"/>
          <w:bCs w:val="1"/>
          <w:color w:val="auto"/>
        </w:rPr>
        <w:t xml:space="preserve"> </w:t>
      </w:r>
      <w:r>
        <w:rPr>
          <w:rFonts w:ascii="Arial" w:cs="Arial" w:eastAsia="Arial" w:hAnsi="Arial"/>
          <w:sz w:val="22"/>
          <w:szCs w:val="22"/>
          <w:color w:val="auto"/>
        </w:rPr>
        <w:t>tender or exchange offer, circulates a proxy to shareholders or takes other steps, the Executive agrees that the Executive will not voluntarily leave the employ of the Company, and will render faithful services to the Company consistent with Executive’s position and responsibilities, until the person or entity has abandoned or terminated its efforts to effect such Change of Control or until such Change of Control has occurred.</w:t>
      </w:r>
    </w:p>
    <w:p>
      <w:pPr>
        <w:spacing w:after="0" w:line="227" w:lineRule="exact"/>
        <w:rPr>
          <w:rFonts w:ascii="Arial" w:cs="Arial" w:eastAsia="Arial" w:hAnsi="Arial"/>
          <w:sz w:val="22"/>
          <w:szCs w:val="22"/>
          <w:b w:val="1"/>
          <w:bCs w:val="1"/>
          <w:color w:val="auto"/>
        </w:rPr>
      </w:pPr>
    </w:p>
    <w:p>
      <w:pPr>
        <w:jc w:val="both"/>
        <w:ind w:firstLine="656"/>
        <w:spacing w:after="0" w:line="259" w:lineRule="auto"/>
        <w:tabs>
          <w:tab w:leader="none" w:pos="1189" w:val="left"/>
        </w:tabs>
        <w:numPr>
          <w:ilvl w:val="0"/>
          <w:numId w:val="5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Change of Control</w:t>
      </w:r>
      <w:r>
        <w:rPr>
          <w:rFonts w:ascii="Arial" w:cs="Arial" w:eastAsia="Arial" w:hAnsi="Arial"/>
          <w:sz w:val="21"/>
          <w:szCs w:val="21"/>
          <w:b w:val="1"/>
          <w:bCs w:val="1"/>
          <w:color w:val="auto"/>
        </w:rPr>
        <w:t xml:space="preserve">. </w:t>
      </w:r>
      <w:r>
        <w:rPr>
          <w:rFonts w:ascii="Arial" w:cs="Arial" w:eastAsia="Arial" w:hAnsi="Arial"/>
          <w:sz w:val="21"/>
          <w:szCs w:val="21"/>
          <w:color w:val="auto"/>
        </w:rPr>
        <w:t>For purposes of this Agreement, the term “Change of Control” means the time when (i) any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Person becomes an Acquiring Person, or (ii) individuals who shall qualify as Continuing Directors of the Company shall have ceased for any reason to constitute at least a majority of the Board of Directors of the Company; </w:t>
      </w:r>
      <w:r>
        <w:rPr>
          <w:rFonts w:ascii="Arial" w:cs="Arial" w:eastAsia="Arial" w:hAnsi="Arial"/>
          <w:sz w:val="21"/>
          <w:szCs w:val="21"/>
          <w:i w:val="1"/>
          <w:iCs w:val="1"/>
          <w:color w:val="auto"/>
        </w:rPr>
        <w:t>provided however</w:t>
      </w:r>
      <w:r>
        <w:rPr>
          <w:rFonts w:ascii="Arial" w:cs="Arial" w:eastAsia="Arial" w:hAnsi="Arial"/>
          <w:sz w:val="21"/>
          <w:szCs w:val="21"/>
          <w:color w:val="auto"/>
        </w:rPr>
        <w:t>,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440" w:right="239" w:bottom="1440" w:gutter="0" w:footer="0" w:header="0"/>
        </w:sectPr>
      </w:pPr>
    </w:p>
    <w:bookmarkStart w:id="61" w:name="page62"/>
    <w:bookmarkEnd w:id="61"/>
    <w:p>
      <w:pPr>
        <w:spacing w:after="0"/>
        <w:rPr>
          <w:sz w:val="20"/>
          <w:szCs w:val="20"/>
          <w:color w:val="auto"/>
        </w:rPr>
      </w:pPr>
      <w:r>
        <w:rPr>
          <w:rFonts w:ascii="Arial" w:cs="Arial" w:eastAsia="Arial" w:hAnsi="Arial"/>
          <w:sz w:val="19"/>
          <w:szCs w:val="19"/>
          <w:color w:val="auto"/>
        </w:rPr>
        <w:t>held by such a plan shall not be treated as outstanding in determining ownership percentages for purposes of this definition.)</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the purpose of the foregoing definition of “Change of Control”, the capitalized terms shall have the following meanings:</w:t>
      </w:r>
    </w:p>
    <w:p>
      <w:pPr>
        <w:spacing w:after="0" w:line="295" w:lineRule="exact"/>
        <w:rPr>
          <w:sz w:val="20"/>
          <w:szCs w:val="20"/>
          <w:color w:val="auto"/>
        </w:rPr>
      </w:pPr>
    </w:p>
    <w:p>
      <w:pPr>
        <w:jc w:val="both"/>
        <w:ind w:left="1300" w:hanging="644"/>
        <w:spacing w:after="0" w:line="292" w:lineRule="auto"/>
        <w:tabs>
          <w:tab w:leader="none" w:pos="1300" w:val="left"/>
        </w:tabs>
        <w:numPr>
          <w:ilvl w:val="0"/>
          <w:numId w:val="52"/>
        </w:numPr>
        <w:rPr>
          <w:rFonts w:ascii="Arial" w:cs="Arial" w:eastAsia="Arial" w:hAnsi="Arial"/>
          <w:sz w:val="19"/>
          <w:szCs w:val="19"/>
          <w:color w:val="auto"/>
        </w:rPr>
      </w:pPr>
      <w:r>
        <w:rPr>
          <w:rFonts w:ascii="Arial" w:cs="Arial" w:eastAsia="Arial" w:hAnsi="Arial"/>
          <w:sz w:val="19"/>
          <w:szCs w:val="19"/>
          <w:color w:val="auto"/>
        </w:rPr>
        <w:t>“Continuing Director” means (i) any member of the Board of Directors of the Company, while such person as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92" w:lineRule="exact"/>
        <w:rPr>
          <w:rFonts w:ascii="Arial" w:cs="Arial" w:eastAsia="Arial" w:hAnsi="Arial"/>
          <w:sz w:val="19"/>
          <w:szCs w:val="19"/>
          <w:color w:val="auto"/>
        </w:rPr>
      </w:pPr>
    </w:p>
    <w:p>
      <w:pPr>
        <w:jc w:val="both"/>
        <w:ind w:left="1300" w:hanging="644"/>
        <w:spacing w:after="0" w:line="312" w:lineRule="auto"/>
        <w:tabs>
          <w:tab w:leader="none" w:pos="1300" w:val="left"/>
        </w:tabs>
        <w:numPr>
          <w:ilvl w:val="0"/>
          <w:numId w:val="52"/>
        </w:numPr>
        <w:rPr>
          <w:rFonts w:ascii="Arial" w:cs="Arial" w:eastAsia="Arial" w:hAnsi="Arial"/>
          <w:sz w:val="19"/>
          <w:szCs w:val="19"/>
          <w:color w:val="auto"/>
        </w:rPr>
      </w:pPr>
      <w:r>
        <w:rPr>
          <w:rFonts w:ascii="Arial" w:cs="Arial" w:eastAsia="Arial" w:hAnsi="Arial"/>
          <w:sz w:val="19"/>
          <w:szCs w:val="19"/>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following date of the Executive’s execution of this Agreement.</w:t>
      </w:r>
    </w:p>
    <w:p>
      <w:pPr>
        <w:spacing w:after="0" w:line="174" w:lineRule="exact"/>
        <w:rPr>
          <w:rFonts w:ascii="Arial" w:cs="Arial" w:eastAsia="Arial" w:hAnsi="Arial"/>
          <w:sz w:val="19"/>
          <w:szCs w:val="19"/>
          <w:color w:val="auto"/>
        </w:rPr>
      </w:pPr>
    </w:p>
    <w:p>
      <w:pPr>
        <w:ind w:left="1300" w:right="20" w:hanging="644"/>
        <w:spacing w:after="0" w:line="263" w:lineRule="auto"/>
        <w:tabs>
          <w:tab w:leader="none" w:pos="13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“Affiliate” means a Person that directly or indirectly through one or more intermediaries, controls, or is controlled by, or is under common control with, the person specified.</w:t>
      </w:r>
    </w:p>
    <w:p>
      <w:pPr>
        <w:spacing w:after="0" w:line="215" w:lineRule="exact"/>
        <w:rPr>
          <w:rFonts w:ascii="Arial" w:cs="Arial" w:eastAsia="Arial" w:hAnsi="Arial"/>
          <w:sz w:val="22"/>
          <w:szCs w:val="22"/>
          <w:color w:val="auto"/>
        </w:rPr>
      </w:pPr>
    </w:p>
    <w:p>
      <w:pPr>
        <w:jc w:val="both"/>
        <w:ind w:left="1300" w:hanging="644"/>
        <w:spacing w:after="0" w:line="246" w:lineRule="auto"/>
        <w:tabs>
          <w:tab w:leader="none" w:pos="13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pacing w:after="0" w:line="238" w:lineRule="exact"/>
        <w:rPr>
          <w:sz w:val="20"/>
          <w:szCs w:val="20"/>
          <w:color w:val="auto"/>
        </w:rPr>
      </w:pPr>
    </w:p>
    <w:p>
      <w:pPr>
        <w:ind w:left="1300" w:right="20" w:firstLine="5"/>
        <w:spacing w:after="0" w:line="263" w:lineRule="auto"/>
        <w:tabs>
          <w:tab w:leader="none" w:pos="1896" w:val="left"/>
        </w:tabs>
        <w:numPr>
          <w:ilvl w:val="1"/>
          <w:numId w:val="53"/>
        </w:numPr>
        <w:rPr>
          <w:rFonts w:ascii="Arial" w:cs="Arial" w:eastAsia="Arial" w:hAnsi="Arial"/>
          <w:sz w:val="22"/>
          <w:szCs w:val="22"/>
          <w:color w:val="auto"/>
        </w:rPr>
      </w:pPr>
      <w:r>
        <w:rPr>
          <w:rFonts w:ascii="Arial" w:cs="Arial" w:eastAsia="Arial" w:hAnsi="Arial"/>
          <w:sz w:val="22"/>
          <w:szCs w:val="22"/>
          <w:color w:val="auto"/>
        </w:rPr>
        <w:t>“Person” means an individual, corporation, limited liability company, partnership, association, joint stock company, trust, unincorporated organization or government or political subdivision thereof.</w:t>
      </w:r>
    </w:p>
    <w:p>
      <w:pPr>
        <w:spacing w:after="0" w:line="209" w:lineRule="exact"/>
        <w:rPr>
          <w:rFonts w:ascii="Arial" w:cs="Arial" w:eastAsia="Arial" w:hAnsi="Arial"/>
          <w:sz w:val="22"/>
          <w:szCs w:val="22"/>
          <w:color w:val="auto"/>
        </w:rPr>
      </w:pPr>
    </w:p>
    <w:p>
      <w:pPr>
        <w:jc w:val="both"/>
        <w:ind w:firstLine="656"/>
        <w:spacing w:after="0" w:line="247" w:lineRule="auto"/>
        <w:tabs>
          <w:tab w:leader="none" w:pos="1067"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Following a Change of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If a change of Control shall have occurred while the Executive is still</w:t>
      </w:r>
      <w:r>
        <w:rPr>
          <w:rFonts w:ascii="Arial" w:cs="Arial" w:eastAsia="Arial" w:hAnsi="Arial"/>
          <w:sz w:val="22"/>
          <w:szCs w:val="22"/>
          <w:b w:val="1"/>
          <w:bCs w:val="1"/>
          <w:color w:val="auto"/>
        </w:rPr>
        <w:t xml:space="preserve"> </w:t>
      </w:r>
      <w:r>
        <w:rPr>
          <w:rFonts w:ascii="Arial" w:cs="Arial" w:eastAsia="Arial" w:hAnsi="Arial"/>
          <w:sz w:val="22"/>
          <w:szCs w:val="22"/>
          <w:color w:val="auto"/>
        </w:rPr>
        <w:t>an employee of the Company, and if the Executive’s employment with the Company is terminated, within three years following such Change of Control, then the Executive shall be entitled to the compensation and benefits provided in Section 4, unless such termination is a result of: (a) the Executive’s death; (b) the Executive’s Disability (as defined in Section 3(a) below); (c) the Executive’s Retirement (as defined in Section 3(b) below); (d) the Executive’s termination by the Company for Cause (as defined in Section 3(c) below); or (e) the Executive’s decision to terminate employment other than for Good Reason (as defined in Section 3(d) below).</w:t>
      </w:r>
    </w:p>
    <w:p>
      <w:pPr>
        <w:spacing w:after="0" w:line="236" w:lineRule="exact"/>
        <w:rPr>
          <w:rFonts w:ascii="Arial" w:cs="Arial" w:eastAsia="Arial" w:hAnsi="Arial"/>
          <w:sz w:val="22"/>
          <w:szCs w:val="22"/>
          <w:b w:val="1"/>
          <w:bCs w:val="1"/>
          <w:color w:val="auto"/>
        </w:rPr>
      </w:pPr>
    </w:p>
    <w:p>
      <w:pPr>
        <w:ind w:firstLine="1305"/>
        <w:spacing w:after="0" w:line="263" w:lineRule="auto"/>
        <w:tabs>
          <w:tab w:leader="none" w:pos="1590" w:val="left"/>
        </w:tabs>
        <w:numPr>
          <w:ilvl w:val="1"/>
          <w:numId w:val="54"/>
        </w:numPr>
        <w:rPr>
          <w:rFonts w:ascii="Arial" w:cs="Arial" w:eastAsia="Arial" w:hAnsi="Arial"/>
          <w:sz w:val="22"/>
          <w:szCs w:val="22"/>
          <w:color w:val="auto"/>
        </w:rPr>
      </w:pPr>
      <w:r>
        <w:rPr>
          <w:rFonts w:ascii="Arial" w:cs="Arial" w:eastAsia="Arial" w:hAnsi="Arial"/>
          <w:sz w:val="22"/>
          <w:szCs w:val="22"/>
          <w:i w:val="1"/>
          <w:iCs w:val="1"/>
          <w:color w:val="auto"/>
        </w:rPr>
        <w:t xml:space="preserve">Disability. </w:t>
      </w:r>
      <w:r>
        <w:rPr>
          <w:rFonts w:ascii="Arial" w:cs="Arial" w:eastAsia="Arial" w:hAnsi="Arial"/>
          <w:sz w:val="22"/>
          <w:szCs w:val="22"/>
          <w:color w:val="auto"/>
        </w:rPr>
        <w:t>If, as a result of the Executive’s incapacity due to physical or mental illness, the Executive shall have</w:t>
      </w:r>
      <w:r>
        <w:rPr>
          <w:rFonts w:ascii="Arial" w:cs="Arial" w:eastAsia="Arial" w:hAnsi="Arial"/>
          <w:sz w:val="22"/>
          <w:szCs w:val="22"/>
          <w:i w:val="1"/>
          <w:iCs w:val="1"/>
          <w:color w:val="auto"/>
        </w:rPr>
        <w:t xml:space="preserve"> </w:t>
      </w:r>
      <w:r>
        <w:rPr>
          <w:rFonts w:ascii="Arial" w:cs="Arial" w:eastAsia="Arial" w:hAnsi="Arial"/>
          <w:sz w:val="22"/>
          <w:szCs w:val="22"/>
          <w:color w:val="auto"/>
        </w:rPr>
        <w:t>been absent from his duties with the Company on a full-time basis for six months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64" w:right="239" w:bottom="1440" w:gutter="0" w:footer="0" w:header="0"/>
        </w:sectPr>
      </w:pPr>
    </w:p>
    <w:bookmarkStart w:id="62" w:name="page63"/>
    <w:bookmarkEnd w:id="62"/>
    <w:p>
      <w:pPr>
        <w:spacing w:after="0" w:line="287" w:lineRule="auto"/>
        <w:rPr>
          <w:sz w:val="20"/>
          <w:szCs w:val="20"/>
          <w:color w:val="auto"/>
        </w:rPr>
      </w:pPr>
      <w:r>
        <w:rPr>
          <w:rFonts w:ascii="Arial" w:cs="Arial" w:eastAsia="Arial" w:hAnsi="Arial"/>
          <w:sz w:val="21"/>
          <w:szCs w:val="21"/>
          <w:color w:val="auto"/>
        </w:rPr>
        <w:t>and within 30 days after written notice of termination is thereafter given by the Company the Executive shall not have returned to the full-time performance of the Executive’s duties, the Company may terminate the Executive for “Disability.”</w:t>
      </w:r>
    </w:p>
    <w:p>
      <w:pPr>
        <w:spacing w:after="0" w:line="192" w:lineRule="exact"/>
        <w:rPr>
          <w:sz w:val="20"/>
          <w:szCs w:val="20"/>
          <w:color w:val="auto"/>
        </w:rPr>
      </w:pPr>
    </w:p>
    <w:p>
      <w:pPr>
        <w:jc w:val="both"/>
        <w:ind w:firstLine="1305"/>
        <w:spacing w:after="0" w:line="271" w:lineRule="auto"/>
        <w:tabs>
          <w:tab w:leader="none" w:pos="1616" w:val="left"/>
        </w:tabs>
        <w:numPr>
          <w:ilvl w:val="0"/>
          <w:numId w:val="55"/>
        </w:numPr>
        <w:rPr>
          <w:rFonts w:ascii="Arial" w:cs="Arial" w:eastAsia="Arial" w:hAnsi="Arial"/>
          <w:sz w:val="21"/>
          <w:szCs w:val="21"/>
          <w:color w:val="auto"/>
        </w:rPr>
      </w:pPr>
      <w:r>
        <w:rPr>
          <w:rFonts w:ascii="Arial" w:cs="Arial" w:eastAsia="Arial" w:hAnsi="Arial"/>
          <w:sz w:val="21"/>
          <w:szCs w:val="21"/>
          <w:i w:val="1"/>
          <w:iCs w:val="1"/>
          <w:color w:val="auto"/>
        </w:rPr>
        <w:t xml:space="preserve">Retirement. </w:t>
      </w:r>
      <w:r>
        <w:rPr>
          <w:rFonts w:ascii="Arial" w:cs="Arial" w:eastAsia="Arial" w:hAnsi="Arial"/>
          <w:sz w:val="21"/>
          <w:szCs w:val="21"/>
          <w:color w:val="auto"/>
        </w:rPr>
        <w:t>The term “Retirement” as used in this Agreement shall mean termination by the Company or the</w:t>
      </w:r>
      <w:r>
        <w:rPr>
          <w:rFonts w:ascii="Arial" w:cs="Arial" w:eastAsia="Arial" w:hAnsi="Arial"/>
          <w:sz w:val="21"/>
          <w:szCs w:val="21"/>
          <w:i w:val="1"/>
          <w:iCs w:val="1"/>
          <w:color w:val="auto"/>
        </w:rPr>
        <w:t xml:space="preserve"> </w:t>
      </w:r>
      <w:r>
        <w:rPr>
          <w:rFonts w:ascii="Arial" w:cs="Arial" w:eastAsia="Arial" w:hAnsi="Arial"/>
          <w:sz w:val="21"/>
          <w:szCs w:val="21"/>
          <w:color w:val="auto"/>
        </w:rPr>
        <w:t>Executive of the Executive’s employment based on the Executive having attained the age of 65 or such other age as shall have been fixed in any arrangement established with the Executive’s consent with respect to the Executive.</w:t>
      </w:r>
    </w:p>
    <w:p>
      <w:pPr>
        <w:spacing w:after="0" w:line="208" w:lineRule="exact"/>
        <w:rPr>
          <w:rFonts w:ascii="Arial" w:cs="Arial" w:eastAsia="Arial" w:hAnsi="Arial"/>
          <w:sz w:val="21"/>
          <w:szCs w:val="21"/>
          <w:color w:val="auto"/>
        </w:rPr>
      </w:pPr>
    </w:p>
    <w:p>
      <w:pPr>
        <w:jc w:val="both"/>
        <w:ind w:firstLine="1305"/>
        <w:spacing w:after="0" w:line="258" w:lineRule="auto"/>
        <w:tabs>
          <w:tab w:leader="none" w:pos="1604" w:val="left"/>
        </w:tabs>
        <w:numPr>
          <w:ilvl w:val="0"/>
          <w:numId w:val="55"/>
        </w:numPr>
        <w:rPr>
          <w:rFonts w:ascii="Arial" w:cs="Arial" w:eastAsia="Arial" w:hAnsi="Arial"/>
          <w:sz w:val="21"/>
          <w:szCs w:val="21"/>
          <w:color w:val="auto"/>
        </w:rPr>
      </w:pPr>
      <w:r>
        <w:rPr>
          <w:rFonts w:ascii="Arial" w:cs="Arial" w:eastAsia="Arial" w:hAnsi="Arial"/>
          <w:sz w:val="21"/>
          <w:szCs w:val="21"/>
          <w:i w:val="1"/>
          <w:iCs w:val="1"/>
          <w:color w:val="auto"/>
        </w:rPr>
        <w:t xml:space="preserve">Cause. </w:t>
      </w:r>
      <w:r>
        <w:rPr>
          <w:rFonts w:ascii="Arial" w:cs="Arial" w:eastAsia="Arial" w:hAnsi="Arial"/>
          <w:sz w:val="21"/>
          <w:szCs w:val="21"/>
          <w:color w:val="auto"/>
        </w:rPr>
        <w:t>The Company may terminate the Executive’s employment for Cause. For purposes of this Agreement</w:t>
      </w:r>
      <w:r>
        <w:rPr>
          <w:rFonts w:ascii="Arial" w:cs="Arial" w:eastAsia="Arial" w:hAnsi="Arial"/>
          <w:sz w:val="21"/>
          <w:szCs w:val="21"/>
          <w:i w:val="1"/>
          <w:iCs w:val="1"/>
          <w:color w:val="auto"/>
        </w:rPr>
        <w:t xml:space="preserve"> </w:t>
      </w:r>
      <w:r>
        <w:rPr>
          <w:rFonts w:ascii="Arial" w:cs="Arial" w:eastAsia="Arial" w:hAnsi="Arial"/>
          <w:sz w:val="21"/>
          <w:szCs w:val="21"/>
          <w:color w:val="auto"/>
        </w:rPr>
        <w:t>only, the Company shall have “Cause” to terminate the Executive’s employment hereunder only on the basis of (i) fraud, misappropriation or embezzlement on the part of the Executive; or (ii) intentional misconduct or gross negligence on the part of the Executive which has resulted in material harm to the Company. Notwithstanding the foregoing, the Executive shall not be deemed to have been terminated for Cause unless and until there shall have been delivered to the Executive a copy of a resolution duly adopted by the affirmative vote of not less than three-quarters of the entire membership of the company’s Board of Directors at a meeting of the Board called and held for the purpose (after reasonable notice to the Executive and an opportunity for the Executive, together with the Executive’s counsel, to be heard before the Board), finding that in the good faith opinion of the Board the Executive was guilty of conduct set forth in the second sentence of this Section 3(c) and specifying the particulars thereof in detail. Nothing herein shall limit the right of the Executive or his beneficiaries to contest the validity or propriety of any such determination.</w:t>
      </w:r>
    </w:p>
    <w:p>
      <w:pPr>
        <w:spacing w:after="0" w:line="223" w:lineRule="exact"/>
        <w:rPr>
          <w:rFonts w:ascii="Arial" w:cs="Arial" w:eastAsia="Arial" w:hAnsi="Arial"/>
          <w:sz w:val="21"/>
          <w:szCs w:val="21"/>
          <w:color w:val="auto"/>
        </w:rPr>
      </w:pPr>
    </w:p>
    <w:p>
      <w:pPr>
        <w:jc w:val="both"/>
        <w:ind w:firstLine="1305"/>
        <w:spacing w:after="0" w:line="253" w:lineRule="auto"/>
        <w:tabs>
          <w:tab w:leader="none" w:pos="1616" w:val="left"/>
        </w:tabs>
        <w:numPr>
          <w:ilvl w:val="0"/>
          <w:numId w:val="55"/>
        </w:numPr>
        <w:rPr>
          <w:rFonts w:ascii="Arial" w:cs="Arial" w:eastAsia="Arial" w:hAnsi="Arial"/>
          <w:sz w:val="22"/>
          <w:szCs w:val="22"/>
          <w:color w:val="auto"/>
        </w:rPr>
      </w:pPr>
      <w:r>
        <w:rPr>
          <w:rFonts w:ascii="Arial" w:cs="Arial" w:eastAsia="Arial" w:hAnsi="Arial"/>
          <w:sz w:val="22"/>
          <w:szCs w:val="22"/>
          <w:i w:val="1"/>
          <w:iCs w:val="1"/>
          <w:color w:val="auto"/>
        </w:rPr>
        <w:t xml:space="preserve">Good Reason. </w:t>
      </w:r>
      <w:r>
        <w:rPr>
          <w:rFonts w:ascii="Arial" w:cs="Arial" w:eastAsia="Arial" w:hAnsi="Arial"/>
          <w:sz w:val="22"/>
          <w:szCs w:val="22"/>
          <w:color w:val="auto"/>
        </w:rPr>
        <w:t>The Executive may terminate the Executive’s employment for Good Reason at any time during</w:t>
      </w:r>
      <w:r>
        <w:rPr>
          <w:rFonts w:ascii="Arial" w:cs="Arial" w:eastAsia="Arial" w:hAnsi="Arial"/>
          <w:sz w:val="22"/>
          <w:szCs w:val="22"/>
          <w:i w:val="1"/>
          <w:iCs w:val="1"/>
          <w:color w:val="auto"/>
        </w:rPr>
        <w:t xml:space="preserve"> </w:t>
      </w:r>
      <w:r>
        <w:rPr>
          <w:rFonts w:ascii="Arial" w:cs="Arial" w:eastAsia="Arial" w:hAnsi="Arial"/>
          <w:sz w:val="22"/>
          <w:szCs w:val="22"/>
          <w:color w:val="auto"/>
        </w:rPr>
        <w:t>the term of this Agreement. For purposes of this Agreement “Good Reason” shall mean any of the following (without the Executive’s express written consent):</w:t>
      </w:r>
    </w:p>
    <w:p>
      <w:pPr>
        <w:spacing w:after="0" w:line="226" w:lineRule="exact"/>
        <w:rPr>
          <w:rFonts w:ascii="Arial" w:cs="Arial" w:eastAsia="Arial" w:hAnsi="Arial"/>
          <w:sz w:val="22"/>
          <w:szCs w:val="22"/>
          <w:color w:val="auto"/>
        </w:rPr>
      </w:pPr>
    </w:p>
    <w:p>
      <w:pPr>
        <w:jc w:val="both"/>
        <w:ind w:left="820" w:firstLine="647"/>
        <w:spacing w:after="0" w:line="247" w:lineRule="auto"/>
        <w:tabs>
          <w:tab w:leader="none" w:pos="1746" w:val="left"/>
        </w:tabs>
        <w:numPr>
          <w:ilvl w:val="1"/>
          <w:numId w:val="55"/>
        </w:numPr>
        <w:rPr>
          <w:rFonts w:ascii="Arial" w:cs="Arial" w:eastAsia="Arial" w:hAnsi="Arial"/>
          <w:sz w:val="22"/>
          <w:szCs w:val="22"/>
          <w:color w:val="auto"/>
        </w:rPr>
      </w:pPr>
      <w:r>
        <w:rPr>
          <w:rFonts w:ascii="Arial" w:cs="Arial" w:eastAsia="Arial" w:hAnsi="Arial"/>
          <w:sz w:val="22"/>
          <w:szCs w:val="22"/>
          <w:color w:val="auto"/>
        </w:rPr>
        <w:t>the assignment to the Executive by the Company of duties inconsistent with the Executive’s position, duties, responsibilities and status with the Company immediately prior to a Change in Control of the Company, or a change in the Executive’s titles or offices as in effect immediately prior to a Change in Control of the Company, or any removal of the Executive from or any failure to re-elect the Executive to any of such positions, except in connection with the termination of his employment for Disability, Retirement or Cause or as a result of the Executive’s death or by the Executive other than for good Reason;</w:t>
      </w:r>
    </w:p>
    <w:p>
      <w:pPr>
        <w:spacing w:after="0" w:line="234" w:lineRule="exact"/>
        <w:rPr>
          <w:rFonts w:ascii="Arial" w:cs="Arial" w:eastAsia="Arial" w:hAnsi="Arial"/>
          <w:sz w:val="22"/>
          <w:szCs w:val="22"/>
          <w:color w:val="auto"/>
        </w:rPr>
      </w:pPr>
    </w:p>
    <w:p>
      <w:pPr>
        <w:jc w:val="both"/>
        <w:ind w:left="820" w:firstLine="647"/>
        <w:spacing w:after="0" w:line="248" w:lineRule="auto"/>
        <w:tabs>
          <w:tab w:leader="none" w:pos="1786" w:val="left"/>
        </w:tabs>
        <w:numPr>
          <w:ilvl w:val="1"/>
          <w:numId w:val="55"/>
        </w:numPr>
        <w:rPr>
          <w:rFonts w:ascii="Arial" w:cs="Arial" w:eastAsia="Arial" w:hAnsi="Arial"/>
          <w:sz w:val="22"/>
          <w:szCs w:val="22"/>
          <w:color w:val="auto"/>
        </w:rPr>
      </w:pPr>
      <w:r>
        <w:rPr>
          <w:rFonts w:ascii="Arial" w:cs="Arial" w:eastAsia="Arial" w:hAnsi="Arial"/>
          <w:sz w:val="22"/>
          <w:szCs w:val="22"/>
          <w:color w:val="auto"/>
        </w:rPr>
        <w:t>a reduction by the Company in the Executive’s base salary as in effect on the date hereof or as the same may be increased from time to time during the term of this Agreement or the Company’s failure to increase (within 12 months of the Executive’s last increase in base salary) the Executive’s base salary after a Change in Control of the Company in an amount which at least equals, on a percentage basis, the average percentage increase in base salary for all officers of the company effected in the preceding 12 months.</w:t>
      </w:r>
    </w:p>
    <w:p>
      <w:pPr>
        <w:spacing w:after="0" w:line="232" w:lineRule="exact"/>
        <w:rPr>
          <w:rFonts w:ascii="Arial" w:cs="Arial" w:eastAsia="Arial" w:hAnsi="Arial"/>
          <w:sz w:val="22"/>
          <w:szCs w:val="22"/>
          <w:color w:val="auto"/>
        </w:rPr>
      </w:pPr>
    </w:p>
    <w:p>
      <w:pPr>
        <w:jc w:val="both"/>
        <w:ind w:left="820" w:firstLine="647"/>
        <w:spacing w:after="0" w:line="312" w:lineRule="auto"/>
        <w:tabs>
          <w:tab w:leader="none" w:pos="1899" w:val="left"/>
        </w:tabs>
        <w:numPr>
          <w:ilvl w:val="1"/>
          <w:numId w:val="55"/>
        </w:numPr>
        <w:rPr>
          <w:rFonts w:ascii="Arial" w:cs="Arial" w:eastAsia="Arial" w:hAnsi="Arial"/>
          <w:sz w:val="19"/>
          <w:szCs w:val="19"/>
          <w:color w:val="auto"/>
        </w:rPr>
      </w:pPr>
      <w:r>
        <w:rPr>
          <w:rFonts w:ascii="Arial" w:cs="Arial" w:eastAsia="Arial" w:hAnsi="Arial"/>
          <w:sz w:val="19"/>
          <w:szCs w:val="19"/>
          <w:color w:val="auto"/>
        </w:rPr>
        <w:t>any failure by the Company to continue in effect any benefit plan or arrangement (including, without limitation, the Company’s 401(K) plan, nonqualified deferred compensation plan, profit sharing plan, group life insurance plan, and medical, dental, accident and disability plans) in which the Executive is participating at the time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64" w:right="239" w:bottom="1440" w:gutter="0" w:footer="0" w:header="0"/>
        </w:sectPr>
      </w:pPr>
    </w:p>
    <w:bookmarkStart w:id="63" w:name="page64"/>
    <w:bookmarkEnd w:id="63"/>
    <w:p>
      <w:pPr>
        <w:jc w:val="both"/>
        <w:ind w:left="800"/>
        <w:spacing w:after="0" w:line="302" w:lineRule="auto"/>
        <w:rPr>
          <w:sz w:val="20"/>
          <w:szCs w:val="20"/>
          <w:color w:val="auto"/>
        </w:rPr>
      </w:pPr>
      <w:r>
        <w:rPr>
          <w:rFonts w:ascii="Arial" w:cs="Arial" w:eastAsia="Arial" w:hAnsi="Arial"/>
          <w:sz w:val="19"/>
          <w:szCs w:val="19"/>
          <w:color w:val="auto"/>
        </w:rPr>
        <w:t>of a Change of Control (or any other plans providing the Executive with substantially similar benefits) (hereinafter referred to as “Benefit Plans”), or the taking of any action by the Company which would adversely affect the Executive’s participation in or materially reduce the Executive’s benefits under any such Benefit Plan or deprive the Executive of any material fringe benefit enjoyed by the Executive at the time of a Change in Control of the Company;</w:t>
      </w:r>
    </w:p>
    <w:p>
      <w:pPr>
        <w:spacing w:after="0" w:line="183" w:lineRule="exact"/>
        <w:rPr>
          <w:sz w:val="20"/>
          <w:szCs w:val="20"/>
          <w:color w:val="auto"/>
        </w:rPr>
      </w:pPr>
    </w:p>
    <w:p>
      <w:pPr>
        <w:jc w:val="both"/>
        <w:ind w:left="800" w:firstLine="647"/>
        <w:spacing w:after="0" w:line="246" w:lineRule="auto"/>
        <w:tabs>
          <w:tab w:leader="none" w:pos="1856"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any failure by the Company to continue in effect any incentive plan or arrangement (including, without limitation, the Company’s Officers Incentive Compensation Plan, Officers Long-Term Incentive Plan, bonus and contingent bonus arrangements and credits and the right to receive performance awards and similar incentive compensation benefits) in which the Executive is participating at the time of a Change of Control (or any other plans or arrangements providing him with substantially similar benefits) (hereinafter referred to as “Incentive Plans”) or the taking of any action by the Company which would adversely affect the Executive’s participation in any such Incentive Plan or materially reduce the Executive’s benefits under any such Incentive Plan by reducing such benefits, when expressed as a percentage of his base salary, by more than 10 percentage points in any fiscal year as compared to the immediately preceding fiscal year;</w:t>
      </w:r>
    </w:p>
    <w:p>
      <w:pPr>
        <w:spacing w:after="0" w:line="232" w:lineRule="exact"/>
        <w:rPr>
          <w:rFonts w:ascii="Arial" w:cs="Arial" w:eastAsia="Arial" w:hAnsi="Arial"/>
          <w:sz w:val="22"/>
          <w:szCs w:val="22"/>
          <w:color w:val="auto"/>
        </w:rPr>
      </w:pPr>
    </w:p>
    <w:p>
      <w:pPr>
        <w:jc w:val="both"/>
        <w:ind w:left="800" w:firstLine="647"/>
        <w:spacing w:after="0" w:line="248" w:lineRule="auto"/>
        <w:tabs>
          <w:tab w:leader="none" w:pos="1758"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any failure by the Company to continue in effect any plan or arrangement to receive securities of the Company in which the Executive is participating at the time of a Change of Control (or plans or arrangements providing him with substantially similar benefits) (hereinafter referred to as “Securities Plans”) or the taking of any action by the Company which would adversely affect the Executive’s participation in or materially reduce the Executive’s benefits under any such Securities Plan;</w:t>
      </w:r>
    </w:p>
    <w:p>
      <w:pPr>
        <w:spacing w:after="0" w:line="232" w:lineRule="exact"/>
        <w:rPr>
          <w:rFonts w:ascii="Arial" w:cs="Arial" w:eastAsia="Arial" w:hAnsi="Arial"/>
          <w:sz w:val="22"/>
          <w:szCs w:val="22"/>
          <w:color w:val="auto"/>
        </w:rPr>
      </w:pPr>
    </w:p>
    <w:p>
      <w:pPr>
        <w:jc w:val="both"/>
        <w:ind w:left="800" w:firstLine="647"/>
        <w:spacing w:after="0" w:line="248" w:lineRule="auto"/>
        <w:tabs>
          <w:tab w:leader="none" w:pos="1839" w:val="left"/>
        </w:tabs>
        <w:numPr>
          <w:ilvl w:val="0"/>
          <w:numId w:val="56"/>
        </w:numPr>
        <w:rPr>
          <w:rFonts w:ascii="Arial" w:cs="Arial" w:eastAsia="Arial" w:hAnsi="Arial"/>
          <w:sz w:val="22"/>
          <w:szCs w:val="22"/>
          <w:color w:val="auto"/>
        </w:rPr>
      </w:pPr>
      <w:r>
        <w:rPr>
          <w:rFonts w:ascii="Arial" w:cs="Arial" w:eastAsia="Arial" w:hAnsi="Arial"/>
          <w:sz w:val="22"/>
          <w:szCs w:val="22"/>
          <w:color w:val="auto"/>
        </w:rPr>
        <w:t>a relocation of the Company’s principal executive offices to a location outside of Forest City, Iowa, or the Executive’s relocation to any place other than the location at which the Executive performed the Executive’s duties prior to a Change in Control of the Company, except for required travel by the Executive on the Company’s business to an extent substantially consistent with the Executive’s business travel obligations at the time of a Change in Control of the Company;</w:t>
      </w:r>
    </w:p>
    <w:p>
      <w:pPr>
        <w:spacing w:after="0" w:line="232" w:lineRule="exact"/>
        <w:rPr>
          <w:rFonts w:ascii="Arial" w:cs="Arial" w:eastAsia="Arial" w:hAnsi="Arial"/>
          <w:sz w:val="22"/>
          <w:szCs w:val="22"/>
          <w:color w:val="auto"/>
        </w:rPr>
      </w:pPr>
    </w:p>
    <w:p>
      <w:pPr>
        <w:ind w:left="800" w:firstLine="647"/>
        <w:spacing w:after="0" w:line="263" w:lineRule="auto"/>
        <w:tabs>
          <w:tab w:leader="none" w:pos="1898"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any failure by the Company to provide the Executive with the number of paid vacation days to which the Executive is entitled at the time of a Change in Control of the Company;</w:t>
      </w:r>
    </w:p>
    <w:p>
      <w:pPr>
        <w:spacing w:after="0" w:line="215" w:lineRule="exact"/>
        <w:rPr>
          <w:rFonts w:ascii="Arial" w:cs="Arial" w:eastAsia="Arial" w:hAnsi="Arial"/>
          <w:sz w:val="22"/>
          <w:szCs w:val="22"/>
          <w:color w:val="auto"/>
        </w:rPr>
      </w:pPr>
    </w:p>
    <w:p>
      <w:pPr>
        <w:ind w:left="1940" w:hanging="493"/>
        <w:spacing w:after="0"/>
        <w:tabs>
          <w:tab w:leader="none" w:pos="19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any material breach by the Company of any provision of this Agreement;</w:t>
      </w:r>
    </w:p>
    <w:p>
      <w:pPr>
        <w:spacing w:after="0" w:line="260" w:lineRule="exact"/>
        <w:rPr>
          <w:rFonts w:ascii="Arial" w:cs="Arial" w:eastAsia="Arial" w:hAnsi="Arial"/>
          <w:sz w:val="22"/>
          <w:szCs w:val="22"/>
          <w:color w:val="auto"/>
        </w:rPr>
      </w:pPr>
    </w:p>
    <w:p>
      <w:pPr>
        <w:ind w:left="800" w:firstLine="647"/>
        <w:spacing w:after="0" w:line="263" w:lineRule="auto"/>
        <w:tabs>
          <w:tab w:leader="none" w:pos="18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any failure by the Company to obtain the assumption of this Agreement by any successor or assign of the Company; or</w:t>
      </w:r>
    </w:p>
    <w:p>
      <w:pPr>
        <w:spacing w:after="0" w:line="215" w:lineRule="exact"/>
        <w:rPr>
          <w:rFonts w:ascii="Arial" w:cs="Arial" w:eastAsia="Arial" w:hAnsi="Arial"/>
          <w:sz w:val="22"/>
          <w:szCs w:val="22"/>
          <w:color w:val="auto"/>
        </w:rPr>
      </w:pPr>
    </w:p>
    <w:p>
      <w:pPr>
        <w:ind w:left="800" w:firstLine="647"/>
        <w:spacing w:after="0" w:line="263" w:lineRule="auto"/>
        <w:tabs>
          <w:tab w:leader="none" w:pos="1801"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any purported termination of the Executive’s employment which is not effected pursuant to a Notice of Termination satisfying the requirements of Section 3(e) below.</w:t>
      </w:r>
    </w:p>
    <w:p>
      <w:pPr>
        <w:spacing w:after="0" w:line="215" w:lineRule="exact"/>
        <w:rPr>
          <w:sz w:val="20"/>
          <w:szCs w:val="20"/>
          <w:color w:val="auto"/>
        </w:rPr>
      </w:pPr>
    </w:p>
    <w:p>
      <w:pPr>
        <w:ind w:left="-20" w:right="20" w:firstLine="1305"/>
        <w:spacing w:after="0" w:line="263" w:lineRule="auto"/>
        <w:tabs>
          <w:tab w:leader="none" w:pos="1638" w:val="left"/>
        </w:tabs>
        <w:numPr>
          <w:ilvl w:val="0"/>
          <w:numId w:val="57"/>
        </w:numPr>
        <w:rPr>
          <w:rFonts w:ascii="Arial" w:cs="Arial" w:eastAsia="Arial" w:hAnsi="Arial"/>
          <w:sz w:val="22"/>
          <w:szCs w:val="22"/>
          <w:color w:val="auto"/>
        </w:rPr>
      </w:pPr>
      <w:r>
        <w:rPr>
          <w:rFonts w:ascii="Arial" w:cs="Arial" w:eastAsia="Arial" w:hAnsi="Arial"/>
          <w:sz w:val="22"/>
          <w:szCs w:val="22"/>
          <w:i w:val="1"/>
          <w:iCs w:val="1"/>
          <w:color w:val="auto"/>
        </w:rPr>
        <w:t xml:space="preserve">Notice of Termination. </w:t>
      </w:r>
      <w:r>
        <w:rPr>
          <w:rFonts w:ascii="Arial" w:cs="Arial" w:eastAsia="Arial" w:hAnsi="Arial"/>
          <w:sz w:val="22"/>
          <w:szCs w:val="22"/>
          <w:color w:val="auto"/>
        </w:rPr>
        <w:t>Any termination by the Company pursuant to Section 3(a), (b) or (c)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communicated by a Notice of Termination. For purposes of this Agreement, a “Notice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60" w:top="564" w:right="239" w:bottom="1440" w:gutter="0" w:footer="0" w:header="0"/>
        </w:sectPr>
      </w:pPr>
    </w:p>
    <w:bookmarkStart w:id="64" w:name="page65"/>
    <w:bookmarkEnd w:id="64"/>
    <w:p>
      <w:pPr>
        <w:jc w:val="both"/>
        <w:spacing w:after="0" w:line="250" w:lineRule="auto"/>
        <w:rPr>
          <w:sz w:val="20"/>
          <w:szCs w:val="20"/>
          <w:color w:val="auto"/>
        </w:rPr>
      </w:pPr>
      <w:r>
        <w:rPr>
          <w:rFonts w:ascii="Arial" w:cs="Arial" w:eastAsia="Arial" w:hAnsi="Arial"/>
          <w:sz w:val="22"/>
          <w:szCs w:val="22"/>
          <w:color w:val="auto"/>
        </w:rPr>
        <w:t>of Termination” shall mean a written notice which shall indicate those specific termination provisions in this Agreement relied upon and which sets forth in reasonable detail the facts and circumstances claimed to provide a basis for termination of the Executive’s employment under the provisions so indicated. For purposes of this Agreement, no such purported termination by the Company shall be effective without such Notice of Termination.</w:t>
      </w:r>
    </w:p>
    <w:p>
      <w:pPr>
        <w:spacing w:after="0" w:line="229" w:lineRule="exact"/>
        <w:rPr>
          <w:sz w:val="20"/>
          <w:szCs w:val="20"/>
          <w:color w:val="auto"/>
        </w:rPr>
      </w:pPr>
    </w:p>
    <w:p>
      <w:pPr>
        <w:jc w:val="both"/>
        <w:ind w:firstLine="1305"/>
        <w:spacing w:after="0" w:line="259" w:lineRule="auto"/>
        <w:tabs>
          <w:tab w:leader="none" w:pos="1580" w:val="left"/>
        </w:tabs>
        <w:numPr>
          <w:ilvl w:val="1"/>
          <w:numId w:val="58"/>
        </w:numPr>
        <w:rPr>
          <w:rFonts w:ascii="Arial" w:cs="Arial" w:eastAsia="Arial" w:hAnsi="Arial"/>
          <w:sz w:val="21"/>
          <w:szCs w:val="21"/>
          <w:color w:val="auto"/>
        </w:rPr>
      </w:pPr>
      <w:r>
        <w:rPr>
          <w:rFonts w:ascii="Arial" w:cs="Arial" w:eastAsia="Arial" w:hAnsi="Arial"/>
          <w:sz w:val="21"/>
          <w:szCs w:val="21"/>
          <w:i w:val="1"/>
          <w:iCs w:val="1"/>
          <w:color w:val="auto"/>
        </w:rPr>
        <w:t xml:space="preserve">Date of Termination. </w:t>
      </w:r>
      <w:r>
        <w:rPr>
          <w:rFonts w:ascii="Arial" w:cs="Arial" w:eastAsia="Arial" w:hAnsi="Arial"/>
          <w:sz w:val="21"/>
          <w:szCs w:val="21"/>
          <w:color w:val="auto"/>
        </w:rPr>
        <w:t>“Date of Termination” shall mean (a) if this Agreement is terminated by the Company for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Disability, 30 days after Notice of Termination is given to the Executive (provided that the Executive shall not have returned to the performance of the Executive’s duties on a full-time basis during such 30-day period) or (b) if the Executive’s employment is terminated by the Company for any other reason, the date on which a Notice of Termination is given;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within 30 days after any Notice of Termination is given to the Executive by the Company the Executive notified the Company that a dispute exists concerning the termination, the Date of Termination shall be the date the dispute is finally determined, whether by mutual agreement by the parties or upon final judgment, order or decree of a court of competent jurisdiction (the time for appeal therefrom having expired and no appeal having been perfected).</w:t>
      </w:r>
    </w:p>
    <w:p>
      <w:pPr>
        <w:spacing w:after="0" w:line="218" w:lineRule="exact"/>
        <w:rPr>
          <w:rFonts w:ascii="Arial" w:cs="Arial" w:eastAsia="Arial" w:hAnsi="Arial"/>
          <w:sz w:val="21"/>
          <w:szCs w:val="21"/>
          <w:color w:val="auto"/>
        </w:rPr>
      </w:pPr>
    </w:p>
    <w:p>
      <w:pPr>
        <w:jc w:val="both"/>
        <w:ind w:firstLine="656"/>
        <w:spacing w:after="0" w:line="261" w:lineRule="auto"/>
        <w:tabs>
          <w:tab w:leader="none" w:pos="1189" w:val="left"/>
        </w:tabs>
        <w:numPr>
          <w:ilvl w:val="0"/>
          <w:numId w:val="5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Severance Compensation upon Termination of 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If the Company shall terminate the Executive’s</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other than pursuant to Section 3(a), (b), or (c) or if the Executive shall terminate his employment for Good Reason, then the Company shall pay to the Executive as severance pay in a lump sum, in cash, on the fifth day following the Date of Termination, an amount equal to three (3) times the average of the aggregate annual compensation paid to the Executive during the three (3) fiscal years of the Company immediately preceding the Change of Control by the Company subject to United States income taxes (or, such fewer number of fiscal years if the Executive has not been employed by the Company during each of the preceding three (3) fiscal years).</w:t>
      </w:r>
    </w:p>
    <w:p>
      <w:pPr>
        <w:spacing w:after="0" w:line="214" w:lineRule="exact"/>
        <w:rPr>
          <w:rFonts w:ascii="Arial" w:cs="Arial" w:eastAsia="Arial" w:hAnsi="Arial"/>
          <w:sz w:val="21"/>
          <w:szCs w:val="21"/>
          <w:b w:val="1"/>
          <w:bCs w:val="1"/>
          <w:color w:val="auto"/>
        </w:rPr>
      </w:pPr>
    </w:p>
    <w:p>
      <w:pPr>
        <w:ind w:left="1040" w:hanging="384"/>
        <w:spacing w:after="0"/>
        <w:tabs>
          <w:tab w:leader="none" w:pos="104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Excise Tax - Payment Limitation.</w:t>
      </w:r>
    </w:p>
    <w:p>
      <w:pPr>
        <w:spacing w:after="0" w:line="266"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Notwithstanding anything in this Agreement or any written or unwritten policy of the Company to the contrary, (i) if it shall be determined that any payment or distribution by the Company to or for the benefit of the Executive, whether paid or payable or distributed or distributable pursuant to the terms of this Agreement, any other agreement between the Company and the Executive or otherwise (a "Payment"), would be subject to the excise tax imposed by section 4999 of the Internal Revenue Code of 1986, as amended, (the "Code") or any interest or penalties with respect to such excise tax (such excise tax, together with any such interest and penalties, are hereinafter collectively referred to as the "Excise Tax"), or (ii) if the Executive shall otherwise become obligated to pay the Excise Tax in respect of a Payment, then an analysis shall be conducted to determine if the amount payable pursuant to this Agreement, in combination with any other payments, when taking into consideration the payment of the Excise Tax, exceeds the amount that would otherwise be payable if the Excise Tax was not applicable. If after the analysis the net amount received by the Executive after deducting the Excise Tax is greater than the maximum amount payable that would avoid the imposition of the Excise Tax, then the Company shall pay to the Executive the amount called for in this Agreement. However, if the net amount received by the Executive after paying the Excise Tax would be less than the amount if the payment did not exceed an amount that would subject it to the Excise Tax, the lower amount shall be paid. The intent of this provision is to insure that the Executive, regardless of the Excise Tax, receives the largest net payment possible. The parties acknowledge that the Executive is solely responsible for the payment of any Excise Tax that is assessed based upon a payment made pursuant to this Agreement or any other payment made by the Company pursuant to any other plan or obligation.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64" w:right="239" w:bottom="1440" w:gutter="0" w:footer="0" w:header="0"/>
        </w:sectPr>
      </w:pPr>
    </w:p>
    <w:bookmarkStart w:id="65" w:name="page66"/>
    <w:bookmarkEnd w:id="65"/>
    <w:p>
      <w:pPr>
        <w:ind w:left="1040" w:hanging="384"/>
        <w:spacing w:after="0"/>
        <w:tabs>
          <w:tab w:leader="none" w:pos="104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Obligation To Mitigate Damages; No Effect on Other Contractual Rights</w:t>
      </w:r>
      <w:r>
        <w:rPr>
          <w:rFonts w:ascii="Arial" w:cs="Arial" w:eastAsia="Arial" w:hAnsi="Arial"/>
          <w:sz w:val="22"/>
          <w:szCs w:val="22"/>
          <w:color w:val="auto"/>
        </w:rPr>
        <w:t>.</w:t>
      </w:r>
    </w:p>
    <w:p>
      <w:pPr>
        <w:spacing w:after="0" w:line="266" w:lineRule="exact"/>
        <w:rPr>
          <w:rFonts w:ascii="Arial" w:cs="Arial" w:eastAsia="Arial" w:hAnsi="Arial"/>
          <w:sz w:val="22"/>
          <w:szCs w:val="22"/>
          <w:b w:val="1"/>
          <w:bCs w:val="1"/>
          <w:color w:val="auto"/>
        </w:rPr>
      </w:pPr>
    </w:p>
    <w:p>
      <w:pPr>
        <w:jc w:val="both"/>
        <w:ind w:firstLine="1305"/>
        <w:spacing w:after="0" w:line="250" w:lineRule="auto"/>
        <w:tabs>
          <w:tab w:leader="none" w:pos="1604" w:val="left"/>
        </w:tabs>
        <w:numPr>
          <w:ilvl w:val="1"/>
          <w:numId w:val="60"/>
        </w:numPr>
        <w:rPr>
          <w:rFonts w:ascii="Arial" w:cs="Arial" w:eastAsia="Arial" w:hAnsi="Arial"/>
          <w:sz w:val="22"/>
          <w:szCs w:val="22"/>
          <w:color w:val="auto"/>
        </w:rPr>
      </w:pPr>
      <w:r>
        <w:rPr>
          <w:rFonts w:ascii="Arial" w:cs="Arial" w:eastAsia="Arial" w:hAnsi="Arial"/>
          <w:sz w:val="22"/>
          <w:szCs w:val="22"/>
          <w:color w:val="auto"/>
        </w:rPr>
        <w:t>The Executive shall not be required to mitigate damages or the amount of any payment provided for under this Agreement by seeking other employment or otherwise, nor shall the amount of any payment provided for under this Agreement be reduced by any compensation earned by the Executive as the result of employment by another employer after the Date of Termination, or otherwise.</w:t>
      </w:r>
    </w:p>
    <w:p>
      <w:pPr>
        <w:spacing w:after="0" w:line="228" w:lineRule="exact"/>
        <w:rPr>
          <w:rFonts w:ascii="Arial" w:cs="Arial" w:eastAsia="Arial" w:hAnsi="Arial"/>
          <w:sz w:val="22"/>
          <w:szCs w:val="22"/>
          <w:color w:val="auto"/>
        </w:rPr>
      </w:pPr>
    </w:p>
    <w:p>
      <w:pPr>
        <w:jc w:val="both"/>
        <w:ind w:firstLine="1305"/>
        <w:spacing w:after="0" w:line="250" w:lineRule="auto"/>
        <w:tabs>
          <w:tab w:leader="none" w:pos="1643" w:val="left"/>
        </w:tabs>
        <w:numPr>
          <w:ilvl w:val="1"/>
          <w:numId w:val="60"/>
        </w:numPr>
        <w:rPr>
          <w:rFonts w:ascii="Arial" w:cs="Arial" w:eastAsia="Arial" w:hAnsi="Arial"/>
          <w:sz w:val="22"/>
          <w:szCs w:val="22"/>
          <w:color w:val="auto"/>
        </w:rPr>
      </w:pPr>
      <w:r>
        <w:rPr>
          <w:rFonts w:ascii="Arial" w:cs="Arial" w:eastAsia="Arial" w:hAnsi="Arial"/>
          <w:sz w:val="22"/>
          <w:szCs w:val="22"/>
          <w:color w:val="auto"/>
        </w:rPr>
        <w:t>The provisions of this Agreement, and any payment provided for hereunder, shall not reduce any amounts otherwise payable, or in any way diminish the Executive’s existing rights, or rights which would accrue solely as a result of the passage of time, under any Benefit Plan, Incentive Plan or Securities Plan, employment agreements or other contract, plan or arrangement.</w:t>
      </w:r>
    </w:p>
    <w:p>
      <w:pPr>
        <w:spacing w:after="0" w:line="222" w:lineRule="exact"/>
        <w:rPr>
          <w:rFonts w:ascii="Arial" w:cs="Arial" w:eastAsia="Arial" w:hAnsi="Arial"/>
          <w:sz w:val="22"/>
          <w:szCs w:val="22"/>
          <w:color w:val="auto"/>
        </w:rPr>
      </w:pPr>
    </w:p>
    <w:p>
      <w:pPr>
        <w:ind w:left="1040" w:hanging="384"/>
        <w:spacing w:after="0"/>
        <w:tabs>
          <w:tab w:leader="none" w:pos="104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Successor to the Company</w:t>
      </w:r>
      <w:r>
        <w:rPr>
          <w:rFonts w:ascii="Arial" w:cs="Arial" w:eastAsia="Arial" w:hAnsi="Arial"/>
          <w:sz w:val="22"/>
          <w:szCs w:val="22"/>
          <w:b w:val="1"/>
          <w:bCs w:val="1"/>
          <w:i w:val="1"/>
          <w:iCs w:val="1"/>
          <w:color w:val="auto"/>
        </w:rPr>
        <w:t>.</w:t>
      </w:r>
    </w:p>
    <w:p>
      <w:pPr>
        <w:spacing w:after="0" w:line="266" w:lineRule="exact"/>
        <w:rPr>
          <w:rFonts w:ascii="Arial" w:cs="Arial" w:eastAsia="Arial" w:hAnsi="Arial"/>
          <w:sz w:val="22"/>
          <w:szCs w:val="22"/>
          <w:b w:val="1"/>
          <w:bCs w:val="1"/>
          <w:color w:val="auto"/>
        </w:rPr>
      </w:pPr>
    </w:p>
    <w:p>
      <w:pPr>
        <w:jc w:val="both"/>
        <w:ind w:firstLine="1305"/>
        <w:spacing w:after="0" w:line="289" w:lineRule="auto"/>
        <w:tabs>
          <w:tab w:leader="none" w:pos="1590"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Company will require any successor or assign (whether direct or indirect, by purchase, merger, consolidation or otherwise) of all or substantially all of the business and/or assets of the Company, by agreement in form and substance satisfactory to the Executive, expressly, absolutely and unconditionally to assume and agree to perform this Agreement in the same manner and to the same extent that the Company would be required to perform it if no such succession or assignment had taken place. Any failure of the Company to obtain such agreement prior to the effectiveness of any such succession or assignment shall be a material breach of this Agreement and shall entitle the Executive to terminate the Executive’s employment for Good Reason. As used in this Agreement, “Company” shall mean the Company as hereinbefore defined and any successor or assign to its business and/or assets as aforesaid which executes and delivers the agreement provided for in this Section 7 or which otherwise becomes bound by all the terms and provisions of this Agreement by operation of law.</w:t>
      </w:r>
    </w:p>
    <w:p>
      <w:pPr>
        <w:spacing w:after="0" w:line="198" w:lineRule="exact"/>
        <w:rPr>
          <w:rFonts w:ascii="Arial" w:cs="Arial" w:eastAsia="Arial" w:hAnsi="Arial"/>
          <w:sz w:val="19"/>
          <w:szCs w:val="19"/>
          <w:color w:val="auto"/>
        </w:rPr>
      </w:pPr>
    </w:p>
    <w:p>
      <w:pPr>
        <w:jc w:val="both"/>
        <w:ind w:firstLine="1305"/>
        <w:spacing w:after="0" w:line="248" w:lineRule="auto"/>
        <w:tabs>
          <w:tab w:leader="none" w:pos="1657" w:val="left"/>
        </w:tabs>
        <w:numPr>
          <w:ilvl w:val="1"/>
          <w:numId w:val="60"/>
        </w:numPr>
        <w:rPr>
          <w:rFonts w:ascii="Arial" w:cs="Arial" w:eastAsia="Arial" w:hAnsi="Arial"/>
          <w:sz w:val="22"/>
          <w:szCs w:val="22"/>
          <w:color w:val="auto"/>
        </w:rPr>
      </w:pPr>
      <w:r>
        <w:rPr>
          <w:rFonts w:ascii="Arial" w:cs="Arial" w:eastAsia="Arial" w:hAnsi="Arial"/>
          <w:sz w:val="22"/>
          <w:szCs w:val="22"/>
          <w:color w:val="auto"/>
        </w:rPr>
        <w:t>This Agreement shall inure to the benefit of and be enforceable by the Executive’s personal and legal representatives, executors, administrators, successors, heirs, distributes, devisees and legatees. If the Executive should die while any amounts are still payable to him hereunder, all such amounts, unless otherwise provided herein, shall be paid in accordance with the terms of this Agreement to the Executive’s devisee, legatee, or other designee or, if there be no such designee, to the Executive’s estate.</w:t>
      </w:r>
    </w:p>
    <w:p>
      <w:pPr>
        <w:spacing w:after="0" w:line="226" w:lineRule="exact"/>
        <w:rPr>
          <w:rFonts w:ascii="Arial" w:cs="Arial" w:eastAsia="Arial" w:hAnsi="Arial"/>
          <w:sz w:val="22"/>
          <w:szCs w:val="22"/>
          <w:color w:val="auto"/>
        </w:rPr>
      </w:pPr>
    </w:p>
    <w:p>
      <w:pPr>
        <w:jc w:val="both"/>
        <w:ind w:firstLine="656"/>
        <w:spacing w:after="0" w:line="274" w:lineRule="auto"/>
        <w:tabs>
          <w:tab w:leader="none" w:pos="1148" w:val="left"/>
        </w:tabs>
        <w:numPr>
          <w:ilvl w:val="0"/>
          <w:numId w:val="6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Guaranty of Employment</w:t>
      </w:r>
      <w:r>
        <w:rPr>
          <w:rFonts w:ascii="Arial" w:cs="Arial" w:eastAsia="Arial" w:hAnsi="Arial"/>
          <w:sz w:val="21"/>
          <w:szCs w:val="21"/>
          <w:color w:val="auto"/>
        </w:rPr>
        <w:t>. Nothing in this Agreement shall be deemed to entitle the Executive to continued</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with the Company prior to a Change of Control, and the rights of the Company to terminate the employment of the Executive, prior to a Change of Control, shall continue as fully as if this Agreement were not in effect.</w:t>
      </w:r>
    </w:p>
    <w:p>
      <w:pPr>
        <w:spacing w:after="0" w:line="199" w:lineRule="exact"/>
        <w:rPr>
          <w:rFonts w:ascii="Arial" w:cs="Arial" w:eastAsia="Arial" w:hAnsi="Arial"/>
          <w:sz w:val="21"/>
          <w:szCs w:val="21"/>
          <w:b w:val="1"/>
          <w:bCs w:val="1"/>
          <w:color w:val="auto"/>
        </w:rPr>
      </w:pPr>
    </w:p>
    <w:p>
      <w:pPr>
        <w:jc w:val="both"/>
        <w:ind w:firstLine="656"/>
        <w:spacing w:after="0" w:line="256" w:lineRule="auto"/>
        <w:tabs>
          <w:tab w:leader="none" w:pos="1067"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w:t>
      </w:r>
      <w:r>
        <w:rPr>
          <w:rFonts w:ascii="Arial" w:cs="Arial" w:eastAsia="Arial" w:hAnsi="Arial"/>
          <w:sz w:val="22"/>
          <w:szCs w:val="22"/>
          <w:color w:val="auto"/>
        </w:rPr>
        <w:t>. For purposes of this Agreement, notices and all other communications provided for in the Agreement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in writing and shall be deemed to have been duly given when delivered or mailed by United States registered mail, return receipt registered, postage prepaid, as follows: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Company:</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Winnebago Industries, Inc.</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Chairman of the Board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605 W. Crystal Lake Road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P.O. Box 152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Forest City, Iowa 50436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814" w:right="239" w:bottom="1440" w:gutter="0" w:footer="0" w:header="0"/>
        </w:sectPr>
      </w:pPr>
    </w:p>
    <w:bookmarkStart w:id="66" w:name="page67"/>
    <w:bookmarkEnd w:id="66"/>
    <w:p>
      <w:pPr>
        <w:ind w:left="660"/>
        <w:spacing w:after="0"/>
        <w:rPr>
          <w:sz w:val="20"/>
          <w:szCs w:val="20"/>
          <w:color w:val="auto"/>
        </w:rPr>
      </w:pPr>
      <w:r>
        <w:rPr>
          <w:rFonts w:ascii="Arial" w:cs="Arial" w:eastAsia="Arial" w:hAnsi="Arial"/>
          <w:sz w:val="22"/>
          <w:szCs w:val="22"/>
          <w:color w:val="auto"/>
        </w:rPr>
        <w:t>If to the Executive:</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 the last known address in the Personnel records of the Company</w:t>
      </w:r>
    </w:p>
    <w:p>
      <w:pPr>
        <w:spacing w:after="0" w:line="26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or such other address as either party may have furnished to the other in writing in accordance herewith, except that notices of change of address shall be effective only upon receipt.</w:t>
      </w:r>
    </w:p>
    <w:p>
      <w:pPr>
        <w:spacing w:after="0" w:line="209" w:lineRule="exact"/>
        <w:rPr>
          <w:sz w:val="20"/>
          <w:szCs w:val="20"/>
          <w:color w:val="auto"/>
        </w:rPr>
      </w:pPr>
    </w:p>
    <w:p>
      <w:pPr>
        <w:jc w:val="both"/>
        <w:ind w:firstLine="656"/>
        <w:spacing w:after="0" w:line="261" w:lineRule="auto"/>
        <w:tabs>
          <w:tab w:leader="none" w:pos="1310" w:val="left"/>
        </w:tabs>
        <w:numPr>
          <w:ilvl w:val="0"/>
          <w:numId w:val="6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color w:val="auto"/>
        </w:rPr>
        <w:t>. No provisions of this Agreement may be modified, waived or discharged unless such waiver,</w:t>
      </w:r>
      <w:r>
        <w:rPr>
          <w:rFonts w:ascii="Arial" w:cs="Arial" w:eastAsia="Arial" w:hAnsi="Arial"/>
          <w:sz w:val="21"/>
          <w:szCs w:val="21"/>
          <w:b w:val="1"/>
          <w:bCs w:val="1"/>
          <w:color w:val="auto"/>
        </w:rPr>
        <w:t xml:space="preserve"> </w:t>
      </w:r>
      <w:r>
        <w:rPr>
          <w:rFonts w:ascii="Arial" w:cs="Arial" w:eastAsia="Arial" w:hAnsi="Arial"/>
          <w:sz w:val="21"/>
          <w:szCs w:val="21"/>
          <w:color w:val="auto"/>
        </w:rPr>
        <w:t>modification or discharge is agreed to in writing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 This Agreement shall be governed by and construed in accordance with the laws of the State of Iowa.</w:t>
      </w:r>
    </w:p>
    <w:p>
      <w:pPr>
        <w:spacing w:after="0" w:line="214" w:lineRule="exact"/>
        <w:rPr>
          <w:rFonts w:ascii="Arial" w:cs="Arial" w:eastAsia="Arial" w:hAnsi="Arial"/>
          <w:sz w:val="21"/>
          <w:szCs w:val="21"/>
          <w:b w:val="1"/>
          <w:bCs w:val="1"/>
          <w:color w:val="auto"/>
        </w:rPr>
      </w:pPr>
    </w:p>
    <w:p>
      <w:pPr>
        <w:ind w:firstLine="656"/>
        <w:spacing w:after="0" w:line="269" w:lineRule="auto"/>
        <w:tabs>
          <w:tab w:leader="none" w:pos="1271"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Validity</w:t>
      </w:r>
      <w:r>
        <w:rPr>
          <w:rFonts w:ascii="Arial" w:cs="Arial" w:eastAsia="Arial" w:hAnsi="Arial"/>
          <w:sz w:val="22"/>
          <w:szCs w:val="22"/>
          <w:color w:val="auto"/>
        </w:rPr>
        <w:t>. The invalidity or unenforceability of any provisions of this Agreement shall not affect the validity or</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enforceability of any other provision of this Agreement, which shall remain in full force and effect.</w:t>
      </w:r>
    </w:p>
    <w:p>
      <w:pPr>
        <w:spacing w:after="0" w:line="202" w:lineRule="exact"/>
        <w:rPr>
          <w:rFonts w:ascii="Arial" w:cs="Arial" w:eastAsia="Arial" w:hAnsi="Arial"/>
          <w:sz w:val="22"/>
          <w:szCs w:val="22"/>
          <w:b w:val="1"/>
          <w:bCs w:val="1"/>
          <w:color w:val="auto"/>
        </w:rPr>
      </w:pPr>
    </w:p>
    <w:p>
      <w:pPr>
        <w:ind w:firstLine="656"/>
        <w:spacing w:after="0" w:line="269" w:lineRule="auto"/>
        <w:tabs>
          <w:tab w:leader="none" w:pos="1134"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one or more counterparts, each of which shall be deemed to be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but all of which together will constitute one and the same instrument.</w:t>
      </w:r>
    </w:p>
    <w:p>
      <w:pPr>
        <w:spacing w:after="0" w:line="202" w:lineRule="exact"/>
        <w:rPr>
          <w:rFonts w:ascii="Arial" w:cs="Arial" w:eastAsia="Arial" w:hAnsi="Arial"/>
          <w:sz w:val="22"/>
          <w:szCs w:val="22"/>
          <w:b w:val="1"/>
          <w:bCs w:val="1"/>
          <w:color w:val="auto"/>
        </w:rPr>
      </w:pPr>
    </w:p>
    <w:p>
      <w:pPr>
        <w:jc w:val="both"/>
        <w:ind w:firstLine="656"/>
        <w:spacing w:after="0" w:line="256" w:lineRule="auto"/>
        <w:tabs>
          <w:tab w:leader="none" w:pos="1189"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Legal Fees and Expenses</w:t>
      </w:r>
      <w:r>
        <w:rPr>
          <w:rFonts w:ascii="Arial" w:cs="Arial" w:eastAsia="Arial" w:hAnsi="Arial"/>
          <w:sz w:val="22"/>
          <w:szCs w:val="22"/>
          <w:color w:val="auto"/>
        </w:rPr>
        <w:t>. The Company shall pay all legal fees and expenses which the Executive may incur as a</w:t>
      </w:r>
      <w:r>
        <w:rPr>
          <w:rFonts w:ascii="Arial" w:cs="Arial" w:eastAsia="Arial" w:hAnsi="Arial"/>
          <w:sz w:val="22"/>
          <w:szCs w:val="22"/>
          <w:b w:val="1"/>
          <w:bCs w:val="1"/>
          <w:color w:val="auto"/>
        </w:rPr>
        <w:t xml:space="preserve"> </w:t>
      </w:r>
      <w:r>
        <w:rPr>
          <w:rFonts w:ascii="Arial" w:cs="Arial" w:eastAsia="Arial" w:hAnsi="Arial"/>
          <w:sz w:val="22"/>
          <w:szCs w:val="22"/>
          <w:color w:val="auto"/>
        </w:rPr>
        <w:t>result of the Company’s contesting the validity, enforceability or the Executive’s interpretation of, or determinations under, this Agreement.</w:t>
      </w:r>
    </w:p>
    <w:p>
      <w:pPr>
        <w:spacing w:after="0" w:line="216" w:lineRule="exact"/>
        <w:rPr>
          <w:rFonts w:ascii="Arial" w:cs="Arial" w:eastAsia="Arial" w:hAnsi="Arial"/>
          <w:sz w:val="22"/>
          <w:szCs w:val="22"/>
          <w:b w:val="1"/>
          <w:bCs w:val="1"/>
          <w:color w:val="auto"/>
        </w:rPr>
      </w:pPr>
    </w:p>
    <w:p>
      <w:pPr>
        <w:ind w:firstLine="656"/>
        <w:spacing w:after="0" w:line="269" w:lineRule="auto"/>
        <w:tabs>
          <w:tab w:leader="none" w:pos="1134"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Confidentiality</w:t>
      </w:r>
      <w:r>
        <w:rPr>
          <w:rFonts w:ascii="Arial" w:cs="Arial" w:eastAsia="Arial" w:hAnsi="Arial"/>
          <w:sz w:val="22"/>
          <w:szCs w:val="22"/>
          <w:color w:val="auto"/>
        </w:rPr>
        <w:t>. The Executive shall retain in confidence any and all confidential information known to the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concerning the Company and its business so long as such information is not otherwise publicly disclosed.</w:t>
      </w:r>
    </w:p>
    <w:p>
      <w:pPr>
        <w:spacing w:after="0" w:line="202" w:lineRule="exact"/>
        <w:rPr>
          <w:rFonts w:ascii="Arial" w:cs="Arial" w:eastAsia="Arial" w:hAnsi="Arial"/>
          <w:sz w:val="22"/>
          <w:szCs w:val="22"/>
          <w:b w:val="1"/>
          <w:bCs w:val="1"/>
          <w:color w:val="auto"/>
        </w:rPr>
      </w:pPr>
    </w:p>
    <w:p>
      <w:pPr>
        <w:jc w:val="both"/>
        <w:ind w:firstLine="656"/>
        <w:spacing w:after="0" w:line="256" w:lineRule="auto"/>
        <w:tabs>
          <w:tab w:leader="none" w:pos="1256"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intended to satisfy the short-term deferral exception to Internal Revenue code</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409A and the regulations thereunder. This Agreement shall be administered accordingly; and if necessary, amended to ensure satisfaction of the short-term deferral exception.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820" w:right="239" w:bottom="1440" w:gutter="0" w:footer="0" w:header="0"/>
        </w:sectPr>
      </w:pPr>
    </w:p>
    <w:bookmarkStart w:id="67" w:name="page68"/>
    <w:bookmarkEnd w:id="67"/>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have executed this agreement on the date set out above.</w:t>
      </w:r>
    </w:p>
    <w:p>
      <w:pPr>
        <w:spacing w:after="0" w:line="386" w:lineRule="exact"/>
        <w:rPr>
          <w:sz w:val="20"/>
          <w:szCs w:val="20"/>
          <w:color w:val="auto"/>
        </w:rPr>
      </w:pPr>
    </w:p>
    <w:p>
      <w:pPr>
        <w:ind w:left="4620"/>
        <w:spacing w:after="0"/>
        <w:rPr>
          <w:sz w:val="20"/>
          <w:szCs w:val="20"/>
          <w:color w:val="auto"/>
        </w:rPr>
      </w:pPr>
      <w:r>
        <w:rPr>
          <w:rFonts w:ascii="Arial" w:cs="Arial" w:eastAsia="Arial" w:hAnsi="Arial"/>
          <w:sz w:val="25"/>
          <w:szCs w:val="25"/>
          <w:color w:val="auto"/>
        </w:rPr>
        <w:t>W</w:t>
      </w:r>
      <w:r>
        <w:rPr>
          <w:rFonts w:ascii="Arial" w:cs="Arial" w:eastAsia="Arial" w:hAnsi="Arial"/>
          <w:sz w:val="21"/>
          <w:szCs w:val="21"/>
          <w:color w:val="auto"/>
        </w:rPr>
        <w:t>INNEBAGO</w:t>
      </w:r>
      <w:r>
        <w:rPr>
          <w:rFonts w:ascii="Arial" w:cs="Arial" w:eastAsia="Arial" w:hAnsi="Arial"/>
          <w:sz w:val="25"/>
          <w:szCs w:val="25"/>
          <w:color w:val="auto"/>
        </w:rPr>
        <w:t xml:space="preserve"> I</w:t>
      </w:r>
      <w:r>
        <w:rPr>
          <w:rFonts w:ascii="Arial" w:cs="Arial" w:eastAsia="Arial" w:hAnsi="Arial"/>
          <w:sz w:val="21"/>
          <w:szCs w:val="21"/>
          <w:color w:val="auto"/>
        </w:rPr>
        <w:t>NDUSTRIES,</w:t>
      </w:r>
      <w:r>
        <w:rPr>
          <w:rFonts w:ascii="Arial" w:cs="Arial" w:eastAsia="Arial" w:hAnsi="Arial"/>
          <w:sz w:val="25"/>
          <w:szCs w:val="25"/>
          <w:color w:val="auto"/>
        </w:rPr>
        <w:t xml:space="preserve"> I</w:t>
      </w:r>
      <w:r>
        <w:rPr>
          <w:rFonts w:ascii="Arial" w:cs="Arial" w:eastAsia="Arial" w:hAnsi="Arial"/>
          <w:sz w:val="21"/>
          <w:szCs w:val="21"/>
          <w:color w:val="auto"/>
        </w:rPr>
        <w:t>NC.</w:t>
      </w:r>
    </w:p>
    <w:p>
      <w:pPr>
        <w:spacing w:after="0" w:line="383" w:lineRule="exact"/>
        <w:rPr>
          <w:sz w:val="20"/>
          <w:szCs w:val="20"/>
          <w:color w:val="auto"/>
        </w:rPr>
      </w:pPr>
    </w:p>
    <w:p>
      <w:pPr>
        <w:ind w:left="4620"/>
        <w:spacing w:after="0"/>
        <w:tabs>
          <w:tab w:leader="none" w:pos="5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Bret A. Woodson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3282315</wp:posOffset>
            </wp:positionH>
            <wp:positionV relativeFrom="paragraph">
              <wp:posOffset>24765</wp:posOffset>
            </wp:positionV>
            <wp:extent cx="35502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Bret A. Woodson</w:t>
      </w:r>
    </w:p>
    <w:p>
      <w:pPr>
        <w:spacing w:after="0" w:line="4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Vice President of Administration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EXECUTIVE:</w:t>
      </w:r>
    </w:p>
    <w:p>
      <w:pPr>
        <w:spacing w:after="0" w:line="368" w:lineRule="exact"/>
        <w:rPr>
          <w:sz w:val="20"/>
          <w:szCs w:val="20"/>
          <w:color w:val="auto"/>
        </w:rPr>
      </w:pPr>
    </w:p>
    <w:p>
      <w:pPr>
        <w:ind w:left="4620"/>
        <w:spacing w:after="0"/>
        <w:rPr>
          <w:sz w:val="20"/>
          <w:szCs w:val="20"/>
          <w:color w:val="auto"/>
        </w:rPr>
      </w:pPr>
      <w:r>
        <w:rPr>
          <w:rFonts w:ascii="Arial" w:cs="Arial" w:eastAsia="Arial" w:hAnsi="Arial"/>
          <w:sz w:val="22"/>
          <w:szCs w:val="22"/>
          <w:i w:val="1"/>
          <w:iCs w:val="1"/>
          <w:color w:val="auto"/>
        </w:rPr>
        <w:t>/s/ Ashis Bhattacharya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2922270</wp:posOffset>
            </wp:positionH>
            <wp:positionV relativeFrom="paragraph">
              <wp:posOffset>24765</wp:posOffset>
            </wp:positionV>
            <wp:extent cx="39103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8"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Ashis Bhattacharya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9559"/>
          </w:cols>
          <w:pgMar w:left="900" w:top="936" w:right="1440" w:bottom="1440" w:gutter="0" w:footer="0" w:header="0"/>
        </w:sectPr>
      </w:pPr>
    </w:p>
    <w:bookmarkStart w:id="68" w:name="page69"/>
    <w:bookmarkEnd w:id="68"/>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CHANGE OF CONTROL AGREEMENT</w:t>
      </w:r>
    </w:p>
    <w:p>
      <w:pPr>
        <w:spacing w:after="0" w:line="3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 xml:space="preserve">This EXECUTIVE CHANGE OF CONTROL AGREEMENT is made as of September 16, 2016, by and between </w:t>
      </w:r>
      <w:r>
        <w:rPr>
          <w:rFonts w:ascii="Arial" w:cs="Arial" w:eastAsia="Arial" w:hAnsi="Arial"/>
          <w:sz w:val="21"/>
          <w:szCs w:val="21"/>
          <w:b w:val="1"/>
          <w:bCs w:val="1"/>
          <w:color w:val="auto"/>
        </w:rPr>
        <w:t>WINNEBAGO INDUSTRIES, INC.</w:t>
      </w:r>
      <w:r>
        <w:rPr>
          <w:rFonts w:ascii="Arial" w:cs="Arial" w:eastAsia="Arial" w:hAnsi="Arial"/>
          <w:sz w:val="21"/>
          <w:szCs w:val="21"/>
          <w:color w:val="auto"/>
        </w:rPr>
        <w:t>, an Iowa corporation (the "Company"), and Brian Hazelton (the "Executive").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6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Executive is a senior executive and officer of the Company and has made and is expected to continue to</w:t>
      </w:r>
      <w:r>
        <w:rPr>
          <w:rFonts w:ascii="Arial" w:cs="Arial" w:eastAsia="Arial" w:hAnsi="Arial"/>
          <w:sz w:val="22"/>
          <w:szCs w:val="22"/>
          <w:b w:val="1"/>
          <w:bCs w:val="1"/>
          <w:color w:val="auto"/>
        </w:rPr>
        <w:t xml:space="preserve"> </w:t>
      </w:r>
      <w:r>
        <w:rPr>
          <w:rFonts w:ascii="Arial" w:cs="Arial" w:eastAsia="Arial" w:hAnsi="Arial"/>
          <w:sz w:val="22"/>
          <w:szCs w:val="22"/>
          <w:color w:val="auto"/>
        </w:rPr>
        <w:t>make major contributions to the profitability, growth and financial strength of the Company;</w:t>
      </w:r>
    </w:p>
    <w:p>
      <w:pPr>
        <w:spacing w:after="0" w:line="203"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recognizes that, as is the case for most publicly held companies, the possibility of a Change of</w:t>
      </w:r>
      <w:r>
        <w:rPr>
          <w:rFonts w:ascii="Arial" w:cs="Arial" w:eastAsia="Arial" w:hAnsi="Arial"/>
          <w:sz w:val="22"/>
          <w:szCs w:val="22"/>
          <w:b w:val="1"/>
          <w:bCs w:val="1"/>
          <w:color w:val="auto"/>
        </w:rPr>
        <w:t xml:space="preserve"> </w:t>
      </w:r>
      <w:r>
        <w:rPr>
          <w:rFonts w:ascii="Arial" w:cs="Arial" w:eastAsia="Arial" w:hAnsi="Arial"/>
          <w:sz w:val="22"/>
          <w:szCs w:val="22"/>
          <w:color w:val="auto"/>
        </w:rPr>
        <w:t>Control (as hereafter defined) exists;</w:t>
      </w:r>
    </w:p>
    <w:p>
      <w:pPr>
        <w:spacing w:after="0" w:line="20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it is in the best interests of the Company, considering the past and future services of the Executive, to improve</w:t>
      </w:r>
      <w:r>
        <w:rPr>
          <w:rFonts w:ascii="Arial" w:cs="Arial" w:eastAsia="Arial" w:hAnsi="Arial"/>
          <w:sz w:val="22"/>
          <w:szCs w:val="22"/>
          <w:b w:val="1"/>
          <w:bCs w:val="1"/>
          <w:color w:val="auto"/>
        </w:rPr>
        <w:t xml:space="preserve"> </w:t>
      </w:r>
      <w:r>
        <w:rPr>
          <w:rFonts w:ascii="Arial" w:cs="Arial" w:eastAsia="Arial" w:hAnsi="Arial"/>
          <w:sz w:val="22"/>
          <w:szCs w:val="22"/>
          <w:color w:val="auto"/>
        </w:rPr>
        <w:t>the security and climate for objective decision making by providing for the personal security of the Executive upon a Change of Control.</w:t>
      </w:r>
    </w:p>
    <w:p>
      <w:pPr>
        <w:spacing w:after="0" w:line="2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premises and the past and future services rendered and to be</w:t>
      </w:r>
      <w:r>
        <w:rPr>
          <w:rFonts w:ascii="Arial" w:cs="Arial" w:eastAsia="Arial" w:hAnsi="Arial"/>
          <w:sz w:val="22"/>
          <w:szCs w:val="22"/>
          <w:b w:val="1"/>
          <w:bCs w:val="1"/>
          <w:color w:val="auto"/>
        </w:rPr>
        <w:t xml:space="preserve"> </w:t>
      </w:r>
      <w:r>
        <w:rPr>
          <w:rFonts w:ascii="Arial" w:cs="Arial" w:eastAsia="Arial" w:hAnsi="Arial"/>
          <w:sz w:val="22"/>
          <w:szCs w:val="22"/>
          <w:color w:val="auto"/>
        </w:rPr>
        <w:t>rendered by the Executive to the Company and of the mutual covenants and agreements hereinafter set forth, the parties agree as follows: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60" w:lineRule="exact"/>
        <w:rPr>
          <w:sz w:val="20"/>
          <w:szCs w:val="20"/>
          <w:color w:val="auto"/>
        </w:rPr>
      </w:pPr>
    </w:p>
    <w:p>
      <w:pPr>
        <w:jc w:val="both"/>
        <w:ind w:firstLine="656"/>
        <w:spacing w:after="0" w:line="249" w:lineRule="auto"/>
        <w:tabs>
          <w:tab w:leader="none" w:pos="1040"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Continued Service by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event a person or entity, in order to effect a Change of Control, commences a</w:t>
      </w:r>
      <w:r>
        <w:rPr>
          <w:rFonts w:ascii="Arial" w:cs="Arial" w:eastAsia="Arial" w:hAnsi="Arial"/>
          <w:sz w:val="22"/>
          <w:szCs w:val="22"/>
          <w:b w:val="1"/>
          <w:bCs w:val="1"/>
          <w:color w:val="auto"/>
        </w:rPr>
        <w:t xml:space="preserve"> </w:t>
      </w:r>
      <w:r>
        <w:rPr>
          <w:rFonts w:ascii="Arial" w:cs="Arial" w:eastAsia="Arial" w:hAnsi="Arial"/>
          <w:sz w:val="22"/>
          <w:szCs w:val="22"/>
          <w:color w:val="auto"/>
        </w:rPr>
        <w:t>tender or exchange offer, circulates a proxy to shareholders or takes other steps, the Executive agrees that the Executive will not voluntarily leave the employ of the Company, and will render faithful services to the Company consistent with Executive’s position and responsibilities, until the person or entity has abandoned or terminated its efforts to effect such Change of Control or until such Change of Control has occurred.</w:t>
      </w:r>
    </w:p>
    <w:p>
      <w:pPr>
        <w:spacing w:after="0" w:line="227" w:lineRule="exact"/>
        <w:rPr>
          <w:rFonts w:ascii="Arial" w:cs="Arial" w:eastAsia="Arial" w:hAnsi="Arial"/>
          <w:sz w:val="22"/>
          <w:szCs w:val="22"/>
          <w:b w:val="1"/>
          <w:bCs w:val="1"/>
          <w:color w:val="auto"/>
        </w:rPr>
      </w:pPr>
    </w:p>
    <w:p>
      <w:pPr>
        <w:jc w:val="both"/>
        <w:ind w:firstLine="656"/>
        <w:spacing w:after="0" w:line="259" w:lineRule="auto"/>
        <w:tabs>
          <w:tab w:leader="none" w:pos="1026" w:val="left"/>
        </w:tabs>
        <w:numPr>
          <w:ilvl w:val="0"/>
          <w:numId w:val="6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Change of Control</w:t>
      </w:r>
      <w:r>
        <w:rPr>
          <w:rFonts w:ascii="Arial" w:cs="Arial" w:eastAsia="Arial" w:hAnsi="Arial"/>
          <w:sz w:val="21"/>
          <w:szCs w:val="21"/>
          <w:b w:val="1"/>
          <w:bCs w:val="1"/>
          <w:color w:val="auto"/>
        </w:rPr>
        <w:t xml:space="preserve">. </w:t>
      </w:r>
      <w:r>
        <w:rPr>
          <w:rFonts w:ascii="Arial" w:cs="Arial" w:eastAsia="Arial" w:hAnsi="Arial"/>
          <w:sz w:val="21"/>
          <w:szCs w:val="21"/>
          <w:color w:val="auto"/>
        </w:rPr>
        <w:t>For purposes of this Agreement, the term “Change of Control” means the time when (i) any Person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becomes an Acquiring Person, or (ii) individuals who shall qualify as Continuing Directors of the Company shall have ceased for any reason to constitute at least a majority of the Board of Directors of the Company; </w:t>
      </w:r>
      <w:r>
        <w:rPr>
          <w:rFonts w:ascii="Arial" w:cs="Arial" w:eastAsia="Arial" w:hAnsi="Arial"/>
          <w:sz w:val="21"/>
          <w:szCs w:val="21"/>
          <w:i w:val="1"/>
          <w:iCs w:val="1"/>
          <w:color w:val="auto"/>
        </w:rPr>
        <w:t>provided however</w:t>
      </w:r>
      <w:r>
        <w:rPr>
          <w:rFonts w:ascii="Arial" w:cs="Arial" w:eastAsia="Arial" w:hAnsi="Arial"/>
          <w:sz w:val="21"/>
          <w:szCs w:val="21"/>
          <w:color w:val="auto"/>
        </w:rPr>
        <w:t>,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440" w:right="239" w:bottom="1440" w:gutter="0" w:footer="0" w:header="0"/>
        </w:sectPr>
      </w:pPr>
    </w:p>
    <w:bookmarkStart w:id="69" w:name="page70"/>
    <w:bookmarkEnd w:id="69"/>
    <w:p>
      <w:pPr>
        <w:spacing w:after="0"/>
        <w:rPr>
          <w:sz w:val="20"/>
          <w:szCs w:val="20"/>
          <w:color w:val="auto"/>
        </w:rPr>
      </w:pPr>
      <w:r>
        <w:rPr>
          <w:rFonts w:ascii="Arial" w:cs="Arial" w:eastAsia="Arial" w:hAnsi="Arial"/>
          <w:sz w:val="19"/>
          <w:szCs w:val="19"/>
          <w:color w:val="auto"/>
        </w:rPr>
        <w:t>held by such a plan shall not be treated as outstanding in determining ownership percentages for purposes of this definition.)</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the purpose of the foregoing definition of “Change of Control”, the capitalized terms shall have the following meanings:</w:t>
      </w:r>
    </w:p>
    <w:p>
      <w:pPr>
        <w:spacing w:after="0" w:line="295" w:lineRule="exact"/>
        <w:rPr>
          <w:sz w:val="20"/>
          <w:szCs w:val="20"/>
          <w:color w:val="auto"/>
        </w:rPr>
      </w:pPr>
    </w:p>
    <w:p>
      <w:pPr>
        <w:jc w:val="both"/>
        <w:ind w:left="1300" w:hanging="644"/>
        <w:spacing w:after="0" w:line="292" w:lineRule="auto"/>
        <w:tabs>
          <w:tab w:leader="none" w:pos="1300" w:val="left"/>
        </w:tabs>
        <w:numPr>
          <w:ilvl w:val="0"/>
          <w:numId w:val="63"/>
        </w:numPr>
        <w:rPr>
          <w:rFonts w:ascii="Arial" w:cs="Arial" w:eastAsia="Arial" w:hAnsi="Arial"/>
          <w:sz w:val="19"/>
          <w:szCs w:val="19"/>
          <w:color w:val="auto"/>
        </w:rPr>
      </w:pPr>
      <w:r>
        <w:rPr>
          <w:rFonts w:ascii="Arial" w:cs="Arial" w:eastAsia="Arial" w:hAnsi="Arial"/>
          <w:sz w:val="19"/>
          <w:szCs w:val="19"/>
          <w:color w:val="auto"/>
        </w:rPr>
        <w:t>“Continuing Director” means (i) any member of the Board of Directors of the Company, while such person as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92" w:lineRule="exact"/>
        <w:rPr>
          <w:rFonts w:ascii="Arial" w:cs="Arial" w:eastAsia="Arial" w:hAnsi="Arial"/>
          <w:sz w:val="19"/>
          <w:szCs w:val="19"/>
          <w:color w:val="auto"/>
        </w:rPr>
      </w:pPr>
    </w:p>
    <w:p>
      <w:pPr>
        <w:jc w:val="both"/>
        <w:ind w:left="1300" w:hanging="644"/>
        <w:spacing w:after="0" w:line="312" w:lineRule="auto"/>
        <w:tabs>
          <w:tab w:leader="none" w:pos="1300" w:val="left"/>
        </w:tabs>
        <w:numPr>
          <w:ilvl w:val="0"/>
          <w:numId w:val="63"/>
        </w:numPr>
        <w:rPr>
          <w:rFonts w:ascii="Arial" w:cs="Arial" w:eastAsia="Arial" w:hAnsi="Arial"/>
          <w:sz w:val="19"/>
          <w:szCs w:val="19"/>
          <w:color w:val="auto"/>
        </w:rPr>
      </w:pPr>
      <w:r>
        <w:rPr>
          <w:rFonts w:ascii="Arial" w:cs="Arial" w:eastAsia="Arial" w:hAnsi="Arial"/>
          <w:sz w:val="19"/>
          <w:szCs w:val="19"/>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following date of the Executive’s execution of this Agreement.</w:t>
      </w:r>
    </w:p>
    <w:p>
      <w:pPr>
        <w:spacing w:after="0" w:line="174" w:lineRule="exact"/>
        <w:rPr>
          <w:rFonts w:ascii="Arial" w:cs="Arial" w:eastAsia="Arial" w:hAnsi="Arial"/>
          <w:sz w:val="19"/>
          <w:szCs w:val="19"/>
          <w:color w:val="auto"/>
        </w:rPr>
      </w:pPr>
    </w:p>
    <w:p>
      <w:pPr>
        <w:ind w:left="1300" w:right="20" w:hanging="644"/>
        <w:spacing w:after="0" w:line="263" w:lineRule="auto"/>
        <w:tabs>
          <w:tab w:leader="none" w:pos="13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“Affiliate” means a Person that directly or indirectly through one or more intermediaries, controls, or is controlled by, or is under common control with, the person specified.</w:t>
      </w:r>
    </w:p>
    <w:p>
      <w:pPr>
        <w:spacing w:after="0" w:line="215" w:lineRule="exact"/>
        <w:rPr>
          <w:rFonts w:ascii="Arial" w:cs="Arial" w:eastAsia="Arial" w:hAnsi="Arial"/>
          <w:sz w:val="22"/>
          <w:szCs w:val="22"/>
          <w:color w:val="auto"/>
        </w:rPr>
      </w:pPr>
    </w:p>
    <w:p>
      <w:pPr>
        <w:jc w:val="both"/>
        <w:ind w:left="1300" w:hanging="644"/>
        <w:spacing w:after="0" w:line="246" w:lineRule="auto"/>
        <w:tabs>
          <w:tab w:leader="none" w:pos="13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pacing w:after="0" w:line="237" w:lineRule="exact"/>
        <w:rPr>
          <w:rFonts w:ascii="Arial" w:cs="Arial" w:eastAsia="Arial" w:hAnsi="Arial"/>
          <w:sz w:val="22"/>
          <w:szCs w:val="22"/>
          <w:color w:val="auto"/>
        </w:rPr>
      </w:pPr>
    </w:p>
    <w:p>
      <w:pPr>
        <w:ind w:left="1300" w:right="20" w:firstLine="5"/>
        <w:spacing w:after="0" w:line="263" w:lineRule="auto"/>
        <w:tabs>
          <w:tab w:leader="none" w:pos="1896" w:val="left"/>
        </w:tabs>
        <w:numPr>
          <w:ilvl w:val="1"/>
          <w:numId w:val="63"/>
        </w:numPr>
        <w:rPr>
          <w:rFonts w:ascii="Arial" w:cs="Arial" w:eastAsia="Arial" w:hAnsi="Arial"/>
          <w:sz w:val="22"/>
          <w:szCs w:val="22"/>
          <w:color w:val="auto"/>
        </w:rPr>
      </w:pPr>
      <w:r>
        <w:rPr>
          <w:rFonts w:ascii="Arial" w:cs="Arial" w:eastAsia="Arial" w:hAnsi="Arial"/>
          <w:sz w:val="22"/>
          <w:szCs w:val="22"/>
          <w:color w:val="auto"/>
        </w:rPr>
        <w:t>“Person” means an individual, corporation, limited liability company, partnership, association, joint stock company, trust, unincorporated organization or government or political subdivision thereof.</w:t>
      </w:r>
    </w:p>
    <w:p>
      <w:pPr>
        <w:spacing w:after="0" w:line="209" w:lineRule="exact"/>
        <w:rPr>
          <w:sz w:val="20"/>
          <w:szCs w:val="20"/>
          <w:color w:val="auto"/>
        </w:rPr>
      </w:pPr>
    </w:p>
    <w:p>
      <w:pPr>
        <w:jc w:val="both"/>
        <w:ind w:firstLine="656"/>
        <w:spacing w:after="0" w:line="247" w:lineRule="auto"/>
        <w:tabs>
          <w:tab w:leader="none" w:pos="1067"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Following a Change of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If a change of Control shall have occurred while the Executive is still</w:t>
      </w:r>
      <w:r>
        <w:rPr>
          <w:rFonts w:ascii="Arial" w:cs="Arial" w:eastAsia="Arial" w:hAnsi="Arial"/>
          <w:sz w:val="22"/>
          <w:szCs w:val="22"/>
          <w:b w:val="1"/>
          <w:bCs w:val="1"/>
          <w:color w:val="auto"/>
        </w:rPr>
        <w:t xml:space="preserve"> </w:t>
      </w:r>
      <w:r>
        <w:rPr>
          <w:rFonts w:ascii="Arial" w:cs="Arial" w:eastAsia="Arial" w:hAnsi="Arial"/>
          <w:sz w:val="22"/>
          <w:szCs w:val="22"/>
          <w:color w:val="auto"/>
        </w:rPr>
        <w:t>an employee of the Company, and if the Executive’s employment with the Company is terminated, within three years following such Change of Control, then the Executive shall be entitled to the compensation and benefits provided in Section 4, unless such termination is a result of: (a) the Executive’s death; (b) the Executive’s Disability (as defined in Section 3(a) below); (c) the Executive’s Retirement (as defined in Section 3(b) below); (d) the Executive’s termination by the Company for Cause (as defined in Section 3(c) below); or (e) the Executive’s decision to terminate employment other than for Good Reason (as defined in Section 3(d) below).</w:t>
      </w:r>
    </w:p>
    <w:p>
      <w:pPr>
        <w:spacing w:after="0" w:line="236" w:lineRule="exact"/>
        <w:rPr>
          <w:rFonts w:ascii="Arial" w:cs="Arial" w:eastAsia="Arial" w:hAnsi="Arial"/>
          <w:sz w:val="22"/>
          <w:szCs w:val="22"/>
          <w:b w:val="1"/>
          <w:bCs w:val="1"/>
          <w:color w:val="auto"/>
        </w:rPr>
      </w:pPr>
    </w:p>
    <w:p>
      <w:pPr>
        <w:ind w:firstLine="1305"/>
        <w:spacing w:after="0" w:line="263" w:lineRule="auto"/>
        <w:tabs>
          <w:tab w:leader="none" w:pos="1590" w:val="left"/>
        </w:tabs>
        <w:numPr>
          <w:ilvl w:val="1"/>
          <w:numId w:val="64"/>
        </w:numPr>
        <w:rPr>
          <w:rFonts w:ascii="Arial" w:cs="Arial" w:eastAsia="Arial" w:hAnsi="Arial"/>
          <w:sz w:val="22"/>
          <w:szCs w:val="22"/>
          <w:color w:val="auto"/>
        </w:rPr>
      </w:pPr>
      <w:r>
        <w:rPr>
          <w:rFonts w:ascii="Arial" w:cs="Arial" w:eastAsia="Arial" w:hAnsi="Arial"/>
          <w:sz w:val="22"/>
          <w:szCs w:val="22"/>
          <w:i w:val="1"/>
          <w:iCs w:val="1"/>
          <w:color w:val="auto"/>
        </w:rPr>
        <w:t xml:space="preserve">Disability. </w:t>
      </w:r>
      <w:r>
        <w:rPr>
          <w:rFonts w:ascii="Arial" w:cs="Arial" w:eastAsia="Arial" w:hAnsi="Arial"/>
          <w:sz w:val="22"/>
          <w:szCs w:val="22"/>
          <w:color w:val="auto"/>
        </w:rPr>
        <w:t>If, as a result of the Executive’s incapacity due to physical or mental illness, the Executive shall have</w:t>
      </w:r>
      <w:r>
        <w:rPr>
          <w:rFonts w:ascii="Arial" w:cs="Arial" w:eastAsia="Arial" w:hAnsi="Arial"/>
          <w:sz w:val="22"/>
          <w:szCs w:val="22"/>
          <w:i w:val="1"/>
          <w:iCs w:val="1"/>
          <w:color w:val="auto"/>
        </w:rPr>
        <w:t xml:space="preserve"> </w:t>
      </w:r>
      <w:r>
        <w:rPr>
          <w:rFonts w:ascii="Arial" w:cs="Arial" w:eastAsia="Arial" w:hAnsi="Arial"/>
          <w:sz w:val="22"/>
          <w:szCs w:val="22"/>
          <w:color w:val="auto"/>
        </w:rPr>
        <w:t>been absent from his duties with the Company on a full-time basis for six months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70" w:name="page71"/>
    <w:bookmarkEnd w:id="70"/>
    <w:p>
      <w:pPr>
        <w:spacing w:after="0" w:line="287" w:lineRule="auto"/>
        <w:rPr>
          <w:sz w:val="20"/>
          <w:szCs w:val="20"/>
          <w:color w:val="auto"/>
        </w:rPr>
      </w:pPr>
      <w:r>
        <w:rPr>
          <w:rFonts w:ascii="Arial" w:cs="Arial" w:eastAsia="Arial" w:hAnsi="Arial"/>
          <w:sz w:val="21"/>
          <w:szCs w:val="21"/>
          <w:color w:val="auto"/>
        </w:rPr>
        <w:t>and within 30 days after written notice of termination is thereafter given by the Company the Executive shall not have returned to the full-time performance of the Executive’s duties, the Company may terminate the Executive for “Disability.”</w:t>
      </w:r>
    </w:p>
    <w:p>
      <w:pPr>
        <w:spacing w:after="0" w:line="192" w:lineRule="exact"/>
        <w:rPr>
          <w:sz w:val="20"/>
          <w:szCs w:val="20"/>
          <w:color w:val="auto"/>
        </w:rPr>
      </w:pPr>
    </w:p>
    <w:p>
      <w:pPr>
        <w:jc w:val="both"/>
        <w:ind w:firstLine="1305"/>
        <w:spacing w:after="0" w:line="271" w:lineRule="auto"/>
        <w:tabs>
          <w:tab w:leader="none" w:pos="1616" w:val="left"/>
        </w:tabs>
        <w:numPr>
          <w:ilvl w:val="0"/>
          <w:numId w:val="65"/>
        </w:numPr>
        <w:rPr>
          <w:rFonts w:ascii="Arial" w:cs="Arial" w:eastAsia="Arial" w:hAnsi="Arial"/>
          <w:sz w:val="21"/>
          <w:szCs w:val="21"/>
          <w:color w:val="auto"/>
        </w:rPr>
      </w:pPr>
      <w:r>
        <w:rPr>
          <w:rFonts w:ascii="Arial" w:cs="Arial" w:eastAsia="Arial" w:hAnsi="Arial"/>
          <w:sz w:val="21"/>
          <w:szCs w:val="21"/>
          <w:i w:val="1"/>
          <w:iCs w:val="1"/>
          <w:color w:val="auto"/>
        </w:rPr>
        <w:t xml:space="preserve">Retirement. </w:t>
      </w:r>
      <w:r>
        <w:rPr>
          <w:rFonts w:ascii="Arial" w:cs="Arial" w:eastAsia="Arial" w:hAnsi="Arial"/>
          <w:sz w:val="21"/>
          <w:szCs w:val="21"/>
          <w:color w:val="auto"/>
        </w:rPr>
        <w:t>The term “Retirement” as used in this Agreement shall mean termination by the Company or the</w:t>
      </w:r>
      <w:r>
        <w:rPr>
          <w:rFonts w:ascii="Arial" w:cs="Arial" w:eastAsia="Arial" w:hAnsi="Arial"/>
          <w:sz w:val="21"/>
          <w:szCs w:val="21"/>
          <w:i w:val="1"/>
          <w:iCs w:val="1"/>
          <w:color w:val="auto"/>
        </w:rPr>
        <w:t xml:space="preserve"> </w:t>
      </w:r>
      <w:r>
        <w:rPr>
          <w:rFonts w:ascii="Arial" w:cs="Arial" w:eastAsia="Arial" w:hAnsi="Arial"/>
          <w:sz w:val="21"/>
          <w:szCs w:val="21"/>
          <w:color w:val="auto"/>
        </w:rPr>
        <w:t>Executive of the Executive’s employment based on the Executive having attained the age of 65 or such other age as shall have been fixed in any arrangement established with the Executive’s consent with respect to the Executive.</w:t>
      </w:r>
    </w:p>
    <w:p>
      <w:pPr>
        <w:spacing w:after="0" w:line="208" w:lineRule="exact"/>
        <w:rPr>
          <w:rFonts w:ascii="Arial" w:cs="Arial" w:eastAsia="Arial" w:hAnsi="Arial"/>
          <w:sz w:val="21"/>
          <w:szCs w:val="21"/>
          <w:color w:val="auto"/>
        </w:rPr>
      </w:pPr>
    </w:p>
    <w:p>
      <w:pPr>
        <w:jc w:val="both"/>
        <w:ind w:firstLine="1305"/>
        <w:spacing w:after="0" w:line="258" w:lineRule="auto"/>
        <w:tabs>
          <w:tab w:leader="none" w:pos="1604" w:val="left"/>
        </w:tabs>
        <w:numPr>
          <w:ilvl w:val="0"/>
          <w:numId w:val="65"/>
        </w:numPr>
        <w:rPr>
          <w:rFonts w:ascii="Arial" w:cs="Arial" w:eastAsia="Arial" w:hAnsi="Arial"/>
          <w:sz w:val="21"/>
          <w:szCs w:val="21"/>
          <w:color w:val="auto"/>
        </w:rPr>
      </w:pPr>
      <w:r>
        <w:rPr>
          <w:rFonts w:ascii="Arial" w:cs="Arial" w:eastAsia="Arial" w:hAnsi="Arial"/>
          <w:sz w:val="21"/>
          <w:szCs w:val="21"/>
          <w:i w:val="1"/>
          <w:iCs w:val="1"/>
          <w:color w:val="auto"/>
        </w:rPr>
        <w:t xml:space="preserve">Cause. </w:t>
      </w:r>
      <w:r>
        <w:rPr>
          <w:rFonts w:ascii="Arial" w:cs="Arial" w:eastAsia="Arial" w:hAnsi="Arial"/>
          <w:sz w:val="21"/>
          <w:szCs w:val="21"/>
          <w:color w:val="auto"/>
        </w:rPr>
        <w:t>The Company may terminate the Executive’s employment for Cause. For purposes of this Agreement</w:t>
      </w:r>
      <w:r>
        <w:rPr>
          <w:rFonts w:ascii="Arial" w:cs="Arial" w:eastAsia="Arial" w:hAnsi="Arial"/>
          <w:sz w:val="21"/>
          <w:szCs w:val="21"/>
          <w:i w:val="1"/>
          <w:iCs w:val="1"/>
          <w:color w:val="auto"/>
        </w:rPr>
        <w:t xml:space="preserve"> </w:t>
      </w:r>
      <w:r>
        <w:rPr>
          <w:rFonts w:ascii="Arial" w:cs="Arial" w:eastAsia="Arial" w:hAnsi="Arial"/>
          <w:sz w:val="21"/>
          <w:szCs w:val="21"/>
          <w:color w:val="auto"/>
        </w:rPr>
        <w:t>only, the Company shall have “Cause” to terminate the Executive’s employment hereunder only on the basis of (i) fraud, misappropriation or embezzlement on the part of the Executive; or (ii) intentional misconduct or gross negligence on the part of the Executive which has resulted in material harm to the Company. Notwithstanding the foregoing, the Executive shall not be deemed to have been terminated for Cause unless and until there shall have been delivered to the Executive a copy of a resolution duly adopted by the affirmative vote of not less than three-quarters of the entire membership of the company’s Board of Directors at a meeting of the Board called and held for the purpose (after reasonable notice to the Executive and an opportunity for the Executive, together with the Executive’s counsel, to be heard before the Board), finding that in the good faith opinion of the Board the Executive was guilty of conduct set forth in the second sentence of this Section 3(c) and specifying the particulars thereof in detail. Nothing herein shall limit the right of the Executive or his beneficiaries to contest the validity or propriety of any such determination.</w:t>
      </w:r>
    </w:p>
    <w:p>
      <w:pPr>
        <w:spacing w:after="0" w:line="223" w:lineRule="exact"/>
        <w:rPr>
          <w:rFonts w:ascii="Arial" w:cs="Arial" w:eastAsia="Arial" w:hAnsi="Arial"/>
          <w:sz w:val="21"/>
          <w:szCs w:val="21"/>
          <w:color w:val="auto"/>
        </w:rPr>
      </w:pPr>
    </w:p>
    <w:p>
      <w:pPr>
        <w:jc w:val="both"/>
        <w:ind w:firstLine="1305"/>
        <w:spacing w:after="0" w:line="253" w:lineRule="auto"/>
        <w:tabs>
          <w:tab w:leader="none" w:pos="1616" w:val="left"/>
        </w:tabs>
        <w:numPr>
          <w:ilvl w:val="0"/>
          <w:numId w:val="65"/>
        </w:numPr>
        <w:rPr>
          <w:rFonts w:ascii="Arial" w:cs="Arial" w:eastAsia="Arial" w:hAnsi="Arial"/>
          <w:sz w:val="22"/>
          <w:szCs w:val="22"/>
          <w:color w:val="auto"/>
        </w:rPr>
      </w:pPr>
      <w:r>
        <w:rPr>
          <w:rFonts w:ascii="Arial" w:cs="Arial" w:eastAsia="Arial" w:hAnsi="Arial"/>
          <w:sz w:val="22"/>
          <w:szCs w:val="22"/>
          <w:i w:val="1"/>
          <w:iCs w:val="1"/>
          <w:color w:val="auto"/>
        </w:rPr>
        <w:t xml:space="preserve">Good Reason. </w:t>
      </w:r>
      <w:r>
        <w:rPr>
          <w:rFonts w:ascii="Arial" w:cs="Arial" w:eastAsia="Arial" w:hAnsi="Arial"/>
          <w:sz w:val="22"/>
          <w:szCs w:val="22"/>
          <w:color w:val="auto"/>
        </w:rPr>
        <w:t>The Executive may terminate the Executive’s employment for Good Reason at any time during</w:t>
      </w:r>
      <w:r>
        <w:rPr>
          <w:rFonts w:ascii="Arial" w:cs="Arial" w:eastAsia="Arial" w:hAnsi="Arial"/>
          <w:sz w:val="22"/>
          <w:szCs w:val="22"/>
          <w:i w:val="1"/>
          <w:iCs w:val="1"/>
          <w:color w:val="auto"/>
        </w:rPr>
        <w:t xml:space="preserve"> </w:t>
      </w:r>
      <w:r>
        <w:rPr>
          <w:rFonts w:ascii="Arial" w:cs="Arial" w:eastAsia="Arial" w:hAnsi="Arial"/>
          <w:sz w:val="22"/>
          <w:szCs w:val="22"/>
          <w:color w:val="auto"/>
        </w:rPr>
        <w:t>the term of this Agreement. For purposes of this Agreement “Good Reason” shall mean any of the following (without the Executive’s express written consent):</w:t>
      </w:r>
    </w:p>
    <w:p>
      <w:pPr>
        <w:spacing w:after="0" w:line="226" w:lineRule="exact"/>
        <w:rPr>
          <w:rFonts w:ascii="Arial" w:cs="Arial" w:eastAsia="Arial" w:hAnsi="Arial"/>
          <w:sz w:val="22"/>
          <w:szCs w:val="22"/>
          <w:color w:val="auto"/>
        </w:rPr>
      </w:pPr>
    </w:p>
    <w:p>
      <w:pPr>
        <w:jc w:val="both"/>
        <w:ind w:left="820" w:firstLine="647"/>
        <w:spacing w:after="0" w:line="247" w:lineRule="auto"/>
        <w:tabs>
          <w:tab w:leader="none" w:pos="1746" w:val="left"/>
        </w:tabs>
        <w:numPr>
          <w:ilvl w:val="1"/>
          <w:numId w:val="65"/>
        </w:numPr>
        <w:rPr>
          <w:rFonts w:ascii="Arial" w:cs="Arial" w:eastAsia="Arial" w:hAnsi="Arial"/>
          <w:sz w:val="22"/>
          <w:szCs w:val="22"/>
          <w:color w:val="auto"/>
        </w:rPr>
      </w:pPr>
      <w:r>
        <w:rPr>
          <w:rFonts w:ascii="Arial" w:cs="Arial" w:eastAsia="Arial" w:hAnsi="Arial"/>
          <w:sz w:val="22"/>
          <w:szCs w:val="22"/>
          <w:color w:val="auto"/>
        </w:rPr>
        <w:t>the assignment to the Executive by the Company of duties inconsistent with the Executive’s position, duties, responsibilities and status with the Company immediately prior to a Change in Control of the Company, or a change in the Executive’s titles or offices as in effect immediately prior to a Change in Control of the Company, or any removal of the Executive from or any failure to re-elect the Executive to any of such positions, except in connection with the termination of his employment for Disability, Retirement or Cause or as a result of the Executive’s death or by the Executive other than for good Reason;</w:t>
      </w:r>
    </w:p>
    <w:p>
      <w:pPr>
        <w:spacing w:after="0" w:line="234" w:lineRule="exact"/>
        <w:rPr>
          <w:rFonts w:ascii="Arial" w:cs="Arial" w:eastAsia="Arial" w:hAnsi="Arial"/>
          <w:sz w:val="22"/>
          <w:szCs w:val="22"/>
          <w:color w:val="auto"/>
        </w:rPr>
      </w:pPr>
    </w:p>
    <w:p>
      <w:pPr>
        <w:jc w:val="both"/>
        <w:ind w:left="820" w:firstLine="647"/>
        <w:spacing w:after="0" w:line="248" w:lineRule="auto"/>
        <w:tabs>
          <w:tab w:leader="none" w:pos="1786" w:val="left"/>
        </w:tabs>
        <w:numPr>
          <w:ilvl w:val="1"/>
          <w:numId w:val="65"/>
        </w:numPr>
        <w:rPr>
          <w:rFonts w:ascii="Arial" w:cs="Arial" w:eastAsia="Arial" w:hAnsi="Arial"/>
          <w:sz w:val="22"/>
          <w:szCs w:val="22"/>
          <w:color w:val="auto"/>
        </w:rPr>
      </w:pPr>
      <w:r>
        <w:rPr>
          <w:rFonts w:ascii="Arial" w:cs="Arial" w:eastAsia="Arial" w:hAnsi="Arial"/>
          <w:sz w:val="22"/>
          <w:szCs w:val="22"/>
          <w:color w:val="auto"/>
        </w:rPr>
        <w:t>a reduction by the Company in the Executive’s base salary as in effect on the date hereof or as the same may be increased from time to time during the term of this Agreement or the Company’s failure to increase (within 12 months of the Executive’s last increase in base salary) the Executive’s base salary after a Change in Control of the Company in an amount which at least equals, on a percentage basis, the average percentage increase in base salary for all officers of the company effected in the preceding 12 months.</w:t>
      </w:r>
    </w:p>
    <w:p>
      <w:pPr>
        <w:spacing w:after="0" w:line="232" w:lineRule="exact"/>
        <w:rPr>
          <w:rFonts w:ascii="Arial" w:cs="Arial" w:eastAsia="Arial" w:hAnsi="Arial"/>
          <w:sz w:val="22"/>
          <w:szCs w:val="22"/>
          <w:color w:val="auto"/>
        </w:rPr>
      </w:pPr>
    </w:p>
    <w:p>
      <w:pPr>
        <w:jc w:val="both"/>
        <w:ind w:left="820" w:firstLine="647"/>
        <w:spacing w:after="0" w:line="312" w:lineRule="auto"/>
        <w:tabs>
          <w:tab w:leader="none" w:pos="1899" w:val="left"/>
        </w:tabs>
        <w:numPr>
          <w:ilvl w:val="1"/>
          <w:numId w:val="65"/>
        </w:numPr>
        <w:rPr>
          <w:rFonts w:ascii="Arial" w:cs="Arial" w:eastAsia="Arial" w:hAnsi="Arial"/>
          <w:sz w:val="19"/>
          <w:szCs w:val="19"/>
          <w:color w:val="auto"/>
        </w:rPr>
      </w:pPr>
      <w:r>
        <w:rPr>
          <w:rFonts w:ascii="Arial" w:cs="Arial" w:eastAsia="Arial" w:hAnsi="Arial"/>
          <w:sz w:val="19"/>
          <w:szCs w:val="19"/>
          <w:color w:val="auto"/>
        </w:rPr>
        <w:t>any failure by the Company to continue in effect any benefit plan or arrangement (including, without limitation, the Company’s 401(K) plan, nonqualified deferred compensation plan, profit sharing plan, group life insurance plan, and medical, dental, accident and disability plans) in which the Executive is participating at the time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71" w:name="page72"/>
    <w:bookmarkEnd w:id="71"/>
    <w:p>
      <w:pPr>
        <w:jc w:val="both"/>
        <w:ind w:left="800"/>
        <w:spacing w:after="0" w:line="302" w:lineRule="auto"/>
        <w:rPr>
          <w:sz w:val="20"/>
          <w:szCs w:val="20"/>
          <w:color w:val="auto"/>
        </w:rPr>
      </w:pPr>
      <w:r>
        <w:rPr>
          <w:rFonts w:ascii="Arial" w:cs="Arial" w:eastAsia="Arial" w:hAnsi="Arial"/>
          <w:sz w:val="19"/>
          <w:szCs w:val="19"/>
          <w:color w:val="auto"/>
        </w:rPr>
        <w:t>of a Change of Control (or any other plans providing the Executive with substantially similar benefits) (hereinafter referred to as “Benefit Plans”), or the taking of any action by the Company which would adversely affect the Executive’s participation in or materially reduce the Executive’s benefits under any such Benefit Plan or deprive the Executive of any material fringe benefit enjoyed by the Executive at the time of a Change in Control of the Company;</w:t>
      </w:r>
    </w:p>
    <w:p>
      <w:pPr>
        <w:spacing w:after="0" w:line="183" w:lineRule="exact"/>
        <w:rPr>
          <w:sz w:val="20"/>
          <w:szCs w:val="20"/>
          <w:color w:val="auto"/>
        </w:rPr>
      </w:pPr>
    </w:p>
    <w:p>
      <w:pPr>
        <w:jc w:val="both"/>
        <w:ind w:left="800" w:firstLine="647"/>
        <w:spacing w:after="0" w:line="246" w:lineRule="auto"/>
        <w:tabs>
          <w:tab w:leader="none" w:pos="1856" w:val="left"/>
        </w:tabs>
        <w:numPr>
          <w:ilvl w:val="0"/>
          <w:numId w:val="66"/>
        </w:numPr>
        <w:rPr>
          <w:rFonts w:ascii="Arial" w:cs="Arial" w:eastAsia="Arial" w:hAnsi="Arial"/>
          <w:sz w:val="22"/>
          <w:szCs w:val="22"/>
          <w:color w:val="auto"/>
        </w:rPr>
      </w:pPr>
      <w:r>
        <w:rPr>
          <w:rFonts w:ascii="Arial" w:cs="Arial" w:eastAsia="Arial" w:hAnsi="Arial"/>
          <w:sz w:val="22"/>
          <w:szCs w:val="22"/>
          <w:color w:val="auto"/>
        </w:rPr>
        <w:t>any failure by the Company to continue in effect any incentive plan or arrangement (including, without limitation, the Company’s Officers Incentive Compensation Plan, Officers Long-Term Incentive Plan, bonus and contingent bonus arrangements and credits and the right to receive performance awards and similar incentive compensation benefits) in which the Executive is participating at the time of a Change of Control (or any other plans or arrangements providing him with substantially similar benefits) (hereinafter referred to as “Incentive Plans”) or the taking of any action by the Company which would adversely affect the Executive’s participation in any such Incentive Plan or materially reduce the Executive’s benefits under any such Incentive Plan by reducing such benefits, when expressed as a percentage of his base salary, by more than 10 percentage points in any fiscal year as compared to the immediately preceding fiscal year;</w:t>
      </w:r>
    </w:p>
    <w:p>
      <w:pPr>
        <w:spacing w:after="0" w:line="232" w:lineRule="exact"/>
        <w:rPr>
          <w:rFonts w:ascii="Arial" w:cs="Arial" w:eastAsia="Arial" w:hAnsi="Arial"/>
          <w:sz w:val="22"/>
          <w:szCs w:val="22"/>
          <w:color w:val="auto"/>
        </w:rPr>
      </w:pPr>
    </w:p>
    <w:p>
      <w:pPr>
        <w:jc w:val="both"/>
        <w:ind w:left="800" w:firstLine="647"/>
        <w:spacing w:after="0" w:line="248" w:lineRule="auto"/>
        <w:tabs>
          <w:tab w:leader="none" w:pos="1758" w:val="left"/>
        </w:tabs>
        <w:numPr>
          <w:ilvl w:val="0"/>
          <w:numId w:val="66"/>
        </w:numPr>
        <w:rPr>
          <w:rFonts w:ascii="Arial" w:cs="Arial" w:eastAsia="Arial" w:hAnsi="Arial"/>
          <w:sz w:val="22"/>
          <w:szCs w:val="22"/>
          <w:color w:val="auto"/>
        </w:rPr>
      </w:pPr>
      <w:r>
        <w:rPr>
          <w:rFonts w:ascii="Arial" w:cs="Arial" w:eastAsia="Arial" w:hAnsi="Arial"/>
          <w:sz w:val="22"/>
          <w:szCs w:val="22"/>
          <w:color w:val="auto"/>
        </w:rPr>
        <w:t>any failure by the Company to continue in effect any plan or arrangement to receive securities of the Company in which the Executive is participating at the time of a Change of Control (or plans or arrangements providing him with substantially similar benefits) (hereinafter referred to as “Securities Plans”) or the taking of any action by the Company which would adversely affect the Executive’s participation in or materially reduce the Executive’s benefits under any such Securities Plan;</w:t>
      </w:r>
    </w:p>
    <w:p>
      <w:pPr>
        <w:spacing w:after="0" w:line="232" w:lineRule="exact"/>
        <w:rPr>
          <w:rFonts w:ascii="Arial" w:cs="Arial" w:eastAsia="Arial" w:hAnsi="Arial"/>
          <w:sz w:val="22"/>
          <w:szCs w:val="22"/>
          <w:color w:val="auto"/>
        </w:rPr>
      </w:pPr>
    </w:p>
    <w:p>
      <w:pPr>
        <w:jc w:val="both"/>
        <w:ind w:left="800" w:firstLine="647"/>
        <w:spacing w:after="0" w:line="248" w:lineRule="auto"/>
        <w:tabs>
          <w:tab w:leader="none" w:pos="1839" w:val="left"/>
        </w:tabs>
        <w:numPr>
          <w:ilvl w:val="0"/>
          <w:numId w:val="66"/>
        </w:numPr>
        <w:rPr>
          <w:rFonts w:ascii="Arial" w:cs="Arial" w:eastAsia="Arial" w:hAnsi="Arial"/>
          <w:sz w:val="22"/>
          <w:szCs w:val="22"/>
          <w:color w:val="auto"/>
        </w:rPr>
      </w:pPr>
      <w:r>
        <w:rPr>
          <w:rFonts w:ascii="Arial" w:cs="Arial" w:eastAsia="Arial" w:hAnsi="Arial"/>
          <w:sz w:val="22"/>
          <w:szCs w:val="22"/>
          <w:color w:val="auto"/>
        </w:rPr>
        <w:t>a relocation of the Company’s principal executive offices to a location outside of Forest City, Iowa, or the Executive’s relocation to any place other than the location at which the Executive performed the Executive’s duties prior to a Change in Control of the Company, except for required travel by the Executive on the Company’s business to an extent substantially consistent with the Executive’s business travel obligations at the time of a Change in Control of the Company;</w:t>
      </w:r>
    </w:p>
    <w:p>
      <w:pPr>
        <w:spacing w:after="0" w:line="232" w:lineRule="exact"/>
        <w:rPr>
          <w:rFonts w:ascii="Arial" w:cs="Arial" w:eastAsia="Arial" w:hAnsi="Arial"/>
          <w:sz w:val="22"/>
          <w:szCs w:val="22"/>
          <w:color w:val="auto"/>
        </w:rPr>
      </w:pPr>
    </w:p>
    <w:p>
      <w:pPr>
        <w:ind w:left="800" w:firstLine="647"/>
        <w:spacing w:after="0" w:line="263" w:lineRule="auto"/>
        <w:tabs>
          <w:tab w:leader="none" w:pos="1898" w:val="left"/>
        </w:tabs>
        <w:numPr>
          <w:ilvl w:val="0"/>
          <w:numId w:val="66"/>
        </w:numPr>
        <w:rPr>
          <w:rFonts w:ascii="Arial" w:cs="Arial" w:eastAsia="Arial" w:hAnsi="Arial"/>
          <w:sz w:val="22"/>
          <w:szCs w:val="22"/>
          <w:color w:val="auto"/>
        </w:rPr>
      </w:pPr>
      <w:r>
        <w:rPr>
          <w:rFonts w:ascii="Arial" w:cs="Arial" w:eastAsia="Arial" w:hAnsi="Arial"/>
          <w:sz w:val="22"/>
          <w:szCs w:val="22"/>
          <w:color w:val="auto"/>
        </w:rPr>
        <w:t>any failure by the Company to provide the Executive with the number of paid vacation days to which the Executive is entitled at the time of a Change in Control of the Company;</w:t>
      </w:r>
    </w:p>
    <w:p>
      <w:pPr>
        <w:spacing w:after="0" w:line="215" w:lineRule="exact"/>
        <w:rPr>
          <w:rFonts w:ascii="Arial" w:cs="Arial" w:eastAsia="Arial" w:hAnsi="Arial"/>
          <w:sz w:val="22"/>
          <w:szCs w:val="22"/>
          <w:color w:val="auto"/>
        </w:rPr>
      </w:pPr>
    </w:p>
    <w:p>
      <w:pPr>
        <w:ind w:left="1940" w:hanging="493"/>
        <w:spacing w:after="0"/>
        <w:tabs>
          <w:tab w:leader="none" w:pos="1940" w:val="left"/>
        </w:tabs>
        <w:numPr>
          <w:ilvl w:val="0"/>
          <w:numId w:val="66"/>
        </w:numPr>
        <w:rPr>
          <w:rFonts w:ascii="Arial" w:cs="Arial" w:eastAsia="Arial" w:hAnsi="Arial"/>
          <w:sz w:val="22"/>
          <w:szCs w:val="22"/>
          <w:color w:val="auto"/>
        </w:rPr>
      </w:pPr>
      <w:r>
        <w:rPr>
          <w:rFonts w:ascii="Arial" w:cs="Arial" w:eastAsia="Arial" w:hAnsi="Arial"/>
          <w:sz w:val="22"/>
          <w:szCs w:val="22"/>
          <w:color w:val="auto"/>
        </w:rPr>
        <w:t>any material breach by the Company of any provision of this Agreement;</w:t>
      </w:r>
    </w:p>
    <w:p>
      <w:pPr>
        <w:spacing w:after="0" w:line="260" w:lineRule="exact"/>
        <w:rPr>
          <w:rFonts w:ascii="Arial" w:cs="Arial" w:eastAsia="Arial" w:hAnsi="Arial"/>
          <w:sz w:val="22"/>
          <w:szCs w:val="22"/>
          <w:color w:val="auto"/>
        </w:rPr>
      </w:pPr>
    </w:p>
    <w:p>
      <w:pPr>
        <w:ind w:left="800" w:firstLine="647"/>
        <w:spacing w:after="0" w:line="263" w:lineRule="auto"/>
        <w:tabs>
          <w:tab w:leader="none" w:pos="1840" w:val="left"/>
        </w:tabs>
        <w:numPr>
          <w:ilvl w:val="0"/>
          <w:numId w:val="66"/>
        </w:numPr>
        <w:rPr>
          <w:rFonts w:ascii="Arial" w:cs="Arial" w:eastAsia="Arial" w:hAnsi="Arial"/>
          <w:sz w:val="22"/>
          <w:szCs w:val="22"/>
          <w:color w:val="auto"/>
        </w:rPr>
      </w:pPr>
      <w:r>
        <w:rPr>
          <w:rFonts w:ascii="Arial" w:cs="Arial" w:eastAsia="Arial" w:hAnsi="Arial"/>
          <w:sz w:val="22"/>
          <w:szCs w:val="22"/>
          <w:color w:val="auto"/>
        </w:rPr>
        <w:t>any failure by the Company to obtain the assumption of this Agreement by any successor or assign of the Company; or</w:t>
      </w:r>
    </w:p>
    <w:p>
      <w:pPr>
        <w:spacing w:after="0" w:line="215" w:lineRule="exact"/>
        <w:rPr>
          <w:rFonts w:ascii="Arial" w:cs="Arial" w:eastAsia="Arial" w:hAnsi="Arial"/>
          <w:sz w:val="22"/>
          <w:szCs w:val="22"/>
          <w:color w:val="auto"/>
        </w:rPr>
      </w:pPr>
    </w:p>
    <w:p>
      <w:pPr>
        <w:ind w:left="800" w:firstLine="647"/>
        <w:spacing w:after="0" w:line="263" w:lineRule="auto"/>
        <w:tabs>
          <w:tab w:leader="none" w:pos="1801" w:val="left"/>
        </w:tabs>
        <w:numPr>
          <w:ilvl w:val="0"/>
          <w:numId w:val="66"/>
        </w:numPr>
        <w:rPr>
          <w:rFonts w:ascii="Arial" w:cs="Arial" w:eastAsia="Arial" w:hAnsi="Arial"/>
          <w:sz w:val="22"/>
          <w:szCs w:val="22"/>
          <w:color w:val="auto"/>
        </w:rPr>
      </w:pPr>
      <w:r>
        <w:rPr>
          <w:rFonts w:ascii="Arial" w:cs="Arial" w:eastAsia="Arial" w:hAnsi="Arial"/>
          <w:sz w:val="22"/>
          <w:szCs w:val="22"/>
          <w:color w:val="auto"/>
        </w:rPr>
        <w:t>any purported termination of the Executive’s employment which is not effected pursuant to a Notice of Termination satisfying the requirements of Section 3(e) below.</w:t>
      </w:r>
    </w:p>
    <w:p>
      <w:pPr>
        <w:spacing w:after="0" w:line="215" w:lineRule="exact"/>
        <w:rPr>
          <w:sz w:val="20"/>
          <w:szCs w:val="20"/>
          <w:color w:val="auto"/>
        </w:rPr>
      </w:pPr>
    </w:p>
    <w:p>
      <w:pPr>
        <w:ind w:left="-20" w:right="20" w:firstLine="1305"/>
        <w:spacing w:after="0" w:line="263" w:lineRule="auto"/>
        <w:tabs>
          <w:tab w:leader="none" w:pos="1638" w:val="left"/>
        </w:tabs>
        <w:numPr>
          <w:ilvl w:val="0"/>
          <w:numId w:val="67"/>
        </w:numPr>
        <w:rPr>
          <w:rFonts w:ascii="Arial" w:cs="Arial" w:eastAsia="Arial" w:hAnsi="Arial"/>
          <w:sz w:val="22"/>
          <w:szCs w:val="22"/>
          <w:color w:val="auto"/>
        </w:rPr>
      </w:pPr>
      <w:r>
        <w:rPr>
          <w:rFonts w:ascii="Arial" w:cs="Arial" w:eastAsia="Arial" w:hAnsi="Arial"/>
          <w:sz w:val="22"/>
          <w:szCs w:val="22"/>
          <w:i w:val="1"/>
          <w:iCs w:val="1"/>
          <w:color w:val="auto"/>
        </w:rPr>
        <w:t xml:space="preserve">Notice of Termination. </w:t>
      </w:r>
      <w:r>
        <w:rPr>
          <w:rFonts w:ascii="Arial" w:cs="Arial" w:eastAsia="Arial" w:hAnsi="Arial"/>
          <w:sz w:val="22"/>
          <w:szCs w:val="22"/>
          <w:color w:val="auto"/>
        </w:rPr>
        <w:t>Any termination by the Company pursuant to Section 3(a), (b) or (c)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communicated by a Notice of Termination. For purposes of this Agreement, a “Notice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60" w:top="631" w:right="239" w:bottom="1440" w:gutter="0" w:footer="0" w:header="0"/>
        </w:sectPr>
      </w:pPr>
    </w:p>
    <w:bookmarkStart w:id="72" w:name="page73"/>
    <w:bookmarkEnd w:id="72"/>
    <w:p>
      <w:pPr>
        <w:jc w:val="both"/>
        <w:spacing w:after="0" w:line="250" w:lineRule="auto"/>
        <w:rPr>
          <w:sz w:val="20"/>
          <w:szCs w:val="20"/>
          <w:color w:val="auto"/>
        </w:rPr>
      </w:pPr>
      <w:r>
        <w:rPr>
          <w:rFonts w:ascii="Arial" w:cs="Arial" w:eastAsia="Arial" w:hAnsi="Arial"/>
          <w:sz w:val="22"/>
          <w:szCs w:val="22"/>
          <w:color w:val="auto"/>
        </w:rPr>
        <w:t>of Termination” shall mean a written notice which shall indicate those specific termination provisions in this Agreement relied upon and which sets forth in reasonable detail the facts and circumstances claimed to provide a basis for termination of the Executive’s employment under the provisions so indicated. For purposes of this Agreement, no such purported termination by the Company shall be effective without such Notice of Termination.</w:t>
      </w:r>
    </w:p>
    <w:p>
      <w:pPr>
        <w:spacing w:after="0" w:line="229" w:lineRule="exact"/>
        <w:rPr>
          <w:sz w:val="20"/>
          <w:szCs w:val="20"/>
          <w:color w:val="auto"/>
        </w:rPr>
      </w:pPr>
    </w:p>
    <w:p>
      <w:pPr>
        <w:jc w:val="both"/>
        <w:ind w:firstLine="1305"/>
        <w:spacing w:after="0" w:line="259" w:lineRule="auto"/>
        <w:tabs>
          <w:tab w:leader="none" w:pos="1580" w:val="left"/>
        </w:tabs>
        <w:numPr>
          <w:ilvl w:val="1"/>
          <w:numId w:val="68"/>
        </w:numPr>
        <w:rPr>
          <w:rFonts w:ascii="Arial" w:cs="Arial" w:eastAsia="Arial" w:hAnsi="Arial"/>
          <w:sz w:val="21"/>
          <w:szCs w:val="21"/>
          <w:color w:val="auto"/>
        </w:rPr>
      </w:pPr>
      <w:r>
        <w:rPr>
          <w:rFonts w:ascii="Arial" w:cs="Arial" w:eastAsia="Arial" w:hAnsi="Arial"/>
          <w:sz w:val="21"/>
          <w:szCs w:val="21"/>
          <w:i w:val="1"/>
          <w:iCs w:val="1"/>
          <w:color w:val="auto"/>
        </w:rPr>
        <w:t xml:space="preserve">Date of Termination. </w:t>
      </w:r>
      <w:r>
        <w:rPr>
          <w:rFonts w:ascii="Arial" w:cs="Arial" w:eastAsia="Arial" w:hAnsi="Arial"/>
          <w:sz w:val="21"/>
          <w:szCs w:val="21"/>
          <w:color w:val="auto"/>
        </w:rPr>
        <w:t>“Date of Termination” shall mean (a) if this Agreement is terminated by the Company for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Disability, 30 days after Notice of Termination is given to the Executive (provided that the Executive shall not have returned to the performance of the Executive’s duties on a full-time basis during such 30-day period) or (b) if the Executive’s employment is terminated by the Company for any other reason, the date on which a Notice of Termination is given;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within 30 days after any Notice of Termination is given to the Executive by the Company the Executive notified the Company that a dispute exists concerning the termination, the Date of Termination shall be the date the dispute is finally determined, whether by mutual agreement by the parties or upon final judgment, order or decree of a court of competent jurisdiction (the time for appeal therefrom having expired and no appeal having been perfected).</w:t>
      </w:r>
    </w:p>
    <w:p>
      <w:pPr>
        <w:spacing w:after="0" w:line="218" w:lineRule="exact"/>
        <w:rPr>
          <w:rFonts w:ascii="Arial" w:cs="Arial" w:eastAsia="Arial" w:hAnsi="Arial"/>
          <w:sz w:val="21"/>
          <w:szCs w:val="21"/>
          <w:color w:val="auto"/>
        </w:rPr>
      </w:pPr>
    </w:p>
    <w:p>
      <w:pPr>
        <w:jc w:val="both"/>
        <w:ind w:firstLine="656"/>
        <w:spacing w:after="0" w:line="261" w:lineRule="auto"/>
        <w:tabs>
          <w:tab w:leader="none" w:pos="1189" w:val="left"/>
        </w:tabs>
        <w:numPr>
          <w:ilvl w:val="0"/>
          <w:numId w:val="6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Severance Compensation upon Termination of 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If the Company shall terminate the Executive’s</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other than pursuant to Section 3(a), (b), or (c) or if the Executive shall terminate his employment for Good Reason, then the Company shall pay to the Executive as severance pay in a lump sum, in cash, on the fifth day following the Date of Termination, an amount equal to three (3) times the average of the aggregate annual compensation paid to the Executive during the three (3) fiscal years of the Company immediately preceding the Change of Control by the Company subject to United States income taxes (or, such fewer number of fiscal years if the Executive has not been employed by the Company during each of the preceding three (3) fiscal years).</w:t>
      </w:r>
    </w:p>
    <w:p>
      <w:pPr>
        <w:spacing w:after="0" w:line="214" w:lineRule="exact"/>
        <w:rPr>
          <w:rFonts w:ascii="Arial" w:cs="Arial" w:eastAsia="Arial" w:hAnsi="Arial"/>
          <w:sz w:val="21"/>
          <w:szCs w:val="21"/>
          <w:b w:val="1"/>
          <w:bCs w:val="1"/>
          <w:color w:val="auto"/>
        </w:rPr>
      </w:pPr>
    </w:p>
    <w:p>
      <w:pPr>
        <w:ind w:left="1040" w:hanging="384"/>
        <w:spacing w:after="0"/>
        <w:tabs>
          <w:tab w:leader="none" w:pos="104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Excise Tax - Payment Limitation.</w:t>
      </w:r>
    </w:p>
    <w:p>
      <w:pPr>
        <w:spacing w:after="0" w:line="266"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Notwithstanding anything in this Agreement or any written or unwritten policy of the Company to the contrary, (i) if it shall be determined that any payment or distribution by the Company to or for the benefit of the Executive, whether paid or payable or distributed or distributable pursuant to the terms of this Agreement, any other agreement between the Company and the Executive or otherwise (a "Payment"), would be subject to the excise tax imposed by section 4999 of the Internal Revenue Code of 1986, as amended, (the "Code") or any interest or penalties with respect to such excise tax (such excise tax, together with any such interest and penalties, are hereinafter collectively referred to as the "Excise Tax"), or (ii) if the Executive shall otherwise become obligated to pay the Excise Tax in respect of a Payment, then an analysis shall be conducted to determine if the amount payable pursuant to this Agreement, in combination with any other payments, when taking into consideration the payment of the Excise Tax, exceeds the amount that would otherwise be payable if the Excise Tax was not applicable. If after the analysis the net amount received by the Executive after deducting the Excise Tax is greater than the maximum amount payable that would avoid the imposition of the Excise Tax, then the Company shall pay to the Executive the amount called for in this Agreement. However, if the net amount received by the Executive after paying the Excise Tax would be less than the amount if the payment did not exceed an amount that would subject it to the Excise Tax, the lower amount shall be paid. The intent of this provision is to insure that the Executive, regardless of the Excise Tax, receives the largest net payment possible. The parties acknowledge that the Executive is solely responsible for the payment of any Excise Tax that is assessed based upon a payment made pursuant to this Agreement or any other payment made by the Company pursuant to any other plan or obligation.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73" w:name="page74"/>
    <w:bookmarkEnd w:id="73"/>
    <w:p>
      <w:pPr>
        <w:ind w:left="1040" w:hanging="384"/>
        <w:spacing w:after="0"/>
        <w:tabs>
          <w:tab w:leader="none" w:pos="104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Obligation To Mitigate Damages; No Effect on Other Contractual Rights</w:t>
      </w:r>
      <w:r>
        <w:rPr>
          <w:rFonts w:ascii="Arial" w:cs="Arial" w:eastAsia="Arial" w:hAnsi="Arial"/>
          <w:sz w:val="22"/>
          <w:szCs w:val="22"/>
          <w:color w:val="auto"/>
        </w:rPr>
        <w:t>.</w:t>
      </w:r>
    </w:p>
    <w:p>
      <w:pPr>
        <w:spacing w:after="0" w:line="266" w:lineRule="exact"/>
        <w:rPr>
          <w:rFonts w:ascii="Arial" w:cs="Arial" w:eastAsia="Arial" w:hAnsi="Arial"/>
          <w:sz w:val="22"/>
          <w:szCs w:val="22"/>
          <w:b w:val="1"/>
          <w:bCs w:val="1"/>
          <w:color w:val="auto"/>
        </w:rPr>
      </w:pPr>
    </w:p>
    <w:p>
      <w:pPr>
        <w:jc w:val="both"/>
        <w:ind w:firstLine="1305"/>
        <w:spacing w:after="0" w:line="250" w:lineRule="auto"/>
        <w:tabs>
          <w:tab w:leader="none" w:pos="1604" w:val="left"/>
        </w:tabs>
        <w:numPr>
          <w:ilvl w:val="1"/>
          <w:numId w:val="70"/>
        </w:numPr>
        <w:rPr>
          <w:rFonts w:ascii="Arial" w:cs="Arial" w:eastAsia="Arial" w:hAnsi="Arial"/>
          <w:sz w:val="22"/>
          <w:szCs w:val="22"/>
          <w:color w:val="auto"/>
        </w:rPr>
      </w:pPr>
      <w:r>
        <w:rPr>
          <w:rFonts w:ascii="Arial" w:cs="Arial" w:eastAsia="Arial" w:hAnsi="Arial"/>
          <w:sz w:val="22"/>
          <w:szCs w:val="22"/>
          <w:color w:val="auto"/>
        </w:rPr>
        <w:t>The Executive shall not be required to mitigate damages or the amount of any payment provided for under this Agreement by seeking other employment or otherwise, nor shall the amount of any payment provided for under this Agreement be reduced by any compensation earned by the Executive as the result of employment by another employer after the Date of Termination, or otherwise.</w:t>
      </w:r>
    </w:p>
    <w:p>
      <w:pPr>
        <w:spacing w:after="0" w:line="228" w:lineRule="exact"/>
        <w:rPr>
          <w:rFonts w:ascii="Arial" w:cs="Arial" w:eastAsia="Arial" w:hAnsi="Arial"/>
          <w:sz w:val="22"/>
          <w:szCs w:val="22"/>
          <w:color w:val="auto"/>
        </w:rPr>
      </w:pPr>
    </w:p>
    <w:p>
      <w:pPr>
        <w:jc w:val="both"/>
        <w:ind w:firstLine="1305"/>
        <w:spacing w:after="0" w:line="250" w:lineRule="auto"/>
        <w:tabs>
          <w:tab w:leader="none" w:pos="1643" w:val="left"/>
        </w:tabs>
        <w:numPr>
          <w:ilvl w:val="1"/>
          <w:numId w:val="70"/>
        </w:numPr>
        <w:rPr>
          <w:rFonts w:ascii="Arial" w:cs="Arial" w:eastAsia="Arial" w:hAnsi="Arial"/>
          <w:sz w:val="22"/>
          <w:szCs w:val="22"/>
          <w:color w:val="auto"/>
        </w:rPr>
      </w:pPr>
      <w:r>
        <w:rPr>
          <w:rFonts w:ascii="Arial" w:cs="Arial" w:eastAsia="Arial" w:hAnsi="Arial"/>
          <w:sz w:val="22"/>
          <w:szCs w:val="22"/>
          <w:color w:val="auto"/>
        </w:rPr>
        <w:t>The provisions of this Agreement, and any payment provided for hereunder, shall not reduce any amounts otherwise payable, or in any way diminish the Executive’s existing rights, or rights which would accrue solely as a result of the passage of time, under any Benefit Plan, Incentive Plan or Securities Plan, employment agreements or other contract, plan or arrangement.</w:t>
      </w:r>
    </w:p>
    <w:p>
      <w:pPr>
        <w:spacing w:after="0" w:line="222" w:lineRule="exact"/>
        <w:rPr>
          <w:rFonts w:ascii="Arial" w:cs="Arial" w:eastAsia="Arial" w:hAnsi="Arial"/>
          <w:sz w:val="22"/>
          <w:szCs w:val="22"/>
          <w:color w:val="auto"/>
        </w:rPr>
      </w:pPr>
    </w:p>
    <w:p>
      <w:pPr>
        <w:ind w:left="1040" w:hanging="384"/>
        <w:spacing w:after="0"/>
        <w:tabs>
          <w:tab w:leader="none" w:pos="104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Successor to the Company</w:t>
      </w:r>
      <w:r>
        <w:rPr>
          <w:rFonts w:ascii="Arial" w:cs="Arial" w:eastAsia="Arial" w:hAnsi="Arial"/>
          <w:sz w:val="22"/>
          <w:szCs w:val="22"/>
          <w:b w:val="1"/>
          <w:bCs w:val="1"/>
          <w:i w:val="1"/>
          <w:iCs w:val="1"/>
          <w:color w:val="auto"/>
        </w:rPr>
        <w:t>.</w:t>
      </w:r>
    </w:p>
    <w:p>
      <w:pPr>
        <w:spacing w:after="0" w:line="266" w:lineRule="exact"/>
        <w:rPr>
          <w:rFonts w:ascii="Arial" w:cs="Arial" w:eastAsia="Arial" w:hAnsi="Arial"/>
          <w:sz w:val="22"/>
          <w:szCs w:val="22"/>
          <w:b w:val="1"/>
          <w:bCs w:val="1"/>
          <w:color w:val="auto"/>
        </w:rPr>
      </w:pPr>
    </w:p>
    <w:p>
      <w:pPr>
        <w:jc w:val="both"/>
        <w:ind w:firstLine="1305"/>
        <w:spacing w:after="0" w:line="289" w:lineRule="auto"/>
        <w:tabs>
          <w:tab w:leader="none" w:pos="1590" w:val="left"/>
        </w:tabs>
        <w:numPr>
          <w:ilvl w:val="1"/>
          <w:numId w:val="70"/>
        </w:numPr>
        <w:rPr>
          <w:rFonts w:ascii="Arial" w:cs="Arial" w:eastAsia="Arial" w:hAnsi="Arial"/>
          <w:sz w:val="19"/>
          <w:szCs w:val="19"/>
          <w:color w:val="auto"/>
        </w:rPr>
      </w:pPr>
      <w:r>
        <w:rPr>
          <w:rFonts w:ascii="Arial" w:cs="Arial" w:eastAsia="Arial" w:hAnsi="Arial"/>
          <w:sz w:val="19"/>
          <w:szCs w:val="19"/>
          <w:color w:val="auto"/>
        </w:rPr>
        <w:t>The Company will require any successor or assign (whether direct or indirect, by purchase, merger, consolidation or otherwise) of all or substantially all of the business and/or assets of the Company, by agreement in form and substance satisfactory to the Executive, expressly, absolutely and unconditionally to assume and agree to perform this Agreement in the same manner and to the same extent that the Company would be required to perform it if no such succession or assignment had taken place. Any failure of the Company to obtain such agreement prior to the effectiveness of any such succession or assignment shall be a material breach of this Agreement and shall entitle the Executive to terminate the Executive’s employment for Good Reason. As used in this Agreement, “Company” shall mean the Company as hereinbefore defined and any successor or assign to its business and/or assets as aforesaid which executes and delivers the agreement provided for in this Section 7 or which otherwise becomes bound by all the terms and provisions of this Agreement by operation of law.</w:t>
      </w:r>
    </w:p>
    <w:p>
      <w:pPr>
        <w:spacing w:after="0" w:line="198" w:lineRule="exact"/>
        <w:rPr>
          <w:rFonts w:ascii="Arial" w:cs="Arial" w:eastAsia="Arial" w:hAnsi="Arial"/>
          <w:sz w:val="19"/>
          <w:szCs w:val="19"/>
          <w:color w:val="auto"/>
        </w:rPr>
      </w:pPr>
    </w:p>
    <w:p>
      <w:pPr>
        <w:jc w:val="both"/>
        <w:ind w:firstLine="1305"/>
        <w:spacing w:after="0" w:line="248" w:lineRule="auto"/>
        <w:tabs>
          <w:tab w:leader="none" w:pos="1657" w:val="left"/>
        </w:tabs>
        <w:numPr>
          <w:ilvl w:val="1"/>
          <w:numId w:val="70"/>
        </w:numPr>
        <w:rPr>
          <w:rFonts w:ascii="Arial" w:cs="Arial" w:eastAsia="Arial" w:hAnsi="Arial"/>
          <w:sz w:val="22"/>
          <w:szCs w:val="22"/>
          <w:color w:val="auto"/>
        </w:rPr>
      </w:pPr>
      <w:r>
        <w:rPr>
          <w:rFonts w:ascii="Arial" w:cs="Arial" w:eastAsia="Arial" w:hAnsi="Arial"/>
          <w:sz w:val="22"/>
          <w:szCs w:val="22"/>
          <w:color w:val="auto"/>
        </w:rPr>
        <w:t>This Agreement shall inure to the benefit of and be enforceable by the Executive’s personal and legal representatives, executors, administrators, successors, heirs, distributes, devisees and legatees. If the Executive should die while any amounts are still payable to him hereunder, all such amounts, unless otherwise provided herein, shall be paid in accordance with the terms of this Agreement to the Executive’s devisee, legatee, or other designee or, if there be no such designee, to the Executive’s estate.</w:t>
      </w:r>
    </w:p>
    <w:p>
      <w:pPr>
        <w:spacing w:after="0" w:line="226" w:lineRule="exact"/>
        <w:rPr>
          <w:rFonts w:ascii="Arial" w:cs="Arial" w:eastAsia="Arial" w:hAnsi="Arial"/>
          <w:sz w:val="22"/>
          <w:szCs w:val="22"/>
          <w:color w:val="auto"/>
        </w:rPr>
      </w:pPr>
    </w:p>
    <w:p>
      <w:pPr>
        <w:jc w:val="both"/>
        <w:ind w:firstLine="656"/>
        <w:spacing w:after="0" w:line="274" w:lineRule="auto"/>
        <w:tabs>
          <w:tab w:leader="none" w:pos="1148" w:val="left"/>
        </w:tabs>
        <w:numPr>
          <w:ilvl w:val="0"/>
          <w:numId w:val="7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Guaranty of Employment</w:t>
      </w:r>
      <w:r>
        <w:rPr>
          <w:rFonts w:ascii="Arial" w:cs="Arial" w:eastAsia="Arial" w:hAnsi="Arial"/>
          <w:sz w:val="21"/>
          <w:szCs w:val="21"/>
          <w:color w:val="auto"/>
        </w:rPr>
        <w:t>. Nothing in this Agreement shall be deemed to entitle the Executive to continued</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with the Company prior to a Change of Control, and the rights of the Company to terminate the employment of the Executive, prior to a Change of Control, shall continue as fully as if this Agreement were not in effect.</w:t>
      </w:r>
    </w:p>
    <w:p>
      <w:pPr>
        <w:spacing w:after="0" w:line="199" w:lineRule="exact"/>
        <w:rPr>
          <w:rFonts w:ascii="Arial" w:cs="Arial" w:eastAsia="Arial" w:hAnsi="Arial"/>
          <w:sz w:val="21"/>
          <w:szCs w:val="21"/>
          <w:b w:val="1"/>
          <w:bCs w:val="1"/>
          <w:color w:val="auto"/>
        </w:rPr>
      </w:pPr>
    </w:p>
    <w:p>
      <w:pPr>
        <w:jc w:val="both"/>
        <w:ind w:firstLine="656"/>
        <w:spacing w:after="0" w:line="256" w:lineRule="auto"/>
        <w:tabs>
          <w:tab w:leader="none" w:pos="1067"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w:t>
      </w:r>
      <w:r>
        <w:rPr>
          <w:rFonts w:ascii="Arial" w:cs="Arial" w:eastAsia="Arial" w:hAnsi="Arial"/>
          <w:sz w:val="22"/>
          <w:szCs w:val="22"/>
          <w:color w:val="auto"/>
        </w:rPr>
        <w:t>. For purposes of this Agreement, notices and all other communications provided for in the Agreement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in writing and shall be deemed to have been duly given when delivered or mailed by United States registered mail, return receipt registered, postage prepaid, as follows: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Company:</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Winnebago Industries, Inc.</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Chairman of the Board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605 W. Crystal Lake Road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P.O. Box 152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Forest City, Iowa 50436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882" w:right="239" w:bottom="1440" w:gutter="0" w:footer="0" w:header="0"/>
        </w:sectPr>
      </w:pPr>
    </w:p>
    <w:bookmarkStart w:id="74" w:name="page75"/>
    <w:bookmarkEnd w:id="74"/>
    <w:p>
      <w:pPr>
        <w:ind w:left="660"/>
        <w:spacing w:after="0"/>
        <w:rPr>
          <w:sz w:val="20"/>
          <w:szCs w:val="20"/>
          <w:color w:val="auto"/>
        </w:rPr>
      </w:pPr>
      <w:r>
        <w:rPr>
          <w:rFonts w:ascii="Arial" w:cs="Arial" w:eastAsia="Arial" w:hAnsi="Arial"/>
          <w:sz w:val="22"/>
          <w:szCs w:val="22"/>
          <w:color w:val="auto"/>
        </w:rPr>
        <w:t>If to the Executive:</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 the last known address in the Personnel records of the Company</w:t>
      </w:r>
    </w:p>
    <w:p>
      <w:pPr>
        <w:spacing w:after="0" w:line="26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or such other address as either party may have furnished to the other in writing in accordance herewith, except that notices of change of address shall be effective only upon receipt.</w:t>
      </w:r>
    </w:p>
    <w:p>
      <w:pPr>
        <w:spacing w:after="0" w:line="209" w:lineRule="exact"/>
        <w:rPr>
          <w:sz w:val="20"/>
          <w:szCs w:val="20"/>
          <w:color w:val="auto"/>
        </w:rPr>
      </w:pPr>
    </w:p>
    <w:p>
      <w:pPr>
        <w:jc w:val="both"/>
        <w:ind w:firstLine="656"/>
        <w:spacing w:after="0" w:line="261" w:lineRule="auto"/>
        <w:tabs>
          <w:tab w:leader="none" w:pos="1310" w:val="left"/>
        </w:tabs>
        <w:numPr>
          <w:ilvl w:val="0"/>
          <w:numId w:val="7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color w:val="auto"/>
        </w:rPr>
        <w:t>. No provisions of this Agreement may be modified, waived or discharged unless such waiver,</w:t>
      </w:r>
      <w:r>
        <w:rPr>
          <w:rFonts w:ascii="Arial" w:cs="Arial" w:eastAsia="Arial" w:hAnsi="Arial"/>
          <w:sz w:val="21"/>
          <w:szCs w:val="21"/>
          <w:b w:val="1"/>
          <w:bCs w:val="1"/>
          <w:color w:val="auto"/>
        </w:rPr>
        <w:t xml:space="preserve"> </w:t>
      </w:r>
      <w:r>
        <w:rPr>
          <w:rFonts w:ascii="Arial" w:cs="Arial" w:eastAsia="Arial" w:hAnsi="Arial"/>
          <w:sz w:val="21"/>
          <w:szCs w:val="21"/>
          <w:color w:val="auto"/>
        </w:rPr>
        <w:t>modification or discharge is agreed to in writing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 This Agreement shall be governed by and construed in accordance with the laws of the State of Iowa.</w:t>
      </w:r>
    </w:p>
    <w:p>
      <w:pPr>
        <w:spacing w:after="0" w:line="214" w:lineRule="exact"/>
        <w:rPr>
          <w:rFonts w:ascii="Arial" w:cs="Arial" w:eastAsia="Arial" w:hAnsi="Arial"/>
          <w:sz w:val="21"/>
          <w:szCs w:val="21"/>
          <w:b w:val="1"/>
          <w:bCs w:val="1"/>
          <w:color w:val="auto"/>
        </w:rPr>
      </w:pPr>
    </w:p>
    <w:p>
      <w:pPr>
        <w:ind w:firstLine="656"/>
        <w:spacing w:after="0" w:line="269" w:lineRule="auto"/>
        <w:tabs>
          <w:tab w:leader="none" w:pos="1271"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Validity</w:t>
      </w:r>
      <w:r>
        <w:rPr>
          <w:rFonts w:ascii="Arial" w:cs="Arial" w:eastAsia="Arial" w:hAnsi="Arial"/>
          <w:sz w:val="22"/>
          <w:szCs w:val="22"/>
          <w:color w:val="auto"/>
        </w:rPr>
        <w:t>. The invalidity or unenforceability of any provisions of this Agreement shall not affect the validity or</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enforceability of any other provision of this Agreement, which shall remain in full force and effect.</w:t>
      </w:r>
    </w:p>
    <w:p>
      <w:pPr>
        <w:spacing w:after="0" w:line="202" w:lineRule="exact"/>
        <w:rPr>
          <w:rFonts w:ascii="Arial" w:cs="Arial" w:eastAsia="Arial" w:hAnsi="Arial"/>
          <w:sz w:val="22"/>
          <w:szCs w:val="22"/>
          <w:b w:val="1"/>
          <w:bCs w:val="1"/>
          <w:color w:val="auto"/>
        </w:rPr>
      </w:pPr>
    </w:p>
    <w:p>
      <w:pPr>
        <w:ind w:firstLine="656"/>
        <w:spacing w:after="0" w:line="269" w:lineRule="auto"/>
        <w:tabs>
          <w:tab w:leader="none" w:pos="1134"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one or more counterparts, each of which shall be deemed to be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but all of which together will constitute one and the same instrument.</w:t>
      </w:r>
    </w:p>
    <w:p>
      <w:pPr>
        <w:spacing w:after="0" w:line="202" w:lineRule="exact"/>
        <w:rPr>
          <w:rFonts w:ascii="Arial" w:cs="Arial" w:eastAsia="Arial" w:hAnsi="Arial"/>
          <w:sz w:val="22"/>
          <w:szCs w:val="22"/>
          <w:b w:val="1"/>
          <w:bCs w:val="1"/>
          <w:color w:val="auto"/>
        </w:rPr>
      </w:pPr>
    </w:p>
    <w:p>
      <w:pPr>
        <w:jc w:val="both"/>
        <w:ind w:firstLine="656"/>
        <w:spacing w:after="0" w:line="256" w:lineRule="auto"/>
        <w:tabs>
          <w:tab w:leader="none" w:pos="1189"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Legal Fees and Expenses</w:t>
      </w:r>
      <w:r>
        <w:rPr>
          <w:rFonts w:ascii="Arial" w:cs="Arial" w:eastAsia="Arial" w:hAnsi="Arial"/>
          <w:sz w:val="22"/>
          <w:szCs w:val="22"/>
          <w:color w:val="auto"/>
        </w:rPr>
        <w:t>. The Company shall pay all legal fees and expenses which the Executive may incur as a</w:t>
      </w:r>
      <w:r>
        <w:rPr>
          <w:rFonts w:ascii="Arial" w:cs="Arial" w:eastAsia="Arial" w:hAnsi="Arial"/>
          <w:sz w:val="22"/>
          <w:szCs w:val="22"/>
          <w:b w:val="1"/>
          <w:bCs w:val="1"/>
          <w:color w:val="auto"/>
        </w:rPr>
        <w:t xml:space="preserve"> </w:t>
      </w:r>
      <w:r>
        <w:rPr>
          <w:rFonts w:ascii="Arial" w:cs="Arial" w:eastAsia="Arial" w:hAnsi="Arial"/>
          <w:sz w:val="22"/>
          <w:szCs w:val="22"/>
          <w:color w:val="auto"/>
        </w:rPr>
        <w:t>result of the Company’s contesting the validity, enforceability or the Executive’s interpretation of, or determinations under, this Agreement.</w:t>
      </w:r>
    </w:p>
    <w:p>
      <w:pPr>
        <w:spacing w:after="0" w:line="216" w:lineRule="exact"/>
        <w:rPr>
          <w:rFonts w:ascii="Arial" w:cs="Arial" w:eastAsia="Arial" w:hAnsi="Arial"/>
          <w:sz w:val="22"/>
          <w:szCs w:val="22"/>
          <w:b w:val="1"/>
          <w:bCs w:val="1"/>
          <w:color w:val="auto"/>
        </w:rPr>
      </w:pPr>
    </w:p>
    <w:p>
      <w:pPr>
        <w:ind w:firstLine="656"/>
        <w:spacing w:after="0" w:line="269" w:lineRule="auto"/>
        <w:tabs>
          <w:tab w:leader="none" w:pos="1134"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Confidentiality</w:t>
      </w:r>
      <w:r>
        <w:rPr>
          <w:rFonts w:ascii="Arial" w:cs="Arial" w:eastAsia="Arial" w:hAnsi="Arial"/>
          <w:sz w:val="22"/>
          <w:szCs w:val="22"/>
          <w:color w:val="auto"/>
        </w:rPr>
        <w:t>. The Executive shall retain in confidence any and all confidential information known to the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concerning the Company and its business so long as such information is not otherwise publicly disclosed.</w:t>
      </w:r>
    </w:p>
    <w:p>
      <w:pPr>
        <w:spacing w:after="0" w:line="202" w:lineRule="exact"/>
        <w:rPr>
          <w:rFonts w:ascii="Arial" w:cs="Arial" w:eastAsia="Arial" w:hAnsi="Arial"/>
          <w:sz w:val="22"/>
          <w:szCs w:val="22"/>
          <w:b w:val="1"/>
          <w:bCs w:val="1"/>
          <w:color w:val="auto"/>
        </w:rPr>
      </w:pPr>
    </w:p>
    <w:p>
      <w:pPr>
        <w:jc w:val="both"/>
        <w:ind w:firstLine="656"/>
        <w:spacing w:after="0" w:line="256" w:lineRule="auto"/>
        <w:tabs>
          <w:tab w:leader="none" w:pos="1256"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intended to satisfy the short-term deferral exception to Internal Revenue code</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409A and the regulations thereunder. This Agreement shall be administered accordingly; and if necessary, amended to ensure satisfaction of the short-term deferral exception.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888" w:right="239" w:bottom="1440" w:gutter="0" w:footer="0" w:header="0"/>
        </w:sectPr>
      </w:pPr>
    </w:p>
    <w:bookmarkStart w:id="75" w:name="page76"/>
    <w:bookmarkEnd w:id="75"/>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have executed this agreement on the date set out above.</w:t>
      </w:r>
    </w:p>
    <w:p>
      <w:pPr>
        <w:spacing w:after="0" w:line="200" w:lineRule="exact"/>
        <w:rPr>
          <w:sz w:val="20"/>
          <w:szCs w:val="20"/>
          <w:color w:val="auto"/>
        </w:rPr>
      </w:pPr>
    </w:p>
    <w:p>
      <w:pPr>
        <w:spacing w:after="0" w:line="254" w:lineRule="exact"/>
        <w:rPr>
          <w:sz w:val="20"/>
          <w:szCs w:val="20"/>
          <w:color w:val="auto"/>
        </w:rPr>
      </w:pPr>
    </w:p>
    <w:p>
      <w:pPr>
        <w:ind w:left="4620"/>
        <w:spacing w:after="0"/>
        <w:rPr>
          <w:sz w:val="20"/>
          <w:szCs w:val="20"/>
          <w:color w:val="auto"/>
        </w:rPr>
      </w:pPr>
      <w:r>
        <w:rPr>
          <w:rFonts w:ascii="Arial" w:cs="Arial" w:eastAsia="Arial" w:hAnsi="Arial"/>
          <w:sz w:val="25"/>
          <w:szCs w:val="25"/>
          <w:color w:val="auto"/>
        </w:rPr>
        <w:t>W</w:t>
      </w:r>
      <w:r>
        <w:rPr>
          <w:rFonts w:ascii="Arial" w:cs="Arial" w:eastAsia="Arial" w:hAnsi="Arial"/>
          <w:sz w:val="21"/>
          <w:szCs w:val="21"/>
          <w:color w:val="auto"/>
        </w:rPr>
        <w:t>INNEBAGO</w:t>
      </w:r>
      <w:r>
        <w:rPr>
          <w:rFonts w:ascii="Arial" w:cs="Arial" w:eastAsia="Arial" w:hAnsi="Arial"/>
          <w:sz w:val="25"/>
          <w:szCs w:val="25"/>
          <w:color w:val="auto"/>
        </w:rPr>
        <w:t xml:space="preserve"> I</w:t>
      </w:r>
      <w:r>
        <w:rPr>
          <w:rFonts w:ascii="Arial" w:cs="Arial" w:eastAsia="Arial" w:hAnsi="Arial"/>
          <w:sz w:val="21"/>
          <w:szCs w:val="21"/>
          <w:color w:val="auto"/>
        </w:rPr>
        <w:t>NDUSTRIES,</w:t>
      </w:r>
      <w:r>
        <w:rPr>
          <w:rFonts w:ascii="Arial" w:cs="Arial" w:eastAsia="Arial" w:hAnsi="Arial"/>
          <w:sz w:val="25"/>
          <w:szCs w:val="25"/>
          <w:color w:val="auto"/>
        </w:rPr>
        <w:t xml:space="preserve"> I</w:t>
      </w:r>
      <w:r>
        <w:rPr>
          <w:rFonts w:ascii="Arial" w:cs="Arial" w:eastAsia="Arial" w:hAnsi="Arial"/>
          <w:sz w:val="21"/>
          <w:szCs w:val="21"/>
          <w:color w:val="auto"/>
        </w:rPr>
        <w:t>NC.</w:t>
      </w:r>
    </w:p>
    <w:p>
      <w:pPr>
        <w:spacing w:after="0" w:line="383" w:lineRule="exact"/>
        <w:rPr>
          <w:sz w:val="20"/>
          <w:szCs w:val="20"/>
          <w:color w:val="auto"/>
        </w:rPr>
      </w:pPr>
    </w:p>
    <w:p>
      <w:pPr>
        <w:ind w:left="4620"/>
        <w:spacing w:after="0"/>
        <w:tabs>
          <w:tab w:leader="none" w:pos="5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Bret A. Woodson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3282315</wp:posOffset>
            </wp:positionH>
            <wp:positionV relativeFrom="paragraph">
              <wp:posOffset>24765</wp:posOffset>
            </wp:positionV>
            <wp:extent cx="35502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Bret A. Woodson</w:t>
      </w:r>
    </w:p>
    <w:p>
      <w:pPr>
        <w:spacing w:after="0" w:line="4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Vice President of Administration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EXECUTIVE:</w:t>
      </w:r>
    </w:p>
    <w:p>
      <w:pPr>
        <w:spacing w:after="0" w:line="368" w:lineRule="exact"/>
        <w:rPr>
          <w:sz w:val="20"/>
          <w:szCs w:val="20"/>
          <w:color w:val="auto"/>
        </w:rPr>
      </w:pPr>
    </w:p>
    <w:p>
      <w:pPr>
        <w:ind w:left="4620"/>
        <w:spacing w:after="0"/>
        <w:rPr>
          <w:sz w:val="20"/>
          <w:szCs w:val="20"/>
          <w:color w:val="auto"/>
        </w:rPr>
      </w:pPr>
      <w:r>
        <w:rPr>
          <w:rFonts w:ascii="Arial" w:cs="Arial" w:eastAsia="Arial" w:hAnsi="Arial"/>
          <w:sz w:val="22"/>
          <w:szCs w:val="22"/>
          <w:i w:val="1"/>
          <w:iCs w:val="1"/>
          <w:color w:val="auto"/>
        </w:rPr>
        <w:t>/s/ Brian Hazelton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2922270</wp:posOffset>
            </wp:positionH>
            <wp:positionV relativeFrom="paragraph">
              <wp:posOffset>24765</wp:posOffset>
            </wp:positionV>
            <wp:extent cx="39103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8"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Brian Hazelton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9559"/>
          </w:cols>
          <w:pgMar w:left="900" w:top="882" w:right="1440" w:bottom="1440" w:gutter="0" w:footer="0" w:header="0"/>
        </w:sectPr>
      </w:pPr>
    </w:p>
    <w:bookmarkStart w:id="76" w:name="page77"/>
    <w:bookmarkEnd w:id="76"/>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CHANGE OF CONTROL AGREEMENT</w:t>
      </w:r>
    </w:p>
    <w:p>
      <w:pPr>
        <w:spacing w:after="0" w:line="200" w:lineRule="exact"/>
        <w:rPr>
          <w:sz w:val="20"/>
          <w:szCs w:val="20"/>
          <w:color w:val="auto"/>
        </w:rPr>
      </w:pPr>
    </w:p>
    <w:p>
      <w:pPr>
        <w:spacing w:after="0" w:line="3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This EXECUTIVE CHANGE OF CONTROL AGREEMENT is made as of September 26, 2016, by and between </w:t>
      </w:r>
      <w:r>
        <w:rPr>
          <w:rFonts w:ascii="Arial" w:cs="Arial" w:eastAsia="Arial" w:hAnsi="Arial"/>
          <w:sz w:val="22"/>
          <w:szCs w:val="22"/>
          <w:b w:val="1"/>
          <w:bCs w:val="1"/>
          <w:color w:val="auto"/>
        </w:rPr>
        <w:t>WINNEBAGO INDUSTRIES, INC.</w:t>
      </w:r>
      <w:r>
        <w:rPr>
          <w:rFonts w:ascii="Arial" w:cs="Arial" w:eastAsia="Arial" w:hAnsi="Arial"/>
          <w:sz w:val="22"/>
          <w:szCs w:val="22"/>
          <w:color w:val="auto"/>
        </w:rPr>
        <w:t>, an Iowa corporation (the "Company"), and Chris West (the "Executive").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6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Executive is a senior executive and officer of the Company and has made and is expected to continue to</w:t>
      </w:r>
      <w:r>
        <w:rPr>
          <w:rFonts w:ascii="Arial" w:cs="Arial" w:eastAsia="Arial" w:hAnsi="Arial"/>
          <w:sz w:val="22"/>
          <w:szCs w:val="22"/>
          <w:b w:val="1"/>
          <w:bCs w:val="1"/>
          <w:color w:val="auto"/>
        </w:rPr>
        <w:t xml:space="preserve"> </w:t>
      </w:r>
      <w:r>
        <w:rPr>
          <w:rFonts w:ascii="Arial" w:cs="Arial" w:eastAsia="Arial" w:hAnsi="Arial"/>
          <w:sz w:val="22"/>
          <w:szCs w:val="22"/>
          <w:color w:val="auto"/>
        </w:rPr>
        <w:t>make major contributions to the profitability, growth and financial strength of the Company;</w:t>
      </w:r>
    </w:p>
    <w:p>
      <w:pPr>
        <w:spacing w:after="0" w:line="203"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recognizes that, as is the case for most publicly held companies, the possibility of a Change of</w:t>
      </w:r>
      <w:r>
        <w:rPr>
          <w:rFonts w:ascii="Arial" w:cs="Arial" w:eastAsia="Arial" w:hAnsi="Arial"/>
          <w:sz w:val="22"/>
          <w:szCs w:val="22"/>
          <w:b w:val="1"/>
          <w:bCs w:val="1"/>
          <w:color w:val="auto"/>
        </w:rPr>
        <w:t xml:space="preserve"> </w:t>
      </w:r>
      <w:r>
        <w:rPr>
          <w:rFonts w:ascii="Arial" w:cs="Arial" w:eastAsia="Arial" w:hAnsi="Arial"/>
          <w:sz w:val="22"/>
          <w:szCs w:val="22"/>
          <w:color w:val="auto"/>
        </w:rPr>
        <w:t>Control (as hereafter defined) exists;</w:t>
      </w:r>
    </w:p>
    <w:p>
      <w:pPr>
        <w:spacing w:after="0" w:line="20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it is in the best interests of the Company, considering the past and future services of the Executive, to improve</w:t>
      </w:r>
      <w:r>
        <w:rPr>
          <w:rFonts w:ascii="Arial" w:cs="Arial" w:eastAsia="Arial" w:hAnsi="Arial"/>
          <w:sz w:val="22"/>
          <w:szCs w:val="22"/>
          <w:b w:val="1"/>
          <w:bCs w:val="1"/>
          <w:color w:val="auto"/>
        </w:rPr>
        <w:t xml:space="preserve"> </w:t>
      </w:r>
      <w:r>
        <w:rPr>
          <w:rFonts w:ascii="Arial" w:cs="Arial" w:eastAsia="Arial" w:hAnsi="Arial"/>
          <w:sz w:val="22"/>
          <w:szCs w:val="22"/>
          <w:color w:val="auto"/>
        </w:rPr>
        <w:t>the security and climate for objective decision making by providing for the personal security of the Executive upon a Change of Control.</w:t>
      </w:r>
    </w:p>
    <w:p>
      <w:pPr>
        <w:spacing w:after="0" w:line="2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premises and the past and future services rendered and to be</w:t>
      </w:r>
      <w:r>
        <w:rPr>
          <w:rFonts w:ascii="Arial" w:cs="Arial" w:eastAsia="Arial" w:hAnsi="Arial"/>
          <w:sz w:val="22"/>
          <w:szCs w:val="22"/>
          <w:b w:val="1"/>
          <w:bCs w:val="1"/>
          <w:color w:val="auto"/>
        </w:rPr>
        <w:t xml:space="preserve"> </w:t>
      </w:r>
      <w:r>
        <w:rPr>
          <w:rFonts w:ascii="Arial" w:cs="Arial" w:eastAsia="Arial" w:hAnsi="Arial"/>
          <w:sz w:val="22"/>
          <w:szCs w:val="22"/>
          <w:color w:val="auto"/>
        </w:rPr>
        <w:t>rendered by the Executive to the Company and of the mutual covenants and agreements hereinafter set forth, the parties agree as follows: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60" w:lineRule="exact"/>
        <w:rPr>
          <w:sz w:val="20"/>
          <w:szCs w:val="20"/>
          <w:color w:val="auto"/>
        </w:rPr>
      </w:pPr>
    </w:p>
    <w:p>
      <w:pPr>
        <w:jc w:val="both"/>
        <w:ind w:firstLine="656"/>
        <w:spacing w:after="0" w:line="249" w:lineRule="auto"/>
        <w:tabs>
          <w:tab w:leader="none" w:pos="1040"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Continued Service by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event a person or entity, in order to effect a Change of Control, commences a</w:t>
      </w:r>
      <w:r>
        <w:rPr>
          <w:rFonts w:ascii="Arial" w:cs="Arial" w:eastAsia="Arial" w:hAnsi="Arial"/>
          <w:sz w:val="22"/>
          <w:szCs w:val="22"/>
          <w:b w:val="1"/>
          <w:bCs w:val="1"/>
          <w:color w:val="auto"/>
        </w:rPr>
        <w:t xml:space="preserve"> </w:t>
      </w:r>
      <w:r>
        <w:rPr>
          <w:rFonts w:ascii="Arial" w:cs="Arial" w:eastAsia="Arial" w:hAnsi="Arial"/>
          <w:sz w:val="22"/>
          <w:szCs w:val="22"/>
          <w:color w:val="auto"/>
        </w:rPr>
        <w:t>tender or exchange offer, circulates a proxy to shareholders or takes other steps, the Executive agrees that the Executive will not voluntarily leave the employ of the Company, and will render faithful services to the Company consistent with Executive’s position and responsibilities, until the person or entity has abandoned or terminated its efforts to effect such Change of Control or until such Change of Control has occurred.</w:t>
      </w:r>
    </w:p>
    <w:p>
      <w:pPr>
        <w:spacing w:after="0" w:line="227" w:lineRule="exact"/>
        <w:rPr>
          <w:rFonts w:ascii="Arial" w:cs="Arial" w:eastAsia="Arial" w:hAnsi="Arial"/>
          <w:sz w:val="22"/>
          <w:szCs w:val="22"/>
          <w:b w:val="1"/>
          <w:bCs w:val="1"/>
          <w:color w:val="auto"/>
        </w:rPr>
      </w:pPr>
    </w:p>
    <w:p>
      <w:pPr>
        <w:jc w:val="both"/>
        <w:ind w:firstLine="656"/>
        <w:spacing w:after="0" w:line="259" w:lineRule="auto"/>
        <w:tabs>
          <w:tab w:leader="none" w:pos="1026" w:val="left"/>
        </w:tabs>
        <w:numPr>
          <w:ilvl w:val="0"/>
          <w:numId w:val="7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Change of Control</w:t>
      </w:r>
      <w:r>
        <w:rPr>
          <w:rFonts w:ascii="Arial" w:cs="Arial" w:eastAsia="Arial" w:hAnsi="Arial"/>
          <w:sz w:val="21"/>
          <w:szCs w:val="21"/>
          <w:b w:val="1"/>
          <w:bCs w:val="1"/>
          <w:color w:val="auto"/>
        </w:rPr>
        <w:t xml:space="preserve">. </w:t>
      </w:r>
      <w:r>
        <w:rPr>
          <w:rFonts w:ascii="Arial" w:cs="Arial" w:eastAsia="Arial" w:hAnsi="Arial"/>
          <w:sz w:val="21"/>
          <w:szCs w:val="21"/>
          <w:color w:val="auto"/>
        </w:rPr>
        <w:t>For purposes of this Agreement, the term “Change of Control” means the time when (i) any Person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becomes an Acquiring Person, or (ii) individuals who shall qualify as Continuing Directors of the Company shall have ceased for any reason to constitute at least a majority of the Board of Directors of the Company; </w:t>
      </w:r>
      <w:r>
        <w:rPr>
          <w:rFonts w:ascii="Arial" w:cs="Arial" w:eastAsia="Arial" w:hAnsi="Arial"/>
          <w:sz w:val="21"/>
          <w:szCs w:val="21"/>
          <w:i w:val="1"/>
          <w:iCs w:val="1"/>
          <w:color w:val="auto"/>
        </w:rPr>
        <w:t>provided however</w:t>
      </w:r>
      <w:r>
        <w:rPr>
          <w:rFonts w:ascii="Arial" w:cs="Arial" w:eastAsia="Arial" w:hAnsi="Arial"/>
          <w:sz w:val="21"/>
          <w:szCs w:val="21"/>
          <w:color w:val="auto"/>
        </w:rPr>
        <w:t>,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440" w:right="239" w:bottom="1440" w:gutter="0" w:footer="0" w:header="0"/>
        </w:sectPr>
      </w:pPr>
    </w:p>
    <w:bookmarkStart w:id="77" w:name="page78"/>
    <w:bookmarkEnd w:id="77"/>
    <w:p>
      <w:pPr>
        <w:spacing w:after="0"/>
        <w:rPr>
          <w:sz w:val="20"/>
          <w:szCs w:val="20"/>
          <w:color w:val="auto"/>
        </w:rPr>
      </w:pPr>
      <w:r>
        <w:rPr>
          <w:rFonts w:ascii="Arial" w:cs="Arial" w:eastAsia="Arial" w:hAnsi="Arial"/>
          <w:sz w:val="19"/>
          <w:szCs w:val="19"/>
          <w:color w:val="auto"/>
        </w:rPr>
        <w:t>held by such a plan shall not be treated as outstanding in determining ownership percentages for purposes of this definition.)</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the purpose of the foregoing definition of “Change of Control”, the capitalized terms shall have the following meanings:</w:t>
      </w:r>
    </w:p>
    <w:p>
      <w:pPr>
        <w:spacing w:after="0" w:line="295" w:lineRule="exact"/>
        <w:rPr>
          <w:sz w:val="20"/>
          <w:szCs w:val="20"/>
          <w:color w:val="auto"/>
        </w:rPr>
      </w:pPr>
    </w:p>
    <w:p>
      <w:pPr>
        <w:jc w:val="both"/>
        <w:ind w:left="1300" w:hanging="644"/>
        <w:spacing w:after="0" w:line="292" w:lineRule="auto"/>
        <w:tabs>
          <w:tab w:leader="none" w:pos="1300" w:val="left"/>
        </w:tabs>
        <w:numPr>
          <w:ilvl w:val="0"/>
          <w:numId w:val="73"/>
        </w:numPr>
        <w:rPr>
          <w:rFonts w:ascii="Arial" w:cs="Arial" w:eastAsia="Arial" w:hAnsi="Arial"/>
          <w:sz w:val="19"/>
          <w:szCs w:val="19"/>
          <w:color w:val="auto"/>
        </w:rPr>
      </w:pPr>
      <w:r>
        <w:rPr>
          <w:rFonts w:ascii="Arial" w:cs="Arial" w:eastAsia="Arial" w:hAnsi="Arial"/>
          <w:sz w:val="19"/>
          <w:szCs w:val="19"/>
          <w:color w:val="auto"/>
        </w:rPr>
        <w:t>“Continuing Director” means (i) any member of the Board of Directors of the Company, while such person as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92" w:lineRule="exact"/>
        <w:rPr>
          <w:rFonts w:ascii="Arial" w:cs="Arial" w:eastAsia="Arial" w:hAnsi="Arial"/>
          <w:sz w:val="19"/>
          <w:szCs w:val="19"/>
          <w:color w:val="auto"/>
        </w:rPr>
      </w:pPr>
    </w:p>
    <w:p>
      <w:pPr>
        <w:jc w:val="both"/>
        <w:ind w:left="1300" w:hanging="644"/>
        <w:spacing w:after="0" w:line="312" w:lineRule="auto"/>
        <w:tabs>
          <w:tab w:leader="none" w:pos="1300" w:val="left"/>
        </w:tabs>
        <w:numPr>
          <w:ilvl w:val="0"/>
          <w:numId w:val="73"/>
        </w:numPr>
        <w:rPr>
          <w:rFonts w:ascii="Arial" w:cs="Arial" w:eastAsia="Arial" w:hAnsi="Arial"/>
          <w:sz w:val="19"/>
          <w:szCs w:val="19"/>
          <w:color w:val="auto"/>
        </w:rPr>
      </w:pPr>
      <w:r>
        <w:rPr>
          <w:rFonts w:ascii="Arial" w:cs="Arial" w:eastAsia="Arial" w:hAnsi="Arial"/>
          <w:sz w:val="19"/>
          <w:szCs w:val="19"/>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following date of the Executive’s execution of this Agreement.</w:t>
      </w:r>
    </w:p>
    <w:p>
      <w:pPr>
        <w:spacing w:after="0" w:line="174" w:lineRule="exact"/>
        <w:rPr>
          <w:rFonts w:ascii="Arial" w:cs="Arial" w:eastAsia="Arial" w:hAnsi="Arial"/>
          <w:sz w:val="19"/>
          <w:szCs w:val="19"/>
          <w:color w:val="auto"/>
        </w:rPr>
      </w:pPr>
    </w:p>
    <w:p>
      <w:pPr>
        <w:ind w:left="1300" w:right="20" w:hanging="644"/>
        <w:spacing w:after="0" w:line="263" w:lineRule="auto"/>
        <w:tabs>
          <w:tab w:leader="none" w:pos="1300" w:val="left"/>
        </w:tabs>
        <w:numPr>
          <w:ilvl w:val="0"/>
          <w:numId w:val="73"/>
        </w:numPr>
        <w:rPr>
          <w:rFonts w:ascii="Arial" w:cs="Arial" w:eastAsia="Arial" w:hAnsi="Arial"/>
          <w:sz w:val="22"/>
          <w:szCs w:val="22"/>
          <w:color w:val="auto"/>
        </w:rPr>
      </w:pPr>
      <w:r>
        <w:rPr>
          <w:rFonts w:ascii="Arial" w:cs="Arial" w:eastAsia="Arial" w:hAnsi="Arial"/>
          <w:sz w:val="22"/>
          <w:szCs w:val="22"/>
          <w:color w:val="auto"/>
        </w:rPr>
        <w:t>“Affiliate” means a Person that directly or indirectly through one or more intermediaries, controls, or is controlled by, or is under common control with, the person specified.</w:t>
      </w:r>
    </w:p>
    <w:p>
      <w:pPr>
        <w:spacing w:after="0" w:line="215" w:lineRule="exact"/>
        <w:rPr>
          <w:rFonts w:ascii="Arial" w:cs="Arial" w:eastAsia="Arial" w:hAnsi="Arial"/>
          <w:sz w:val="22"/>
          <w:szCs w:val="22"/>
          <w:color w:val="auto"/>
        </w:rPr>
      </w:pPr>
    </w:p>
    <w:p>
      <w:pPr>
        <w:jc w:val="both"/>
        <w:ind w:left="1300" w:hanging="644"/>
        <w:spacing w:after="0" w:line="246" w:lineRule="auto"/>
        <w:tabs>
          <w:tab w:leader="none" w:pos="1300" w:val="left"/>
        </w:tabs>
        <w:numPr>
          <w:ilvl w:val="0"/>
          <w:numId w:val="73"/>
        </w:numPr>
        <w:rPr>
          <w:rFonts w:ascii="Arial" w:cs="Arial" w:eastAsia="Arial" w:hAnsi="Arial"/>
          <w:sz w:val="22"/>
          <w:szCs w:val="22"/>
          <w:color w:val="auto"/>
        </w:rPr>
      </w:pPr>
      <w:r>
        <w:rPr>
          <w:rFonts w:ascii="Arial" w:cs="Arial" w:eastAsia="Arial" w:hAnsi="Arial"/>
          <w:sz w:val="22"/>
          <w:szCs w:val="22"/>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pacing w:after="0" w:line="237" w:lineRule="exact"/>
        <w:rPr>
          <w:rFonts w:ascii="Arial" w:cs="Arial" w:eastAsia="Arial" w:hAnsi="Arial"/>
          <w:sz w:val="22"/>
          <w:szCs w:val="22"/>
          <w:color w:val="auto"/>
        </w:rPr>
      </w:pPr>
    </w:p>
    <w:p>
      <w:pPr>
        <w:ind w:left="1300" w:right="20" w:firstLine="5"/>
        <w:spacing w:after="0" w:line="263" w:lineRule="auto"/>
        <w:tabs>
          <w:tab w:leader="none" w:pos="1896" w:val="left"/>
        </w:tabs>
        <w:numPr>
          <w:ilvl w:val="1"/>
          <w:numId w:val="73"/>
        </w:numPr>
        <w:rPr>
          <w:rFonts w:ascii="Arial" w:cs="Arial" w:eastAsia="Arial" w:hAnsi="Arial"/>
          <w:sz w:val="22"/>
          <w:szCs w:val="22"/>
          <w:color w:val="auto"/>
        </w:rPr>
      </w:pPr>
      <w:r>
        <w:rPr>
          <w:rFonts w:ascii="Arial" w:cs="Arial" w:eastAsia="Arial" w:hAnsi="Arial"/>
          <w:sz w:val="22"/>
          <w:szCs w:val="22"/>
          <w:color w:val="auto"/>
        </w:rPr>
        <w:t>“Person” means an individual, corporation, limited liability company, partnership, association, joint stock company, trust, unincorporated organization or government or political subdivision thereof.</w:t>
      </w:r>
    </w:p>
    <w:p>
      <w:pPr>
        <w:spacing w:after="0" w:line="209" w:lineRule="exact"/>
        <w:rPr>
          <w:sz w:val="20"/>
          <w:szCs w:val="20"/>
          <w:color w:val="auto"/>
        </w:rPr>
      </w:pPr>
    </w:p>
    <w:p>
      <w:pPr>
        <w:jc w:val="both"/>
        <w:ind w:firstLine="656"/>
        <w:spacing w:after="0" w:line="247" w:lineRule="auto"/>
        <w:tabs>
          <w:tab w:leader="none" w:pos="1067"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Following a Change of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If a change of Control shall have occurred while the Executive is still</w:t>
      </w:r>
      <w:r>
        <w:rPr>
          <w:rFonts w:ascii="Arial" w:cs="Arial" w:eastAsia="Arial" w:hAnsi="Arial"/>
          <w:sz w:val="22"/>
          <w:szCs w:val="22"/>
          <w:b w:val="1"/>
          <w:bCs w:val="1"/>
          <w:color w:val="auto"/>
        </w:rPr>
        <w:t xml:space="preserve"> </w:t>
      </w:r>
      <w:r>
        <w:rPr>
          <w:rFonts w:ascii="Arial" w:cs="Arial" w:eastAsia="Arial" w:hAnsi="Arial"/>
          <w:sz w:val="22"/>
          <w:szCs w:val="22"/>
          <w:color w:val="auto"/>
        </w:rPr>
        <w:t>an employee of the Company, and if the Executive’s employment with the Company is terminated, within three years following such Change of Control, then the Executive shall be entitled to the compensation and benefits provided in Section 4, unless such termination is a result of: (a) the Executive’s death; (b) the Executive’s Disability (as defined in Section 3(a) below); (c) the Executive’s Retirement (as defined in Section 3(b) below); (d) the Executive’s termination by the Company for Cause (as defined in Section 3(c) below); or (e) the Executive’s decision to terminate employment other than for Good Reason (as defined in Section 3(d) below).</w:t>
      </w:r>
    </w:p>
    <w:p>
      <w:pPr>
        <w:spacing w:after="0" w:line="236" w:lineRule="exact"/>
        <w:rPr>
          <w:rFonts w:ascii="Arial" w:cs="Arial" w:eastAsia="Arial" w:hAnsi="Arial"/>
          <w:sz w:val="22"/>
          <w:szCs w:val="22"/>
          <w:b w:val="1"/>
          <w:bCs w:val="1"/>
          <w:color w:val="auto"/>
        </w:rPr>
      </w:pPr>
    </w:p>
    <w:p>
      <w:pPr>
        <w:ind w:firstLine="1305"/>
        <w:spacing w:after="0" w:line="263" w:lineRule="auto"/>
        <w:tabs>
          <w:tab w:leader="none" w:pos="1590" w:val="left"/>
        </w:tabs>
        <w:numPr>
          <w:ilvl w:val="1"/>
          <w:numId w:val="74"/>
        </w:numPr>
        <w:rPr>
          <w:rFonts w:ascii="Arial" w:cs="Arial" w:eastAsia="Arial" w:hAnsi="Arial"/>
          <w:sz w:val="22"/>
          <w:szCs w:val="22"/>
          <w:color w:val="auto"/>
        </w:rPr>
      </w:pPr>
      <w:r>
        <w:rPr>
          <w:rFonts w:ascii="Arial" w:cs="Arial" w:eastAsia="Arial" w:hAnsi="Arial"/>
          <w:sz w:val="22"/>
          <w:szCs w:val="22"/>
          <w:i w:val="1"/>
          <w:iCs w:val="1"/>
          <w:color w:val="auto"/>
        </w:rPr>
        <w:t xml:space="preserve">Disability. </w:t>
      </w:r>
      <w:r>
        <w:rPr>
          <w:rFonts w:ascii="Arial" w:cs="Arial" w:eastAsia="Arial" w:hAnsi="Arial"/>
          <w:sz w:val="22"/>
          <w:szCs w:val="22"/>
          <w:color w:val="auto"/>
        </w:rPr>
        <w:t>If, as a result of the Executive’s incapacity due to physical or mental illness, the Executive shall have</w:t>
      </w:r>
      <w:r>
        <w:rPr>
          <w:rFonts w:ascii="Arial" w:cs="Arial" w:eastAsia="Arial" w:hAnsi="Arial"/>
          <w:sz w:val="22"/>
          <w:szCs w:val="22"/>
          <w:i w:val="1"/>
          <w:iCs w:val="1"/>
          <w:color w:val="auto"/>
        </w:rPr>
        <w:t xml:space="preserve"> </w:t>
      </w:r>
      <w:r>
        <w:rPr>
          <w:rFonts w:ascii="Arial" w:cs="Arial" w:eastAsia="Arial" w:hAnsi="Arial"/>
          <w:sz w:val="22"/>
          <w:szCs w:val="22"/>
          <w:color w:val="auto"/>
        </w:rPr>
        <w:t>been absent from his duties with the Company on a full-time basis for six monthsand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78" w:name="page79"/>
    <w:bookmarkEnd w:id="78"/>
    <w:p>
      <w:pPr>
        <w:spacing w:after="0" w:line="287" w:lineRule="auto"/>
        <w:rPr>
          <w:sz w:val="20"/>
          <w:szCs w:val="20"/>
          <w:color w:val="auto"/>
        </w:rPr>
      </w:pPr>
      <w:r>
        <w:rPr>
          <w:rFonts w:ascii="Arial" w:cs="Arial" w:eastAsia="Arial" w:hAnsi="Arial"/>
          <w:sz w:val="21"/>
          <w:szCs w:val="21"/>
          <w:color w:val="auto"/>
        </w:rPr>
        <w:t>within 30 days after written notice of termination is thereafter given by the Company the Executive shall not have returned to the full-time performance of the Executive’s duties, the Company may terminate the Executive for “Disability.”</w:t>
      </w:r>
    </w:p>
    <w:p>
      <w:pPr>
        <w:spacing w:after="0" w:line="192" w:lineRule="exact"/>
        <w:rPr>
          <w:sz w:val="20"/>
          <w:szCs w:val="20"/>
          <w:color w:val="auto"/>
        </w:rPr>
      </w:pPr>
    </w:p>
    <w:p>
      <w:pPr>
        <w:jc w:val="both"/>
        <w:ind w:firstLine="1305"/>
        <w:spacing w:after="0" w:line="271" w:lineRule="auto"/>
        <w:tabs>
          <w:tab w:leader="none" w:pos="1616" w:val="left"/>
        </w:tabs>
        <w:numPr>
          <w:ilvl w:val="0"/>
          <w:numId w:val="75"/>
        </w:numPr>
        <w:rPr>
          <w:rFonts w:ascii="Arial" w:cs="Arial" w:eastAsia="Arial" w:hAnsi="Arial"/>
          <w:sz w:val="21"/>
          <w:szCs w:val="21"/>
          <w:color w:val="auto"/>
        </w:rPr>
      </w:pPr>
      <w:r>
        <w:rPr>
          <w:rFonts w:ascii="Arial" w:cs="Arial" w:eastAsia="Arial" w:hAnsi="Arial"/>
          <w:sz w:val="21"/>
          <w:szCs w:val="21"/>
          <w:i w:val="1"/>
          <w:iCs w:val="1"/>
          <w:color w:val="auto"/>
        </w:rPr>
        <w:t xml:space="preserve">Retirement. </w:t>
      </w:r>
      <w:r>
        <w:rPr>
          <w:rFonts w:ascii="Arial" w:cs="Arial" w:eastAsia="Arial" w:hAnsi="Arial"/>
          <w:sz w:val="21"/>
          <w:szCs w:val="21"/>
          <w:color w:val="auto"/>
        </w:rPr>
        <w:t>The term “Retirement” as used in this Agreement shall mean termination by the Company or the</w:t>
      </w:r>
      <w:r>
        <w:rPr>
          <w:rFonts w:ascii="Arial" w:cs="Arial" w:eastAsia="Arial" w:hAnsi="Arial"/>
          <w:sz w:val="21"/>
          <w:szCs w:val="21"/>
          <w:i w:val="1"/>
          <w:iCs w:val="1"/>
          <w:color w:val="auto"/>
        </w:rPr>
        <w:t xml:space="preserve"> </w:t>
      </w:r>
      <w:r>
        <w:rPr>
          <w:rFonts w:ascii="Arial" w:cs="Arial" w:eastAsia="Arial" w:hAnsi="Arial"/>
          <w:sz w:val="21"/>
          <w:szCs w:val="21"/>
          <w:color w:val="auto"/>
        </w:rPr>
        <w:t>Executive of the Executive’s employment based on the Executive having attained the age of 65 or such other age as shall have been fixed in any arrangement established with the Executive’s consent with respect to the Executive.</w:t>
      </w:r>
    </w:p>
    <w:p>
      <w:pPr>
        <w:spacing w:after="0" w:line="208" w:lineRule="exact"/>
        <w:rPr>
          <w:rFonts w:ascii="Arial" w:cs="Arial" w:eastAsia="Arial" w:hAnsi="Arial"/>
          <w:sz w:val="21"/>
          <w:szCs w:val="21"/>
          <w:color w:val="auto"/>
        </w:rPr>
      </w:pPr>
    </w:p>
    <w:p>
      <w:pPr>
        <w:jc w:val="both"/>
        <w:ind w:firstLine="1305"/>
        <w:spacing w:after="0" w:line="258" w:lineRule="auto"/>
        <w:tabs>
          <w:tab w:leader="none" w:pos="1604" w:val="left"/>
        </w:tabs>
        <w:numPr>
          <w:ilvl w:val="0"/>
          <w:numId w:val="75"/>
        </w:numPr>
        <w:rPr>
          <w:rFonts w:ascii="Arial" w:cs="Arial" w:eastAsia="Arial" w:hAnsi="Arial"/>
          <w:sz w:val="21"/>
          <w:szCs w:val="21"/>
          <w:color w:val="auto"/>
        </w:rPr>
      </w:pPr>
      <w:r>
        <w:rPr>
          <w:rFonts w:ascii="Arial" w:cs="Arial" w:eastAsia="Arial" w:hAnsi="Arial"/>
          <w:sz w:val="21"/>
          <w:szCs w:val="21"/>
          <w:i w:val="1"/>
          <w:iCs w:val="1"/>
          <w:color w:val="auto"/>
        </w:rPr>
        <w:t xml:space="preserve">Cause. </w:t>
      </w:r>
      <w:r>
        <w:rPr>
          <w:rFonts w:ascii="Arial" w:cs="Arial" w:eastAsia="Arial" w:hAnsi="Arial"/>
          <w:sz w:val="21"/>
          <w:szCs w:val="21"/>
          <w:color w:val="auto"/>
        </w:rPr>
        <w:t>The Company may terminate the Executive’s employment for Cause. For purposes of this Agreement</w:t>
      </w:r>
      <w:r>
        <w:rPr>
          <w:rFonts w:ascii="Arial" w:cs="Arial" w:eastAsia="Arial" w:hAnsi="Arial"/>
          <w:sz w:val="21"/>
          <w:szCs w:val="21"/>
          <w:i w:val="1"/>
          <w:iCs w:val="1"/>
          <w:color w:val="auto"/>
        </w:rPr>
        <w:t xml:space="preserve"> </w:t>
      </w:r>
      <w:r>
        <w:rPr>
          <w:rFonts w:ascii="Arial" w:cs="Arial" w:eastAsia="Arial" w:hAnsi="Arial"/>
          <w:sz w:val="21"/>
          <w:szCs w:val="21"/>
          <w:color w:val="auto"/>
        </w:rPr>
        <w:t>only, the Company shall have “Cause” to terminate the Executive’s employment hereunder only on the basis of (i) fraud, misappropriation or embezzlement on the part of the Executive; or (ii) intentional misconduct or gross negligence on the part of the Executive which has resulted in material harm to the Company. Notwithstanding the foregoing, the Executive shall not be deemed to have been terminated for Cause unless and until there shall have been delivered to the Executive a copy of a resolution duly adopted by the affirmative vote of not less than three-quarters of the entire membership of the company’s Board of Directors at a meeting of the Board called and held for the purpose (after reasonable notice to the Executive and an opportunity for the Executive, together with the Executive’s counsel, to be heard before the Board), finding that in the good faith opinion of the Board the Executive was guilty of conduct set forth in the second sentence of this Section 3(c) and specifying the particulars thereof in detail. Nothing herein shall limit the right of the Executive or his beneficiaries to contest the validity or propriety of any such determination.</w:t>
      </w:r>
    </w:p>
    <w:p>
      <w:pPr>
        <w:spacing w:after="0" w:line="223" w:lineRule="exact"/>
        <w:rPr>
          <w:rFonts w:ascii="Arial" w:cs="Arial" w:eastAsia="Arial" w:hAnsi="Arial"/>
          <w:sz w:val="21"/>
          <w:szCs w:val="21"/>
          <w:color w:val="auto"/>
        </w:rPr>
      </w:pPr>
    </w:p>
    <w:p>
      <w:pPr>
        <w:jc w:val="both"/>
        <w:ind w:firstLine="1305"/>
        <w:spacing w:after="0" w:line="253" w:lineRule="auto"/>
        <w:tabs>
          <w:tab w:leader="none" w:pos="1616" w:val="left"/>
        </w:tabs>
        <w:numPr>
          <w:ilvl w:val="0"/>
          <w:numId w:val="75"/>
        </w:numPr>
        <w:rPr>
          <w:rFonts w:ascii="Arial" w:cs="Arial" w:eastAsia="Arial" w:hAnsi="Arial"/>
          <w:sz w:val="22"/>
          <w:szCs w:val="22"/>
          <w:color w:val="auto"/>
        </w:rPr>
      </w:pPr>
      <w:r>
        <w:rPr>
          <w:rFonts w:ascii="Arial" w:cs="Arial" w:eastAsia="Arial" w:hAnsi="Arial"/>
          <w:sz w:val="22"/>
          <w:szCs w:val="22"/>
          <w:i w:val="1"/>
          <w:iCs w:val="1"/>
          <w:color w:val="auto"/>
        </w:rPr>
        <w:t xml:space="preserve">Good Reason. </w:t>
      </w:r>
      <w:r>
        <w:rPr>
          <w:rFonts w:ascii="Arial" w:cs="Arial" w:eastAsia="Arial" w:hAnsi="Arial"/>
          <w:sz w:val="22"/>
          <w:szCs w:val="22"/>
          <w:color w:val="auto"/>
        </w:rPr>
        <w:t>The Executive may terminate the Executive’s employment for Good Reason at any time during</w:t>
      </w:r>
      <w:r>
        <w:rPr>
          <w:rFonts w:ascii="Arial" w:cs="Arial" w:eastAsia="Arial" w:hAnsi="Arial"/>
          <w:sz w:val="22"/>
          <w:szCs w:val="22"/>
          <w:i w:val="1"/>
          <w:iCs w:val="1"/>
          <w:color w:val="auto"/>
        </w:rPr>
        <w:t xml:space="preserve"> </w:t>
      </w:r>
      <w:r>
        <w:rPr>
          <w:rFonts w:ascii="Arial" w:cs="Arial" w:eastAsia="Arial" w:hAnsi="Arial"/>
          <w:sz w:val="22"/>
          <w:szCs w:val="22"/>
          <w:color w:val="auto"/>
        </w:rPr>
        <w:t>the term of this Agreement. For purposes of this Agreement “Good Reason” shall mean any of the following (without the Executive’s express written consent):</w:t>
      </w:r>
    </w:p>
    <w:p>
      <w:pPr>
        <w:spacing w:after="0" w:line="226" w:lineRule="exact"/>
        <w:rPr>
          <w:rFonts w:ascii="Arial" w:cs="Arial" w:eastAsia="Arial" w:hAnsi="Arial"/>
          <w:sz w:val="22"/>
          <w:szCs w:val="22"/>
          <w:color w:val="auto"/>
        </w:rPr>
      </w:pPr>
    </w:p>
    <w:p>
      <w:pPr>
        <w:jc w:val="both"/>
        <w:ind w:left="820" w:firstLine="647"/>
        <w:spacing w:after="0" w:line="247" w:lineRule="auto"/>
        <w:tabs>
          <w:tab w:leader="none" w:pos="1746" w:val="left"/>
        </w:tabs>
        <w:numPr>
          <w:ilvl w:val="1"/>
          <w:numId w:val="75"/>
        </w:numPr>
        <w:rPr>
          <w:rFonts w:ascii="Arial" w:cs="Arial" w:eastAsia="Arial" w:hAnsi="Arial"/>
          <w:sz w:val="22"/>
          <w:szCs w:val="22"/>
          <w:color w:val="auto"/>
        </w:rPr>
      </w:pPr>
      <w:r>
        <w:rPr>
          <w:rFonts w:ascii="Arial" w:cs="Arial" w:eastAsia="Arial" w:hAnsi="Arial"/>
          <w:sz w:val="22"/>
          <w:szCs w:val="22"/>
          <w:color w:val="auto"/>
        </w:rPr>
        <w:t>the assignment to the Executive by the Company of duties inconsistent with the Executive’s position, duties, responsibilities and status with the Company immediately prior to a Change in Control of the Company, or a change in the Executive’s titles or offices as in effect immediately prior to a Change in Control of the Company, or any removal of the Executive from or any failure to re-elect the Executive to any of such positions, except in connection with the termination of his employment for Disability, Retirement or Cause or as a result of the Executive’s death or by the Executive other than for good Reason;</w:t>
      </w:r>
    </w:p>
    <w:p>
      <w:pPr>
        <w:spacing w:after="0" w:line="234" w:lineRule="exact"/>
        <w:rPr>
          <w:rFonts w:ascii="Arial" w:cs="Arial" w:eastAsia="Arial" w:hAnsi="Arial"/>
          <w:sz w:val="22"/>
          <w:szCs w:val="22"/>
          <w:color w:val="auto"/>
        </w:rPr>
      </w:pPr>
    </w:p>
    <w:p>
      <w:pPr>
        <w:jc w:val="both"/>
        <w:ind w:left="820" w:firstLine="647"/>
        <w:spacing w:after="0" w:line="248" w:lineRule="auto"/>
        <w:tabs>
          <w:tab w:leader="none" w:pos="1786" w:val="left"/>
        </w:tabs>
        <w:numPr>
          <w:ilvl w:val="1"/>
          <w:numId w:val="75"/>
        </w:numPr>
        <w:rPr>
          <w:rFonts w:ascii="Arial" w:cs="Arial" w:eastAsia="Arial" w:hAnsi="Arial"/>
          <w:sz w:val="22"/>
          <w:szCs w:val="22"/>
          <w:color w:val="auto"/>
        </w:rPr>
      </w:pPr>
      <w:r>
        <w:rPr>
          <w:rFonts w:ascii="Arial" w:cs="Arial" w:eastAsia="Arial" w:hAnsi="Arial"/>
          <w:sz w:val="22"/>
          <w:szCs w:val="22"/>
          <w:color w:val="auto"/>
        </w:rPr>
        <w:t>a reduction by the Company in the Executive’s base salary as in effect on the date hereof or as the same may be increased from time to time during the term of this Agreement or the Company’s failure to increase (within 12 months of the Executive’s last increase in base salary) the Executive’s base salary after a Change in Control of the Company in an amount which at least equals, on a percentage basis, the average percentage increase in base salary for all officers of the company effected in the preceding 12 months.</w:t>
      </w:r>
    </w:p>
    <w:p>
      <w:pPr>
        <w:spacing w:after="0" w:line="232" w:lineRule="exact"/>
        <w:rPr>
          <w:rFonts w:ascii="Arial" w:cs="Arial" w:eastAsia="Arial" w:hAnsi="Arial"/>
          <w:sz w:val="22"/>
          <w:szCs w:val="22"/>
          <w:color w:val="auto"/>
        </w:rPr>
      </w:pPr>
    </w:p>
    <w:p>
      <w:pPr>
        <w:jc w:val="both"/>
        <w:ind w:left="820" w:firstLine="647"/>
        <w:spacing w:after="0" w:line="312" w:lineRule="auto"/>
        <w:tabs>
          <w:tab w:leader="none" w:pos="1899" w:val="left"/>
        </w:tabs>
        <w:numPr>
          <w:ilvl w:val="1"/>
          <w:numId w:val="75"/>
        </w:numPr>
        <w:rPr>
          <w:rFonts w:ascii="Arial" w:cs="Arial" w:eastAsia="Arial" w:hAnsi="Arial"/>
          <w:sz w:val="19"/>
          <w:szCs w:val="19"/>
          <w:color w:val="auto"/>
        </w:rPr>
      </w:pPr>
      <w:r>
        <w:rPr>
          <w:rFonts w:ascii="Arial" w:cs="Arial" w:eastAsia="Arial" w:hAnsi="Arial"/>
          <w:sz w:val="19"/>
          <w:szCs w:val="19"/>
          <w:color w:val="auto"/>
        </w:rPr>
        <w:t>any failure by the Company to continue in effect any benefit plan or arrangement (including, without limitation, the Company’s 401(K) plan, nonqualified deferred compensation plan, profit sharing plan, group life insurance plan, and medical, dental, accident and disability plans) in which the Executive is participating at the time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79" w:name="page80"/>
    <w:bookmarkEnd w:id="79"/>
    <w:p>
      <w:pPr>
        <w:jc w:val="both"/>
        <w:ind w:left="800"/>
        <w:spacing w:after="0" w:line="302" w:lineRule="auto"/>
        <w:rPr>
          <w:sz w:val="20"/>
          <w:szCs w:val="20"/>
          <w:color w:val="auto"/>
        </w:rPr>
      </w:pPr>
      <w:r>
        <w:rPr>
          <w:rFonts w:ascii="Arial" w:cs="Arial" w:eastAsia="Arial" w:hAnsi="Arial"/>
          <w:sz w:val="19"/>
          <w:szCs w:val="19"/>
          <w:color w:val="auto"/>
        </w:rPr>
        <w:t>of a Change of Control (or any other plans providing the Executive with substantially similar benefits) (hereinafter referred to as “Benefit Plans”), or the taking of any action by the Company which would adversely affect the Executive’s participation in or materially reduce the Executive’s benefits under any such Benefit Plan or deprive the Executive of any material fringe benefit enjoyed by the Executive at the time of a Change in Control of the Company;</w:t>
      </w:r>
    </w:p>
    <w:p>
      <w:pPr>
        <w:spacing w:after="0" w:line="183" w:lineRule="exact"/>
        <w:rPr>
          <w:sz w:val="20"/>
          <w:szCs w:val="20"/>
          <w:color w:val="auto"/>
        </w:rPr>
      </w:pPr>
    </w:p>
    <w:p>
      <w:pPr>
        <w:jc w:val="both"/>
        <w:ind w:left="800" w:firstLine="647"/>
        <w:spacing w:after="0" w:line="246" w:lineRule="auto"/>
        <w:tabs>
          <w:tab w:leader="none" w:pos="1856" w:val="left"/>
        </w:tabs>
        <w:numPr>
          <w:ilvl w:val="0"/>
          <w:numId w:val="76"/>
        </w:numPr>
        <w:rPr>
          <w:rFonts w:ascii="Arial" w:cs="Arial" w:eastAsia="Arial" w:hAnsi="Arial"/>
          <w:sz w:val="22"/>
          <w:szCs w:val="22"/>
          <w:color w:val="auto"/>
        </w:rPr>
      </w:pPr>
      <w:r>
        <w:rPr>
          <w:rFonts w:ascii="Arial" w:cs="Arial" w:eastAsia="Arial" w:hAnsi="Arial"/>
          <w:sz w:val="22"/>
          <w:szCs w:val="22"/>
          <w:color w:val="auto"/>
        </w:rPr>
        <w:t>any failure by the Company to continue in effect any incentive plan or arrangement (including, without limitation, the Company’s Officers Incentive Compensation Plan, Officers Long-Term Incentive Plan, bonus and contingent bonus arrangements and credits and the right to receive performance awards and similar incentive compensation benefits) in which the Executive is participating at the time of a Change of Control (or any other plans or arrangements providing him with substantially similar benefits) (hereinafter referred to as “Incentive Plans”) or the taking of any action by the Company which would adversely affect the Executive’s participation in any such Incentive Plan or materially reduce the Executive’s benefits under any such Incentive Plan by reducing such benefits, when expressed as a percentage of his base salary, by more than 10 percentage points in any fiscal year as compared to the immediately preceding fiscal year;</w:t>
      </w:r>
    </w:p>
    <w:p>
      <w:pPr>
        <w:spacing w:after="0" w:line="232" w:lineRule="exact"/>
        <w:rPr>
          <w:rFonts w:ascii="Arial" w:cs="Arial" w:eastAsia="Arial" w:hAnsi="Arial"/>
          <w:sz w:val="22"/>
          <w:szCs w:val="22"/>
          <w:color w:val="auto"/>
        </w:rPr>
      </w:pPr>
    </w:p>
    <w:p>
      <w:pPr>
        <w:jc w:val="both"/>
        <w:ind w:left="800" w:firstLine="647"/>
        <w:spacing w:after="0" w:line="248" w:lineRule="auto"/>
        <w:tabs>
          <w:tab w:leader="none" w:pos="1758" w:val="left"/>
        </w:tabs>
        <w:numPr>
          <w:ilvl w:val="0"/>
          <w:numId w:val="76"/>
        </w:numPr>
        <w:rPr>
          <w:rFonts w:ascii="Arial" w:cs="Arial" w:eastAsia="Arial" w:hAnsi="Arial"/>
          <w:sz w:val="22"/>
          <w:szCs w:val="22"/>
          <w:color w:val="auto"/>
        </w:rPr>
      </w:pPr>
      <w:r>
        <w:rPr>
          <w:rFonts w:ascii="Arial" w:cs="Arial" w:eastAsia="Arial" w:hAnsi="Arial"/>
          <w:sz w:val="22"/>
          <w:szCs w:val="22"/>
          <w:color w:val="auto"/>
        </w:rPr>
        <w:t>any failure by the Company to continue in effect any plan or arrangement to receive securities of the Company in which the Executive is participating at the time of a Change of Control (or plans or arrangements providing him with substantially similar benefits) (hereinafter referred to as “Securities Plans”) or the taking of any action by the Company which would adversely affect the Executive’s participation in or materially reduce the Executive’s benefits under any such Securities Plan;</w:t>
      </w:r>
    </w:p>
    <w:p>
      <w:pPr>
        <w:spacing w:after="0" w:line="232" w:lineRule="exact"/>
        <w:rPr>
          <w:rFonts w:ascii="Arial" w:cs="Arial" w:eastAsia="Arial" w:hAnsi="Arial"/>
          <w:sz w:val="22"/>
          <w:szCs w:val="22"/>
          <w:color w:val="auto"/>
        </w:rPr>
      </w:pPr>
    </w:p>
    <w:p>
      <w:pPr>
        <w:jc w:val="both"/>
        <w:ind w:left="800" w:firstLine="647"/>
        <w:spacing w:after="0" w:line="248" w:lineRule="auto"/>
        <w:tabs>
          <w:tab w:leader="none" w:pos="1839" w:val="left"/>
        </w:tabs>
        <w:numPr>
          <w:ilvl w:val="0"/>
          <w:numId w:val="76"/>
        </w:numPr>
        <w:rPr>
          <w:rFonts w:ascii="Arial" w:cs="Arial" w:eastAsia="Arial" w:hAnsi="Arial"/>
          <w:sz w:val="22"/>
          <w:szCs w:val="22"/>
          <w:color w:val="auto"/>
        </w:rPr>
      </w:pPr>
      <w:r>
        <w:rPr>
          <w:rFonts w:ascii="Arial" w:cs="Arial" w:eastAsia="Arial" w:hAnsi="Arial"/>
          <w:sz w:val="22"/>
          <w:szCs w:val="22"/>
          <w:color w:val="auto"/>
        </w:rPr>
        <w:t>a relocation of the Company’s principal executive offices to a location outside of Forest City, Iowa, or the Executive’s relocation to any place other than the location at which the Executive performed the Executive’s duties prior to a Change in Control of the Company, except for required travel by the Executive on the Company’s business to an extent substantially consistent with the Executive’s business travel obligations at the time of a Change in Control of the Company;</w:t>
      </w:r>
    </w:p>
    <w:p>
      <w:pPr>
        <w:spacing w:after="0" w:line="232" w:lineRule="exact"/>
        <w:rPr>
          <w:rFonts w:ascii="Arial" w:cs="Arial" w:eastAsia="Arial" w:hAnsi="Arial"/>
          <w:sz w:val="22"/>
          <w:szCs w:val="22"/>
          <w:color w:val="auto"/>
        </w:rPr>
      </w:pPr>
    </w:p>
    <w:p>
      <w:pPr>
        <w:ind w:left="800" w:firstLine="647"/>
        <w:spacing w:after="0" w:line="263" w:lineRule="auto"/>
        <w:tabs>
          <w:tab w:leader="none" w:pos="1898" w:val="left"/>
        </w:tabs>
        <w:numPr>
          <w:ilvl w:val="0"/>
          <w:numId w:val="76"/>
        </w:numPr>
        <w:rPr>
          <w:rFonts w:ascii="Arial" w:cs="Arial" w:eastAsia="Arial" w:hAnsi="Arial"/>
          <w:sz w:val="22"/>
          <w:szCs w:val="22"/>
          <w:color w:val="auto"/>
        </w:rPr>
      </w:pPr>
      <w:r>
        <w:rPr>
          <w:rFonts w:ascii="Arial" w:cs="Arial" w:eastAsia="Arial" w:hAnsi="Arial"/>
          <w:sz w:val="22"/>
          <w:szCs w:val="22"/>
          <w:color w:val="auto"/>
        </w:rPr>
        <w:t>any failure by the Company to provide the Executive with the number of paid vacation days to which the Executive is entitled at the time of a Change in Control of the Company;</w:t>
      </w:r>
    </w:p>
    <w:p>
      <w:pPr>
        <w:spacing w:after="0" w:line="215" w:lineRule="exact"/>
        <w:rPr>
          <w:rFonts w:ascii="Arial" w:cs="Arial" w:eastAsia="Arial" w:hAnsi="Arial"/>
          <w:sz w:val="22"/>
          <w:szCs w:val="22"/>
          <w:color w:val="auto"/>
        </w:rPr>
      </w:pPr>
    </w:p>
    <w:p>
      <w:pPr>
        <w:ind w:left="1940" w:hanging="493"/>
        <w:spacing w:after="0"/>
        <w:tabs>
          <w:tab w:leader="none" w:pos="1940" w:val="left"/>
        </w:tabs>
        <w:numPr>
          <w:ilvl w:val="0"/>
          <w:numId w:val="76"/>
        </w:numPr>
        <w:rPr>
          <w:rFonts w:ascii="Arial" w:cs="Arial" w:eastAsia="Arial" w:hAnsi="Arial"/>
          <w:sz w:val="22"/>
          <w:szCs w:val="22"/>
          <w:color w:val="auto"/>
        </w:rPr>
      </w:pPr>
      <w:r>
        <w:rPr>
          <w:rFonts w:ascii="Arial" w:cs="Arial" w:eastAsia="Arial" w:hAnsi="Arial"/>
          <w:sz w:val="22"/>
          <w:szCs w:val="22"/>
          <w:color w:val="auto"/>
        </w:rPr>
        <w:t>any material breach by the Company of any provision of this Agreement;</w:t>
      </w:r>
    </w:p>
    <w:p>
      <w:pPr>
        <w:spacing w:after="0" w:line="260" w:lineRule="exact"/>
        <w:rPr>
          <w:rFonts w:ascii="Arial" w:cs="Arial" w:eastAsia="Arial" w:hAnsi="Arial"/>
          <w:sz w:val="22"/>
          <w:szCs w:val="22"/>
          <w:color w:val="auto"/>
        </w:rPr>
      </w:pPr>
    </w:p>
    <w:p>
      <w:pPr>
        <w:ind w:left="800" w:firstLine="647"/>
        <w:spacing w:after="0" w:line="263" w:lineRule="auto"/>
        <w:tabs>
          <w:tab w:leader="none" w:pos="1840" w:val="left"/>
        </w:tabs>
        <w:numPr>
          <w:ilvl w:val="0"/>
          <w:numId w:val="76"/>
        </w:numPr>
        <w:rPr>
          <w:rFonts w:ascii="Arial" w:cs="Arial" w:eastAsia="Arial" w:hAnsi="Arial"/>
          <w:sz w:val="22"/>
          <w:szCs w:val="22"/>
          <w:color w:val="auto"/>
        </w:rPr>
      </w:pPr>
      <w:r>
        <w:rPr>
          <w:rFonts w:ascii="Arial" w:cs="Arial" w:eastAsia="Arial" w:hAnsi="Arial"/>
          <w:sz w:val="22"/>
          <w:szCs w:val="22"/>
          <w:color w:val="auto"/>
        </w:rPr>
        <w:t>any failure by the Company to obtain the assumption of this Agreement by any successor or assign of the Company; or</w:t>
      </w:r>
    </w:p>
    <w:p>
      <w:pPr>
        <w:spacing w:after="0" w:line="215" w:lineRule="exact"/>
        <w:rPr>
          <w:rFonts w:ascii="Arial" w:cs="Arial" w:eastAsia="Arial" w:hAnsi="Arial"/>
          <w:sz w:val="22"/>
          <w:szCs w:val="22"/>
          <w:color w:val="auto"/>
        </w:rPr>
      </w:pPr>
    </w:p>
    <w:p>
      <w:pPr>
        <w:ind w:left="800" w:firstLine="647"/>
        <w:spacing w:after="0" w:line="263" w:lineRule="auto"/>
        <w:tabs>
          <w:tab w:leader="none" w:pos="1801" w:val="left"/>
        </w:tabs>
        <w:numPr>
          <w:ilvl w:val="0"/>
          <w:numId w:val="76"/>
        </w:numPr>
        <w:rPr>
          <w:rFonts w:ascii="Arial" w:cs="Arial" w:eastAsia="Arial" w:hAnsi="Arial"/>
          <w:sz w:val="22"/>
          <w:szCs w:val="22"/>
          <w:color w:val="auto"/>
        </w:rPr>
      </w:pPr>
      <w:r>
        <w:rPr>
          <w:rFonts w:ascii="Arial" w:cs="Arial" w:eastAsia="Arial" w:hAnsi="Arial"/>
          <w:sz w:val="22"/>
          <w:szCs w:val="22"/>
          <w:color w:val="auto"/>
        </w:rPr>
        <w:t>any purported termination of the Executive’s employment which is not effected pursuant to a Notice of Termination satisfying the requirements of Section 3(e) below.</w:t>
      </w:r>
    </w:p>
    <w:p>
      <w:pPr>
        <w:spacing w:after="0" w:line="215" w:lineRule="exact"/>
        <w:rPr>
          <w:sz w:val="20"/>
          <w:szCs w:val="20"/>
          <w:color w:val="auto"/>
        </w:rPr>
      </w:pPr>
    </w:p>
    <w:p>
      <w:pPr>
        <w:ind w:left="-20" w:right="20" w:firstLine="1305"/>
        <w:spacing w:after="0" w:line="263" w:lineRule="auto"/>
        <w:tabs>
          <w:tab w:leader="none" w:pos="1638" w:val="left"/>
        </w:tabs>
        <w:numPr>
          <w:ilvl w:val="0"/>
          <w:numId w:val="77"/>
        </w:numPr>
        <w:rPr>
          <w:rFonts w:ascii="Arial" w:cs="Arial" w:eastAsia="Arial" w:hAnsi="Arial"/>
          <w:sz w:val="22"/>
          <w:szCs w:val="22"/>
          <w:color w:val="auto"/>
        </w:rPr>
      </w:pPr>
      <w:r>
        <w:rPr>
          <w:rFonts w:ascii="Arial" w:cs="Arial" w:eastAsia="Arial" w:hAnsi="Arial"/>
          <w:sz w:val="22"/>
          <w:szCs w:val="22"/>
          <w:i w:val="1"/>
          <w:iCs w:val="1"/>
          <w:color w:val="auto"/>
        </w:rPr>
        <w:t xml:space="preserve">Notice of Termination. </w:t>
      </w:r>
      <w:r>
        <w:rPr>
          <w:rFonts w:ascii="Arial" w:cs="Arial" w:eastAsia="Arial" w:hAnsi="Arial"/>
          <w:sz w:val="22"/>
          <w:szCs w:val="22"/>
          <w:color w:val="auto"/>
        </w:rPr>
        <w:t>Any termination by the Company pursuant to Section 3(a), (b) or (c)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communicated by a Notice of Termination. For purposes of this Agreement, a “Notice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60" w:top="631" w:right="239" w:bottom="1440" w:gutter="0" w:footer="0" w:header="0"/>
        </w:sectPr>
      </w:pPr>
    </w:p>
    <w:bookmarkStart w:id="80" w:name="page81"/>
    <w:bookmarkEnd w:id="80"/>
    <w:p>
      <w:pPr>
        <w:jc w:val="both"/>
        <w:spacing w:after="0" w:line="250" w:lineRule="auto"/>
        <w:rPr>
          <w:sz w:val="20"/>
          <w:szCs w:val="20"/>
          <w:color w:val="auto"/>
        </w:rPr>
      </w:pPr>
      <w:r>
        <w:rPr>
          <w:rFonts w:ascii="Arial" w:cs="Arial" w:eastAsia="Arial" w:hAnsi="Arial"/>
          <w:sz w:val="22"/>
          <w:szCs w:val="22"/>
          <w:color w:val="auto"/>
        </w:rPr>
        <w:t>of Termination” shall mean a written notice which shall indicate those specific termination provisions in this Agreement relied upon and which sets forth in reasonable detail the facts and circumstances claimed to provide a basis for termination of the Executive’s employment under the provisions so indicated. For purposes of this Agreement, no such purported termination by the Company shall be effective without such Notice of Termination.</w:t>
      </w:r>
    </w:p>
    <w:p>
      <w:pPr>
        <w:spacing w:after="0" w:line="229" w:lineRule="exact"/>
        <w:rPr>
          <w:sz w:val="20"/>
          <w:szCs w:val="20"/>
          <w:color w:val="auto"/>
        </w:rPr>
      </w:pPr>
    </w:p>
    <w:p>
      <w:pPr>
        <w:jc w:val="both"/>
        <w:ind w:firstLine="1305"/>
        <w:spacing w:after="0" w:line="259" w:lineRule="auto"/>
        <w:tabs>
          <w:tab w:leader="none" w:pos="1580" w:val="left"/>
        </w:tabs>
        <w:numPr>
          <w:ilvl w:val="1"/>
          <w:numId w:val="78"/>
        </w:numPr>
        <w:rPr>
          <w:rFonts w:ascii="Arial" w:cs="Arial" w:eastAsia="Arial" w:hAnsi="Arial"/>
          <w:sz w:val="21"/>
          <w:szCs w:val="21"/>
          <w:color w:val="auto"/>
        </w:rPr>
      </w:pPr>
      <w:r>
        <w:rPr>
          <w:rFonts w:ascii="Arial" w:cs="Arial" w:eastAsia="Arial" w:hAnsi="Arial"/>
          <w:sz w:val="21"/>
          <w:szCs w:val="21"/>
          <w:i w:val="1"/>
          <w:iCs w:val="1"/>
          <w:color w:val="auto"/>
        </w:rPr>
        <w:t xml:space="preserve">Date of Termination. </w:t>
      </w:r>
      <w:r>
        <w:rPr>
          <w:rFonts w:ascii="Arial" w:cs="Arial" w:eastAsia="Arial" w:hAnsi="Arial"/>
          <w:sz w:val="21"/>
          <w:szCs w:val="21"/>
          <w:color w:val="auto"/>
        </w:rPr>
        <w:t>“Date of Termination” shall mean (a) if this Agreement is terminated by the Company for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Disability, 30 days after Notice of Termination is given to the Executive (provided that the Executive shall not have returned to the performance of the Executive’s duties on a full-time basis during such 30-day period) or (b) if the Executive’s employment is terminated by the Company for any other reason, the date on which a Notice of Termination is given;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within 30 days after any Notice of Termination is given to the Executive by the Company the Executive notified the Company that a dispute exists concerning the termination, the Date of Termination shall be the date the dispute is finally determined, whether by mutual agreement by the parties or upon final judgment, order or decree of a court of competent jurisdiction (the time for appeal therefrom having expired and no appeal having been perfected).</w:t>
      </w:r>
    </w:p>
    <w:p>
      <w:pPr>
        <w:spacing w:after="0" w:line="218" w:lineRule="exact"/>
        <w:rPr>
          <w:rFonts w:ascii="Arial" w:cs="Arial" w:eastAsia="Arial" w:hAnsi="Arial"/>
          <w:sz w:val="21"/>
          <w:szCs w:val="21"/>
          <w:color w:val="auto"/>
        </w:rPr>
      </w:pPr>
    </w:p>
    <w:p>
      <w:pPr>
        <w:jc w:val="both"/>
        <w:ind w:firstLine="656"/>
        <w:spacing w:after="0" w:line="261" w:lineRule="auto"/>
        <w:tabs>
          <w:tab w:leader="none" w:pos="1189" w:val="left"/>
        </w:tabs>
        <w:numPr>
          <w:ilvl w:val="0"/>
          <w:numId w:val="7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Severance Compensation upon Termination of 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If the Company shall terminate the Executive’s</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other than pursuant to Section 3(a), (b), or (c) or if the Executive shall terminate his employment for Good Reason, then the Company shall pay to the Executive as severance pay in a lump sum, in cash, on the fifth day following the Date of Termination, an amount equal to three (3) times the average of the aggregate annual compensation paid to the Executive during the three (3) fiscal years of the Company immediately preceding the Change of Control by the Company subject to United States income taxes (or, such fewer number of fiscal years if the Executive has not been employed by the Company during each of the preceding three (3) fiscal years).</w:t>
      </w:r>
    </w:p>
    <w:p>
      <w:pPr>
        <w:spacing w:after="0" w:line="214" w:lineRule="exact"/>
        <w:rPr>
          <w:rFonts w:ascii="Arial" w:cs="Arial" w:eastAsia="Arial" w:hAnsi="Arial"/>
          <w:sz w:val="21"/>
          <w:szCs w:val="21"/>
          <w:b w:val="1"/>
          <w:bCs w:val="1"/>
          <w:color w:val="auto"/>
        </w:rPr>
      </w:pPr>
    </w:p>
    <w:p>
      <w:pPr>
        <w:ind w:left="1040" w:hanging="384"/>
        <w:spacing w:after="0"/>
        <w:tabs>
          <w:tab w:leader="none" w:pos="1040"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Excise Tax - Payment Limitation.</w:t>
      </w:r>
    </w:p>
    <w:p>
      <w:pPr>
        <w:spacing w:after="0" w:line="266"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Notwithstanding anything in this Agreement or any written or unwritten policy of the Company to the contrary, (i) if it shall be determined that any payment or distribution by the Company to or for the benefit of the Executive, whether paid or payable or distributed or distributable pursuant to the terms of this Agreement, any other agreement between the Company and the Executive or otherwise (a "Payment"), would be subject to the excise tax imposed by section 4999 of the Internal Revenue Code of 1986, as amended, (the "Code") or any interest or penalties with respect to such excise tax (such excise tax, together with any such interest and penalties, are hereinafter collectively referred to as the "Excise Tax"), or (ii) if the Executive shall otherwise become obligated to pay the Excise Tax in respect of a Payment, then an analysis shall be conducted to determine if the amount payable pursuant to this Agreement, in combination with any other payments, when taking into consideration the payment of the Excise Tax, exceeds the amount that would otherwise be payable if the Excise Tax was not applicable. If after the analysis the net amount received by the Executive after deducting the Excise Tax is greater than the maximum amount payable that would avoid the imposition of the Excise Tax, then the Company shall pay to the Executive the amount called for in this Agreement. However, if the net amount received by the Executive after paying the Excise Tax would be less than the amount if the payment did not exceed an amount that would subject it to the Excise Tax, the lower amount shall be paid. The intent of this provision is to insure that the Executive, regardless of the Excise Tax, receives the largest net payment possible. The parties acknowledge that the Executive is solely responsible for the payment of any Excise Tax that is assessed based upon a payment made pursuant to this Agreement or any other payment made by the Company pursuant to any other plan or obligation.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81" w:name="page82"/>
    <w:bookmarkEnd w:id="81"/>
    <w:p>
      <w:pPr>
        <w:ind w:left="1040" w:hanging="384"/>
        <w:spacing w:after="0"/>
        <w:tabs>
          <w:tab w:leader="none" w:pos="1040"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Obligation To Mitigate Damages; No Effect on Other Contractual Rights</w:t>
      </w:r>
      <w:r>
        <w:rPr>
          <w:rFonts w:ascii="Arial" w:cs="Arial" w:eastAsia="Arial" w:hAnsi="Arial"/>
          <w:sz w:val="22"/>
          <w:szCs w:val="22"/>
          <w:color w:val="auto"/>
        </w:rPr>
        <w:t>.</w:t>
      </w:r>
    </w:p>
    <w:p>
      <w:pPr>
        <w:spacing w:after="0" w:line="266" w:lineRule="exact"/>
        <w:rPr>
          <w:rFonts w:ascii="Arial" w:cs="Arial" w:eastAsia="Arial" w:hAnsi="Arial"/>
          <w:sz w:val="22"/>
          <w:szCs w:val="22"/>
          <w:b w:val="1"/>
          <w:bCs w:val="1"/>
          <w:color w:val="auto"/>
        </w:rPr>
      </w:pPr>
    </w:p>
    <w:p>
      <w:pPr>
        <w:jc w:val="both"/>
        <w:ind w:firstLine="1305"/>
        <w:spacing w:after="0" w:line="250" w:lineRule="auto"/>
        <w:tabs>
          <w:tab w:leader="none" w:pos="1604" w:val="left"/>
        </w:tabs>
        <w:numPr>
          <w:ilvl w:val="1"/>
          <w:numId w:val="80"/>
        </w:numPr>
        <w:rPr>
          <w:rFonts w:ascii="Arial" w:cs="Arial" w:eastAsia="Arial" w:hAnsi="Arial"/>
          <w:sz w:val="22"/>
          <w:szCs w:val="22"/>
          <w:color w:val="auto"/>
        </w:rPr>
      </w:pPr>
      <w:r>
        <w:rPr>
          <w:rFonts w:ascii="Arial" w:cs="Arial" w:eastAsia="Arial" w:hAnsi="Arial"/>
          <w:sz w:val="22"/>
          <w:szCs w:val="22"/>
          <w:color w:val="auto"/>
        </w:rPr>
        <w:t>The Executive shall not be required to mitigate damages or the amount of any payment provided for under this Agreement by seeking other employment or otherwise, nor shall the amount of any payment provided for under this Agreement be reduced by any compensation earned by the Executive as the result of employment by another employer after the Date of Termination, or otherwise.</w:t>
      </w:r>
    </w:p>
    <w:p>
      <w:pPr>
        <w:spacing w:after="0" w:line="228" w:lineRule="exact"/>
        <w:rPr>
          <w:rFonts w:ascii="Arial" w:cs="Arial" w:eastAsia="Arial" w:hAnsi="Arial"/>
          <w:sz w:val="22"/>
          <w:szCs w:val="22"/>
          <w:color w:val="auto"/>
        </w:rPr>
      </w:pPr>
    </w:p>
    <w:p>
      <w:pPr>
        <w:jc w:val="both"/>
        <w:ind w:firstLine="1305"/>
        <w:spacing w:after="0" w:line="250" w:lineRule="auto"/>
        <w:tabs>
          <w:tab w:leader="none" w:pos="1643" w:val="left"/>
        </w:tabs>
        <w:numPr>
          <w:ilvl w:val="1"/>
          <w:numId w:val="80"/>
        </w:numPr>
        <w:rPr>
          <w:rFonts w:ascii="Arial" w:cs="Arial" w:eastAsia="Arial" w:hAnsi="Arial"/>
          <w:sz w:val="22"/>
          <w:szCs w:val="22"/>
          <w:color w:val="auto"/>
        </w:rPr>
      </w:pPr>
      <w:r>
        <w:rPr>
          <w:rFonts w:ascii="Arial" w:cs="Arial" w:eastAsia="Arial" w:hAnsi="Arial"/>
          <w:sz w:val="22"/>
          <w:szCs w:val="22"/>
          <w:color w:val="auto"/>
        </w:rPr>
        <w:t>The provisions of this Agreement, and any payment provided for hereunder, shall not reduce any amounts otherwise payable, or in any way diminish the Executive’s existing rights, or rights which would accrue solely as a result of the passage of time, under any Benefit Plan, Incentive Plan or Securities Plan, employment agreements or other contract, plan or arrangement.</w:t>
      </w:r>
    </w:p>
    <w:p>
      <w:pPr>
        <w:spacing w:after="0" w:line="222" w:lineRule="exact"/>
        <w:rPr>
          <w:rFonts w:ascii="Arial" w:cs="Arial" w:eastAsia="Arial" w:hAnsi="Arial"/>
          <w:sz w:val="22"/>
          <w:szCs w:val="22"/>
          <w:color w:val="auto"/>
        </w:rPr>
      </w:pPr>
    </w:p>
    <w:p>
      <w:pPr>
        <w:ind w:left="880" w:hanging="224"/>
        <w:spacing w:after="0"/>
        <w:tabs>
          <w:tab w:leader="none" w:pos="880"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Successor to the Company</w:t>
      </w:r>
      <w:r>
        <w:rPr>
          <w:rFonts w:ascii="Arial" w:cs="Arial" w:eastAsia="Arial" w:hAnsi="Arial"/>
          <w:sz w:val="22"/>
          <w:szCs w:val="22"/>
          <w:b w:val="1"/>
          <w:bCs w:val="1"/>
          <w:i w:val="1"/>
          <w:iCs w:val="1"/>
          <w:color w:val="auto"/>
        </w:rPr>
        <w:t>.</w:t>
      </w:r>
    </w:p>
    <w:p>
      <w:pPr>
        <w:spacing w:after="0" w:line="266" w:lineRule="exact"/>
        <w:rPr>
          <w:rFonts w:ascii="Arial" w:cs="Arial" w:eastAsia="Arial" w:hAnsi="Arial"/>
          <w:sz w:val="22"/>
          <w:szCs w:val="22"/>
          <w:b w:val="1"/>
          <w:bCs w:val="1"/>
          <w:color w:val="auto"/>
        </w:rPr>
      </w:pPr>
    </w:p>
    <w:p>
      <w:pPr>
        <w:jc w:val="both"/>
        <w:ind w:firstLine="1305"/>
        <w:spacing w:after="0" w:line="289" w:lineRule="auto"/>
        <w:tabs>
          <w:tab w:leader="none" w:pos="1590" w:val="left"/>
        </w:tabs>
        <w:numPr>
          <w:ilvl w:val="1"/>
          <w:numId w:val="80"/>
        </w:numPr>
        <w:rPr>
          <w:rFonts w:ascii="Arial" w:cs="Arial" w:eastAsia="Arial" w:hAnsi="Arial"/>
          <w:sz w:val="19"/>
          <w:szCs w:val="19"/>
          <w:color w:val="auto"/>
        </w:rPr>
      </w:pPr>
      <w:r>
        <w:rPr>
          <w:rFonts w:ascii="Arial" w:cs="Arial" w:eastAsia="Arial" w:hAnsi="Arial"/>
          <w:sz w:val="19"/>
          <w:szCs w:val="19"/>
          <w:color w:val="auto"/>
        </w:rPr>
        <w:t>The Company will require any successor or assign (whether direct or indirect, by purchase, merger, consolidation or otherwise) of all or substantially all of the business and/or assets of the Company, by agreement in form and substance satisfactory to the Executive, expressly, absolutely and unconditionally to assume and agree to perform this Agreement in the same manner and to the same extent that the Company would be required to perform it if no such succession or assignment had taken place. Any failure of the Company to obtain such agreement prior to the effectiveness of any such succession or assignment shall be a material breach of this Agreement and shall entitle the Executive to terminate the Executive’s employment for Good Reason. As used in this Agreement, “Company” shall mean the Company as hereinbefore defined and any successor or assign to its business and/or assets as aforesaid which executes and delivers the agreement provided for in this Section 7 or which otherwise becomes bound by all the terms and provisions of this Agreement by operation of law.</w:t>
      </w:r>
    </w:p>
    <w:p>
      <w:pPr>
        <w:spacing w:after="0" w:line="198" w:lineRule="exact"/>
        <w:rPr>
          <w:rFonts w:ascii="Arial" w:cs="Arial" w:eastAsia="Arial" w:hAnsi="Arial"/>
          <w:sz w:val="19"/>
          <w:szCs w:val="19"/>
          <w:color w:val="auto"/>
        </w:rPr>
      </w:pPr>
    </w:p>
    <w:p>
      <w:pPr>
        <w:jc w:val="both"/>
        <w:ind w:firstLine="1305"/>
        <w:spacing w:after="0" w:line="248" w:lineRule="auto"/>
        <w:tabs>
          <w:tab w:leader="none" w:pos="1657" w:val="left"/>
        </w:tabs>
        <w:numPr>
          <w:ilvl w:val="1"/>
          <w:numId w:val="80"/>
        </w:numPr>
        <w:rPr>
          <w:rFonts w:ascii="Arial" w:cs="Arial" w:eastAsia="Arial" w:hAnsi="Arial"/>
          <w:sz w:val="22"/>
          <w:szCs w:val="22"/>
          <w:color w:val="auto"/>
        </w:rPr>
      </w:pPr>
      <w:r>
        <w:rPr>
          <w:rFonts w:ascii="Arial" w:cs="Arial" w:eastAsia="Arial" w:hAnsi="Arial"/>
          <w:sz w:val="22"/>
          <w:szCs w:val="22"/>
          <w:color w:val="auto"/>
        </w:rPr>
        <w:t>This Agreement shall inure to the benefit of and be enforceable by the Executive’s personal and legal representatives, executors, administrators, successors, heirs, distributes, devisees and legatees. If the Executive should die while any amounts are still payable to him hereunder, all such amounts, unless otherwise provided herein, shall be paid in accordance with the terms of this Agreement to the Executive’s devisee, legatee, or other designee or, if there be no such designee, to the Executive’s estate.</w:t>
      </w:r>
    </w:p>
    <w:p>
      <w:pPr>
        <w:spacing w:after="0" w:line="226" w:lineRule="exact"/>
        <w:rPr>
          <w:rFonts w:ascii="Arial" w:cs="Arial" w:eastAsia="Arial" w:hAnsi="Arial"/>
          <w:sz w:val="22"/>
          <w:szCs w:val="22"/>
          <w:color w:val="auto"/>
        </w:rPr>
      </w:pPr>
    </w:p>
    <w:p>
      <w:pPr>
        <w:jc w:val="both"/>
        <w:ind w:firstLine="656"/>
        <w:spacing w:after="0" w:line="274" w:lineRule="auto"/>
        <w:tabs>
          <w:tab w:leader="none" w:pos="1148" w:val="left"/>
        </w:tabs>
        <w:numPr>
          <w:ilvl w:val="0"/>
          <w:numId w:val="8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Guaranty of Employment</w:t>
      </w:r>
      <w:r>
        <w:rPr>
          <w:rFonts w:ascii="Arial" w:cs="Arial" w:eastAsia="Arial" w:hAnsi="Arial"/>
          <w:sz w:val="21"/>
          <w:szCs w:val="21"/>
          <w:color w:val="auto"/>
        </w:rPr>
        <w:t>. Nothing in this Agreement shall be deemed to entitle the Executive to continued</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with the Company prior to a Change of Control, and the rights of the Company to terminate the employment of the Executive, prior to a Change of Control, shall continue as fully as if this Agreement were not in effect.</w:t>
      </w:r>
    </w:p>
    <w:p>
      <w:pPr>
        <w:spacing w:after="0" w:line="199" w:lineRule="exact"/>
        <w:rPr>
          <w:rFonts w:ascii="Arial" w:cs="Arial" w:eastAsia="Arial" w:hAnsi="Arial"/>
          <w:sz w:val="21"/>
          <w:szCs w:val="21"/>
          <w:b w:val="1"/>
          <w:bCs w:val="1"/>
          <w:color w:val="auto"/>
        </w:rPr>
      </w:pPr>
    </w:p>
    <w:p>
      <w:pPr>
        <w:jc w:val="both"/>
        <w:ind w:firstLine="656"/>
        <w:spacing w:after="0" w:line="256" w:lineRule="auto"/>
        <w:tabs>
          <w:tab w:leader="none" w:pos="1067"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w:t>
      </w:r>
      <w:r>
        <w:rPr>
          <w:rFonts w:ascii="Arial" w:cs="Arial" w:eastAsia="Arial" w:hAnsi="Arial"/>
          <w:sz w:val="22"/>
          <w:szCs w:val="22"/>
          <w:color w:val="auto"/>
        </w:rPr>
        <w:t>. For purposes of this Agreement, notices and all other communications provided for in the Agreement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in writing and shall be deemed to have been duly given when delivered or mailed by United States registered mail, return receipt registered, postage prepaid, as follows: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Company:</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Winnebago Industries, Inc.</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Chairman of the Board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605 W. Crystal Lake Road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P.O. Box 152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Forest City, Iowa 50436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882" w:right="239" w:bottom="1440" w:gutter="0" w:footer="0" w:header="0"/>
        </w:sectPr>
      </w:pPr>
    </w:p>
    <w:bookmarkStart w:id="82" w:name="page83"/>
    <w:bookmarkEnd w:id="82"/>
    <w:p>
      <w:pPr>
        <w:ind w:left="660"/>
        <w:spacing w:after="0"/>
        <w:rPr>
          <w:sz w:val="20"/>
          <w:szCs w:val="20"/>
          <w:color w:val="auto"/>
        </w:rPr>
      </w:pPr>
      <w:r>
        <w:rPr>
          <w:rFonts w:ascii="Arial" w:cs="Arial" w:eastAsia="Arial" w:hAnsi="Arial"/>
          <w:sz w:val="22"/>
          <w:szCs w:val="22"/>
          <w:color w:val="auto"/>
        </w:rPr>
        <w:t>If to the Executive:</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 the last known address in the Personnel records of the Company</w:t>
      </w:r>
    </w:p>
    <w:p>
      <w:pPr>
        <w:spacing w:after="0" w:line="26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or such other address as either party may have furnished to the other in writing in accordance herewith, except that notices of change of address shall be effective only upon receipt.</w:t>
      </w:r>
    </w:p>
    <w:p>
      <w:pPr>
        <w:spacing w:after="0" w:line="209" w:lineRule="exact"/>
        <w:rPr>
          <w:sz w:val="20"/>
          <w:szCs w:val="20"/>
          <w:color w:val="auto"/>
        </w:rPr>
      </w:pPr>
    </w:p>
    <w:p>
      <w:pPr>
        <w:jc w:val="both"/>
        <w:ind w:firstLine="656"/>
        <w:spacing w:after="0" w:line="261" w:lineRule="auto"/>
        <w:tabs>
          <w:tab w:leader="none" w:pos="1310" w:val="left"/>
        </w:tabs>
        <w:numPr>
          <w:ilvl w:val="0"/>
          <w:numId w:val="8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color w:val="auto"/>
        </w:rPr>
        <w:t>. No provisions of this Agreement may be modified, waived or discharged unless such waiver,</w:t>
      </w:r>
      <w:r>
        <w:rPr>
          <w:rFonts w:ascii="Arial" w:cs="Arial" w:eastAsia="Arial" w:hAnsi="Arial"/>
          <w:sz w:val="21"/>
          <w:szCs w:val="21"/>
          <w:b w:val="1"/>
          <w:bCs w:val="1"/>
          <w:color w:val="auto"/>
        </w:rPr>
        <w:t xml:space="preserve"> </w:t>
      </w:r>
      <w:r>
        <w:rPr>
          <w:rFonts w:ascii="Arial" w:cs="Arial" w:eastAsia="Arial" w:hAnsi="Arial"/>
          <w:sz w:val="21"/>
          <w:szCs w:val="21"/>
          <w:color w:val="auto"/>
        </w:rPr>
        <w:t>modification or discharge is agreed to in writing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 This Agreement shall be governed by and construed in accordance with the laws of the State of Iowa.</w:t>
      </w:r>
    </w:p>
    <w:p>
      <w:pPr>
        <w:spacing w:after="0" w:line="214" w:lineRule="exact"/>
        <w:rPr>
          <w:rFonts w:ascii="Arial" w:cs="Arial" w:eastAsia="Arial" w:hAnsi="Arial"/>
          <w:sz w:val="21"/>
          <w:szCs w:val="21"/>
          <w:b w:val="1"/>
          <w:bCs w:val="1"/>
          <w:color w:val="auto"/>
        </w:rPr>
      </w:pPr>
    </w:p>
    <w:p>
      <w:pPr>
        <w:ind w:firstLine="656"/>
        <w:spacing w:after="0" w:line="269" w:lineRule="auto"/>
        <w:tabs>
          <w:tab w:leader="none" w:pos="1271"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Validity</w:t>
      </w:r>
      <w:r>
        <w:rPr>
          <w:rFonts w:ascii="Arial" w:cs="Arial" w:eastAsia="Arial" w:hAnsi="Arial"/>
          <w:sz w:val="22"/>
          <w:szCs w:val="22"/>
          <w:color w:val="auto"/>
        </w:rPr>
        <w:t>. The invalidity or unenforceability of any provisions of this Agreement shall not affect the validity or</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enforceability of any other provision of this Agreement, which shall remain in full force and effect.</w:t>
      </w:r>
    </w:p>
    <w:p>
      <w:pPr>
        <w:spacing w:after="0" w:line="202" w:lineRule="exact"/>
        <w:rPr>
          <w:rFonts w:ascii="Arial" w:cs="Arial" w:eastAsia="Arial" w:hAnsi="Arial"/>
          <w:sz w:val="22"/>
          <w:szCs w:val="22"/>
          <w:b w:val="1"/>
          <w:bCs w:val="1"/>
          <w:color w:val="auto"/>
        </w:rPr>
      </w:pPr>
    </w:p>
    <w:p>
      <w:pPr>
        <w:ind w:firstLine="656"/>
        <w:spacing w:after="0" w:line="269" w:lineRule="auto"/>
        <w:tabs>
          <w:tab w:leader="none" w:pos="1134"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one or more counterparts, each of which shall be deemed to be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but all of which together will constitute one and the same instrument.</w:t>
      </w:r>
    </w:p>
    <w:p>
      <w:pPr>
        <w:spacing w:after="0" w:line="202" w:lineRule="exact"/>
        <w:rPr>
          <w:rFonts w:ascii="Arial" w:cs="Arial" w:eastAsia="Arial" w:hAnsi="Arial"/>
          <w:sz w:val="22"/>
          <w:szCs w:val="22"/>
          <w:b w:val="1"/>
          <w:bCs w:val="1"/>
          <w:color w:val="auto"/>
        </w:rPr>
      </w:pPr>
    </w:p>
    <w:p>
      <w:pPr>
        <w:jc w:val="both"/>
        <w:ind w:firstLine="656"/>
        <w:spacing w:after="0" w:line="256" w:lineRule="auto"/>
        <w:tabs>
          <w:tab w:leader="none" w:pos="1189"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Legal Fees and Expenses</w:t>
      </w:r>
      <w:r>
        <w:rPr>
          <w:rFonts w:ascii="Arial" w:cs="Arial" w:eastAsia="Arial" w:hAnsi="Arial"/>
          <w:sz w:val="22"/>
          <w:szCs w:val="22"/>
          <w:color w:val="auto"/>
        </w:rPr>
        <w:t>. The Company shall pay all legal fees and expenses which the Executive may incur as a</w:t>
      </w:r>
      <w:r>
        <w:rPr>
          <w:rFonts w:ascii="Arial" w:cs="Arial" w:eastAsia="Arial" w:hAnsi="Arial"/>
          <w:sz w:val="22"/>
          <w:szCs w:val="22"/>
          <w:b w:val="1"/>
          <w:bCs w:val="1"/>
          <w:color w:val="auto"/>
        </w:rPr>
        <w:t xml:space="preserve"> </w:t>
      </w:r>
      <w:r>
        <w:rPr>
          <w:rFonts w:ascii="Arial" w:cs="Arial" w:eastAsia="Arial" w:hAnsi="Arial"/>
          <w:sz w:val="22"/>
          <w:szCs w:val="22"/>
          <w:color w:val="auto"/>
        </w:rPr>
        <w:t>result of the Company’s contesting the validity, enforceability or the Executive’s interpretation of, or determinations under, this Agreement.</w:t>
      </w:r>
    </w:p>
    <w:p>
      <w:pPr>
        <w:spacing w:after="0" w:line="216" w:lineRule="exact"/>
        <w:rPr>
          <w:rFonts w:ascii="Arial" w:cs="Arial" w:eastAsia="Arial" w:hAnsi="Arial"/>
          <w:sz w:val="22"/>
          <w:szCs w:val="22"/>
          <w:b w:val="1"/>
          <w:bCs w:val="1"/>
          <w:color w:val="auto"/>
        </w:rPr>
      </w:pPr>
    </w:p>
    <w:p>
      <w:pPr>
        <w:ind w:firstLine="656"/>
        <w:spacing w:after="0" w:line="269" w:lineRule="auto"/>
        <w:tabs>
          <w:tab w:leader="none" w:pos="1134"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Confidentiality</w:t>
      </w:r>
      <w:r>
        <w:rPr>
          <w:rFonts w:ascii="Arial" w:cs="Arial" w:eastAsia="Arial" w:hAnsi="Arial"/>
          <w:sz w:val="22"/>
          <w:szCs w:val="22"/>
          <w:color w:val="auto"/>
        </w:rPr>
        <w:t>. The Executive shall retain in confidence any and all confidential information known to the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concerning the Company and its business so long as such information is not otherwise publicly disclosed.</w:t>
      </w:r>
    </w:p>
    <w:p>
      <w:pPr>
        <w:spacing w:after="0" w:line="202" w:lineRule="exact"/>
        <w:rPr>
          <w:rFonts w:ascii="Arial" w:cs="Arial" w:eastAsia="Arial" w:hAnsi="Arial"/>
          <w:sz w:val="22"/>
          <w:szCs w:val="22"/>
          <w:b w:val="1"/>
          <w:bCs w:val="1"/>
          <w:color w:val="auto"/>
        </w:rPr>
      </w:pPr>
    </w:p>
    <w:p>
      <w:pPr>
        <w:jc w:val="both"/>
        <w:ind w:firstLine="656"/>
        <w:spacing w:after="0" w:line="256" w:lineRule="auto"/>
        <w:tabs>
          <w:tab w:leader="none" w:pos="1256"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intended to satisfy the short-term deferral exception to Internal Revenue code</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409A and the regulations thereunder. This Agreement shall be administered accordingly; and if necessary, amended to ensure satisfaction of the short-term deferral exception.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888" w:right="239" w:bottom="1440" w:gutter="0" w:footer="0" w:header="0"/>
        </w:sectPr>
      </w:pPr>
    </w:p>
    <w:bookmarkStart w:id="83" w:name="page84"/>
    <w:bookmarkEnd w:id="83"/>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have executed this agreement on the date set out above.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620"/>
        <w:spacing w:after="0"/>
        <w:rPr>
          <w:sz w:val="20"/>
          <w:szCs w:val="20"/>
          <w:color w:val="auto"/>
        </w:rPr>
      </w:pPr>
      <w:r>
        <w:rPr>
          <w:rFonts w:ascii="Arial" w:cs="Arial" w:eastAsia="Arial" w:hAnsi="Arial"/>
          <w:sz w:val="25"/>
          <w:szCs w:val="25"/>
          <w:color w:val="auto"/>
        </w:rPr>
        <w:t>W</w:t>
      </w:r>
      <w:r>
        <w:rPr>
          <w:rFonts w:ascii="Arial" w:cs="Arial" w:eastAsia="Arial" w:hAnsi="Arial"/>
          <w:sz w:val="21"/>
          <w:szCs w:val="21"/>
          <w:color w:val="auto"/>
        </w:rPr>
        <w:t>INNEBAGO</w:t>
      </w:r>
      <w:r>
        <w:rPr>
          <w:rFonts w:ascii="Arial" w:cs="Arial" w:eastAsia="Arial" w:hAnsi="Arial"/>
          <w:sz w:val="25"/>
          <w:szCs w:val="25"/>
          <w:color w:val="auto"/>
        </w:rPr>
        <w:t xml:space="preserve"> I</w:t>
      </w:r>
      <w:r>
        <w:rPr>
          <w:rFonts w:ascii="Arial" w:cs="Arial" w:eastAsia="Arial" w:hAnsi="Arial"/>
          <w:sz w:val="21"/>
          <w:szCs w:val="21"/>
          <w:color w:val="auto"/>
        </w:rPr>
        <w:t>NDUSTRIES,</w:t>
      </w:r>
      <w:r>
        <w:rPr>
          <w:rFonts w:ascii="Arial" w:cs="Arial" w:eastAsia="Arial" w:hAnsi="Arial"/>
          <w:sz w:val="25"/>
          <w:szCs w:val="25"/>
          <w:color w:val="auto"/>
        </w:rPr>
        <w:t xml:space="preserve"> I</w:t>
      </w:r>
      <w:r>
        <w:rPr>
          <w:rFonts w:ascii="Arial" w:cs="Arial" w:eastAsia="Arial" w:hAnsi="Arial"/>
          <w:sz w:val="21"/>
          <w:szCs w:val="21"/>
          <w:color w:val="auto"/>
        </w:rPr>
        <w:t>NC.</w:t>
      </w:r>
    </w:p>
    <w:p>
      <w:pPr>
        <w:spacing w:after="0" w:line="383" w:lineRule="exact"/>
        <w:rPr>
          <w:sz w:val="20"/>
          <w:szCs w:val="20"/>
          <w:color w:val="auto"/>
        </w:rPr>
      </w:pPr>
    </w:p>
    <w:p>
      <w:pPr>
        <w:ind w:left="4620"/>
        <w:spacing w:after="0"/>
        <w:tabs>
          <w:tab w:leader="none" w:pos="5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Bret A. Woodson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3282315</wp:posOffset>
            </wp:positionH>
            <wp:positionV relativeFrom="paragraph">
              <wp:posOffset>24765</wp:posOffset>
            </wp:positionV>
            <wp:extent cx="35502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Bret A. Woodson</w:t>
      </w:r>
    </w:p>
    <w:p>
      <w:pPr>
        <w:spacing w:after="0" w:line="4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Vice President of Administration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EXECUTIVE:</w:t>
      </w:r>
    </w:p>
    <w:p>
      <w:pPr>
        <w:spacing w:after="0" w:line="368" w:lineRule="exact"/>
        <w:rPr>
          <w:sz w:val="20"/>
          <w:szCs w:val="20"/>
          <w:color w:val="auto"/>
        </w:rPr>
      </w:pPr>
    </w:p>
    <w:p>
      <w:pPr>
        <w:ind w:left="4620"/>
        <w:spacing w:after="0"/>
        <w:rPr>
          <w:sz w:val="20"/>
          <w:szCs w:val="20"/>
          <w:color w:val="auto"/>
        </w:rPr>
      </w:pPr>
      <w:r>
        <w:rPr>
          <w:rFonts w:ascii="Arial" w:cs="Arial" w:eastAsia="Arial" w:hAnsi="Arial"/>
          <w:sz w:val="22"/>
          <w:szCs w:val="22"/>
          <w:i w:val="1"/>
          <w:iCs w:val="1"/>
          <w:color w:val="auto"/>
        </w:rPr>
        <w:t>/s/ Chris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2922270</wp:posOffset>
            </wp:positionH>
            <wp:positionV relativeFrom="paragraph">
              <wp:posOffset>24765</wp:posOffset>
            </wp:positionV>
            <wp:extent cx="39103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8"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Chris West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9559"/>
          </w:cols>
          <w:pgMar w:left="900" w:top="882" w:right="1440"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Jurisdiction of</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rPr>
              <w:t>Percent of</w:t>
            </w:r>
          </w:p>
        </w:tc>
      </w:tr>
      <w:tr>
        <w:trPr>
          <w:trHeight w:val="283"/>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 of Corporation</w:t>
            </w:r>
          </w:p>
        </w:tc>
        <w:tc>
          <w:tcPr>
            <w:tcW w:w="140" w:type="dxa"/>
            <w:vAlign w:val="bottom"/>
          </w:tcPr>
          <w:p>
            <w:pPr>
              <w:spacing w:after="0"/>
              <w:rPr>
                <w:sz w:val="24"/>
                <w:szCs w:val="2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Incorporation</w:t>
            </w:r>
          </w:p>
        </w:tc>
        <w:tc>
          <w:tcPr>
            <w:tcW w:w="100" w:type="dxa"/>
            <w:vAlign w:val="bottom"/>
          </w:tcPr>
          <w:p>
            <w:pPr>
              <w:spacing w:after="0"/>
              <w:rPr>
                <w:sz w:val="24"/>
                <w:szCs w:val="2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Ownership</w:t>
            </w: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Winnebago Industries, Inc.</w:t>
            </w:r>
          </w:p>
        </w:tc>
        <w:tc>
          <w:tcPr>
            <w:tcW w:w="2260" w:type="dxa"/>
            <w:vAlign w:val="bottom"/>
            <w:gridSpan w:val="2"/>
          </w:tcPr>
          <w:p>
            <w:pPr>
              <w:jc w:val="center"/>
              <w:ind w:right="120"/>
              <w:spacing w:after="0"/>
              <w:rPr>
                <w:sz w:val="20"/>
                <w:szCs w:val="20"/>
                <w:color w:val="auto"/>
              </w:rPr>
            </w:pPr>
            <w:r>
              <w:rPr>
                <w:rFonts w:ascii="Arial" w:cs="Arial" w:eastAsia="Arial" w:hAnsi="Arial"/>
                <w:sz w:val="16"/>
                <w:szCs w:val="16"/>
                <w:color w:val="auto"/>
              </w:rPr>
              <w:t>Iowa</w:t>
            </w:r>
          </w:p>
        </w:tc>
        <w:tc>
          <w:tcPr>
            <w:tcW w:w="2160" w:type="dxa"/>
            <w:vAlign w:val="bottom"/>
          </w:tcPr>
          <w:p>
            <w:pPr>
              <w:jc w:val="center"/>
              <w:spacing w:after="0"/>
              <w:rPr>
                <w:sz w:val="20"/>
                <w:szCs w:val="20"/>
                <w:color w:val="auto"/>
              </w:rPr>
            </w:pPr>
            <w:r>
              <w:rPr>
                <w:rFonts w:ascii="Arial" w:cs="Arial" w:eastAsia="Arial" w:hAnsi="Arial"/>
                <w:sz w:val="16"/>
                <w:szCs w:val="16"/>
                <w:color w:val="auto"/>
              </w:rPr>
              <w:t>Parent</w:t>
            </w:r>
          </w:p>
        </w:tc>
      </w:tr>
      <w:tr>
        <w:trPr>
          <w:trHeight w:val="270"/>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Winnebago of Indiana, LLC</w:t>
            </w:r>
          </w:p>
        </w:tc>
        <w:tc>
          <w:tcPr>
            <w:tcW w:w="2260" w:type="dxa"/>
            <w:vAlign w:val="bottom"/>
            <w:gridSpan w:val="2"/>
          </w:tcPr>
          <w:p>
            <w:pPr>
              <w:jc w:val="center"/>
              <w:ind w:right="120"/>
              <w:spacing w:after="0"/>
              <w:rPr>
                <w:sz w:val="20"/>
                <w:szCs w:val="20"/>
                <w:color w:val="auto"/>
              </w:rPr>
            </w:pPr>
            <w:r>
              <w:rPr>
                <w:rFonts w:ascii="Arial" w:cs="Arial" w:eastAsia="Arial" w:hAnsi="Arial"/>
                <w:sz w:val="16"/>
                <w:szCs w:val="16"/>
                <w:color w:val="auto"/>
              </w:rPr>
              <w:t>Iowa</w:t>
            </w: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100%</w:t>
            </w:r>
          </w:p>
        </w:tc>
      </w:tr>
    </w:tbl>
    <w:p>
      <w:pPr>
        <w:sectPr>
          <w:pgSz w:w="11900" w:h="16838" w:orient="portrait"/>
          <w:cols w:equalWidth="0" w:num="1">
            <w:col w:w="11420"/>
          </w:cols>
          <w:pgMar w:left="240" w:top="576" w:right="239" w:bottom="1440" w:gutter="0" w:footer="0" w:header="0"/>
        </w:sectPr>
      </w:pPr>
    </w:p>
    <w:bookmarkStart w:id="85" w:name="page86"/>
    <w:bookmarkEnd w:id="85"/>
    <w:p>
      <w:pPr>
        <w:jc w:val="center"/>
        <w:ind w:right="-199"/>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consent to the incorporation by reference in Registration Statements No. 333-31595, No. 333-47123, No. 333-113246, and No. 333-194854 on Form S-8 and No. 333-210659 on Form S-3 of our reports dated October 18, 2016, relating to the consolidated financial statements of Winnebago Industries, Inc. and the effectiveness of Winnebago Industries, Inc.'s internal control over financial reporting, appearing in the Annual Report on Form 10-K of Winnebago Industries, Inc. for the year ended August 27, 2016.</w:t>
      </w: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DELOITTE &amp; TOUCHE LLP</w:t>
      </w:r>
    </w:p>
    <w:p>
      <w:pPr>
        <w:spacing w:after="0" w:line="345" w:lineRule="exact"/>
        <w:rPr>
          <w:sz w:val="20"/>
          <w:szCs w:val="20"/>
          <w:color w:val="auto"/>
        </w:rPr>
      </w:pPr>
    </w:p>
    <w:p>
      <w:pPr>
        <w:ind w:left="40"/>
        <w:spacing w:after="0"/>
        <w:rPr>
          <w:sz w:val="20"/>
          <w:szCs w:val="20"/>
          <w:color w:val="auto"/>
        </w:rPr>
      </w:pPr>
      <w:r>
        <w:rPr>
          <w:rFonts w:ascii="Arial" w:cs="Arial" w:eastAsia="Arial" w:hAnsi="Arial"/>
          <w:sz w:val="16"/>
          <w:szCs w:val="16"/>
          <w:color w:val="auto"/>
        </w:rPr>
        <w:t>Minneapolis, Minnesota</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October 18, 2016</w:t>
      </w:r>
    </w:p>
    <w:p>
      <w:pPr>
        <w:sectPr>
          <w:pgSz w:w="11900" w:h="16838" w:orient="portrait"/>
          <w:cols w:equalWidth="0" w:num="1">
            <w:col w:w="11220"/>
          </w:cols>
          <w:pgMar w:left="240" w:top="576" w:right="439" w:bottom="1440" w:gutter="0" w:footer="0" w:header="0"/>
        </w:sectPr>
      </w:pPr>
    </w:p>
    <w:bookmarkStart w:id="86" w:name="page87"/>
    <w:bookmarkEnd w:id="86"/>
    <w:p>
      <w:pPr>
        <w:jc w:val="center"/>
        <w:ind w:right="-59"/>
        <w:spacing w:after="0"/>
        <w:rPr>
          <w:sz w:val="20"/>
          <w:szCs w:val="20"/>
          <w:color w:val="auto"/>
        </w:rPr>
      </w:pPr>
      <w:r>
        <w:rPr>
          <w:rFonts w:ascii="Arial" w:cs="Arial" w:eastAsia="Arial" w:hAnsi="Arial"/>
          <w:sz w:val="18"/>
          <w:szCs w:val="18"/>
          <w:b w:val="1"/>
          <w:bCs w:val="1"/>
          <w:color w:val="auto"/>
        </w:rPr>
        <w:t>Exhibit 31.1</w:t>
      </w:r>
    </w:p>
    <w:p>
      <w:pPr>
        <w:spacing w:after="0" w:line="2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 Michael J. Happe, Interim Chief Executive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Winnebago Industries, Inc. (the "Registrant");</w:t>
      </w:r>
    </w:p>
    <w:p>
      <w:pPr>
        <w:spacing w:after="0" w:line="315" w:lineRule="exact"/>
        <w:rPr>
          <w:rFonts w:ascii="Arial" w:cs="Arial" w:eastAsia="Arial" w:hAnsi="Arial"/>
          <w:sz w:val="16"/>
          <w:szCs w:val="16"/>
          <w:color w:val="auto"/>
        </w:rPr>
      </w:pPr>
    </w:p>
    <w:p>
      <w:pPr>
        <w:ind w:left="340" w:right="200" w:hanging="332"/>
        <w:spacing w:after="0" w:line="253" w:lineRule="auto"/>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4" w:lineRule="exact"/>
        <w:rPr>
          <w:rFonts w:ascii="Arial" w:cs="Arial" w:eastAsia="Arial" w:hAnsi="Arial"/>
          <w:sz w:val="16"/>
          <w:szCs w:val="16"/>
          <w:color w:val="auto"/>
        </w:rPr>
      </w:pPr>
    </w:p>
    <w:p>
      <w:pPr>
        <w:ind w:left="340" w:right="160" w:hanging="332"/>
        <w:spacing w:after="0" w:line="260" w:lineRule="auto"/>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60" w:hanging="328"/>
        <w:spacing w:after="0" w:line="253" w:lineRule="auto"/>
        <w:tabs>
          <w:tab w:leader="none" w:pos="660" w:val="left"/>
        </w:tabs>
        <w:numPr>
          <w:ilvl w:val="1"/>
          <w:numId w:val="8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Annual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8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660" w:right="320" w:hanging="328"/>
        <w:spacing w:after="0" w:line="260" w:lineRule="auto"/>
        <w:tabs>
          <w:tab w:leader="none" w:pos="660"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spacing w:after="0" w:line="168" w:lineRule="exact"/>
        <w:rPr>
          <w:rFonts w:ascii="Arial" w:cs="Arial" w:eastAsia="Arial" w:hAnsi="Arial"/>
          <w:sz w:val="16"/>
          <w:szCs w:val="16"/>
          <w:color w:val="auto"/>
        </w:rPr>
      </w:pPr>
    </w:p>
    <w:p>
      <w:pPr>
        <w:jc w:val="both"/>
        <w:ind w:left="660" w:right="420" w:hanging="328"/>
        <w:spacing w:after="0" w:line="253" w:lineRule="auto"/>
        <w:tabs>
          <w:tab w:leader="none" w:pos="660" w:val="left"/>
        </w:tabs>
        <w:numPr>
          <w:ilvl w:val="1"/>
          <w:numId w:val="82"/>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financial reporting;</w:t>
      </w:r>
    </w:p>
    <w:p>
      <w:pPr>
        <w:spacing w:after="0" w:line="174" w:lineRule="exact"/>
        <w:rPr>
          <w:rFonts w:ascii="Arial" w:cs="Arial" w:eastAsia="Arial" w:hAnsi="Arial"/>
          <w:sz w:val="16"/>
          <w:szCs w:val="16"/>
          <w:color w:val="auto"/>
        </w:rPr>
      </w:pPr>
    </w:p>
    <w:p>
      <w:pPr>
        <w:ind w:left="340" w:right="560" w:hanging="332"/>
        <w:spacing w:after="0" w:line="260" w:lineRule="auto"/>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hanging="328"/>
        <w:spacing w:after="0" w:line="260" w:lineRule="auto"/>
        <w:tabs>
          <w:tab w:leader="none" w:pos="660" w:val="left"/>
        </w:tabs>
        <w:numPr>
          <w:ilvl w:val="1"/>
          <w:numId w:val="8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00" w:hanging="328"/>
        <w:spacing w:after="0" w:line="260" w:lineRule="auto"/>
        <w:tabs>
          <w:tab w:leader="none" w:pos="660" w:val="left"/>
        </w:tabs>
        <w:numPr>
          <w:ilvl w:val="1"/>
          <w:numId w:val="82"/>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18,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President, Chief Executive Officer</w:t>
      </w:r>
    </w:p>
    <w:p>
      <w:pPr>
        <w:sectPr>
          <w:pgSz w:w="11900" w:h="16838" w:orient="portrait"/>
          <w:cols w:equalWidth="0" w:num="1">
            <w:col w:w="11360"/>
          </w:cols>
          <w:pgMar w:left="240" w:top="630" w:right="299" w:bottom="1440" w:gutter="0" w:footer="0" w:header="0"/>
        </w:sectPr>
      </w:pPr>
    </w:p>
    <w:bookmarkStart w:id="87" w:name="page88"/>
    <w:bookmarkEnd w:id="87"/>
    <w:p>
      <w:pPr>
        <w:jc w:val="center"/>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I, Sarah N. Nielsen, Chief Financial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Winnebago Industries, Inc. (the "Registrant");</w:t>
      </w:r>
    </w:p>
    <w:p>
      <w:pPr>
        <w:spacing w:after="0" w:line="315" w:lineRule="exact"/>
        <w:rPr>
          <w:rFonts w:ascii="Arial" w:cs="Arial" w:eastAsia="Arial" w:hAnsi="Arial"/>
          <w:sz w:val="16"/>
          <w:szCs w:val="16"/>
          <w:color w:val="auto"/>
        </w:rPr>
      </w:pPr>
    </w:p>
    <w:p>
      <w:pPr>
        <w:ind w:left="340" w:right="200" w:hanging="332"/>
        <w:spacing w:after="0" w:line="253" w:lineRule="auto"/>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4" w:lineRule="exact"/>
        <w:rPr>
          <w:rFonts w:ascii="Arial" w:cs="Arial" w:eastAsia="Arial" w:hAnsi="Arial"/>
          <w:sz w:val="16"/>
          <w:szCs w:val="16"/>
          <w:color w:val="auto"/>
        </w:rPr>
      </w:pPr>
    </w:p>
    <w:p>
      <w:pPr>
        <w:ind w:left="340" w:right="160" w:hanging="332"/>
        <w:spacing w:after="0" w:line="260" w:lineRule="auto"/>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60" w:hanging="328"/>
        <w:spacing w:after="0" w:line="253" w:lineRule="auto"/>
        <w:tabs>
          <w:tab w:leader="none" w:pos="660" w:val="left"/>
        </w:tabs>
        <w:numPr>
          <w:ilvl w:val="1"/>
          <w:numId w:val="8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Annual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8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660" w:right="320" w:hanging="328"/>
        <w:spacing w:after="0" w:line="260" w:lineRule="auto"/>
        <w:tabs>
          <w:tab w:leader="none" w:pos="660" w:val="left"/>
        </w:tabs>
        <w:numPr>
          <w:ilvl w:val="1"/>
          <w:numId w:val="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spacing w:after="0" w:line="168" w:lineRule="exact"/>
        <w:rPr>
          <w:rFonts w:ascii="Arial" w:cs="Arial" w:eastAsia="Arial" w:hAnsi="Arial"/>
          <w:sz w:val="16"/>
          <w:szCs w:val="16"/>
          <w:color w:val="auto"/>
        </w:rPr>
      </w:pPr>
    </w:p>
    <w:p>
      <w:pPr>
        <w:jc w:val="both"/>
        <w:ind w:left="660" w:right="420" w:hanging="328"/>
        <w:spacing w:after="0" w:line="253" w:lineRule="auto"/>
        <w:tabs>
          <w:tab w:leader="none" w:pos="660" w:val="left"/>
        </w:tabs>
        <w:numPr>
          <w:ilvl w:val="1"/>
          <w:numId w:val="83"/>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financial reporting;</w:t>
      </w:r>
    </w:p>
    <w:p>
      <w:pPr>
        <w:spacing w:after="0" w:line="174" w:lineRule="exact"/>
        <w:rPr>
          <w:rFonts w:ascii="Arial" w:cs="Arial" w:eastAsia="Arial" w:hAnsi="Arial"/>
          <w:sz w:val="16"/>
          <w:szCs w:val="16"/>
          <w:color w:val="auto"/>
        </w:rPr>
      </w:pPr>
    </w:p>
    <w:p>
      <w:pPr>
        <w:ind w:left="340" w:right="560" w:hanging="332"/>
        <w:spacing w:after="0" w:line="260" w:lineRule="auto"/>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hanging="328"/>
        <w:spacing w:after="0" w:line="260" w:lineRule="auto"/>
        <w:tabs>
          <w:tab w:leader="none" w:pos="660" w:val="left"/>
        </w:tabs>
        <w:numPr>
          <w:ilvl w:val="1"/>
          <w:numId w:val="8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00" w:hanging="328"/>
        <w:spacing w:after="0" w:line="260" w:lineRule="auto"/>
        <w:tabs>
          <w:tab w:leader="none" w:pos="660" w:val="left"/>
        </w:tabs>
        <w:numPr>
          <w:ilvl w:val="1"/>
          <w:numId w:val="83"/>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820" w:val="left"/>
          <w:tab w:leader="none" w:pos="6420" w:val="left"/>
          <w:tab w:leader="none" w:pos="72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18,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29210</wp:posOffset>
            </wp:positionV>
            <wp:extent cx="26758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82"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Vice President, Chief Financial Officer</w:t>
      </w:r>
    </w:p>
    <w:p>
      <w:pPr>
        <w:sectPr>
          <w:pgSz w:w="11900" w:h="16838" w:orient="portrait"/>
          <w:cols w:equalWidth="0" w:num="1">
            <w:col w:w="11360"/>
          </w:cols>
          <w:pgMar w:left="240" w:top="576" w:right="299" w:bottom="1440" w:gutter="0" w:footer="0" w:header="0"/>
        </w:sectPr>
      </w:pPr>
    </w:p>
    <w:bookmarkStart w:id="88" w:name="page89"/>
    <w:bookmarkEnd w:id="88"/>
    <w:p>
      <w:pPr>
        <w:jc w:val="center"/>
        <w:ind w:right="-59"/>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282"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In connection with this Annual Report on Form 10-K of Winnebago Industries, Inc. for the year ended August 27, 2016, I, Michael J. Happe, Chief Executive Officer of Winnebago Industries, Inc., certify that pursuant to 18 U.S.C. §1350 as adopted pursuant to §906 of the Sarbanes-Oxley Act of 2002, that:</w:t>
      </w:r>
    </w:p>
    <w:p>
      <w:pPr>
        <w:spacing w:after="0" w:line="250" w:lineRule="exact"/>
        <w:rPr>
          <w:sz w:val="20"/>
          <w:szCs w:val="20"/>
          <w:color w:val="auto"/>
        </w:rPr>
      </w:pPr>
    </w:p>
    <w:p>
      <w:pPr>
        <w:ind w:left="660" w:right="80" w:hanging="328"/>
        <w:spacing w:after="0" w:line="253" w:lineRule="auto"/>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This Annual Report on Form 10-K (“periodic report”) of Winnebago Industries, Inc. (the “issuer”), for the fiscal year ended August 27, 2016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18,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President, Chief Executive Officer</w:t>
      </w:r>
    </w:p>
    <w:p>
      <w:pPr>
        <w:sectPr>
          <w:pgSz w:w="11900" w:h="16838" w:orient="portrait"/>
          <w:cols w:equalWidth="0" w:num="1">
            <w:col w:w="11360"/>
          </w:cols>
          <w:pgMar w:left="240" w:top="630" w:right="299" w:bottom="1440" w:gutter="0" w:footer="0" w:header="0"/>
        </w:sectPr>
      </w:pPr>
    </w:p>
    <w:bookmarkStart w:id="89" w:name="page90"/>
    <w:bookmarkEnd w:id="89"/>
    <w:p>
      <w:pPr>
        <w:jc w:val="center"/>
        <w:ind w:right="-59"/>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322"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In connection with this Annual Report on Form 10-K of Winnebago Industries, Inc. for the year ended August 27, 2016, I, Sarah N. Nielsen, Vice President, Chief Financial Officer of Winnebago Industries, Inc., certify that pursuant to 18 U.S.C. §1350 as adopted pursuant to §906 of the Sarbanes-Oxley Act of 2002, that:</w:t>
      </w:r>
    </w:p>
    <w:p>
      <w:pPr>
        <w:spacing w:after="0" w:line="361" w:lineRule="exact"/>
        <w:rPr>
          <w:sz w:val="20"/>
          <w:szCs w:val="20"/>
          <w:color w:val="auto"/>
        </w:rPr>
      </w:pPr>
    </w:p>
    <w:p>
      <w:pPr>
        <w:ind w:left="660" w:right="80" w:hanging="328"/>
        <w:spacing w:after="0" w:line="253" w:lineRule="auto"/>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This Annual Report on Form 10-K (“periodic report”) of Winnebago Industries, Inc. (the “issuer”), for the fiscal year ended August 27, 2016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18,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sectPr>
      <w:pgSz w:w="11900" w:h="16838" w:orient="portrait"/>
      <w:cols w:equalWidth="0" w:num="1">
        <w:col w:w="11360"/>
      </w:cols>
      <w:pgMar w:left="240" w:top="63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1)"/>
      <w:numFmt w:val="decimal"/>
      <w:start w:val="1"/>
    </w:lvl>
  </w:abstractNum>
  <w:abstractNum w:abstractNumId="1">
    <w:nsid w:val="1D4ED43B"/>
    <w:multiLevelType w:val="hybridMultilevel"/>
    <w:lvl w:ilvl="0">
      <w:lvlJc w:val="left"/>
      <w:lvlText w:val="(%1)"/>
      <w:numFmt w:val="decimal"/>
      <w:start w:val="1"/>
    </w:lvl>
  </w:abstractNum>
  <w:abstractNum w:abstractNumId="2">
    <w:nsid w:val="725A06FB"/>
    <w:multiLevelType w:val="hybridMultilevel"/>
    <w:lvl w:ilvl="0">
      <w:lvlJc w:val="left"/>
      <w:lvlText w:val="(%1)"/>
      <w:numFmt w:val="decimal"/>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1)"/>
      <w:numFmt w:val="decimal"/>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1"/>
      <w:numFmt w:val="decimal"/>
      <w:start w:val="1"/>
    </w:lvl>
    <w:lvl w:ilvl="1">
      <w:lvlJc w:val="left"/>
      <w:lvlText w:val="(%2)"/>
      <w:numFmt w:val="decimal"/>
      <w:start w:val="1"/>
    </w:lvl>
  </w:abstractNum>
  <w:abstractNum w:abstractNumId="9">
    <w:nsid w:val="38437FDB"/>
    <w:multiLevelType w:val="hybridMultilevel"/>
    <w:lvl w:ilvl="0">
      <w:lvlJc w:val="left"/>
      <w:lvlText w:val="(%1)"/>
      <w:numFmt w:val="decimal"/>
      <w:start w:val="2"/>
    </w:lvl>
    <w:lvl w:ilvl="1">
      <w:lvlJc w:val="left"/>
      <w:lvlText w:val="(%2)"/>
      <w:numFmt w:val="decimal"/>
      <w:start w:val="3"/>
    </w:lvl>
  </w:abstractNum>
  <w:abstractNum w:abstractNumId="10">
    <w:nsid w:val="7644A45C"/>
    <w:multiLevelType w:val="hybridMultilevel"/>
    <w:lvl w:ilvl="0">
      <w:lvlJc w:val="left"/>
      <w:lvlText w:val="%1)"/>
      <w:numFmt w:val="decimal"/>
      <w:start w:val="6"/>
    </w:lvl>
  </w:abstractNum>
  <w:abstractNum w:abstractNumId="11">
    <w:nsid w:val="32FFF902"/>
    <w:multiLevelType w:val="hybridMultilevel"/>
    <w:lvl w:ilvl="0">
      <w:lvlJc w:val="left"/>
      <w:lvlText w:val="(%1)"/>
      <w:numFmt w:val="decimal"/>
      <w:start w:val="7"/>
    </w:lvl>
  </w:abstractNum>
  <w:abstractNum w:abstractNumId="12">
    <w:nsid w:val="684A481A"/>
    <w:multiLevelType w:val="hybridMultilevel"/>
    <w:lvl w:ilvl="0">
      <w:lvlJc w:val="left"/>
      <w:lvlText w:val="(%1)"/>
      <w:numFmt w:val="decimal"/>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1)"/>
      <w:numFmt w:val="decimal"/>
      <w:start w:val="1"/>
    </w:lvl>
  </w:abstractNum>
  <w:abstractNum w:abstractNumId="18">
    <w:nsid w:val="75C6C33A"/>
    <w:multiLevelType w:val="hybridMultilevel"/>
    <w:lvl w:ilvl="0">
      <w:lvlJc w:val="left"/>
      <w:lvlText w:val="(%1)"/>
      <w:numFmt w:val="decimal"/>
      <w:start w:val="1"/>
    </w:lvl>
  </w:abstractNum>
  <w:abstractNum w:abstractNumId="19">
    <w:nsid w:val="12E685FB"/>
    <w:multiLevelType w:val="hybridMultilevel"/>
    <w:lvl w:ilvl="0">
      <w:lvlJc w:val="left"/>
      <w:lvlText w:val="(%1)"/>
      <w:numFmt w:val="decimal"/>
      <w:start w:val="1"/>
    </w:lvl>
  </w:abstractNum>
  <w:abstractNum w:abstractNumId="20">
    <w:nsid w:val="70C6A529"/>
    <w:multiLevelType w:val="hybridMultilevel"/>
    <w:lvl w:ilvl="0">
      <w:lvlJc w:val="left"/>
      <w:lvlText w:val="(%1)"/>
      <w:numFmt w:val="decimal"/>
      <w:start w:val="1"/>
    </w:lvl>
  </w:abstractNum>
  <w:abstractNum w:abstractNumId="21">
    <w:nsid w:val="520EEDD1"/>
    <w:multiLevelType w:val="hybridMultilevel"/>
    <w:lvl w:ilvl="0">
      <w:lvlJc w:val="left"/>
      <w:lvlText w:val="(%1)"/>
      <w:numFmt w:val="decimal"/>
      <w:start w:val="1"/>
    </w:lvl>
  </w:abstractNum>
  <w:abstractNum w:abstractNumId="22">
    <w:nsid w:val="374A3FE6"/>
    <w:multiLevelType w:val="hybridMultilevel"/>
    <w:lvl w:ilvl="0">
      <w:lvlJc w:val="left"/>
      <w:lvlText w:val="(%1)"/>
      <w:numFmt w:val="decimal"/>
      <w:start w:val="1"/>
    </w:lvl>
  </w:abstractNum>
  <w:abstractNum w:abstractNumId="23">
    <w:nsid w:val="4F4EF005"/>
    <w:multiLevelType w:val="hybridMultilevel"/>
    <w:lvl w:ilvl="0">
      <w:lvlJc w:val="left"/>
      <w:lvlText w:val="(%1)"/>
      <w:numFmt w:val="decimal"/>
      <w:start w:val="1"/>
    </w:lvl>
  </w:abstractNum>
  <w:abstractNum w:abstractNumId="24">
    <w:nsid w:val="23F9C13C"/>
    <w:multiLevelType w:val="hybridMultilevel"/>
    <w:lvl w:ilvl="0">
      <w:lvlJc w:val="left"/>
      <w:lvlText w:val="(%1)"/>
      <w:numFmt w:val="decimal"/>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1)"/>
      <w:numFmt w:val="decimal"/>
      <w:start w:val="1"/>
    </w:lvl>
  </w:abstractNum>
  <w:abstractNum w:abstractNumId="28">
    <w:nsid w:val="1CF10FD8"/>
    <w:multiLevelType w:val="hybridMultilevel"/>
    <w:lvl w:ilvl="0">
      <w:lvlJc w:val="left"/>
      <w:lvlText w:val="(%1)"/>
      <w:numFmt w:val="decimal"/>
      <w:start w:val="1"/>
    </w:lvl>
  </w:abstractNum>
  <w:abstractNum w:abstractNumId="29">
    <w:nsid w:val="180115BE"/>
    <w:multiLevelType w:val="hybridMultilevel"/>
    <w:lvl w:ilvl="0">
      <w:lvlJc w:val="left"/>
      <w:lvlText w:val="(%1)"/>
      <w:numFmt w:val="decimal"/>
      <w:start w:val="1"/>
    </w:lvl>
  </w:abstractNum>
  <w:abstractNum w:abstractNumId="30">
    <w:nsid w:val="235BA861"/>
    <w:multiLevelType w:val="hybridMultilevel"/>
    <w:lvl w:ilvl="0">
      <w:lvlJc w:val="left"/>
      <w:lvlText w:val="(%1)"/>
      <w:numFmt w:val="decimal"/>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1)"/>
      <w:numFmt w:val="decimal"/>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1."/>
      <w:numFmt w:val="decimal"/>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1)"/>
      <w:numFmt w:val="decimal"/>
      <w:start w:val="1"/>
    </w:lvl>
  </w:abstractNum>
  <w:abstractNum w:abstractNumId="41">
    <w:nsid w:val="579BE4F1"/>
    <w:multiLevelType w:val="hybridMultilevel"/>
    <w:lvl w:ilvl="0">
      <w:lvlJc w:val="left"/>
      <w:lvlText w:val="(%1)"/>
      <w:numFmt w:val="decimal"/>
      <w:start w:val="1"/>
    </w:lvl>
  </w:abstractNum>
  <w:abstractNum w:abstractNumId="42">
    <w:nsid w:val="310C50B3"/>
    <w:multiLevelType w:val="hybridMultilevel"/>
    <w:lvl w:ilvl="0">
      <w:lvlJc w:val="left"/>
      <w:lvlText w:val="(%1)"/>
      <w:numFmt w:val="decimal"/>
      <w:start w:val="1"/>
    </w:lvl>
  </w:abstractNum>
  <w:abstractNum w:abstractNumId="43">
    <w:nsid w:val="5FF87E05"/>
    <w:multiLevelType w:val="hybridMultilevel"/>
    <w:lvl w:ilvl="0">
      <w:lvlJc w:val="left"/>
      <w:lvlText w:val="(%1)"/>
      <w:numFmt w:val="decimal"/>
      <w:start w:val="1"/>
    </w:lvl>
  </w:abstractNum>
  <w:abstractNum w:abstractNumId="44">
    <w:nsid w:val="2F305DEF"/>
    <w:multiLevelType w:val="hybridMultilevel"/>
    <w:lvl w:ilvl="0">
      <w:lvlJc w:val="left"/>
      <w:lvlText w:val="(%1)"/>
      <w:numFmt w:val="decimal"/>
      <w:start w:val="1"/>
    </w:lvl>
  </w:abstractNum>
  <w:abstractNum w:abstractNumId="45">
    <w:nsid w:val="25A70BF7"/>
    <w:multiLevelType w:val="hybridMultilevel"/>
    <w:lvl w:ilvl="0">
      <w:lvlJc w:val="left"/>
      <w:lvlText w:val="(%1)"/>
      <w:numFmt w:val="decimal"/>
      <w:start w:val="1"/>
    </w:lvl>
  </w:abstractNum>
  <w:abstractNum w:abstractNumId="46">
    <w:nsid w:val="1DBABF00"/>
    <w:multiLevelType w:val="hybridMultilevel"/>
    <w:lvl w:ilvl="0">
      <w:lvlJc w:val="left"/>
      <w:lvlText w:val="(%1)"/>
      <w:numFmt w:val="decimal"/>
      <w:start w:val="1"/>
    </w:lvl>
  </w:abstractNum>
  <w:abstractNum w:abstractNumId="47">
    <w:nsid w:val="4AD084E9"/>
    <w:multiLevelType w:val="hybridMultilevel"/>
    <w:lvl w:ilvl="0">
      <w:lvlJc w:val="left"/>
      <w:lvlText w:val="%1."/>
      <w:numFmt w:val="decimal"/>
      <w:start w:val="1"/>
    </w:lvl>
  </w:abstractNum>
  <w:abstractNum w:abstractNumId="48">
    <w:nsid w:val="1F48EAA1"/>
    <w:multiLevelType w:val="hybridMultilevel"/>
    <w:lvl w:ilvl="0">
      <w:lvlJc w:val="left"/>
      <w:lvlText w:val="%1."/>
      <w:numFmt w:val="decimal"/>
      <w:start w:val="21"/>
    </w:lvl>
  </w:abstractNum>
  <w:abstractNum w:abstractNumId="49">
    <w:nsid w:val="1381823A"/>
    <w:multiLevelType w:val="hybridMultilevel"/>
    <w:lvl w:ilvl="0">
      <w:lvlJc w:val="left"/>
      <w:lvlText w:val="(%1)"/>
      <w:numFmt w:val="lowerRoman"/>
      <w:start w:val="4"/>
    </w:lvl>
  </w:abstractNum>
  <w:abstractNum w:abstractNumId="50">
    <w:nsid w:val="5DB70AE5"/>
    <w:multiLevelType w:val="hybridMultilevel"/>
    <w:lvl w:ilvl="0">
      <w:lvlJc w:val="left"/>
      <w:lvlText w:val="%1."/>
      <w:numFmt w:val="decimal"/>
      <w:start w:val="1"/>
    </w:lvl>
  </w:abstractNum>
  <w:abstractNum w:abstractNumId="51">
    <w:nsid w:val="100F8FCA"/>
    <w:multiLevelType w:val="hybridMultilevel"/>
    <w:lvl w:ilvl="0">
      <w:lvlJc w:val="left"/>
      <w:lvlText w:val="(%1)"/>
      <w:numFmt w:val="lowerLetter"/>
      <w:start w:val="1"/>
    </w:lvl>
  </w:abstractNum>
  <w:abstractNum w:abstractNumId="52">
    <w:nsid w:val="6590700B"/>
    <w:multiLevelType w:val="hybridMultilevel"/>
    <w:lvl w:ilvl="0">
      <w:lvlJc w:val="left"/>
      <w:lvlText w:val="%1"/>
      <w:numFmt w:val="decimal"/>
      <w:start w:val="1"/>
    </w:lvl>
    <w:lvl w:ilvl="1">
      <w:lvlJc w:val="left"/>
      <w:lvlText w:val="(%2)"/>
      <w:numFmt w:val="lowerLetter"/>
      <w:start w:val="5"/>
    </w:lvl>
  </w:abstractNum>
  <w:abstractNum w:abstractNumId="53">
    <w:nsid w:val="15014ACB"/>
    <w:multiLevelType w:val="hybridMultilevel"/>
    <w:lvl w:ilvl="0">
      <w:lvlJc w:val="left"/>
      <w:lvlText w:val="%1."/>
      <w:numFmt w:val="decimal"/>
      <w:start w:val="3"/>
    </w:lvl>
    <w:lvl w:ilvl="1">
      <w:lvlJc w:val="left"/>
      <w:lvlText w:val="(%2)"/>
      <w:numFmt w:val="lowerLetter"/>
      <w:start w:val="1"/>
    </w:lvl>
  </w:abstractNum>
  <w:abstractNum w:abstractNumId="54">
    <w:nsid w:val="5F5E7FD0"/>
    <w:multiLevelType w:val="hybridMultilevel"/>
    <w:lvl w:ilvl="0">
      <w:lvlJc w:val="left"/>
      <w:lvlText w:val="(%1)"/>
      <w:numFmt w:val="lowerLetter"/>
      <w:start w:val="2"/>
    </w:lvl>
    <w:lvl w:ilvl="1">
      <w:lvlJc w:val="left"/>
      <w:lvlText w:val="(%2)"/>
      <w:numFmt w:val="lowerRoman"/>
      <w:start w:val="1"/>
    </w:lvl>
  </w:abstractNum>
  <w:abstractNum w:abstractNumId="55">
    <w:nsid w:val="98A3148"/>
    <w:multiLevelType w:val="hybridMultilevel"/>
    <w:lvl w:ilvl="0">
      <w:lvlJc w:val="left"/>
      <w:lvlText w:val="(%1)"/>
      <w:numFmt w:val="lowerRoman"/>
      <w:start w:val="4"/>
    </w:lvl>
  </w:abstractNum>
  <w:abstractNum w:abstractNumId="56">
    <w:nsid w:val="799D0247"/>
    <w:multiLevelType w:val="hybridMultilevel"/>
    <w:lvl w:ilvl="0">
      <w:lvlJc w:val="left"/>
      <w:lvlText w:val="(%1)"/>
      <w:numFmt w:val="lowerLetter"/>
      <w:start w:val="5"/>
    </w:lvl>
  </w:abstractNum>
  <w:abstractNum w:abstractNumId="57">
    <w:nsid w:val="6B94764"/>
    <w:multiLevelType w:val="hybridMultilevel"/>
    <w:lvl w:ilvl="0">
      <w:lvlJc w:val="left"/>
      <w:lvlText w:val="%1"/>
      <w:numFmt w:val="decimal"/>
      <w:start w:val="1"/>
    </w:lvl>
    <w:lvl w:ilvl="1">
      <w:lvlJc w:val="left"/>
      <w:lvlText w:val="(%2)"/>
      <w:numFmt w:val="lowerLetter"/>
      <w:start w:val="6"/>
    </w:lvl>
  </w:abstractNum>
  <w:abstractNum w:abstractNumId="58">
    <w:nsid w:val="42C296BD"/>
    <w:multiLevelType w:val="hybridMultilevel"/>
    <w:lvl w:ilvl="0">
      <w:lvlJc w:val="left"/>
      <w:lvlText w:val="%1."/>
      <w:numFmt w:val="decimal"/>
      <w:start w:val="4"/>
    </w:lvl>
    <w:lvl w:ilvl="1">
      <w:lvlJc w:val="left"/>
      <w:lvlText w:val="%2"/>
      <w:numFmt w:val="lowerLetter"/>
      <w:start w:val="1"/>
    </w:lvl>
  </w:abstractNum>
  <w:abstractNum w:abstractNumId="59">
    <w:nsid w:val="168E121F"/>
    <w:multiLevelType w:val="hybridMultilevel"/>
    <w:lvl w:ilvl="0">
      <w:lvlJc w:val="left"/>
      <w:lvlText w:val="%1."/>
      <w:numFmt w:val="decimal"/>
      <w:start w:val="6"/>
    </w:lvl>
    <w:lvl w:ilvl="1">
      <w:lvlJc w:val="left"/>
      <w:lvlText w:val="(%2)"/>
      <w:numFmt w:val="lowerLetter"/>
      <w:start w:val="1"/>
    </w:lvl>
  </w:abstractNum>
  <w:abstractNum w:abstractNumId="60">
    <w:nsid w:val="1EBA5D23"/>
    <w:multiLevelType w:val="hybridMultilevel"/>
    <w:lvl w:ilvl="0">
      <w:lvlJc w:val="left"/>
      <w:lvlText w:val="%1."/>
      <w:numFmt w:val="decimal"/>
      <w:start w:val="10"/>
    </w:lvl>
  </w:abstractNum>
  <w:abstractNum w:abstractNumId="61">
    <w:nsid w:val="661E3F1E"/>
    <w:multiLevelType w:val="hybridMultilevel"/>
    <w:lvl w:ilvl="0">
      <w:lvlJc w:val="left"/>
      <w:lvlText w:val="%1."/>
      <w:numFmt w:val="decimal"/>
      <w:start w:val="1"/>
    </w:lvl>
  </w:abstractNum>
  <w:abstractNum w:abstractNumId="62">
    <w:nsid w:val="5DC79EA8"/>
    <w:multiLevelType w:val="hybridMultilevel"/>
    <w:lvl w:ilvl="0">
      <w:lvlJc w:val="left"/>
      <w:lvlText w:val="(%1)"/>
      <w:numFmt w:val="lowerLetter"/>
      <w:start w:val="1"/>
    </w:lvl>
    <w:lvl w:ilvl="1">
      <w:lvlJc w:val="left"/>
      <w:lvlText w:val="(%2)"/>
      <w:numFmt w:val="lowerLetter"/>
      <w:start w:val="5"/>
    </w:lvl>
  </w:abstractNum>
  <w:abstractNum w:abstractNumId="63">
    <w:nsid w:val="540A471C"/>
    <w:multiLevelType w:val="hybridMultilevel"/>
    <w:lvl w:ilvl="0">
      <w:lvlJc w:val="left"/>
      <w:lvlText w:val="%1."/>
      <w:numFmt w:val="decimal"/>
      <w:start w:val="3"/>
    </w:lvl>
    <w:lvl w:ilvl="1">
      <w:lvlJc w:val="left"/>
      <w:lvlText w:val="(%2)"/>
      <w:numFmt w:val="lowerLetter"/>
      <w:start w:val="1"/>
    </w:lvl>
  </w:abstractNum>
  <w:abstractNum w:abstractNumId="64">
    <w:nsid w:val="7BD3EE7B"/>
    <w:multiLevelType w:val="hybridMultilevel"/>
    <w:lvl w:ilvl="0">
      <w:lvlJc w:val="left"/>
      <w:lvlText w:val="(%1)"/>
      <w:numFmt w:val="lowerLetter"/>
      <w:start w:val="2"/>
    </w:lvl>
    <w:lvl w:ilvl="1">
      <w:lvlJc w:val="left"/>
      <w:lvlText w:val="(%2)"/>
      <w:numFmt w:val="lowerRoman"/>
      <w:start w:val="1"/>
    </w:lvl>
  </w:abstractNum>
  <w:abstractNum w:abstractNumId="65">
    <w:nsid w:val="51D9C564"/>
    <w:multiLevelType w:val="hybridMultilevel"/>
    <w:lvl w:ilvl="0">
      <w:lvlJc w:val="left"/>
      <w:lvlText w:val="(%1)"/>
      <w:numFmt w:val="lowerRoman"/>
      <w:start w:val="4"/>
    </w:lvl>
  </w:abstractNum>
  <w:abstractNum w:abstractNumId="66">
    <w:nsid w:val="613EFDC5"/>
    <w:multiLevelType w:val="hybridMultilevel"/>
    <w:lvl w:ilvl="0">
      <w:lvlJc w:val="left"/>
      <w:lvlText w:val="(%1)"/>
      <w:numFmt w:val="lowerLetter"/>
      <w:start w:val="5"/>
    </w:lvl>
  </w:abstractNum>
  <w:abstractNum w:abstractNumId="67">
    <w:nsid w:val="BF72B14"/>
    <w:multiLevelType w:val="hybridMultilevel"/>
    <w:lvl w:ilvl="0">
      <w:lvlJc w:val="left"/>
      <w:lvlText w:val="%1"/>
      <w:numFmt w:val="decimal"/>
      <w:start w:val="1"/>
    </w:lvl>
    <w:lvl w:ilvl="1">
      <w:lvlJc w:val="left"/>
      <w:lvlText w:val="(%2)"/>
      <w:numFmt w:val="lowerLetter"/>
      <w:start w:val="6"/>
    </w:lvl>
  </w:abstractNum>
  <w:abstractNum w:abstractNumId="68">
    <w:nsid w:val="11447B73"/>
    <w:multiLevelType w:val="hybridMultilevel"/>
    <w:lvl w:ilvl="0">
      <w:lvlJc w:val="left"/>
      <w:lvlText w:val="%1."/>
      <w:numFmt w:val="decimal"/>
      <w:start w:val="4"/>
    </w:lvl>
    <w:lvl w:ilvl="1">
      <w:lvlJc w:val="left"/>
      <w:lvlText w:val="%2"/>
      <w:numFmt w:val="lowerLetter"/>
      <w:start w:val="1"/>
    </w:lvl>
  </w:abstractNum>
  <w:abstractNum w:abstractNumId="69">
    <w:nsid w:val="42963E5A"/>
    <w:multiLevelType w:val="hybridMultilevel"/>
    <w:lvl w:ilvl="0">
      <w:lvlJc w:val="left"/>
      <w:lvlText w:val="%1."/>
      <w:numFmt w:val="decimal"/>
      <w:start w:val="6"/>
    </w:lvl>
    <w:lvl w:ilvl="1">
      <w:lvlJc w:val="left"/>
      <w:lvlText w:val="(%2)"/>
      <w:numFmt w:val="lowerLetter"/>
      <w:start w:val="1"/>
    </w:lvl>
  </w:abstractNum>
  <w:abstractNum w:abstractNumId="70">
    <w:nsid w:val="A0382C5"/>
    <w:multiLevelType w:val="hybridMultilevel"/>
    <w:lvl w:ilvl="0">
      <w:lvlJc w:val="left"/>
      <w:lvlText w:val="%1."/>
      <w:numFmt w:val="decimal"/>
      <w:start w:val="10"/>
    </w:lvl>
  </w:abstractNum>
  <w:abstractNum w:abstractNumId="71">
    <w:nsid w:val="8F2B15E"/>
    <w:multiLevelType w:val="hybridMultilevel"/>
    <w:lvl w:ilvl="0">
      <w:lvlJc w:val="left"/>
      <w:lvlText w:val="%1."/>
      <w:numFmt w:val="decimal"/>
      <w:start w:val="1"/>
    </w:lvl>
  </w:abstractNum>
  <w:abstractNum w:abstractNumId="72">
    <w:nsid w:val="1A32234B"/>
    <w:multiLevelType w:val="hybridMultilevel"/>
    <w:lvl w:ilvl="0">
      <w:lvlJc w:val="left"/>
      <w:lvlText w:val="(%1)"/>
      <w:numFmt w:val="lowerLetter"/>
      <w:start w:val="1"/>
    </w:lvl>
    <w:lvl w:ilvl="1">
      <w:lvlJc w:val="left"/>
      <w:lvlText w:val="(%2)"/>
      <w:numFmt w:val="lowerLetter"/>
      <w:start w:val="5"/>
    </w:lvl>
  </w:abstractNum>
  <w:abstractNum w:abstractNumId="73">
    <w:nsid w:val="3B0FD379"/>
    <w:multiLevelType w:val="hybridMultilevel"/>
    <w:lvl w:ilvl="0">
      <w:lvlJc w:val="left"/>
      <w:lvlText w:val="%1."/>
      <w:numFmt w:val="decimal"/>
      <w:start w:val="3"/>
    </w:lvl>
    <w:lvl w:ilvl="1">
      <w:lvlJc w:val="left"/>
      <w:lvlText w:val="(%2)"/>
      <w:numFmt w:val="lowerLetter"/>
      <w:start w:val="1"/>
    </w:lvl>
  </w:abstractNum>
  <w:abstractNum w:abstractNumId="74">
    <w:nsid w:val="68EB2F63"/>
    <w:multiLevelType w:val="hybridMultilevel"/>
    <w:lvl w:ilvl="0">
      <w:lvlJc w:val="left"/>
      <w:lvlText w:val="(%1)"/>
      <w:numFmt w:val="lowerLetter"/>
      <w:start w:val="2"/>
    </w:lvl>
    <w:lvl w:ilvl="1">
      <w:lvlJc w:val="left"/>
      <w:lvlText w:val="(%2)"/>
      <w:numFmt w:val="lowerRoman"/>
      <w:start w:val="1"/>
    </w:lvl>
  </w:abstractNum>
  <w:abstractNum w:abstractNumId="75">
    <w:nsid w:val="4962813B"/>
    <w:multiLevelType w:val="hybridMultilevel"/>
    <w:lvl w:ilvl="0">
      <w:lvlJc w:val="left"/>
      <w:lvlText w:val="(%1)"/>
      <w:numFmt w:val="lowerRoman"/>
      <w:start w:val="4"/>
    </w:lvl>
  </w:abstractNum>
  <w:abstractNum w:abstractNumId="76">
    <w:nsid w:val="60B6DF70"/>
    <w:multiLevelType w:val="hybridMultilevel"/>
    <w:lvl w:ilvl="0">
      <w:lvlJc w:val="left"/>
      <w:lvlText w:val="(%1)"/>
      <w:numFmt w:val="lowerLetter"/>
      <w:start w:val="5"/>
    </w:lvl>
  </w:abstractNum>
  <w:abstractNum w:abstractNumId="77">
    <w:nsid w:val="6A5EE64"/>
    <w:multiLevelType w:val="hybridMultilevel"/>
    <w:lvl w:ilvl="0">
      <w:lvlJc w:val="left"/>
      <w:lvlText w:val="%1"/>
      <w:numFmt w:val="decimal"/>
      <w:start w:val="1"/>
    </w:lvl>
    <w:lvl w:ilvl="1">
      <w:lvlJc w:val="left"/>
      <w:lvlText w:val="(%2)"/>
      <w:numFmt w:val="lowerLetter"/>
      <w:start w:val="6"/>
    </w:lvl>
  </w:abstractNum>
  <w:abstractNum w:abstractNumId="78">
    <w:nsid w:val="14330624"/>
    <w:multiLevelType w:val="hybridMultilevel"/>
    <w:lvl w:ilvl="0">
      <w:lvlJc w:val="left"/>
      <w:lvlText w:val="%1."/>
      <w:numFmt w:val="decimal"/>
      <w:start w:val="4"/>
    </w:lvl>
    <w:lvl w:ilvl="1">
      <w:lvlJc w:val="left"/>
      <w:lvlText w:val="%2"/>
      <w:numFmt w:val="lowerLetter"/>
      <w:start w:val="1"/>
    </w:lvl>
  </w:abstractNum>
  <w:abstractNum w:abstractNumId="79">
    <w:nsid w:val="7FFFCA11"/>
    <w:multiLevelType w:val="hybridMultilevel"/>
    <w:lvl w:ilvl="0">
      <w:lvlJc w:val="left"/>
      <w:lvlText w:val="%1."/>
      <w:numFmt w:val="decimal"/>
      <w:start w:val="6"/>
    </w:lvl>
    <w:lvl w:ilvl="1">
      <w:lvlJc w:val="left"/>
      <w:lvlText w:val="(%2)"/>
      <w:numFmt w:val="lowerLetter"/>
      <w:start w:val="1"/>
    </w:lvl>
  </w:abstractNum>
  <w:abstractNum w:abstractNumId="80">
    <w:nsid w:val="1A27709E"/>
    <w:multiLevelType w:val="hybridMultilevel"/>
    <w:lvl w:ilvl="0">
      <w:lvlJc w:val="left"/>
      <w:lvlText w:val="%1."/>
      <w:numFmt w:val="decimal"/>
      <w:start w:val="10"/>
    </w:lvl>
  </w:abstractNum>
  <w:abstractNum w:abstractNumId="81">
    <w:nsid w:val="71EA1109"/>
    <w:multiLevelType w:val="hybridMultilevel"/>
    <w:lvl w:ilvl="0">
      <w:lvlJc w:val="left"/>
      <w:lvlText w:val="%1."/>
      <w:numFmt w:val="decimal"/>
      <w:start w:val="1"/>
    </w:lvl>
    <w:lvl w:ilvl="1">
      <w:lvlJc w:val="left"/>
      <w:lvlText w:val="%2."/>
      <w:numFmt w:val="lowerLetter"/>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lowerLetter"/>
      <w:start w:val="1"/>
    </w:lvl>
  </w:abstractNum>
  <w:abstractNum w:abstractNumId="84">
    <w:nsid w:val="6EB5B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2019-12-29T09:26:18Z</dcterms:created>
  <dcterms:modified xsi:type="dcterms:W3CDTF">2019-12-29T09:26:18Z</dcterms:modified>
</cp:coreProperties>
</file>