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0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6580" w:type="dxa"/>
            <w:vAlign w:val="bottom"/>
          </w:tcPr>
          <w:p>
            <w:pPr>
              <w:jc w:val="center"/>
              <w:ind w:right="1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5494020</wp:posOffset>
            </wp:positionH>
            <wp:positionV relativeFrom="paragraph">
              <wp:posOffset>-654050</wp:posOffset>
            </wp:positionV>
            <wp:extent cx="59690" cy="66738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73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4159250</wp:posOffset>
            </wp:positionH>
            <wp:positionV relativeFrom="paragraph">
              <wp:posOffset>-654050</wp:posOffset>
            </wp:positionV>
            <wp:extent cx="59690" cy="66738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73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-1683385</wp:posOffset>
            </wp:positionH>
            <wp:positionV relativeFrom="paragraph">
              <wp:posOffset>20955</wp:posOffset>
            </wp:positionV>
            <wp:extent cx="7322820" cy="49618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61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280"/>
            <w:col w:w="888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HERLITZ JOHN E</w:t>
        </w:r>
      </w:hyperlink>
    </w:p>
    <w:p>
      <w:pPr>
        <w:spacing w:after="0" w:line="316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WINNEBAGO INDUSTRIES, INC.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P.O. BOX 152</w:t>
      </w:r>
    </w:p>
    <w:p>
      <w:pPr>
        <w:spacing w:after="0" w:line="29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IA</w:t>
            </w:r>
          </w:p>
        </w:tc>
        <w:tc>
          <w:tcPr>
            <w:tcW w:w="16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50436</w:t>
            </w: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3980" w:type="dxa"/>
            <w:vAlign w:val="bottom"/>
            <w:gridSpan w:val="4"/>
          </w:tcPr>
          <w:p>
            <w:pPr>
              <w:ind w:left="60"/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9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9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9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9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WGO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9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9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ind w:left="8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4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ind w:left="4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11/30/2006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8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40"/>
        <w:spacing w:after="0" w:line="224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00"/>
            <w:col w:w="752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7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Winnebago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75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80"/>
              <w:spacing w:after="0" w:line="3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FF"/>
                <w:vertAlign w:val="subscript"/>
              </w:rPr>
              <w:t>75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2,585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11/30/2006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34.615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00" w:firstLine="8"/>
        <w:spacing w:after="0" w:line="256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Winnebago Stock Units are accrued under the Winnebago Industries, Inc. Directors Deferred Compensation Plan and are to be settled 100% in Winnebago common stock upon the earliest of the following events: reporting person's termination of service as a director, death, disability or a "change in the effective control of the Company" as defined in the Plan pursuant to an election made by reporting person on 12/6/05.</w:t>
      </w:r>
    </w:p>
    <w:p>
      <w:pPr>
        <w:spacing w:after="0" w:line="2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amount of Winnebago Stock Units acquired by reporting person on the transaction date.</w:t>
      </w:r>
    </w:p>
    <w:p>
      <w:pPr>
        <w:spacing w:after="0" w:line="5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total amount of Winnebago Stock Units held by reporting person in Winnebago Industries, Inc. Directors Deferred Compensation Plan as of reporting date.</w:t>
      </w:r>
    </w:p>
    <w:p>
      <w:pPr>
        <w:sectPr>
          <w:pgSz w:w="11900" w:h="16838" w:orient="portrait"/>
          <w:cols w:equalWidth="0" w:num="1">
            <w:col w:w="11520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Raymond M. Beebe,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4359910</wp:posOffset>
            </wp:positionH>
            <wp:positionV relativeFrom="paragraph">
              <wp:posOffset>-13970</wp:posOffset>
            </wp:positionV>
            <wp:extent cx="105346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34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Secretary, Winnebago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4359910</wp:posOffset>
            </wp:positionH>
            <wp:positionV relativeFrom="paragraph">
              <wp:posOffset>-18415</wp:posOffset>
            </wp:positionV>
            <wp:extent cx="97663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66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Industries, Inc. under Power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4359910</wp:posOffset>
            </wp:positionH>
            <wp:positionV relativeFrom="paragraph">
              <wp:posOffset>-3810</wp:posOffset>
            </wp:positionV>
            <wp:extent cx="137731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73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4359910</wp:posOffset>
            </wp:positionH>
            <wp:positionV relativeFrom="paragraph">
              <wp:posOffset>-18415</wp:posOffset>
            </wp:positionV>
            <wp:extent cx="39560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56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jc w:val="both"/>
        <w:ind w:left="40" w:right="1220" w:firstLine="8"/>
        <w:spacing w:after="0" w:line="322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8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12/01/2006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-1270</wp:posOffset>
            </wp:positionH>
            <wp:positionV relativeFrom="paragraph">
              <wp:posOffset>6985</wp:posOffset>
            </wp:positionV>
            <wp:extent cx="50673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67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84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9040" w:space="120"/>
            <w:col w:w="2360"/>
          </w:cols>
          <w:pgMar w:left="240" w:top="226" w:right="1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2" Type="http://schemas.openxmlformats.org/officeDocument/2006/relationships/hyperlink" Target="http://www.sec.gov/cgi-bin/browse-edgar?action=getcompany&amp;CIK=0001314399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2019-12-16T08:27:23Z</dcterms:created>
  <dcterms:modified xsi:type="dcterms:W3CDTF">2019-12-16T08:27:23Z</dcterms:modified>
</cp:coreProperties>
</file>