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229235</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351"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42545</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ind w:left="240"/>
        <w:spacing w:after="0"/>
        <w:rPr>
          <w:sz w:val="20"/>
          <w:szCs w:val="20"/>
          <w:color w:val="auto"/>
        </w:rPr>
      </w:pPr>
      <w:r>
        <w:rPr>
          <w:rFonts w:ascii="Arial" w:cs="Arial" w:eastAsia="Arial" w:hAnsi="Arial"/>
          <w:sz w:val="16"/>
          <w:szCs w:val="16"/>
          <w:color w:val="auto"/>
        </w:rPr>
        <w:t>(Mark One)</w:t>
      </w:r>
    </w:p>
    <w:p>
      <w:pPr>
        <w:spacing w:after="0" w:line="188" w:lineRule="exact"/>
        <w:rPr>
          <w:sz w:val="24"/>
          <w:szCs w:val="24"/>
          <w:color w:val="auto"/>
        </w:rPr>
      </w:pPr>
    </w:p>
    <w:p>
      <w:pPr>
        <w:ind w:left="680" w:hanging="449"/>
        <w:spacing w:after="0"/>
        <w:tabs>
          <w:tab w:leader="none" w:pos="6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For the quarterly period ended February 28, 2015</w:t>
      </w:r>
    </w:p>
    <w:p>
      <w:pPr>
        <w:spacing w:after="0" w:line="86"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or</w:t>
      </w:r>
    </w:p>
    <w:p>
      <w:pPr>
        <w:spacing w:after="0" w:line="188" w:lineRule="exact"/>
        <w:rPr>
          <w:sz w:val="24"/>
          <w:szCs w:val="24"/>
          <w:color w:val="auto"/>
        </w:rPr>
      </w:pPr>
    </w:p>
    <w:p>
      <w:pPr>
        <w:ind w:left="3020" w:right="2420" w:hanging="2789"/>
        <w:spacing w:after="0" w:line="510" w:lineRule="auto"/>
        <w:tabs>
          <w:tab w:leader="none" w:pos="684"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spacing w:after="0" w:line="1" w:lineRule="exact"/>
        <w:rPr>
          <w:rFonts w:ascii="Arial" w:cs="Arial" w:eastAsia="Arial" w:hAnsi="Arial"/>
          <w:sz w:val="16"/>
          <w:szCs w:val="16"/>
          <w:color w:val="auto"/>
        </w:rPr>
      </w:pPr>
    </w:p>
    <w:p>
      <w:pPr>
        <w:ind w:left="4380"/>
        <w:spacing w:after="0"/>
        <w:rPr>
          <w:rFonts w:ascii="Arial" w:cs="Arial" w:eastAsia="Arial" w:hAnsi="Arial"/>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1994535</wp:posOffset>
            </wp:positionH>
            <wp:positionV relativeFrom="paragraph">
              <wp:posOffset>143510</wp:posOffset>
            </wp:positionV>
            <wp:extent cx="3267075" cy="462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01" w:lineRule="exact"/>
        <w:rPr>
          <w:sz w:val="24"/>
          <w:szCs w:val="24"/>
          <w:color w:val="auto"/>
        </w:rPr>
      </w:pPr>
    </w:p>
    <w:tbl>
      <w:tblPr>
        <w:tblLayout w:type="fixed"/>
        <w:tblInd w:w="1020" w:type="dxa"/>
        <w:tblCellMar>
          <w:top w:w="0" w:type="dxa"/>
          <w:left w:w="0" w:type="dxa"/>
          <w:bottom w:w="0" w:type="dxa"/>
          <w:right w:w="0" w:type="dxa"/>
        </w:tblCellMar>
      </w:tblPr>
      <w:tr>
        <w:trPr>
          <w:trHeight w:val="228"/>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760" w:type="dxa"/>
            <w:vAlign w:val="bottom"/>
          </w:tcPr>
          <w:p>
            <w:pPr>
              <w:spacing w:after="0"/>
              <w:rPr>
                <w:sz w:val="19"/>
                <w:szCs w:val="19"/>
                <w:color w:val="auto"/>
              </w:rPr>
            </w:pPr>
          </w:p>
        </w:tc>
        <w:tc>
          <w:tcPr>
            <w:tcW w:w="4340" w:type="dxa"/>
            <w:vAlign w:val="bottom"/>
            <w:tcBorders>
              <w:bottom w:val="single" w:sz="8" w:color="auto"/>
            </w:tcBorders>
          </w:tcPr>
          <w:p>
            <w:pPr>
              <w:jc w:val="right"/>
              <w:ind w:right="1659"/>
              <w:spacing w:after="0"/>
              <w:rPr>
                <w:sz w:val="20"/>
                <w:szCs w:val="20"/>
                <w:color w:val="auto"/>
              </w:rPr>
            </w:pPr>
            <w:r>
              <w:rPr>
                <w:rFonts w:ascii="Arial" w:cs="Arial" w:eastAsia="Arial" w:hAnsi="Arial"/>
                <w:sz w:val="16"/>
                <w:szCs w:val="16"/>
                <w:b w:val="1"/>
                <w:bCs w:val="1"/>
                <w:color w:val="auto"/>
              </w:rPr>
              <w:t>42-0802678</w:t>
            </w:r>
          </w:p>
        </w:tc>
      </w:tr>
      <w:tr>
        <w:trPr>
          <w:trHeight w:val="237"/>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43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580"/>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 O. Box 152, Forest City, Iowa</w:t>
            </w:r>
          </w:p>
        </w:tc>
        <w:tc>
          <w:tcPr>
            <w:tcW w:w="760" w:type="dxa"/>
            <w:vAlign w:val="bottom"/>
          </w:tcPr>
          <w:p>
            <w:pPr>
              <w:spacing w:after="0"/>
              <w:rPr>
                <w:sz w:val="24"/>
                <w:szCs w:val="24"/>
                <w:color w:val="auto"/>
              </w:rPr>
            </w:pPr>
          </w:p>
        </w:tc>
        <w:tc>
          <w:tcPr>
            <w:tcW w:w="4340" w:type="dxa"/>
            <w:vAlign w:val="bottom"/>
            <w:tcBorders>
              <w:bottom w:val="single" w:sz="8" w:color="auto"/>
            </w:tcBorders>
          </w:tcPr>
          <w:p>
            <w:pPr>
              <w:jc w:val="right"/>
              <w:ind w:right="1879"/>
              <w:spacing w:after="0"/>
              <w:rPr>
                <w:sz w:val="20"/>
                <w:szCs w:val="20"/>
                <w:color w:val="auto"/>
              </w:rPr>
            </w:pPr>
            <w:r>
              <w:rPr>
                <w:rFonts w:ascii="Arial" w:cs="Arial" w:eastAsia="Arial" w:hAnsi="Arial"/>
                <w:sz w:val="16"/>
                <w:szCs w:val="16"/>
                <w:b w:val="1"/>
                <w:bCs w:val="1"/>
                <w:color w:val="auto"/>
              </w:rPr>
              <w:t>50436</w:t>
            </w:r>
          </w:p>
        </w:tc>
      </w:tr>
      <w:tr>
        <w:trPr>
          <w:trHeight w:val="237"/>
        </w:trPr>
        <w:tc>
          <w:tcPr>
            <w:tcW w:w="5060" w:type="dxa"/>
            <w:vAlign w:val="bottom"/>
            <w:gridSpan w:val="2"/>
          </w:tcPr>
          <w:p>
            <w:pPr>
              <w:jc w:val="center"/>
              <w:ind w:right="760"/>
              <w:spacing w:after="0"/>
              <w:rPr>
                <w:sz w:val="20"/>
                <w:szCs w:val="20"/>
                <w:color w:val="auto"/>
              </w:rPr>
            </w:pPr>
            <w:r>
              <w:rPr>
                <w:rFonts w:ascii="Arial" w:cs="Arial" w:eastAsia="Arial" w:hAnsi="Arial"/>
                <w:sz w:val="16"/>
                <w:szCs w:val="16"/>
                <w:color w:val="auto"/>
              </w:rPr>
              <w:t>(Address of principal executive offices)</w:t>
            </w:r>
          </w:p>
        </w:tc>
        <w:tc>
          <w:tcPr>
            <w:tcW w:w="434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(641) 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31750</wp:posOffset>
            </wp:positionV>
            <wp:extent cx="2418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5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pacing w:after="0" w:line="200" w:lineRule="exact"/>
        <w:rPr>
          <w:sz w:val="24"/>
          <w:szCs w:val="24"/>
          <w:color w:val="auto"/>
        </w:rPr>
      </w:pPr>
    </w:p>
    <w:p>
      <w:pPr>
        <w:spacing w:after="0" w:line="291" w:lineRule="exact"/>
        <w:rPr>
          <w:sz w:val="24"/>
          <w:szCs w:val="24"/>
          <w:color w:val="auto"/>
        </w:rPr>
      </w:pPr>
    </w:p>
    <w:p>
      <w:pPr>
        <w:jc w:val="both"/>
        <w:ind w:right="120"/>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55"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255" w:lineRule="exact"/>
        <w:rPr>
          <w:sz w:val="24"/>
          <w:szCs w:val="24"/>
          <w:color w:val="auto"/>
        </w:rPr>
      </w:pPr>
    </w:p>
    <w:p>
      <w:pPr>
        <w:ind w:right="18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9" w:lineRule="exact"/>
        <w:rPr>
          <w:sz w:val="24"/>
          <w:szCs w:val="24"/>
          <w:color w:val="auto"/>
        </w:rPr>
      </w:pPr>
    </w:p>
    <w:p>
      <w:pPr>
        <w:ind w:left="40"/>
        <w:spacing w:after="0"/>
        <w:tabs>
          <w:tab w:leader="none" w:pos="2240" w:val="left"/>
          <w:tab w:leader="none" w:pos="4540" w:val="left"/>
          <w:tab w:leader="none" w:pos="6780" w:val="left"/>
        </w:tabs>
        <w:rPr>
          <w:sz w:val="20"/>
          <w:szCs w:val="20"/>
          <w:color w:val="auto"/>
        </w:rPr>
      </w:pPr>
      <w:r>
        <w:rPr>
          <w:rFonts w:ascii="Arial" w:cs="Arial" w:eastAsia="Arial" w:hAnsi="Arial"/>
          <w:sz w:val="16"/>
          <w:szCs w:val="16"/>
          <w:color w:val="auto"/>
        </w:rPr>
        <w:t xml:space="preserve">Large accelerated filer </w:t>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 xml:space="preserve">Accelerated filer </w:t>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 xml:space="preserve">Non-accelerated filer </w:t>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 xml:space="preserve">Smaller Reporting Company </w:t>
      </w:r>
      <w:r>
        <w:rPr>
          <w:rFonts w:ascii="Arial" w:cs="Arial" w:eastAsia="Arial" w:hAnsi="Arial"/>
          <w:sz w:val="18"/>
          <w:szCs w:val="18"/>
          <w:color w:val="auto"/>
        </w:rPr>
        <w:t>o</w:t>
      </w:r>
    </w:p>
    <w:p>
      <w:pPr>
        <w:spacing w:after="0" w:line="243" w:lineRule="exact"/>
        <w:rPr>
          <w:sz w:val="24"/>
          <w:szCs w:val="24"/>
          <w:color w:val="auto"/>
        </w:rPr>
      </w:pPr>
    </w:p>
    <w:p>
      <w:pPr>
        <w:ind w:right="2480"/>
        <w:spacing w:after="0" w:line="487"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 The number of shares of common stock, par value $0.50 per share, outstanding March 26, 2015 was 26,931,255.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98"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20" w:type="dxa"/>
            <w:vAlign w:val="bottom"/>
            <w:gridSpan w:val="8"/>
          </w:tcPr>
          <w:p>
            <w:pPr>
              <w:jc w:val="center"/>
              <w:ind w:right="760"/>
              <w:spacing w:after="0"/>
              <w:rPr>
                <w:sz w:val="20"/>
                <w:szCs w:val="20"/>
                <w:color w:val="auto"/>
              </w:rPr>
            </w:pPr>
            <w:r>
              <w:rPr>
                <w:rFonts w:ascii="Arial" w:cs="Arial" w:eastAsia="Arial" w:hAnsi="Arial"/>
                <w:sz w:val="22"/>
                <w:szCs w:val="22"/>
                <w:b w:val="1"/>
                <w:bCs w:val="1"/>
                <w:color w:val="auto"/>
                <w:w w:val="97"/>
              </w:rPr>
              <w:t>Winnebago Industries, Inc.</w:t>
            </w:r>
          </w:p>
        </w:tc>
      </w:tr>
      <w:tr>
        <w:trPr>
          <w:trHeight w:val="286"/>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60" w:type="dxa"/>
            <w:vAlign w:val="bottom"/>
            <w:gridSpan w:val="7"/>
          </w:tcPr>
          <w:p>
            <w:pPr>
              <w:jc w:val="center"/>
              <w:ind w:right="820"/>
              <w:spacing w:after="0"/>
              <w:rPr>
                <w:sz w:val="20"/>
                <w:szCs w:val="20"/>
                <w:color w:val="auto"/>
              </w:rPr>
            </w:pPr>
            <w:r>
              <w:rPr>
                <w:rFonts w:ascii="Arial" w:cs="Arial" w:eastAsia="Arial" w:hAnsi="Arial"/>
                <w:sz w:val="22"/>
                <w:szCs w:val="22"/>
                <w:b w:val="1"/>
                <w:bCs w:val="1"/>
                <w:color w:val="auto"/>
                <w:w w:val="97"/>
              </w:rPr>
              <w:t>Table of Contents</w:t>
            </w:r>
          </w:p>
        </w:tc>
      </w:tr>
      <w:tr>
        <w:trPr>
          <w:trHeight w:val="530"/>
        </w:trPr>
        <w:tc>
          <w:tcPr>
            <w:tcW w:w="640" w:type="dxa"/>
            <w:vAlign w:val="bottom"/>
            <w:tcBorders>
              <w:bottom w:val="single" w:sz="8" w:color="0000EE"/>
            </w:tcBorders>
            <w:gridSpan w:val="3"/>
          </w:tcPr>
          <w:p>
            <w:pPr>
              <w:spacing w:after="0"/>
              <w:rPr>
                <w:rFonts w:ascii="Arial" w:cs="Arial" w:eastAsia="Arial" w:hAnsi="Arial"/>
                <w:sz w:val="16"/>
                <w:szCs w:val="16"/>
                <w:color w:val="0000EE"/>
                <w:w w:val="98"/>
              </w:rPr>
            </w:pPr>
            <w:hyperlink w:anchor="page2">
              <w:r>
                <w:rPr>
                  <w:rFonts w:ascii="Arial" w:cs="Arial" w:eastAsia="Arial" w:hAnsi="Arial"/>
                  <w:sz w:val="16"/>
                  <w:szCs w:val="16"/>
                  <w:color w:val="0000EE"/>
                  <w:w w:val="98"/>
                </w:rPr>
                <w:t>Glossary</w:t>
              </w:r>
            </w:hyperlink>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20"/>
        </w:trPr>
        <w:tc>
          <w:tcPr>
            <w:tcW w:w="520" w:type="dxa"/>
            <w:vAlign w:val="bottom"/>
          </w:tcPr>
          <w:p>
            <w:pPr>
              <w:spacing w:after="0"/>
              <w:rPr>
                <w:sz w:val="20"/>
                <w:szCs w:val="20"/>
                <w:color w:val="auto"/>
              </w:rPr>
            </w:pPr>
            <w:r>
              <w:rPr>
                <w:rFonts w:ascii="Arial" w:cs="Arial" w:eastAsia="Arial" w:hAnsi="Arial"/>
                <w:sz w:val="16"/>
                <w:szCs w:val="16"/>
                <w:b w:val="1"/>
                <w:bCs w:val="1"/>
                <w:color w:val="0000EE"/>
                <w:w w:val="95"/>
              </w:rPr>
              <w:t>PART I</w:t>
            </w:r>
          </w:p>
        </w:tc>
        <w:tc>
          <w:tcPr>
            <w:tcW w:w="12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6940" w:type="dxa"/>
            <w:vAlign w:val="bottom"/>
            <w:gridSpan w:val="30"/>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FINANCIAL INFORMATION</w:t>
              </w:r>
            </w:hyperlink>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520" w:type="dxa"/>
            <w:vAlign w:val="bottom"/>
          </w:tcPr>
          <w:p>
            <w:pPr>
              <w:spacing w:after="0"/>
              <w:rPr>
                <w:sz w:val="20"/>
                <w:szCs w:val="20"/>
                <w:color w:val="auto"/>
              </w:rPr>
            </w:pPr>
            <w:r>
              <w:rPr>
                <w:rFonts w:ascii="Arial" w:cs="Arial" w:eastAsia="Arial" w:hAnsi="Arial"/>
                <w:sz w:val="16"/>
                <w:szCs w:val="16"/>
                <w:color w:val="auto"/>
              </w:rPr>
              <w:t>Item 1.</w:t>
            </w:r>
          </w:p>
        </w:tc>
        <w:tc>
          <w:tcPr>
            <w:tcW w:w="12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6940" w:type="dxa"/>
            <w:vAlign w:val="bottom"/>
            <w:gridSpan w:val="30"/>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Condensed Financial Statements (Unaudited</w:t>
              </w:r>
            </w:hyperlink>
            <w:r>
              <w:rPr>
                <w:rFonts w:ascii="Arial" w:cs="Arial" w:eastAsia="Arial" w:hAnsi="Arial"/>
                <w:sz w:val="16"/>
                <w:szCs w:val="16"/>
                <w:color w:val="000000"/>
              </w:rPr>
              <w:t>)</w:t>
            </w: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40" w:type="dxa"/>
            <w:vAlign w:val="bottom"/>
            <w:tcBorders>
              <w:bottom w:val="single" w:sz="8" w:color="0000EE"/>
            </w:tcBorders>
            <w:gridSpan w:val="27"/>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Statements of Income and Comprehensive Income</w:t>
              </w:r>
            </w:hyperlink>
          </w:p>
        </w:tc>
        <w:tc>
          <w:tcPr>
            <w:tcW w:w="2060" w:type="dxa"/>
            <w:vAlign w:val="bottom"/>
            <w:gridSpan w:val="2"/>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700" w:type="dxa"/>
            <w:vAlign w:val="bottom"/>
            <w:gridSpan w:val="29"/>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Balance Sheets</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80" w:type="dxa"/>
            <w:vAlign w:val="bottom"/>
            <w:tcBorders>
              <w:bottom w:val="single" w:sz="8" w:color="0000EE"/>
            </w:tcBorders>
            <w:gridSpan w:val="18"/>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Statements of Cash Flows</w:t>
              </w:r>
            </w:hyperlink>
          </w:p>
        </w:tc>
        <w:tc>
          <w:tcPr>
            <w:tcW w:w="3820" w:type="dxa"/>
            <w:vAlign w:val="bottom"/>
            <w:gridSpan w:val="11"/>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700" w:type="dxa"/>
            <w:vAlign w:val="bottom"/>
            <w:gridSpan w:val="29"/>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Notes to Consolidated Financial Statements</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100" w:type="dxa"/>
            <w:vAlign w:val="bottom"/>
            <w:tcBorders>
              <w:top w:val="single" w:sz="8" w:color="0000EE"/>
              <w:bottom w:val="single" w:sz="8" w:color="0000EE"/>
            </w:tcBorders>
            <w:gridSpan w:val="15"/>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 1: Basis of Presentation</w:t>
              </w:r>
            </w:hyperlink>
          </w:p>
        </w:tc>
        <w:tc>
          <w:tcPr>
            <w:tcW w:w="820" w:type="dxa"/>
            <w:vAlign w:val="bottom"/>
            <w:tcBorders>
              <w:top w:val="single" w:sz="8" w:color="0000EE"/>
            </w:tcBorders>
            <w:gridSpan w:val="6"/>
          </w:tcPr>
          <w:p>
            <w:pPr>
              <w:spacing w:after="0"/>
              <w:rPr>
                <w:sz w:val="21"/>
                <w:szCs w:val="21"/>
                <w:color w:val="auto"/>
              </w:rPr>
            </w:pPr>
          </w:p>
        </w:tc>
        <w:tc>
          <w:tcPr>
            <w:tcW w:w="3560" w:type="dxa"/>
            <w:vAlign w:val="bottom"/>
            <w:gridSpan w:val="7"/>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80" w:type="dxa"/>
            <w:vAlign w:val="bottom"/>
            <w:gridSpan w:val="28"/>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 2: Concentration Risk</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40" w:type="dxa"/>
            <w:vAlign w:val="bottom"/>
            <w:tcBorders>
              <w:bottom w:val="single" w:sz="8" w:color="0000EE"/>
            </w:tcBorders>
            <w:gridSpan w:val="23"/>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 3: Investments and Fair Value Measurements</w:t>
              </w:r>
            </w:hyperlink>
          </w:p>
        </w:tc>
        <w:tc>
          <w:tcPr>
            <w:tcW w:w="2840" w:type="dxa"/>
            <w:vAlign w:val="bottom"/>
            <w:gridSpan w:val="5"/>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Borders>
              <w:bottom w:val="single" w:sz="8" w:color="0000EE"/>
            </w:tcBorders>
            <w:gridSpan w:val="7"/>
          </w:tcPr>
          <w:p>
            <w:pPr>
              <w:spacing w:after="0"/>
              <w:rPr>
                <w:rFonts w:ascii="Arial" w:cs="Arial" w:eastAsia="Arial" w:hAnsi="Arial"/>
                <w:sz w:val="16"/>
                <w:szCs w:val="16"/>
                <w:color w:val="0000EE"/>
                <w:w w:val="99"/>
              </w:rPr>
            </w:pPr>
            <w:hyperlink w:anchor="page8">
              <w:r>
                <w:rPr>
                  <w:rFonts w:ascii="Arial" w:cs="Arial" w:eastAsia="Arial" w:hAnsi="Arial"/>
                  <w:sz w:val="16"/>
                  <w:szCs w:val="16"/>
                  <w:color w:val="0000EE"/>
                  <w:w w:val="99"/>
                </w:rPr>
                <w:t>Note 4: Inventories</w:t>
              </w:r>
            </w:hyperlink>
          </w:p>
        </w:tc>
        <w:tc>
          <w:tcPr>
            <w:tcW w:w="5120" w:type="dxa"/>
            <w:vAlign w:val="bottom"/>
            <w:gridSpan w:val="21"/>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80" w:type="dxa"/>
            <w:vAlign w:val="bottom"/>
            <w:tcBorders>
              <w:bottom w:val="single" w:sz="8" w:color="0000EE"/>
            </w:tcBorders>
            <w:gridSpan w:val="28"/>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Note 5: Net Investment in Operating Leases and Operating Lease Repurchase Obligations</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80" w:type="dxa"/>
            <w:vAlign w:val="bottom"/>
            <w:tcBorders>
              <w:bottom w:val="single" w:sz="8" w:color="0000EE"/>
            </w:tcBorders>
            <w:gridSpan w:val="18"/>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Note 6: Property, Plant and Equipment</w:t>
              </w:r>
            </w:hyperlink>
          </w:p>
        </w:tc>
        <w:tc>
          <w:tcPr>
            <w:tcW w:w="3700" w:type="dxa"/>
            <w:vAlign w:val="bottom"/>
            <w:gridSpan w:val="10"/>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Borders>
              <w:bottom w:val="single" w:sz="8" w:color="0000EE"/>
            </w:tcBorders>
            <w:gridSpan w:val="10"/>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Note 7: Credit Facilities</w:t>
              </w:r>
            </w:hyperlink>
          </w:p>
        </w:tc>
        <w:tc>
          <w:tcPr>
            <w:tcW w:w="4800" w:type="dxa"/>
            <w:vAlign w:val="bottom"/>
            <w:gridSpan w:val="18"/>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Borders>
              <w:bottom w:val="single" w:sz="8" w:color="0000EE"/>
            </w:tcBorders>
            <w:gridSpan w:val="4"/>
          </w:tcPr>
          <w:p>
            <w:pPr>
              <w:spacing w:after="0"/>
              <w:rPr>
                <w:rFonts w:ascii="Arial" w:cs="Arial" w:eastAsia="Arial" w:hAnsi="Arial"/>
                <w:sz w:val="16"/>
                <w:szCs w:val="16"/>
                <w:color w:val="0000EE"/>
                <w:w w:val="99"/>
              </w:rPr>
            </w:pPr>
            <w:hyperlink w:anchor="page10">
              <w:r>
                <w:rPr>
                  <w:rFonts w:ascii="Arial" w:cs="Arial" w:eastAsia="Arial" w:hAnsi="Arial"/>
                  <w:sz w:val="16"/>
                  <w:szCs w:val="16"/>
                  <w:color w:val="0000EE"/>
                  <w:w w:val="99"/>
                </w:rPr>
                <w:t>Note 8: Warranty</w:t>
              </w:r>
            </w:hyperlink>
          </w:p>
        </w:tc>
        <w:tc>
          <w:tcPr>
            <w:tcW w:w="5260" w:type="dxa"/>
            <w:vAlign w:val="bottom"/>
            <w:gridSpan w:val="24"/>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0" w:type="dxa"/>
            <w:vAlign w:val="bottom"/>
            <w:tcBorders>
              <w:bottom w:val="single" w:sz="8" w:color="0000EE"/>
            </w:tcBorders>
            <w:gridSpan w:val="19"/>
          </w:tcPr>
          <w:p>
            <w:pPr>
              <w:spacing w:after="0"/>
              <w:rPr>
                <w:rFonts w:ascii="Arial" w:cs="Arial" w:eastAsia="Arial" w:hAnsi="Arial"/>
                <w:sz w:val="16"/>
                <w:szCs w:val="16"/>
                <w:color w:val="0000EE"/>
              </w:rPr>
            </w:pPr>
            <w:hyperlink w:anchor="page10">
              <w:r>
                <w:rPr>
                  <w:rFonts w:ascii="Arial" w:cs="Arial" w:eastAsia="Arial" w:hAnsi="Arial"/>
                  <w:sz w:val="16"/>
                  <w:szCs w:val="16"/>
                  <w:color w:val="0000EE"/>
                </w:rPr>
                <w:t>Note 9: Employee and Retiree Benefits</w:t>
              </w:r>
            </w:hyperlink>
          </w:p>
        </w:tc>
        <w:tc>
          <w:tcPr>
            <w:tcW w:w="3680" w:type="dxa"/>
            <w:vAlign w:val="bottom"/>
            <w:gridSpan w:val="9"/>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tcBorders>
              <w:bottom w:val="single" w:sz="8" w:color="0000EE"/>
            </w:tcBorders>
            <w:gridSpan w:val="16"/>
          </w:tcPr>
          <w:p>
            <w:pPr>
              <w:spacing w:after="0"/>
              <w:rPr>
                <w:rFonts w:ascii="Arial" w:cs="Arial" w:eastAsia="Arial" w:hAnsi="Arial"/>
                <w:sz w:val="16"/>
                <w:szCs w:val="16"/>
                <w:color w:val="0000EE"/>
              </w:rPr>
            </w:pPr>
            <w:hyperlink w:anchor="page11">
              <w:r>
                <w:rPr>
                  <w:rFonts w:ascii="Arial" w:cs="Arial" w:eastAsia="Arial" w:hAnsi="Arial"/>
                  <w:sz w:val="16"/>
                  <w:szCs w:val="16"/>
                  <w:color w:val="0000EE"/>
                </w:rPr>
                <w:t>Note 10: Stockholders' Equity</w:t>
              </w:r>
            </w:hyperlink>
          </w:p>
        </w:tc>
        <w:tc>
          <w:tcPr>
            <w:tcW w:w="4360" w:type="dxa"/>
            <w:vAlign w:val="bottom"/>
            <w:gridSpan w:val="12"/>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80" w:type="dxa"/>
            <w:vAlign w:val="bottom"/>
            <w:gridSpan w:val="28"/>
          </w:tcPr>
          <w:p>
            <w:pPr>
              <w:spacing w:after="0"/>
              <w:rPr>
                <w:rFonts w:ascii="Arial" w:cs="Arial" w:eastAsia="Arial" w:hAnsi="Arial"/>
                <w:sz w:val="16"/>
                <w:szCs w:val="16"/>
                <w:color w:val="0000EE"/>
              </w:rPr>
            </w:pPr>
            <w:hyperlink w:anchor="page12">
              <w:r>
                <w:rPr>
                  <w:rFonts w:ascii="Arial" w:cs="Arial" w:eastAsia="Arial" w:hAnsi="Arial"/>
                  <w:sz w:val="16"/>
                  <w:szCs w:val="16"/>
                  <w:color w:val="0000EE"/>
                </w:rPr>
                <w:t>Note 11: Contingent Liabilities and Commitments</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Borders>
              <w:top w:val="single" w:sz="8" w:color="0000EE"/>
              <w:bottom w:val="single" w:sz="8" w:color="0000EE"/>
            </w:tcBorders>
            <w:gridSpan w:val="9"/>
          </w:tcPr>
          <w:p>
            <w:pPr>
              <w:spacing w:after="0"/>
              <w:rPr>
                <w:rFonts w:ascii="Arial" w:cs="Arial" w:eastAsia="Arial" w:hAnsi="Arial"/>
                <w:sz w:val="16"/>
                <w:szCs w:val="16"/>
                <w:color w:val="0000EE"/>
                <w:w w:val="99"/>
              </w:rPr>
            </w:pPr>
            <w:hyperlink w:anchor="page13">
              <w:r>
                <w:rPr>
                  <w:rFonts w:ascii="Arial" w:cs="Arial" w:eastAsia="Arial" w:hAnsi="Arial"/>
                  <w:sz w:val="16"/>
                  <w:szCs w:val="16"/>
                  <w:color w:val="0000EE"/>
                  <w:w w:val="99"/>
                </w:rPr>
                <w:t>Note 12: Income Taxes</w:t>
              </w:r>
            </w:hyperlink>
          </w:p>
        </w:tc>
        <w:tc>
          <w:tcPr>
            <w:tcW w:w="1840" w:type="dxa"/>
            <w:vAlign w:val="bottom"/>
            <w:tcBorders>
              <w:top w:val="single" w:sz="8" w:color="0000EE"/>
            </w:tcBorders>
            <w:gridSpan w:val="13"/>
          </w:tcPr>
          <w:p>
            <w:pPr>
              <w:spacing w:after="0"/>
              <w:rPr>
                <w:sz w:val="21"/>
                <w:szCs w:val="21"/>
                <w:color w:val="auto"/>
              </w:rPr>
            </w:pPr>
          </w:p>
        </w:tc>
        <w:tc>
          <w:tcPr>
            <w:tcW w:w="2980" w:type="dxa"/>
            <w:vAlign w:val="bottom"/>
            <w:gridSpan w:val="6"/>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80" w:type="dxa"/>
            <w:vAlign w:val="bottom"/>
            <w:gridSpan w:val="28"/>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Note 13: Earnings Per Share</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60" w:type="dxa"/>
            <w:vAlign w:val="bottom"/>
            <w:tcBorders>
              <w:bottom w:val="single" w:sz="8" w:color="0000EE"/>
            </w:tcBorders>
            <w:gridSpan w:val="20"/>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Note 14: Comprehensive Income (Loss)</w:t>
              </w:r>
            </w:hyperlink>
          </w:p>
        </w:tc>
        <w:tc>
          <w:tcPr>
            <w:tcW w:w="3620" w:type="dxa"/>
            <w:vAlign w:val="bottom"/>
            <w:gridSpan w:val="8"/>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Borders>
              <w:bottom w:val="single" w:sz="8" w:color="0000EE"/>
            </w:tcBorders>
            <w:gridSpan w:val="13"/>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Note 15: Subsequent Event</w:t>
              </w:r>
            </w:hyperlink>
          </w:p>
        </w:tc>
        <w:tc>
          <w:tcPr>
            <w:tcW w:w="4500" w:type="dxa"/>
            <w:vAlign w:val="bottom"/>
            <w:gridSpan w:val="15"/>
          </w:tcPr>
          <w:p>
            <w:pPr>
              <w:spacing w:after="0"/>
              <w:rPr>
                <w:sz w:val="21"/>
                <w:szCs w:val="21"/>
                <w:color w:val="auto"/>
              </w:rPr>
            </w:pPr>
          </w:p>
        </w:tc>
      </w:tr>
      <w:tr>
        <w:trPr>
          <w:trHeight w:val="250"/>
        </w:trPr>
        <w:tc>
          <w:tcPr>
            <w:tcW w:w="640" w:type="dxa"/>
            <w:vAlign w:val="bottom"/>
            <w:gridSpan w:val="3"/>
          </w:tcPr>
          <w:p>
            <w:pPr>
              <w:spacing w:after="0"/>
              <w:rPr>
                <w:sz w:val="20"/>
                <w:szCs w:val="20"/>
                <w:color w:val="auto"/>
              </w:rPr>
            </w:pPr>
            <w:r>
              <w:rPr>
                <w:rFonts w:ascii="Arial" w:cs="Arial" w:eastAsia="Arial" w:hAnsi="Arial"/>
                <w:sz w:val="16"/>
                <w:szCs w:val="16"/>
                <w:color w:val="auto"/>
              </w:rPr>
              <w:t>Item 2.</w:t>
            </w:r>
          </w:p>
        </w:tc>
        <w:tc>
          <w:tcPr>
            <w:tcW w:w="280" w:type="dxa"/>
            <w:vAlign w:val="bottom"/>
          </w:tcPr>
          <w:p>
            <w:pPr>
              <w:spacing w:after="0"/>
              <w:rPr>
                <w:sz w:val="21"/>
                <w:szCs w:val="21"/>
                <w:color w:val="auto"/>
              </w:rPr>
            </w:pPr>
          </w:p>
        </w:tc>
        <w:tc>
          <w:tcPr>
            <w:tcW w:w="6940" w:type="dxa"/>
            <w:vAlign w:val="bottom"/>
            <w:gridSpan w:val="30"/>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Management's Discussion and Analysis of Financial Condition and Results of Operations</w:t>
              </w:r>
            </w:hyperlink>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3.</w:t>
            </w:r>
          </w:p>
        </w:tc>
        <w:tc>
          <w:tcPr>
            <w:tcW w:w="280" w:type="dxa"/>
            <w:vAlign w:val="bottom"/>
          </w:tcPr>
          <w:p>
            <w:pPr>
              <w:spacing w:after="0"/>
              <w:rPr>
                <w:sz w:val="19"/>
                <w:szCs w:val="19"/>
                <w:color w:val="auto"/>
              </w:rPr>
            </w:pPr>
          </w:p>
        </w:tc>
        <w:tc>
          <w:tcPr>
            <w:tcW w:w="4240" w:type="dxa"/>
            <w:vAlign w:val="bottom"/>
            <w:tcBorders>
              <w:top w:val="single" w:sz="8" w:color="0000EE"/>
              <w:bottom w:val="single" w:sz="8" w:color="0000EE"/>
            </w:tcBorders>
            <w:gridSpan w:val="26"/>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Quantitative and Qualitative Disclosures About Market Risk</w:t>
              </w:r>
            </w:hyperlink>
          </w:p>
        </w:tc>
        <w:tc>
          <w:tcPr>
            <w:tcW w:w="2120" w:type="dxa"/>
            <w:vAlign w:val="bottom"/>
            <w:tcBorders>
              <w:top w:val="single" w:sz="8" w:color="0000EE"/>
            </w:tcBorders>
            <w:gridSpan w:val="3"/>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4.</w:t>
            </w:r>
          </w:p>
        </w:tc>
        <w:tc>
          <w:tcPr>
            <w:tcW w:w="280" w:type="dxa"/>
            <w:vAlign w:val="bottom"/>
          </w:tcPr>
          <w:p>
            <w:pPr>
              <w:spacing w:after="0"/>
              <w:rPr>
                <w:sz w:val="19"/>
                <w:szCs w:val="19"/>
                <w:color w:val="auto"/>
              </w:rPr>
            </w:pPr>
          </w:p>
        </w:tc>
        <w:tc>
          <w:tcPr>
            <w:tcW w:w="6940" w:type="dxa"/>
            <w:vAlign w:val="bottom"/>
            <w:gridSpan w:val="30"/>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Controls and Procedures</w:t>
              </w:r>
            </w:hyperlink>
          </w:p>
        </w:tc>
      </w:tr>
      <w:tr>
        <w:trPr>
          <w:trHeight w:val="520"/>
        </w:trPr>
        <w:tc>
          <w:tcPr>
            <w:tcW w:w="560" w:type="dxa"/>
            <w:vAlign w:val="bottom"/>
            <w:tcBorders>
              <w:bottom w:val="single" w:sz="8" w:color="0000EE"/>
            </w:tcBorders>
            <w:gridSpan w:val="2"/>
          </w:tcPr>
          <w:p>
            <w:pPr>
              <w:spacing w:after="0"/>
              <w:rPr>
                <w:rFonts w:ascii="Arial" w:cs="Arial" w:eastAsia="Arial" w:hAnsi="Arial"/>
                <w:sz w:val="16"/>
                <w:szCs w:val="16"/>
                <w:b w:val="1"/>
                <w:bCs w:val="1"/>
                <w:color w:val="0000EE"/>
                <w:w w:val="94"/>
              </w:rPr>
            </w:pPr>
            <w:hyperlink w:anchor="page23">
              <w:r>
                <w:rPr>
                  <w:rFonts w:ascii="Arial" w:cs="Arial" w:eastAsia="Arial" w:hAnsi="Arial"/>
                  <w:sz w:val="16"/>
                  <w:szCs w:val="16"/>
                  <w:b w:val="1"/>
                  <w:bCs w:val="1"/>
                  <w:color w:val="0000EE"/>
                  <w:w w:val="94"/>
                </w:rPr>
                <w:t>PART II</w:t>
              </w:r>
            </w:hyperlink>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Borders>
              <w:top w:val="single" w:sz="8" w:color="0000EE"/>
              <w:bottom w:val="single" w:sz="8" w:color="0000EE"/>
            </w:tcBorders>
            <w:gridSpan w:val="7"/>
          </w:tcPr>
          <w:p>
            <w:pPr>
              <w:spacing w:after="0"/>
              <w:rPr>
                <w:rFonts w:ascii="Arial" w:cs="Arial" w:eastAsia="Arial" w:hAnsi="Arial"/>
                <w:sz w:val="16"/>
                <w:szCs w:val="16"/>
                <w:b w:val="1"/>
                <w:bCs w:val="1"/>
                <w:color w:val="0000EE"/>
                <w:w w:val="99"/>
              </w:rPr>
            </w:pPr>
            <w:hyperlink w:anchor="page23">
              <w:r>
                <w:rPr>
                  <w:rFonts w:ascii="Arial" w:cs="Arial" w:eastAsia="Arial" w:hAnsi="Arial"/>
                  <w:sz w:val="16"/>
                  <w:szCs w:val="16"/>
                  <w:b w:val="1"/>
                  <w:bCs w:val="1"/>
                  <w:color w:val="0000EE"/>
                  <w:w w:val="99"/>
                </w:rPr>
                <w:t>OTHER INFORMATION</w:t>
              </w:r>
            </w:hyperlink>
          </w:p>
        </w:tc>
        <w:tc>
          <w:tcPr>
            <w:tcW w:w="40" w:type="dxa"/>
            <w:vAlign w:val="bottom"/>
            <w:tcBorders>
              <w:top w:val="single" w:sz="8" w:color="0000EE"/>
            </w:tcBorders>
          </w:tcPr>
          <w:p>
            <w:pPr>
              <w:spacing w:after="0"/>
              <w:rPr>
                <w:sz w:val="24"/>
                <w:szCs w:val="24"/>
                <w:color w:val="auto"/>
              </w:rPr>
            </w:pPr>
          </w:p>
        </w:tc>
        <w:tc>
          <w:tcPr>
            <w:tcW w:w="5160" w:type="dxa"/>
            <w:vAlign w:val="bottom"/>
            <w:gridSpan w:val="22"/>
          </w:tcPr>
          <w:p>
            <w:pPr>
              <w:spacing w:after="0"/>
              <w:rPr>
                <w:sz w:val="24"/>
                <w:szCs w:val="24"/>
                <w:color w:val="auto"/>
              </w:rPr>
            </w:pPr>
          </w:p>
        </w:tc>
      </w:tr>
      <w:tr>
        <w:trPr>
          <w:trHeight w:val="250"/>
        </w:trPr>
        <w:tc>
          <w:tcPr>
            <w:tcW w:w="640" w:type="dxa"/>
            <w:vAlign w:val="bottom"/>
            <w:gridSpan w:val="3"/>
          </w:tcPr>
          <w:p>
            <w:pPr>
              <w:spacing w:after="0"/>
              <w:rPr>
                <w:sz w:val="20"/>
                <w:szCs w:val="20"/>
                <w:color w:val="auto"/>
              </w:rPr>
            </w:pPr>
            <w:r>
              <w:rPr>
                <w:rFonts w:ascii="Arial" w:cs="Arial" w:eastAsia="Arial" w:hAnsi="Arial"/>
                <w:sz w:val="16"/>
                <w:szCs w:val="16"/>
                <w:color w:val="auto"/>
              </w:rPr>
              <w:t>Item 1.</w:t>
            </w:r>
          </w:p>
        </w:tc>
        <w:tc>
          <w:tcPr>
            <w:tcW w:w="280" w:type="dxa"/>
            <w:vAlign w:val="bottom"/>
          </w:tcPr>
          <w:p>
            <w:pPr>
              <w:spacing w:after="0"/>
              <w:rPr>
                <w:sz w:val="21"/>
                <w:szCs w:val="21"/>
                <w:color w:val="auto"/>
              </w:rPr>
            </w:pPr>
          </w:p>
        </w:tc>
        <w:tc>
          <w:tcPr>
            <w:tcW w:w="1340" w:type="dxa"/>
            <w:vAlign w:val="bottom"/>
            <w:tcBorders>
              <w:bottom w:val="single" w:sz="8" w:color="0000EE"/>
            </w:tcBorders>
            <w:gridSpan w:val="5"/>
          </w:tcPr>
          <w:p>
            <w:pPr>
              <w:spacing w:after="0"/>
              <w:rPr>
                <w:rFonts w:ascii="Arial" w:cs="Arial" w:eastAsia="Arial" w:hAnsi="Arial"/>
                <w:sz w:val="16"/>
                <w:szCs w:val="16"/>
                <w:color w:val="0000EE"/>
                <w:w w:val="99"/>
              </w:rPr>
            </w:pPr>
            <w:hyperlink w:anchor="page23">
              <w:r>
                <w:rPr>
                  <w:rFonts w:ascii="Arial" w:cs="Arial" w:eastAsia="Arial" w:hAnsi="Arial"/>
                  <w:sz w:val="16"/>
                  <w:szCs w:val="16"/>
                  <w:color w:val="0000EE"/>
                  <w:w w:val="99"/>
                </w:rPr>
                <w:t>Legal Proceedings</w:t>
              </w:r>
            </w:hyperlink>
          </w:p>
        </w:tc>
        <w:tc>
          <w:tcPr>
            <w:tcW w:w="5600" w:type="dxa"/>
            <w:vAlign w:val="bottom"/>
            <w:gridSpan w:val="25"/>
          </w:tcPr>
          <w:p>
            <w:pPr>
              <w:spacing w:after="0"/>
              <w:rPr>
                <w:sz w:val="21"/>
                <w:szCs w:val="21"/>
                <w:color w:val="auto"/>
              </w:rPr>
            </w:pPr>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1A</w:t>
            </w:r>
          </w:p>
        </w:tc>
        <w:tc>
          <w:tcPr>
            <w:tcW w:w="280" w:type="dxa"/>
            <w:vAlign w:val="bottom"/>
          </w:tcPr>
          <w:p>
            <w:pPr>
              <w:spacing w:after="0"/>
              <w:rPr>
                <w:sz w:val="19"/>
                <w:szCs w:val="19"/>
                <w:color w:val="auto"/>
              </w:rPr>
            </w:pPr>
          </w:p>
        </w:tc>
        <w:tc>
          <w:tcPr>
            <w:tcW w:w="900" w:type="dxa"/>
            <w:vAlign w:val="bottom"/>
            <w:tcBorders>
              <w:bottom w:val="single" w:sz="8" w:color="0000EE"/>
            </w:tcBorders>
            <w:gridSpan w:val="4"/>
          </w:tcPr>
          <w:p>
            <w:pPr>
              <w:spacing w:after="0"/>
              <w:rPr>
                <w:rFonts w:ascii="Arial" w:cs="Arial" w:eastAsia="Arial" w:hAnsi="Arial"/>
                <w:sz w:val="16"/>
                <w:szCs w:val="16"/>
                <w:color w:val="0000EE"/>
                <w:w w:val="98"/>
              </w:rPr>
            </w:pPr>
            <w:hyperlink w:anchor="page23">
              <w:r>
                <w:rPr>
                  <w:rFonts w:ascii="Arial" w:cs="Arial" w:eastAsia="Arial" w:hAnsi="Arial"/>
                  <w:sz w:val="16"/>
                  <w:szCs w:val="16"/>
                  <w:color w:val="0000EE"/>
                  <w:w w:val="98"/>
                </w:rPr>
                <w:t>Risk Factors</w:t>
              </w:r>
            </w:hyperlink>
          </w:p>
        </w:tc>
        <w:tc>
          <w:tcPr>
            <w:tcW w:w="6040" w:type="dxa"/>
            <w:vAlign w:val="bottom"/>
            <w:gridSpan w:val="26"/>
          </w:tcPr>
          <w:p>
            <w:pPr>
              <w:spacing w:after="0"/>
              <w:rPr>
                <w:sz w:val="19"/>
                <w:szCs w:val="19"/>
                <w:color w:val="auto"/>
              </w:rPr>
            </w:pPr>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2.</w:t>
            </w:r>
          </w:p>
        </w:tc>
        <w:tc>
          <w:tcPr>
            <w:tcW w:w="280" w:type="dxa"/>
            <w:vAlign w:val="bottom"/>
          </w:tcPr>
          <w:p>
            <w:pPr>
              <w:spacing w:after="0"/>
              <w:rPr>
                <w:sz w:val="19"/>
                <w:szCs w:val="19"/>
                <w:color w:val="auto"/>
              </w:rPr>
            </w:pPr>
          </w:p>
        </w:tc>
        <w:tc>
          <w:tcPr>
            <w:tcW w:w="6940" w:type="dxa"/>
            <w:vAlign w:val="bottom"/>
            <w:gridSpan w:val="30"/>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Unregistered Sales of Equity Securities and Use of Proceeds</w:t>
              </w:r>
            </w:hyperlink>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6.</w:t>
            </w:r>
          </w:p>
        </w:tc>
        <w:tc>
          <w:tcPr>
            <w:tcW w:w="280" w:type="dxa"/>
            <w:vAlign w:val="bottom"/>
          </w:tcPr>
          <w:p>
            <w:pPr>
              <w:spacing w:after="0"/>
              <w:rPr>
                <w:sz w:val="19"/>
                <w:szCs w:val="19"/>
                <w:color w:val="auto"/>
              </w:rPr>
            </w:pPr>
          </w:p>
        </w:tc>
        <w:tc>
          <w:tcPr>
            <w:tcW w:w="4360" w:type="dxa"/>
            <w:vAlign w:val="bottom"/>
            <w:tcBorders>
              <w:top w:val="single" w:sz="8" w:color="0000EE"/>
            </w:tcBorders>
            <w:gridSpan w:val="27"/>
          </w:tcPr>
          <w:p>
            <w:pPr>
              <w:spacing w:after="0"/>
              <w:rPr>
                <w:rFonts w:ascii="Arial" w:cs="Arial" w:eastAsia="Arial" w:hAnsi="Arial"/>
                <w:sz w:val="16"/>
                <w:szCs w:val="16"/>
                <w:color w:val="0000EE"/>
              </w:rPr>
            </w:pPr>
            <w:hyperlink w:anchor="page24">
              <w:r>
                <w:rPr>
                  <w:rFonts w:ascii="Arial" w:cs="Arial" w:eastAsia="Arial" w:hAnsi="Arial"/>
                  <w:sz w:val="16"/>
                  <w:szCs w:val="16"/>
                  <w:color w:val="0000EE"/>
                </w:rPr>
                <w:t>Exhibits</w:t>
              </w:r>
            </w:hyperlink>
          </w:p>
        </w:tc>
        <w:tc>
          <w:tcPr>
            <w:tcW w:w="2580" w:type="dxa"/>
            <w:vAlign w:val="bottom"/>
            <w:gridSpan w:val="3"/>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347" w:lineRule="exact"/>
        <w:rPr>
          <w:sz w:val="20"/>
          <w:szCs w:val="20"/>
          <w:color w:val="auto"/>
        </w:rPr>
      </w:pPr>
    </w:p>
    <w:p>
      <w:pPr>
        <w:spacing w:after="0"/>
        <w:rPr>
          <w:rFonts w:ascii="Arial" w:cs="Arial" w:eastAsia="Arial" w:hAnsi="Arial"/>
          <w:sz w:val="16"/>
          <w:szCs w:val="16"/>
          <w:b w:val="1"/>
          <w:bCs w:val="1"/>
          <w:u w:val="single" w:color="auto"/>
          <w:color w:val="0000EE"/>
        </w:rPr>
      </w:pPr>
      <w:hyperlink w:anchor="page24">
        <w:r>
          <w:rPr>
            <w:rFonts w:ascii="Arial" w:cs="Arial" w:eastAsia="Arial" w:hAnsi="Arial"/>
            <w:sz w:val="16"/>
            <w:szCs w:val="16"/>
            <w:b w:val="1"/>
            <w:bCs w:val="1"/>
            <w:u w:val="single" w:color="auto"/>
            <w:color w:val="0000EE"/>
          </w:rPr>
          <w:t>SIGNATURES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rFonts w:ascii="Arial" w:cs="Arial" w:eastAsia="Arial" w:hAnsi="Arial"/>
          <w:sz w:val="16"/>
          <w:szCs w:val="16"/>
          <w:color w:val="0000EE"/>
        </w:rPr>
      </w:pPr>
      <w:hyperlink w:anchor="page2">
        <w:r>
          <w:rPr>
            <w:rFonts w:ascii="Arial" w:cs="Arial" w:eastAsia="Arial" w:hAnsi="Arial"/>
            <w:sz w:val="16"/>
            <w:szCs w:val="16"/>
            <w:color w:val="0000EE"/>
          </w:rPr>
          <w:t>1</w:t>
        </w:r>
      </w:hyperlink>
    </w:p>
    <w:p>
      <w:pPr>
        <w:spacing w:after="0" w:line="356" w:lineRule="exact"/>
        <w:rPr>
          <w:sz w:val="20"/>
          <w:szCs w:val="20"/>
          <w:color w:val="auto"/>
        </w:rPr>
      </w:pPr>
    </w:p>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2</w:t>
        </w:r>
      </w:hyperlink>
    </w:p>
    <w:p>
      <w:pPr>
        <w:spacing w:after="0" w:line="356" w:lineRule="exact"/>
        <w:rPr>
          <w:sz w:val="20"/>
          <w:szCs w:val="20"/>
          <w:color w:val="auto"/>
        </w:rPr>
      </w:pPr>
    </w:p>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2</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3</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5">
        <w:r>
          <w:rPr>
            <w:rFonts w:ascii="Arial" w:cs="Arial" w:eastAsia="Arial" w:hAnsi="Arial"/>
            <w:sz w:val="16"/>
            <w:szCs w:val="16"/>
            <w:color w:val="0000EE"/>
          </w:rPr>
          <w:t>4</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6">
        <w:r>
          <w:rPr>
            <w:rFonts w:ascii="Arial" w:cs="Arial" w:eastAsia="Arial" w:hAnsi="Arial"/>
            <w:sz w:val="16"/>
            <w:szCs w:val="16"/>
            <w:color w:val="0000EE"/>
          </w:rPr>
          <w:t>5</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5</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5</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5</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9">
        <w:r>
          <w:rPr>
            <w:rFonts w:ascii="Arial" w:cs="Arial" w:eastAsia="Arial" w:hAnsi="Arial"/>
            <w:sz w:val="16"/>
            <w:szCs w:val="16"/>
            <w:color w:val="0000EE"/>
          </w:rPr>
          <w:t>7</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8">
        <w:r>
          <w:rPr>
            <w:rFonts w:ascii="Arial" w:cs="Arial" w:eastAsia="Arial" w:hAnsi="Arial"/>
            <w:sz w:val="16"/>
            <w:szCs w:val="16"/>
            <w:color w:val="0000EE"/>
          </w:rPr>
          <w:t>7</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9">
        <w:r>
          <w:rPr>
            <w:rFonts w:ascii="Arial" w:cs="Arial" w:eastAsia="Arial" w:hAnsi="Arial"/>
            <w:sz w:val="16"/>
            <w:szCs w:val="16"/>
            <w:color w:val="0000EE"/>
          </w:rPr>
          <w:t>7</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9">
        <w:r>
          <w:rPr>
            <w:rFonts w:ascii="Arial" w:cs="Arial" w:eastAsia="Arial" w:hAnsi="Arial"/>
            <w:sz w:val="16"/>
            <w:szCs w:val="16"/>
            <w:color w:val="0000EE"/>
          </w:rPr>
          <w:t>8</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10">
        <w:r>
          <w:rPr>
            <w:rFonts w:ascii="Arial" w:cs="Arial" w:eastAsia="Arial" w:hAnsi="Arial"/>
            <w:sz w:val="16"/>
            <w:szCs w:val="16"/>
            <w:color w:val="0000EE"/>
          </w:rPr>
          <w:t>8</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10">
        <w:r>
          <w:rPr>
            <w:rFonts w:ascii="Arial" w:cs="Arial" w:eastAsia="Arial" w:hAnsi="Arial"/>
            <w:sz w:val="16"/>
            <w:szCs w:val="16"/>
            <w:color w:val="0000EE"/>
          </w:rPr>
          <w:t>9</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11">
        <w:r>
          <w:rPr>
            <w:rFonts w:ascii="Arial" w:cs="Arial" w:eastAsia="Arial" w:hAnsi="Arial"/>
            <w:sz w:val="16"/>
            <w:szCs w:val="16"/>
            <w:color w:val="0000EE"/>
          </w:rPr>
          <w:t>9</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2">
        <w:r>
          <w:rPr>
            <w:rFonts w:ascii="Arial" w:cs="Arial" w:eastAsia="Arial" w:hAnsi="Arial"/>
            <w:sz w:val="16"/>
            <w:szCs w:val="16"/>
            <w:color w:val="0000EE"/>
          </w:rPr>
          <w:t>10</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3">
        <w:r>
          <w:rPr>
            <w:rFonts w:ascii="Arial" w:cs="Arial" w:eastAsia="Arial" w:hAnsi="Arial"/>
            <w:sz w:val="16"/>
            <w:szCs w:val="16"/>
            <w:color w:val="0000EE"/>
          </w:rPr>
          <w:t>11</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3">
        <w:r>
          <w:rPr>
            <w:rFonts w:ascii="Arial" w:cs="Arial" w:eastAsia="Arial" w:hAnsi="Arial"/>
            <w:sz w:val="16"/>
            <w:szCs w:val="16"/>
            <w:color w:val="0000EE"/>
          </w:rPr>
          <w:t>11</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3">
        <w:r>
          <w:rPr>
            <w:rFonts w:ascii="Arial" w:cs="Arial" w:eastAsia="Arial" w:hAnsi="Arial"/>
            <w:sz w:val="16"/>
            <w:szCs w:val="16"/>
            <w:color w:val="0000EE"/>
          </w:rPr>
          <w:t>12</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4">
        <w:r>
          <w:rPr>
            <w:rFonts w:ascii="Arial" w:cs="Arial" w:eastAsia="Arial" w:hAnsi="Arial"/>
            <w:sz w:val="16"/>
            <w:szCs w:val="16"/>
            <w:color w:val="0000EE"/>
          </w:rPr>
          <w:t>12</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14">
        <w:r>
          <w:rPr>
            <w:rFonts w:ascii="Arial" w:cs="Arial" w:eastAsia="Arial" w:hAnsi="Arial"/>
            <w:sz w:val="16"/>
            <w:szCs w:val="16"/>
            <w:color w:val="0000EE"/>
          </w:rPr>
          <w:t>12</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23">
        <w:r>
          <w:rPr>
            <w:rFonts w:ascii="Arial" w:cs="Arial" w:eastAsia="Arial" w:hAnsi="Arial"/>
            <w:sz w:val="16"/>
            <w:szCs w:val="16"/>
            <w:color w:val="0000EE"/>
          </w:rPr>
          <w:t>21</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23">
        <w:r>
          <w:rPr>
            <w:rFonts w:ascii="Arial" w:cs="Arial" w:eastAsia="Arial" w:hAnsi="Arial"/>
            <w:sz w:val="16"/>
            <w:szCs w:val="16"/>
            <w:color w:val="0000EE"/>
          </w:rPr>
          <w:t>21</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rFonts w:ascii="Arial" w:cs="Arial" w:eastAsia="Arial" w:hAnsi="Arial"/>
          <w:sz w:val="16"/>
          <w:szCs w:val="16"/>
          <w:color w:val="0000EE"/>
        </w:rPr>
      </w:pPr>
      <w:hyperlink w:anchor="page23">
        <w:r>
          <w:rPr>
            <w:rFonts w:ascii="Arial" w:cs="Arial" w:eastAsia="Arial" w:hAnsi="Arial"/>
            <w:sz w:val="16"/>
            <w:szCs w:val="16"/>
            <w:color w:val="0000EE"/>
          </w:rPr>
          <w:t>21</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23">
        <w:r>
          <w:rPr>
            <w:rFonts w:ascii="Arial" w:cs="Arial" w:eastAsia="Arial" w:hAnsi="Arial"/>
            <w:sz w:val="16"/>
            <w:szCs w:val="16"/>
            <w:color w:val="0000EE"/>
          </w:rPr>
          <w:t>21</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23">
        <w:r>
          <w:rPr>
            <w:rFonts w:ascii="Arial" w:cs="Arial" w:eastAsia="Arial" w:hAnsi="Arial"/>
            <w:sz w:val="16"/>
            <w:szCs w:val="16"/>
            <w:color w:val="0000EE"/>
          </w:rPr>
          <w:t>22</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24">
        <w:r>
          <w:rPr>
            <w:rFonts w:ascii="Arial" w:cs="Arial" w:eastAsia="Arial" w:hAnsi="Arial"/>
            <w:sz w:val="16"/>
            <w:szCs w:val="16"/>
            <w:color w:val="0000EE"/>
          </w:rPr>
          <w:t>22</w:t>
        </w:r>
      </w:hyperlink>
    </w:p>
    <w:p>
      <w:pPr>
        <w:spacing w:after="0" w:line="356" w:lineRule="exact"/>
        <w:rPr>
          <w:sz w:val="20"/>
          <w:szCs w:val="20"/>
          <w:color w:val="auto"/>
        </w:rPr>
      </w:pPr>
    </w:p>
    <w:p>
      <w:pPr>
        <w:spacing w:after="0"/>
        <w:rPr>
          <w:rFonts w:ascii="Arial" w:cs="Arial" w:eastAsia="Arial" w:hAnsi="Arial"/>
          <w:sz w:val="16"/>
          <w:szCs w:val="16"/>
          <w:color w:val="0000EE"/>
        </w:rPr>
      </w:pPr>
      <w:hyperlink w:anchor="page24">
        <w:r>
          <w:rPr>
            <w:rFonts w:ascii="Arial" w:cs="Arial" w:eastAsia="Arial" w:hAnsi="Arial"/>
            <w:sz w:val="16"/>
            <w:szCs w:val="16"/>
            <w:color w:val="0000EE"/>
          </w:rPr>
          <w:t>23</w:t>
        </w:r>
      </w:hyperlink>
    </w:p>
    <w:p>
      <w:pPr>
        <w:sectPr>
          <w:pgSz w:w="11900" w:h="16838" w:orient="portrait"/>
          <w:cols w:equalWidth="0" w:num="2">
            <w:col w:w="10460" w:space="720"/>
            <w:col w:w="180"/>
          </w:cols>
          <w:pgMar w:left="280" w:top="364" w:right="25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Glossary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terms and abbreviations appear in the text of this report and are defined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AOCI</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Accumulated Other Comprehensive Income (Loss)</w:t>
            </w:r>
          </w:p>
        </w:tc>
        <w:tc>
          <w:tcPr>
            <w:tcW w:w="0" w:type="dxa"/>
            <w:vAlign w:val="bottom"/>
          </w:tcPr>
          <w:p>
            <w:pPr>
              <w:spacing w:after="0"/>
              <w:rPr>
                <w:sz w:val="1"/>
                <w:szCs w:val="1"/>
                <w:color w:val="auto"/>
              </w:rPr>
            </w:pPr>
          </w:p>
        </w:tc>
      </w:tr>
      <w:tr>
        <w:trPr>
          <w:trHeight w:val="218"/>
        </w:trPr>
        <w:tc>
          <w:tcPr>
            <w:tcW w:w="2360" w:type="dxa"/>
            <w:vAlign w:val="bottom"/>
          </w:tcPr>
          <w:p>
            <w:pPr>
              <w:ind w:left="40"/>
              <w:spacing w:after="0"/>
              <w:rPr>
                <w:sz w:val="20"/>
                <w:szCs w:val="20"/>
                <w:color w:val="auto"/>
              </w:rPr>
            </w:pPr>
            <w:r>
              <w:rPr>
                <w:rFonts w:ascii="Arial" w:cs="Arial" w:eastAsia="Arial" w:hAnsi="Arial"/>
                <w:sz w:val="16"/>
                <w:szCs w:val="16"/>
                <w:color w:val="auto"/>
              </w:rPr>
              <w:t>Amended Credit Agreement</w:t>
            </w:r>
          </w:p>
        </w:tc>
        <w:tc>
          <w:tcPr>
            <w:tcW w:w="9060" w:type="dxa"/>
            <w:vAlign w:val="bottom"/>
          </w:tcPr>
          <w:p>
            <w:pPr>
              <w:ind w:left="300"/>
              <w:spacing w:after="0"/>
              <w:rPr>
                <w:sz w:val="20"/>
                <w:szCs w:val="20"/>
                <w:color w:val="auto"/>
              </w:rPr>
            </w:pPr>
            <w:r>
              <w:rPr>
                <w:rFonts w:ascii="Arial" w:cs="Arial" w:eastAsia="Arial" w:hAnsi="Arial"/>
                <w:sz w:val="16"/>
                <w:szCs w:val="16"/>
                <w:color w:val="auto"/>
              </w:rPr>
              <w:t>Credit Agreement dated as of May 28, 2014 by and between Winnebago Industries, Inc. and Winnebago of Indiana, LLC,</w:t>
            </w:r>
          </w:p>
        </w:tc>
        <w:tc>
          <w:tcPr>
            <w:tcW w:w="0" w:type="dxa"/>
            <w:vAlign w:val="bottom"/>
          </w:tcPr>
          <w:p>
            <w:pPr>
              <w:spacing w:after="0"/>
              <w:rPr>
                <w:sz w:val="1"/>
                <w:szCs w:val="1"/>
                <w:color w:val="auto"/>
              </w:rPr>
            </w:pPr>
          </w:p>
        </w:tc>
      </w:tr>
      <w:tr>
        <w:trPr>
          <w:trHeight w:val="195"/>
        </w:trPr>
        <w:tc>
          <w:tcPr>
            <w:tcW w:w="2360" w:type="dxa"/>
            <w:vAlign w:val="bottom"/>
          </w:tcPr>
          <w:p>
            <w:pPr>
              <w:spacing w:after="0"/>
              <w:rPr>
                <w:sz w:val="16"/>
                <w:szCs w:val="16"/>
                <w:color w:val="auto"/>
              </w:rPr>
            </w:pPr>
          </w:p>
        </w:tc>
        <w:tc>
          <w:tcPr>
            <w:tcW w:w="9060" w:type="dxa"/>
            <w:vAlign w:val="bottom"/>
          </w:tcPr>
          <w:p>
            <w:pPr>
              <w:ind w:left="300"/>
              <w:spacing w:after="0"/>
              <w:rPr>
                <w:sz w:val="20"/>
                <w:szCs w:val="20"/>
                <w:color w:val="auto"/>
              </w:rPr>
            </w:pPr>
            <w:r>
              <w:rPr>
                <w:rFonts w:ascii="Arial" w:cs="Arial" w:eastAsia="Arial" w:hAnsi="Arial"/>
                <w:sz w:val="16"/>
                <w:szCs w:val="16"/>
                <w:color w:val="auto"/>
              </w:rPr>
              <w:t>as Borrowers, and General Electric Capital Corporation, as Agent</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9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Apollo</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Apollo Motorhome Holidays, LLC</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ASC</w:t>
            </w:r>
          </w:p>
        </w:tc>
        <w:tc>
          <w:tcPr>
            <w:tcW w:w="9060" w:type="dxa"/>
            <w:vAlign w:val="bottom"/>
          </w:tcPr>
          <w:p>
            <w:pPr>
              <w:ind w:left="300"/>
              <w:spacing w:after="0"/>
              <w:rPr>
                <w:sz w:val="20"/>
                <w:szCs w:val="20"/>
                <w:color w:val="auto"/>
              </w:rPr>
            </w:pPr>
            <w:r>
              <w:rPr>
                <w:rFonts w:ascii="Arial" w:cs="Arial" w:eastAsia="Arial" w:hAnsi="Arial"/>
                <w:sz w:val="16"/>
                <w:szCs w:val="16"/>
                <w:color w:val="auto"/>
              </w:rPr>
              <w:t>Accounting Standards Codification</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ASP</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Average Sales Price</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ASU</w:t>
            </w:r>
          </w:p>
        </w:tc>
        <w:tc>
          <w:tcPr>
            <w:tcW w:w="9060" w:type="dxa"/>
            <w:vAlign w:val="bottom"/>
          </w:tcPr>
          <w:p>
            <w:pPr>
              <w:ind w:left="300"/>
              <w:spacing w:after="0"/>
              <w:rPr>
                <w:sz w:val="20"/>
                <w:szCs w:val="20"/>
                <w:color w:val="auto"/>
              </w:rPr>
            </w:pPr>
            <w:r>
              <w:rPr>
                <w:rFonts w:ascii="Arial" w:cs="Arial" w:eastAsia="Arial" w:hAnsi="Arial"/>
                <w:sz w:val="16"/>
                <w:szCs w:val="16"/>
                <w:color w:val="auto"/>
              </w:rPr>
              <w:t>Accounting Standards Update</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Credit Agreement</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Credit Agreement dated as of October 31, 2012 by and between Winnebago Industries, Inc. and Winnebago of Indiana,</w:t>
            </w:r>
          </w:p>
        </w:tc>
        <w:tc>
          <w:tcPr>
            <w:tcW w:w="0" w:type="dxa"/>
            <w:vAlign w:val="bottom"/>
          </w:tcPr>
          <w:p>
            <w:pPr>
              <w:spacing w:after="0"/>
              <w:rPr>
                <w:sz w:val="1"/>
                <w:szCs w:val="1"/>
                <w:color w:val="auto"/>
              </w:rPr>
            </w:pPr>
          </w:p>
        </w:tc>
      </w:tr>
      <w:tr>
        <w:trPr>
          <w:trHeight w:val="195"/>
        </w:trPr>
        <w:tc>
          <w:tcPr>
            <w:tcW w:w="2360" w:type="dxa"/>
            <w:vAlign w:val="bottom"/>
            <w:shd w:val="clear" w:color="auto" w:fill="CCEEFF"/>
          </w:tcPr>
          <w:p>
            <w:pPr>
              <w:spacing w:after="0"/>
              <w:rPr>
                <w:sz w:val="16"/>
                <w:szCs w:val="16"/>
                <w:color w:val="auto"/>
              </w:rPr>
            </w:pP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LLC, as Borrowers, and General Electric Capital Corporation, as Agent (was amended May 28, 2014)</w:t>
            </w:r>
          </w:p>
        </w:tc>
        <w:tc>
          <w:tcPr>
            <w:tcW w:w="0" w:type="dxa"/>
            <w:vAlign w:val="bottom"/>
          </w:tcPr>
          <w:p>
            <w:pPr>
              <w:spacing w:after="0"/>
              <w:rPr>
                <w:sz w:val="1"/>
                <w:szCs w:val="1"/>
                <w:color w:val="auto"/>
              </w:rPr>
            </w:pPr>
          </w:p>
        </w:tc>
      </w:tr>
      <w:tr>
        <w:trPr>
          <w:trHeight w:val="74"/>
        </w:trPr>
        <w:tc>
          <w:tcPr>
            <w:tcW w:w="2360" w:type="dxa"/>
            <w:vAlign w:val="bottom"/>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ERP</w:t>
            </w:r>
          </w:p>
        </w:tc>
        <w:tc>
          <w:tcPr>
            <w:tcW w:w="9060" w:type="dxa"/>
            <w:vAlign w:val="bottom"/>
          </w:tcPr>
          <w:p>
            <w:pPr>
              <w:ind w:left="300"/>
              <w:spacing w:after="0"/>
              <w:rPr>
                <w:sz w:val="20"/>
                <w:szCs w:val="20"/>
                <w:color w:val="auto"/>
              </w:rPr>
            </w:pPr>
            <w:r>
              <w:rPr>
                <w:rFonts w:ascii="Arial" w:cs="Arial" w:eastAsia="Arial" w:hAnsi="Arial"/>
                <w:sz w:val="16"/>
                <w:szCs w:val="16"/>
                <w:color w:val="auto"/>
              </w:rPr>
              <w:t>Enterprise Resource Planning</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FASB</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Financial Accounting Standards Board</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FIFO</w:t>
            </w:r>
          </w:p>
        </w:tc>
        <w:tc>
          <w:tcPr>
            <w:tcW w:w="9060" w:type="dxa"/>
            <w:vAlign w:val="bottom"/>
          </w:tcPr>
          <w:p>
            <w:pPr>
              <w:ind w:left="300"/>
              <w:spacing w:after="0"/>
              <w:rPr>
                <w:sz w:val="20"/>
                <w:szCs w:val="20"/>
                <w:color w:val="auto"/>
              </w:rPr>
            </w:pPr>
            <w:r>
              <w:rPr>
                <w:rFonts w:ascii="Arial" w:cs="Arial" w:eastAsia="Arial" w:hAnsi="Arial"/>
                <w:sz w:val="16"/>
                <w:szCs w:val="16"/>
                <w:color w:val="auto"/>
              </w:rPr>
              <w:t>First In, First Out</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GAAP</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Generally Accepted Accounting Principles</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GECC</w:t>
            </w:r>
          </w:p>
        </w:tc>
        <w:tc>
          <w:tcPr>
            <w:tcW w:w="9060" w:type="dxa"/>
            <w:vAlign w:val="bottom"/>
          </w:tcPr>
          <w:p>
            <w:pPr>
              <w:ind w:left="300"/>
              <w:spacing w:after="0"/>
              <w:rPr>
                <w:sz w:val="20"/>
                <w:szCs w:val="20"/>
                <w:color w:val="auto"/>
              </w:rPr>
            </w:pPr>
            <w:r>
              <w:rPr>
                <w:rFonts w:ascii="Arial" w:cs="Arial" w:eastAsia="Arial" w:hAnsi="Arial"/>
                <w:sz w:val="16"/>
                <w:szCs w:val="16"/>
                <w:color w:val="auto"/>
              </w:rPr>
              <w:t>General Electric Capital Corporation</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IRS</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Internal Revenue Service</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IT</w:t>
            </w:r>
          </w:p>
        </w:tc>
        <w:tc>
          <w:tcPr>
            <w:tcW w:w="9060" w:type="dxa"/>
            <w:vAlign w:val="bottom"/>
          </w:tcPr>
          <w:p>
            <w:pPr>
              <w:ind w:left="300"/>
              <w:spacing w:after="0"/>
              <w:rPr>
                <w:sz w:val="20"/>
                <w:szCs w:val="20"/>
                <w:color w:val="auto"/>
              </w:rPr>
            </w:pPr>
            <w:r>
              <w:rPr>
                <w:rFonts w:ascii="Arial" w:cs="Arial" w:eastAsia="Arial" w:hAnsi="Arial"/>
                <w:sz w:val="16"/>
                <w:szCs w:val="16"/>
                <w:color w:val="auto"/>
              </w:rPr>
              <w:t>Information Technology</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LIBOR</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London Interbank Offered Rate</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LIFO</w:t>
            </w:r>
          </w:p>
        </w:tc>
        <w:tc>
          <w:tcPr>
            <w:tcW w:w="9060" w:type="dxa"/>
            <w:vAlign w:val="bottom"/>
          </w:tcPr>
          <w:p>
            <w:pPr>
              <w:ind w:left="300"/>
              <w:spacing w:after="0"/>
              <w:rPr>
                <w:sz w:val="20"/>
                <w:szCs w:val="20"/>
                <w:color w:val="auto"/>
              </w:rPr>
            </w:pPr>
            <w:r>
              <w:rPr>
                <w:rFonts w:ascii="Arial" w:cs="Arial" w:eastAsia="Arial" w:hAnsi="Arial"/>
                <w:sz w:val="16"/>
                <w:szCs w:val="16"/>
                <w:color w:val="auto"/>
              </w:rPr>
              <w:t>Last In, First Out</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9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NMF</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Non-Meaningful Figure</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NYSE</w:t>
            </w:r>
          </w:p>
        </w:tc>
        <w:tc>
          <w:tcPr>
            <w:tcW w:w="9060" w:type="dxa"/>
            <w:vAlign w:val="bottom"/>
          </w:tcPr>
          <w:p>
            <w:pPr>
              <w:ind w:left="300"/>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OCI</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Comprehensive Income</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RV</w:t>
            </w:r>
          </w:p>
        </w:tc>
        <w:tc>
          <w:tcPr>
            <w:tcW w:w="9060" w:type="dxa"/>
            <w:vAlign w:val="bottom"/>
          </w:tcPr>
          <w:p>
            <w:pPr>
              <w:ind w:left="300"/>
              <w:spacing w:after="0"/>
              <w:rPr>
                <w:sz w:val="20"/>
                <w:szCs w:val="20"/>
                <w:color w:val="auto"/>
              </w:rPr>
            </w:pPr>
            <w:r>
              <w:rPr>
                <w:rFonts w:ascii="Arial" w:cs="Arial" w:eastAsia="Arial" w:hAnsi="Arial"/>
                <w:sz w:val="16"/>
                <w:szCs w:val="16"/>
                <w:color w:val="auto"/>
              </w:rPr>
              <w:t>Recreation Vehicle</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RVIA</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Recreation Vehicle Industry Association</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SEC</w:t>
            </w:r>
          </w:p>
        </w:tc>
        <w:tc>
          <w:tcPr>
            <w:tcW w:w="9060" w:type="dxa"/>
            <w:vAlign w:val="bottom"/>
          </w:tcPr>
          <w:p>
            <w:pPr>
              <w:ind w:left="300"/>
              <w:spacing w:after="0"/>
              <w:rPr>
                <w:sz w:val="20"/>
                <w:szCs w:val="20"/>
                <w:color w:val="auto"/>
              </w:rPr>
            </w:pPr>
            <w:r>
              <w:rPr>
                <w:rFonts w:ascii="Arial" w:cs="Arial" w:eastAsia="Arial" w:hAnsi="Arial"/>
                <w:sz w:val="16"/>
                <w:szCs w:val="16"/>
                <w:color w:val="auto"/>
              </w:rPr>
              <w:t>U.S. Securities and Exchange Commission</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SERP</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Supplemental Executive Retirement Plan</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Stat Surveys</w:t>
            </w:r>
          </w:p>
        </w:tc>
        <w:tc>
          <w:tcPr>
            <w:tcW w:w="9060" w:type="dxa"/>
            <w:vAlign w:val="bottom"/>
          </w:tcPr>
          <w:p>
            <w:pPr>
              <w:ind w:left="300"/>
              <w:spacing w:after="0"/>
              <w:rPr>
                <w:sz w:val="20"/>
                <w:szCs w:val="20"/>
                <w:color w:val="auto"/>
              </w:rPr>
            </w:pPr>
            <w:r>
              <w:rPr>
                <w:rFonts w:ascii="Arial" w:cs="Arial" w:eastAsia="Arial" w:hAnsi="Arial"/>
                <w:sz w:val="16"/>
                <w:szCs w:val="16"/>
                <w:color w:val="auto"/>
              </w:rPr>
              <w:t>Statistical Surveys, Inc.</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9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Towables</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Winnebago of Indiana, LLC, a wholly-owned subsidiary of Winnebago Industries, Inc.</w:t>
            </w:r>
          </w:p>
        </w:tc>
        <w:tc>
          <w:tcPr>
            <w:tcW w:w="0" w:type="dxa"/>
            <w:vAlign w:val="bottom"/>
          </w:tcPr>
          <w:p>
            <w:pPr>
              <w:spacing w:after="0"/>
              <w:rPr>
                <w:sz w:val="1"/>
                <w:szCs w:val="1"/>
                <w:color w:val="auto"/>
              </w:rPr>
            </w:pPr>
          </w:p>
        </w:tc>
      </w:tr>
      <w:tr>
        <w:trPr>
          <w:trHeight w:val="74"/>
        </w:trPr>
        <w:tc>
          <w:tcPr>
            <w:tcW w:w="2360" w:type="dxa"/>
            <w:vAlign w:val="bottom"/>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US</w:t>
            </w:r>
          </w:p>
        </w:tc>
        <w:tc>
          <w:tcPr>
            <w:tcW w:w="9060" w:type="dxa"/>
            <w:vAlign w:val="bottom"/>
          </w:tcPr>
          <w:p>
            <w:pPr>
              <w:ind w:left="30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9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XBRL</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eXtensible Business Reporting Language</w:t>
            </w:r>
          </w:p>
        </w:tc>
        <w:tc>
          <w:tcPr>
            <w:tcW w:w="0" w:type="dxa"/>
            <w:vAlign w:val="bottom"/>
          </w:tcPr>
          <w:p>
            <w:pPr>
              <w:spacing w:after="0"/>
              <w:rPr>
                <w:sz w:val="1"/>
                <w:szCs w:val="1"/>
                <w:color w:val="auto"/>
              </w:rPr>
            </w:pPr>
          </w:p>
        </w:tc>
      </w:tr>
      <w:tr>
        <w:trPr>
          <w:trHeight w:val="74"/>
        </w:trPr>
        <w:tc>
          <w:tcPr>
            <w:tcW w:w="2360" w:type="dxa"/>
            <w:vAlign w:val="bottom"/>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YTD</w:t>
            </w:r>
          </w:p>
        </w:tc>
        <w:tc>
          <w:tcPr>
            <w:tcW w:w="9060" w:type="dxa"/>
            <w:vAlign w:val="bottom"/>
          </w:tcPr>
          <w:p>
            <w:pPr>
              <w:ind w:left="300"/>
              <w:spacing w:after="0"/>
              <w:rPr>
                <w:sz w:val="20"/>
                <w:szCs w:val="20"/>
                <w:color w:val="auto"/>
              </w:rPr>
            </w:pPr>
            <w:r>
              <w:rPr>
                <w:rFonts w:ascii="Arial" w:cs="Arial" w:eastAsia="Arial" w:hAnsi="Arial"/>
                <w:sz w:val="16"/>
                <w:szCs w:val="16"/>
                <w:color w:val="auto"/>
              </w:rPr>
              <w:t>Year To Date</w:t>
            </w:r>
          </w:p>
        </w:tc>
        <w:tc>
          <w:tcPr>
            <w:tcW w:w="0" w:type="dxa"/>
            <w:vAlign w:val="bottom"/>
          </w:tcPr>
          <w:p>
            <w:pPr>
              <w:spacing w:after="0"/>
              <w:rPr>
                <w:sz w:val="1"/>
                <w:szCs w:val="1"/>
                <w:color w:val="auto"/>
              </w:rPr>
            </w:pPr>
          </w:p>
        </w:tc>
      </w:tr>
      <w:tr>
        <w:trPr>
          <w:trHeight w:val="918"/>
        </w:trPr>
        <w:tc>
          <w:tcPr>
            <w:tcW w:w="2360" w:type="dxa"/>
            <w:vAlign w:val="bottom"/>
          </w:tcPr>
          <w:p>
            <w:pPr>
              <w:spacing w:after="0"/>
              <w:rPr>
                <w:sz w:val="24"/>
                <w:szCs w:val="24"/>
                <w:color w:val="auto"/>
              </w:rPr>
            </w:pPr>
          </w:p>
        </w:tc>
        <w:tc>
          <w:tcPr>
            <w:tcW w:w="9060" w:type="dxa"/>
            <w:vAlign w:val="bottom"/>
          </w:tcPr>
          <w:p>
            <w:pPr>
              <w:ind w:left="33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Condensed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Income and Comprehensive Income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28,</w:t>
            </w:r>
          </w:p>
        </w:tc>
        <w:tc>
          <w:tcPr>
            <w:tcW w:w="320" w:type="dxa"/>
            <w:vAlign w:val="bottom"/>
          </w:tcPr>
          <w:p>
            <w:pPr>
              <w:spacing w:after="0"/>
              <w:rPr>
                <w:sz w:val="17"/>
                <w:szCs w:val="17"/>
                <w:color w:val="auto"/>
              </w:rPr>
            </w:pPr>
          </w:p>
        </w:tc>
        <w:tc>
          <w:tcPr>
            <w:tcW w:w="15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1,</w:t>
            </w:r>
          </w:p>
        </w:tc>
        <w:tc>
          <w:tcPr>
            <w:tcW w:w="20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28,</w:t>
            </w:r>
          </w:p>
        </w:tc>
        <w:tc>
          <w:tcPr>
            <w:tcW w:w="260" w:type="dxa"/>
            <w:vAlign w:val="bottom"/>
          </w:tcPr>
          <w:p>
            <w:pPr>
              <w:spacing w:after="0"/>
              <w:rPr>
                <w:sz w:val="17"/>
                <w:szCs w:val="17"/>
                <w:color w:val="auto"/>
              </w:rPr>
            </w:pP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1,</w:t>
            </w:r>
          </w:p>
        </w:tc>
      </w:tr>
      <w:tr>
        <w:trPr>
          <w:trHeight w:val="228"/>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r>
      <w:tr>
        <w:trPr>
          <w:trHeight w:val="257"/>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234,543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228,811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458,946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451,481</w:t>
            </w:r>
          </w:p>
        </w:tc>
      </w:tr>
      <w:tr>
        <w:trPr>
          <w:trHeight w:val="264"/>
        </w:trPr>
        <w:tc>
          <w:tcPr>
            <w:tcW w:w="46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210,285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205,966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410,302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402,674</w:t>
            </w:r>
          </w:p>
        </w:tc>
      </w:tr>
      <w:tr>
        <w:trPr>
          <w:trHeight w:val="257"/>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24,258</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22,845</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48,644</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48,807</w:t>
            </w:r>
          </w:p>
        </w:tc>
      </w:tr>
      <w:tr>
        <w:trPr>
          <w:trHeight w:val="254"/>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4,846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4,489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9,553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8,822</w:t>
            </w:r>
          </w:p>
        </w:tc>
      </w:tr>
      <w:tr>
        <w:trPr>
          <w:trHeight w:val="260"/>
        </w:trPr>
        <w:tc>
          <w:tcPr>
            <w:tcW w:w="4640" w:type="dxa"/>
            <w:vAlign w:val="bottom"/>
            <w:gridSpan w:val="2"/>
          </w:tcPr>
          <w:p>
            <w:pPr>
              <w:ind w:left="280"/>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22"/>
                <w:szCs w:val="22"/>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7,464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color w:val="auto"/>
              </w:rPr>
              <w:t>4,949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12,701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239"/>
              <w:spacing w:after="0"/>
              <w:rPr>
                <w:sz w:val="20"/>
                <w:szCs w:val="20"/>
                <w:color w:val="auto"/>
              </w:rPr>
            </w:pPr>
            <w:r>
              <w:rPr>
                <w:rFonts w:ascii="Arial" w:cs="Arial" w:eastAsia="Arial" w:hAnsi="Arial"/>
                <w:sz w:val="16"/>
                <w:szCs w:val="16"/>
                <w:color w:val="auto"/>
              </w:rPr>
              <w:t>10,572</w:t>
            </w:r>
          </w:p>
        </w:tc>
      </w:tr>
      <w:tr>
        <w:trPr>
          <w:trHeight w:val="273"/>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Gain on sale of real estate</w:t>
            </w:r>
          </w:p>
        </w:tc>
        <w:tc>
          <w:tcPr>
            <w:tcW w:w="24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(629)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(629)</w:t>
            </w:r>
          </w:p>
        </w:tc>
      </w:tr>
      <w:tr>
        <w:trPr>
          <w:trHeight w:val="250"/>
        </w:trPr>
        <w:tc>
          <w:tcPr>
            <w:tcW w:w="46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12,310</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8,809</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22,254</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18,765</w:t>
            </w:r>
          </w:p>
        </w:tc>
      </w:tr>
      <w:tr>
        <w:trPr>
          <w:trHeight w:val="257"/>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4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11,948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14,036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26,390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30,042</w:t>
            </w:r>
          </w:p>
        </w:tc>
      </w:tr>
      <w:tr>
        <w:trPr>
          <w:trHeight w:val="264"/>
        </w:trPr>
        <w:tc>
          <w:tcPr>
            <w:tcW w:w="46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Non-operating income (expense)</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17</w:t>
            </w:r>
          </w:p>
        </w:tc>
      </w:tr>
      <w:tr>
        <w:trPr>
          <w:trHeight w:val="257"/>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4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11,976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13,962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26,425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30,059</w:t>
            </w:r>
          </w:p>
        </w:tc>
      </w:tr>
      <w:tr>
        <w:trPr>
          <w:trHeight w:val="264"/>
        </w:trPr>
        <w:tc>
          <w:tcPr>
            <w:tcW w:w="46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Provision for taxes</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3,880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4,369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8,434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9,320</w:t>
            </w:r>
          </w:p>
        </w:tc>
      </w:tr>
      <w:tr>
        <w:trPr>
          <w:trHeight w:val="240"/>
        </w:trPr>
        <w:tc>
          <w:tcPr>
            <w:tcW w:w="4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8,096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9,593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17,991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20,739</w:t>
            </w:r>
          </w:p>
        </w:tc>
      </w:tr>
      <w:tr>
        <w:trPr>
          <w:trHeight w:val="20"/>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67"/>
        </w:trPr>
        <w:tc>
          <w:tcPr>
            <w:tcW w:w="4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common share:</w:t>
            </w: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464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39"/>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0.67</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9"/>
              <w:spacing w:after="0"/>
              <w:rPr>
                <w:sz w:val="20"/>
                <w:szCs w:val="20"/>
                <w:color w:val="auto"/>
              </w:rPr>
            </w:pPr>
            <w:r>
              <w:rPr>
                <w:rFonts w:ascii="Arial" w:cs="Arial" w:eastAsia="Arial" w:hAnsi="Arial"/>
                <w:sz w:val="16"/>
                <w:szCs w:val="16"/>
                <w:color w:val="auto"/>
              </w:rPr>
              <w:t>0.75</w:t>
            </w:r>
          </w:p>
        </w:tc>
      </w:tr>
      <w:tr>
        <w:trPr>
          <w:trHeight w:val="280"/>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0.30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0.35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0.67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0.74</w:t>
            </w:r>
          </w:p>
        </w:tc>
      </w:tr>
      <w:tr>
        <w:trPr>
          <w:trHeight w:val="284"/>
        </w:trPr>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464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40" w:type="dxa"/>
            <w:vAlign w:val="bottom"/>
          </w:tcPr>
          <w:p>
            <w:pPr>
              <w:spacing w:after="0"/>
              <w:rPr>
                <w:sz w:val="22"/>
                <w:szCs w:val="22"/>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26,924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color w:val="auto"/>
              </w:rPr>
              <w:t>27,595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26,946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239"/>
              <w:spacing w:after="0"/>
              <w:rPr>
                <w:sz w:val="20"/>
                <w:szCs w:val="20"/>
                <w:color w:val="auto"/>
              </w:rPr>
            </w:pPr>
            <w:r>
              <w:rPr>
                <w:rFonts w:ascii="Arial" w:cs="Arial" w:eastAsia="Arial" w:hAnsi="Arial"/>
                <w:sz w:val="16"/>
                <w:szCs w:val="16"/>
                <w:color w:val="auto"/>
              </w:rPr>
              <w:t>27,723</w:t>
            </w:r>
          </w:p>
        </w:tc>
      </w:tr>
      <w:tr>
        <w:trPr>
          <w:trHeight w:val="280"/>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27,018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27,724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27,048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27,850</w:t>
            </w:r>
          </w:p>
        </w:tc>
      </w:tr>
      <w:tr>
        <w:trPr>
          <w:trHeight w:val="284"/>
        </w:trPr>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8,096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9,593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17,991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20,739</w:t>
            </w:r>
          </w:p>
        </w:tc>
      </w:tr>
      <w:tr>
        <w:trPr>
          <w:trHeight w:val="260"/>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Other comprehensive income (loss):</w:t>
            </w: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8"/>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46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(net of tax of $506, $528, $998 and $1,010)</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(1,622)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(1,676)</w:t>
            </w:r>
          </w:p>
        </w:tc>
      </w:tr>
      <w:tr>
        <w:trPr>
          <w:trHeight w:val="218"/>
        </w:trPr>
        <w:tc>
          <w:tcPr>
            <w:tcW w:w="4640" w:type="dxa"/>
            <w:vAlign w:val="bottom"/>
            <w:gridSpan w:val="2"/>
          </w:tcPr>
          <w:p>
            <w:pPr>
              <w:ind w:left="280"/>
              <w:spacing w:after="0"/>
              <w:rPr>
                <w:sz w:val="20"/>
                <w:szCs w:val="20"/>
                <w:color w:val="auto"/>
              </w:rPr>
            </w:pPr>
            <w:r>
              <w:rPr>
                <w:rFonts w:ascii="Arial" w:cs="Arial" w:eastAsia="Arial" w:hAnsi="Arial"/>
                <w:sz w:val="16"/>
                <w:szCs w:val="16"/>
                <w:color w:val="auto"/>
              </w:rPr>
              <w:t>Amortization of net actuarial loss</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4"/>
        </w:trPr>
        <w:tc>
          <w:tcPr>
            <w:tcW w:w="4640" w:type="dxa"/>
            <w:vAlign w:val="bottom"/>
            <w:gridSpan w:val="2"/>
          </w:tcPr>
          <w:p>
            <w:pPr>
              <w:ind w:left="360"/>
              <w:spacing w:after="0"/>
              <w:rPr>
                <w:sz w:val="20"/>
                <w:szCs w:val="20"/>
                <w:color w:val="auto"/>
              </w:rPr>
            </w:pPr>
            <w:r>
              <w:rPr>
                <w:rFonts w:ascii="Arial" w:cs="Arial" w:eastAsia="Arial" w:hAnsi="Arial"/>
                <w:sz w:val="16"/>
                <w:szCs w:val="16"/>
                <w:color w:val="auto"/>
              </w:rPr>
              <w:t>(net of tax of $136, $102, $258 and $201)</w:t>
            </w:r>
          </w:p>
        </w:tc>
        <w:tc>
          <w:tcPr>
            <w:tcW w:w="240" w:type="dxa"/>
            <w:vAlign w:val="bottom"/>
          </w:tcPr>
          <w:p>
            <w:pPr>
              <w:spacing w:after="0"/>
              <w:rPr>
                <w:sz w:val="17"/>
                <w:szCs w:val="17"/>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419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239"/>
              <w:spacing w:after="0"/>
              <w:rPr>
                <w:sz w:val="20"/>
                <w:szCs w:val="20"/>
                <w:color w:val="auto"/>
              </w:rPr>
            </w:pPr>
            <w:r>
              <w:rPr>
                <w:rFonts w:ascii="Arial" w:cs="Arial" w:eastAsia="Arial" w:hAnsi="Arial"/>
                <w:sz w:val="16"/>
                <w:szCs w:val="16"/>
                <w:color w:val="auto"/>
              </w:rPr>
              <w:t>332</w:t>
            </w:r>
          </w:p>
        </w:tc>
      </w:tr>
      <w:tr>
        <w:trPr>
          <w:trHeight w:val="228"/>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Plan amendment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46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(net of tax of $581, $1,346, $581 and $1,346)</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2,234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2,234</w:t>
            </w:r>
          </w:p>
        </w:tc>
      </w:tr>
      <w:tr>
        <w:trPr>
          <w:trHeight w:val="218"/>
        </w:trPr>
        <w:tc>
          <w:tcPr>
            <w:tcW w:w="4640" w:type="dxa"/>
            <w:vAlign w:val="bottom"/>
            <w:gridSpan w:val="2"/>
          </w:tcPr>
          <w:p>
            <w:pPr>
              <w:ind w:left="280"/>
              <w:spacing w:after="0"/>
              <w:rPr>
                <w:sz w:val="20"/>
                <w:szCs w:val="20"/>
                <w:color w:val="auto"/>
              </w:rPr>
            </w:pPr>
            <w:r>
              <w:rPr>
                <w:rFonts w:ascii="Arial" w:cs="Arial" w:eastAsia="Arial" w:hAnsi="Arial"/>
                <w:sz w:val="16"/>
                <w:szCs w:val="16"/>
                <w:color w:val="auto"/>
              </w:rPr>
              <w:t>Unrealized appreciation of investments</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8"/>
        </w:trPr>
        <w:tc>
          <w:tcPr>
            <w:tcW w:w="4640" w:type="dxa"/>
            <w:vAlign w:val="bottom"/>
            <w:gridSpan w:val="2"/>
          </w:tcPr>
          <w:p>
            <w:pPr>
              <w:ind w:left="360"/>
              <w:spacing w:after="0"/>
              <w:rPr>
                <w:sz w:val="20"/>
                <w:szCs w:val="20"/>
                <w:color w:val="auto"/>
              </w:rPr>
            </w:pPr>
            <w:r>
              <w:rPr>
                <w:rFonts w:ascii="Arial" w:cs="Arial" w:eastAsia="Arial" w:hAnsi="Arial"/>
                <w:sz w:val="16"/>
                <w:szCs w:val="16"/>
                <w:color w:val="auto"/>
              </w:rPr>
              <w:t>(net of tax of $0, $0, $0 and $91)</w:t>
            </w:r>
          </w:p>
        </w:tc>
        <w:tc>
          <w:tcPr>
            <w:tcW w:w="24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60" w:type="dxa"/>
            <w:vAlign w:val="bottom"/>
          </w:tcPr>
          <w:p>
            <w:pPr>
              <w:jc w:val="right"/>
              <w:ind w:right="239"/>
              <w:spacing w:after="0"/>
              <w:rPr>
                <w:sz w:val="20"/>
                <w:szCs w:val="20"/>
                <w:color w:val="auto"/>
              </w:rPr>
            </w:pPr>
            <w:r>
              <w:rPr>
                <w:rFonts w:ascii="Arial" w:cs="Arial" w:eastAsia="Arial" w:hAnsi="Arial"/>
                <w:sz w:val="16"/>
                <w:szCs w:val="16"/>
                <w:color w:val="auto"/>
              </w:rPr>
              <w:t>151</w:t>
            </w:r>
          </w:p>
        </w:tc>
      </w:tr>
      <w:tr>
        <w:trPr>
          <w:trHeight w:val="250"/>
        </w:trPr>
        <w:tc>
          <w:tcPr>
            <w:tcW w:w="4640" w:type="dxa"/>
            <w:vAlign w:val="bottom"/>
            <w:tcBorders>
              <w:top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other comprehensive income (loss)</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342</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1,526</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(259)</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1,041</w:t>
            </w:r>
          </w:p>
        </w:tc>
      </w:tr>
      <w:tr>
        <w:trPr>
          <w:trHeight w:val="240"/>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Comprehensive income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8,438</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11,119</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17,732</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21,780</w:t>
            </w:r>
          </w:p>
        </w:tc>
      </w:tr>
      <w:tr>
        <w:trPr>
          <w:trHeight w:val="20"/>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4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728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21"/>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9"/>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Consolidated Balance Sheets</w:t>
            </w: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5"/>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26"/>
        </w:trPr>
        <w:tc>
          <w:tcPr>
            <w:tcW w:w="12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gridSpan w:val="2"/>
          </w:tcPr>
          <w:p>
            <w:pPr>
              <w:ind w:left="180"/>
              <w:spacing w:after="0"/>
              <w:rPr>
                <w:sz w:val="20"/>
                <w:szCs w:val="20"/>
                <w:color w:val="auto"/>
              </w:rPr>
            </w:pPr>
            <w:r>
              <w:rPr>
                <w:rFonts w:ascii="Arial" w:cs="Arial" w:eastAsia="Arial" w:hAnsi="Arial"/>
                <w:sz w:val="16"/>
                <w:szCs w:val="16"/>
                <w:b w:val="1"/>
                <w:bCs w:val="1"/>
                <w:color w:val="auto"/>
              </w:rPr>
              <w:t>February 28,</w:t>
            </w:r>
          </w:p>
        </w:tc>
        <w:tc>
          <w:tcPr>
            <w:tcW w:w="360" w:type="dxa"/>
            <w:vAlign w:val="bottom"/>
          </w:tcPr>
          <w:p>
            <w:pPr>
              <w:spacing w:after="0"/>
              <w:rPr>
                <w:sz w:val="24"/>
                <w:szCs w:val="24"/>
                <w:color w:val="auto"/>
              </w:rPr>
            </w:pPr>
          </w:p>
        </w:tc>
        <w:tc>
          <w:tcPr>
            <w:tcW w:w="1720" w:type="dxa"/>
            <w:vAlign w:val="bottom"/>
          </w:tcPr>
          <w:p>
            <w:pPr>
              <w:jc w:val="right"/>
              <w:ind w:right="559"/>
              <w:spacing w:after="0"/>
              <w:rPr>
                <w:sz w:val="20"/>
                <w:szCs w:val="20"/>
                <w:color w:val="auto"/>
              </w:rPr>
            </w:pPr>
            <w:r>
              <w:rPr>
                <w:rFonts w:ascii="Arial" w:cs="Arial" w:eastAsia="Arial" w:hAnsi="Arial"/>
                <w:sz w:val="16"/>
                <w:szCs w:val="16"/>
                <w:b w:val="1"/>
                <w:bCs w:val="1"/>
                <w:color w:val="auto"/>
              </w:rPr>
              <w:t>August 30,</w:t>
            </w:r>
          </w:p>
        </w:tc>
      </w:tr>
      <w:tr>
        <w:trPr>
          <w:trHeight w:val="228"/>
        </w:trPr>
        <w:tc>
          <w:tcPr>
            <w:tcW w:w="72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2014</w:t>
            </w: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7,938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57,804</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Receivables, less allowance for doubtful accounts ($119 and $127)</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75,636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69,699</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149,841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112,848</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Net investment in operating leases</w:t>
            </w:r>
          </w:p>
        </w:tc>
        <w:tc>
          <w:tcPr>
            <w:tcW w:w="280" w:type="dxa"/>
            <w:vAlign w:val="bottom"/>
          </w:tcPr>
          <w:p>
            <w:pPr>
              <w:spacing w:after="0"/>
              <w:rPr>
                <w:sz w:val="22"/>
                <w:szCs w:val="22"/>
                <w:color w:val="auto"/>
              </w:rPr>
            </w:pPr>
          </w:p>
        </w:tc>
        <w:tc>
          <w:tcPr>
            <w:tcW w:w="178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15,978</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8,215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5,718</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Income taxes receivable and prepaid</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8,808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5</w:t>
            </w:r>
          </w:p>
        </w:tc>
      </w:tr>
      <w:tr>
        <w:trPr>
          <w:trHeight w:val="273"/>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1,975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9,641</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252,413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271,693</w:t>
            </w:r>
          </w:p>
        </w:tc>
      </w:tr>
      <w:tr>
        <w:trPr>
          <w:trHeight w:val="257"/>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28,370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25,135</w:t>
            </w: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Investment in life insurance</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25,650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25,126</w:t>
            </w:r>
          </w:p>
        </w:tc>
      </w:tr>
      <w:tr>
        <w:trPr>
          <w:trHeight w:val="28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23,762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24,029</w:t>
            </w: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1,228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1,228</w:t>
            </w:r>
          </w:p>
        </w:tc>
      </w:tr>
      <w:tr>
        <w:trPr>
          <w:trHeight w:val="273"/>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9,508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11,091</w:t>
            </w:r>
          </w:p>
        </w:tc>
      </w:tr>
      <w:tr>
        <w:trPr>
          <w:trHeight w:val="28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340,931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358,302</w:t>
            </w:r>
          </w:p>
        </w:tc>
      </w:tr>
      <w:tr>
        <w:trPr>
          <w:trHeight w:val="267"/>
        </w:trPr>
        <w:tc>
          <w:tcPr>
            <w:tcW w:w="1260" w:type="dxa"/>
            <w:vAlign w:val="bottom"/>
            <w:shd w:val="clear" w:color="auto" w:fill="CCEEFF"/>
          </w:tcPr>
          <w:p>
            <w:pPr>
              <w:spacing w:after="0"/>
              <w:rPr>
                <w:sz w:val="23"/>
                <w:szCs w:val="23"/>
                <w:color w:val="auto"/>
              </w:rPr>
            </w:pPr>
          </w:p>
        </w:tc>
        <w:tc>
          <w:tcPr>
            <w:tcW w:w="6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34,215</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33,111</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28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2,927</w:t>
            </w: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Accrued expenses:</w:t>
            </w:r>
          </w:p>
        </w:tc>
        <w:tc>
          <w:tcPr>
            <w:tcW w:w="2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Accrued compensation</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16,284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20,763</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Operating lease repurchase obligations</w:t>
            </w:r>
          </w:p>
        </w:tc>
        <w:tc>
          <w:tcPr>
            <w:tcW w:w="280" w:type="dxa"/>
            <w:vAlign w:val="bottom"/>
          </w:tcPr>
          <w:p>
            <w:pPr>
              <w:spacing w:after="0"/>
              <w:rPr>
                <w:sz w:val="22"/>
                <w:szCs w:val="22"/>
                <w:color w:val="auto"/>
              </w:rPr>
            </w:pPr>
          </w:p>
        </w:tc>
        <w:tc>
          <w:tcPr>
            <w:tcW w:w="178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16,050</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Product warranties</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9,856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9,501</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Self-insurance</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5,633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4,941</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Accrued loss on repurchases</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1,544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2,212</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Promotional</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3,315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3,205</w:t>
            </w:r>
          </w:p>
        </w:tc>
      </w:tr>
      <w:tr>
        <w:trPr>
          <w:trHeight w:val="273"/>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5,709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7,009</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76,556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99,719</w:t>
            </w: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Non-current liabilities:</w:t>
            </w:r>
          </w:p>
        </w:tc>
        <w:tc>
          <w:tcPr>
            <w:tcW w:w="28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Unrecognized tax benefits</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2,756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3,024</w:t>
            </w:r>
          </w:p>
        </w:tc>
      </w:tr>
      <w:tr>
        <w:trPr>
          <w:trHeight w:val="273"/>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health care and deferred compensation benefits</w:t>
            </w:r>
          </w:p>
        </w:tc>
        <w:tc>
          <w:tcPr>
            <w:tcW w:w="28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59,630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62,811</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non-current liabilities</w:t>
            </w: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62,386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65,835</w:t>
            </w:r>
          </w:p>
        </w:tc>
      </w:tr>
      <w:tr>
        <w:trPr>
          <w:trHeight w:val="257"/>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Contingent liabilities and commitments</w:t>
            </w:r>
          </w:p>
        </w:tc>
        <w:tc>
          <w:tcPr>
            <w:tcW w:w="2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28"/>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Capital stock common, par value $0.50;</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14"/>
        </w:trPr>
        <w:tc>
          <w:tcPr>
            <w:tcW w:w="72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authorized 60,000 shares, issued 51,776 shares</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25,888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25,888</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31,438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31,672</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567,604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554,496</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Pr>
          <w:p>
            <w:pPr>
              <w:spacing w:after="0"/>
              <w:rPr>
                <w:sz w:val="22"/>
                <w:szCs w:val="22"/>
                <w:color w:val="auto"/>
              </w:rPr>
            </w:pPr>
          </w:p>
        </w:tc>
        <w:tc>
          <w:tcPr>
            <w:tcW w:w="1680" w:type="dxa"/>
            <w:vAlign w:val="bottom"/>
          </w:tcPr>
          <w:p>
            <w:pPr>
              <w:jc w:val="right"/>
              <w:ind w:right="299"/>
              <w:spacing w:after="0"/>
              <w:rPr>
                <w:sz w:val="20"/>
                <w:szCs w:val="20"/>
                <w:color w:val="auto"/>
              </w:rPr>
            </w:pPr>
            <w:r>
              <w:rPr>
                <w:rFonts w:ascii="Arial" w:cs="Arial" w:eastAsia="Arial" w:hAnsi="Arial"/>
                <w:sz w:val="16"/>
                <w:szCs w:val="16"/>
                <w:color w:val="auto"/>
              </w:rPr>
              <w:t>(2,067)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299"/>
              <w:spacing w:after="0"/>
              <w:rPr>
                <w:sz w:val="20"/>
                <w:szCs w:val="20"/>
                <w:color w:val="auto"/>
              </w:rPr>
            </w:pPr>
            <w:r>
              <w:rPr>
                <w:rFonts w:ascii="Arial" w:cs="Arial" w:eastAsia="Arial" w:hAnsi="Arial"/>
                <w:sz w:val="16"/>
                <w:szCs w:val="16"/>
                <w:color w:val="auto"/>
              </w:rPr>
              <w:t>(1,808)</w:t>
            </w:r>
          </w:p>
        </w:tc>
      </w:tr>
      <w:tr>
        <w:trPr>
          <w:trHeight w:val="273"/>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Treasury stock, at cost (24,845 and 24,727 shares)</w:t>
            </w:r>
          </w:p>
        </w:tc>
        <w:tc>
          <w:tcPr>
            <w:tcW w:w="28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(420,874)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(417,500)</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201,989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192,748</w:t>
            </w:r>
          </w:p>
        </w:tc>
      </w:tr>
      <w:tr>
        <w:trPr>
          <w:trHeight w:val="240"/>
        </w:trPr>
        <w:tc>
          <w:tcPr>
            <w:tcW w:w="72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340,931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358,302</w:t>
            </w:r>
          </w:p>
        </w:tc>
      </w:tr>
      <w:tr>
        <w:trPr>
          <w:trHeight w:val="20"/>
        </w:trPr>
        <w:tc>
          <w:tcPr>
            <w:tcW w:w="12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18"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774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21"/>
        </w:trPr>
        <w:tc>
          <w:tcPr>
            <w:tcW w:w="774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9"/>
        </w:trPr>
        <w:tc>
          <w:tcPr>
            <w:tcW w:w="774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5"/>
        </w:trPr>
        <w:tc>
          <w:tcPr>
            <w:tcW w:w="774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91"/>
        </w:trPr>
        <w:tc>
          <w:tcPr>
            <w:tcW w:w="12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4"/>
          </w:tcPr>
          <w:p>
            <w:pPr>
              <w:jc w:val="right"/>
              <w:ind w:right="103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126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Arial" w:cs="Arial" w:eastAsia="Arial" w:hAnsi="Arial"/>
                <w:sz w:val="16"/>
                <w:szCs w:val="16"/>
                <w:b w:val="1"/>
                <w:bCs w:val="1"/>
                <w:color w:val="auto"/>
              </w:rPr>
              <w:t>February 28,</w:t>
            </w:r>
          </w:p>
        </w:tc>
        <w:tc>
          <w:tcPr>
            <w:tcW w:w="320" w:type="dxa"/>
            <w:vAlign w:val="bottom"/>
          </w:tcPr>
          <w:p>
            <w:pPr>
              <w:spacing w:after="0"/>
              <w:rPr>
                <w:sz w:val="17"/>
                <w:szCs w:val="17"/>
                <w:color w:val="auto"/>
              </w:rPr>
            </w:pPr>
          </w:p>
        </w:tc>
        <w:tc>
          <w:tcPr>
            <w:tcW w:w="1440" w:type="dxa"/>
            <w:vAlign w:val="bottom"/>
          </w:tcPr>
          <w:p>
            <w:pPr>
              <w:jc w:val="right"/>
              <w:ind w:right="499"/>
              <w:spacing w:after="0"/>
              <w:rPr>
                <w:sz w:val="20"/>
                <w:szCs w:val="20"/>
                <w:color w:val="auto"/>
              </w:rPr>
            </w:pPr>
            <w:r>
              <w:rPr>
                <w:rFonts w:ascii="Arial" w:cs="Arial" w:eastAsia="Arial" w:hAnsi="Arial"/>
                <w:sz w:val="16"/>
                <w:szCs w:val="16"/>
                <w:b w:val="1"/>
                <w:bCs w:val="1"/>
                <w:color w:val="auto"/>
              </w:rPr>
              <w:t>March 1,</w:t>
            </w:r>
          </w:p>
        </w:tc>
      </w:tr>
      <w:tr>
        <w:trPr>
          <w:trHeight w:val="228"/>
        </w:trPr>
        <w:tc>
          <w:tcPr>
            <w:tcW w:w="77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2014</w:t>
            </w:r>
          </w:p>
        </w:tc>
      </w:tr>
      <w:tr>
        <w:trPr>
          <w:trHeight w:val="270"/>
        </w:trPr>
        <w:tc>
          <w:tcPr>
            <w:tcW w:w="7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17,991</w:t>
            </w:r>
          </w:p>
        </w:tc>
        <w:tc>
          <w:tcPr>
            <w:tcW w:w="12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20,739</w:t>
            </w:r>
          </w:p>
        </w:tc>
      </w:tr>
      <w:tr>
        <w:trPr>
          <w:trHeight w:val="280"/>
        </w:trPr>
        <w:tc>
          <w:tcPr>
            <w:tcW w:w="7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used in operating activities:</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2,125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1,966</w:t>
            </w: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LIFO expense</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626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608</w:t>
            </w: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Stock-based compensation</w:t>
            </w: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1,348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1,388</w:t>
            </w: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Deferred income taxes including valuation allowance</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7,127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(152)</w:t>
            </w: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Postretirement benefit income and deferred compensation expense</w:t>
            </w:r>
          </w:p>
        </w:tc>
        <w:tc>
          <w:tcPr>
            <w:tcW w:w="260" w:type="dxa"/>
            <w:vAlign w:val="bottom"/>
          </w:tcPr>
          <w:p>
            <w:pPr>
              <w:spacing w:after="0"/>
              <w:rPr>
                <w:sz w:val="22"/>
                <w:szCs w:val="22"/>
                <w:color w:val="auto"/>
              </w:rPr>
            </w:pPr>
          </w:p>
        </w:tc>
        <w:tc>
          <w:tcPr>
            <w:tcW w:w="1540" w:type="dxa"/>
            <w:vAlign w:val="bottom"/>
          </w:tcPr>
          <w:p>
            <w:pPr>
              <w:jc w:val="right"/>
              <w:ind w:right="179"/>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(405)</w:t>
            </w: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Provision (benefit) for doubtful accounts</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w:t>
            </w: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Gain on disposal of property</w:t>
            </w:r>
          </w:p>
        </w:tc>
        <w:tc>
          <w:tcPr>
            <w:tcW w:w="260" w:type="dxa"/>
            <w:vAlign w:val="bottom"/>
          </w:tcPr>
          <w:p>
            <w:pPr>
              <w:spacing w:after="0"/>
              <w:rPr>
                <w:sz w:val="22"/>
                <w:szCs w:val="22"/>
                <w:color w:val="auto"/>
              </w:rPr>
            </w:pPr>
          </w:p>
        </w:tc>
        <w:tc>
          <w:tcPr>
            <w:tcW w:w="1540" w:type="dxa"/>
            <w:vAlign w:val="bottom"/>
          </w:tcPr>
          <w:p>
            <w:pPr>
              <w:jc w:val="right"/>
              <w:ind w:right="17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(702)</w:t>
            </w: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Increase in cash surrender value of life insurance policies</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(462)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(440)</w:t>
            </w:r>
          </w:p>
        </w:tc>
      </w:tr>
      <w:tr>
        <w:trPr>
          <w:trHeight w:val="260"/>
        </w:trPr>
        <w:tc>
          <w:tcPr>
            <w:tcW w:w="7740" w:type="dxa"/>
            <w:vAlign w:val="bottom"/>
            <w:gridSpan w:val="2"/>
          </w:tcPr>
          <w:p>
            <w:pPr>
              <w:ind w:left="40"/>
              <w:spacing w:after="0"/>
              <w:rPr>
                <w:sz w:val="20"/>
                <w:szCs w:val="20"/>
                <w:color w:val="auto"/>
              </w:rPr>
            </w:pPr>
            <w:r>
              <w:rPr>
                <w:rFonts w:ascii="Arial" w:cs="Arial" w:eastAsia="Arial" w:hAnsi="Arial"/>
                <w:sz w:val="16"/>
                <w:szCs w:val="16"/>
                <w:color w:val="auto"/>
              </w:rPr>
              <w:t>Change in assets and liabilities:</w:t>
            </w: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(37,619)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(12,356)</w:t>
            </w: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Receivables, prepaid and other assets</w:t>
            </w:r>
          </w:p>
        </w:tc>
        <w:tc>
          <w:tcPr>
            <w:tcW w:w="260" w:type="dxa"/>
            <w:vAlign w:val="bottom"/>
          </w:tcPr>
          <w:p>
            <w:pPr>
              <w:spacing w:after="0"/>
              <w:rPr>
                <w:sz w:val="22"/>
                <w:szCs w:val="22"/>
                <w:color w:val="auto"/>
              </w:rPr>
            </w:pPr>
          </w:p>
        </w:tc>
        <w:tc>
          <w:tcPr>
            <w:tcW w:w="1540" w:type="dxa"/>
            <w:vAlign w:val="bottom"/>
          </w:tcPr>
          <w:p>
            <w:pPr>
              <w:jc w:val="right"/>
              <w:ind w:right="179"/>
              <w:spacing w:after="0"/>
              <w:rPr>
                <w:sz w:val="20"/>
                <w:szCs w:val="20"/>
                <w:color w:val="auto"/>
              </w:rPr>
            </w:pPr>
            <w:r>
              <w:rPr>
                <w:rFonts w:ascii="Arial" w:cs="Arial" w:eastAsia="Arial" w:hAnsi="Arial"/>
                <w:sz w:val="16"/>
                <w:szCs w:val="16"/>
                <w:color w:val="auto"/>
              </w:rPr>
              <w:t>(7,560)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(40,056)</w:t>
            </w: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Investment in operating leases, net of repurchase obligations</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Income taxes and unrecognized tax benefits</w:t>
            </w:r>
          </w:p>
        </w:tc>
        <w:tc>
          <w:tcPr>
            <w:tcW w:w="260" w:type="dxa"/>
            <w:vAlign w:val="bottom"/>
          </w:tcPr>
          <w:p>
            <w:pPr>
              <w:spacing w:after="0"/>
              <w:rPr>
                <w:sz w:val="22"/>
                <w:szCs w:val="22"/>
                <w:color w:val="auto"/>
              </w:rPr>
            </w:pPr>
          </w:p>
        </w:tc>
        <w:tc>
          <w:tcPr>
            <w:tcW w:w="1540" w:type="dxa"/>
            <w:vAlign w:val="bottom"/>
          </w:tcPr>
          <w:p>
            <w:pPr>
              <w:jc w:val="right"/>
              <w:ind w:right="179"/>
              <w:spacing w:after="0"/>
              <w:rPr>
                <w:sz w:val="20"/>
                <w:szCs w:val="20"/>
                <w:color w:val="auto"/>
              </w:rPr>
            </w:pPr>
            <w:r>
              <w:rPr>
                <w:rFonts w:ascii="Arial" w:cs="Arial" w:eastAsia="Arial" w:hAnsi="Arial"/>
                <w:sz w:val="16"/>
                <w:szCs w:val="16"/>
                <w:color w:val="auto"/>
              </w:rPr>
              <w:t>(11,258)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1,269</w:t>
            </w: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Accounts payable and accrued expenses</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(4,075)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536</w:t>
            </w:r>
          </w:p>
        </w:tc>
      </w:tr>
      <w:tr>
        <w:trPr>
          <w:trHeight w:val="264"/>
        </w:trPr>
        <w:tc>
          <w:tcPr>
            <w:tcW w:w="774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Postretirement and deferred compensation benefits</w:t>
            </w: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(1,852)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(1,924)</w:t>
            </w:r>
          </w:p>
        </w:tc>
      </w:tr>
      <w:tr>
        <w:trPr>
          <w:trHeight w:val="250"/>
        </w:trPr>
        <w:tc>
          <w:tcPr>
            <w:tcW w:w="7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 operating activities</w:t>
            </w: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(34,052)</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(29,530)</w:t>
            </w:r>
          </w:p>
        </w:tc>
      </w:tr>
      <w:tr>
        <w:trPr>
          <w:trHeight w:val="284"/>
        </w:trPr>
        <w:tc>
          <w:tcPr>
            <w:tcW w:w="12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0"/>
        </w:trPr>
        <w:tc>
          <w:tcPr>
            <w:tcW w:w="7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Proceeds from the sale of investments, at par</w:t>
            </w:r>
          </w:p>
        </w:tc>
        <w:tc>
          <w:tcPr>
            <w:tcW w:w="260" w:type="dxa"/>
            <w:vAlign w:val="bottom"/>
          </w:tcPr>
          <w:p>
            <w:pPr>
              <w:spacing w:after="0"/>
              <w:rPr>
                <w:sz w:val="22"/>
                <w:szCs w:val="22"/>
                <w:color w:val="auto"/>
              </w:rPr>
            </w:pPr>
          </w:p>
        </w:tc>
        <w:tc>
          <w:tcPr>
            <w:tcW w:w="166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2,350</w:t>
            </w: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Purchases of property and equipment</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(5,154)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(3,772)</w:t>
            </w: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Proceeds from the sale of property</w:t>
            </w: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2,392</w:t>
            </w:r>
          </w:p>
        </w:tc>
      </w:tr>
      <w:tr>
        <w:trPr>
          <w:trHeight w:val="273"/>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294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(105)</w:t>
            </w:r>
          </w:p>
        </w:tc>
      </w:tr>
      <w:tr>
        <w:trPr>
          <w:trHeight w:val="250"/>
        </w:trPr>
        <w:tc>
          <w:tcPr>
            <w:tcW w:w="7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(4,817)</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865</w:t>
            </w:r>
          </w:p>
        </w:tc>
      </w:tr>
      <w:tr>
        <w:trPr>
          <w:trHeight w:val="284"/>
        </w:trPr>
        <w:tc>
          <w:tcPr>
            <w:tcW w:w="1260" w:type="dxa"/>
            <w:vAlign w:val="bottom"/>
            <w:shd w:val="clear" w:color="auto" w:fill="CCEEFF"/>
          </w:tcPr>
          <w:p>
            <w:pPr>
              <w:spacing w:after="0"/>
              <w:rPr>
                <w:sz w:val="24"/>
                <w:szCs w:val="24"/>
                <w:color w:val="auto"/>
              </w:rPr>
            </w:pPr>
          </w:p>
        </w:tc>
        <w:tc>
          <w:tcPr>
            <w:tcW w:w="64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0"/>
        </w:trPr>
        <w:tc>
          <w:tcPr>
            <w:tcW w:w="7740" w:type="dxa"/>
            <w:vAlign w:val="bottom"/>
            <w:gridSpan w:val="2"/>
          </w:tcPr>
          <w:p>
            <w:pPr>
              <w:ind w:left="40"/>
              <w:spacing w:after="0"/>
              <w:rPr>
                <w:sz w:val="20"/>
                <w:szCs w:val="20"/>
                <w:color w:val="auto"/>
              </w:rPr>
            </w:pPr>
            <w:r>
              <w:rPr>
                <w:rFonts w:ascii="Arial" w:cs="Arial" w:eastAsia="Arial" w:hAnsi="Arial"/>
                <w:sz w:val="16"/>
                <w:szCs w:val="16"/>
                <w:color w:val="auto"/>
              </w:rPr>
              <w:t>Financing activities:</w:t>
            </w: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Payments for purchases of common stock</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(6,141)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(21,484)</w:t>
            </w: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Payments of cash dividends</w:t>
            </w:r>
          </w:p>
        </w:tc>
        <w:tc>
          <w:tcPr>
            <w:tcW w:w="260" w:type="dxa"/>
            <w:vAlign w:val="bottom"/>
          </w:tcPr>
          <w:p>
            <w:pPr>
              <w:spacing w:after="0"/>
              <w:rPr>
                <w:sz w:val="22"/>
                <w:szCs w:val="22"/>
                <w:color w:val="auto"/>
              </w:rPr>
            </w:pPr>
          </w:p>
        </w:tc>
        <w:tc>
          <w:tcPr>
            <w:tcW w:w="1540" w:type="dxa"/>
            <w:vAlign w:val="bottom"/>
          </w:tcPr>
          <w:p>
            <w:pPr>
              <w:jc w:val="right"/>
              <w:ind w:right="179"/>
              <w:spacing w:after="0"/>
              <w:rPr>
                <w:sz w:val="20"/>
                <w:szCs w:val="20"/>
                <w:color w:val="auto"/>
              </w:rPr>
            </w:pPr>
            <w:r>
              <w:rPr>
                <w:rFonts w:ascii="Arial" w:cs="Arial" w:eastAsia="Arial" w:hAnsi="Arial"/>
                <w:sz w:val="16"/>
                <w:szCs w:val="16"/>
                <w:color w:val="auto"/>
              </w:rPr>
              <w:t>(4,883)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2,080</w:t>
            </w: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Borrowings on loans</w:t>
            </w: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22,000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Repayments of loans</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(22,000)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774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50</w:t>
            </w:r>
          </w:p>
        </w:tc>
      </w:tr>
      <w:tr>
        <w:trPr>
          <w:trHeight w:val="250"/>
        </w:trPr>
        <w:tc>
          <w:tcPr>
            <w:tcW w:w="7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(10,997)</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(19,354)</w:t>
            </w:r>
          </w:p>
        </w:tc>
      </w:tr>
      <w:tr>
        <w:trPr>
          <w:trHeight w:val="284"/>
        </w:trPr>
        <w:tc>
          <w:tcPr>
            <w:tcW w:w="12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0"/>
        </w:trPr>
        <w:tc>
          <w:tcPr>
            <w:tcW w:w="7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(49,866)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(48,019)</w:t>
            </w:r>
          </w:p>
        </w:tc>
      </w:tr>
      <w:tr>
        <w:trPr>
          <w:trHeight w:val="264"/>
        </w:trPr>
        <w:tc>
          <w:tcPr>
            <w:tcW w:w="7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57,804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64,277</w:t>
            </w:r>
          </w:p>
        </w:tc>
      </w:tr>
      <w:tr>
        <w:trPr>
          <w:trHeight w:val="240"/>
        </w:trPr>
        <w:tc>
          <w:tcPr>
            <w:tcW w:w="7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7,938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16,258</w:t>
            </w:r>
          </w:p>
        </w:tc>
      </w:tr>
      <w:tr>
        <w:trPr>
          <w:trHeight w:val="20"/>
        </w:trPr>
        <w:tc>
          <w:tcPr>
            <w:tcW w:w="12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67"/>
        </w:trPr>
        <w:tc>
          <w:tcPr>
            <w:tcW w:w="1260" w:type="dxa"/>
            <w:vAlign w:val="bottom"/>
          </w:tcPr>
          <w:p>
            <w:pPr>
              <w:spacing w:after="0"/>
              <w:rPr>
                <w:sz w:val="23"/>
                <w:szCs w:val="23"/>
                <w:color w:val="auto"/>
              </w:rPr>
            </w:pPr>
          </w:p>
        </w:tc>
        <w:tc>
          <w:tcPr>
            <w:tcW w:w="6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7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Supplement cash flow disclosure:</w:t>
            </w: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Income taxes paid, net of refunds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12,565</w:t>
            </w:r>
          </w:p>
        </w:tc>
        <w:tc>
          <w:tcPr>
            <w:tcW w:w="12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8,200</w:t>
            </w: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Interest paid</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18" w:right="239" w:bottom="1440" w:gutter="0" w:footer="0" w:header="0"/>
          <w:type w:val="continuous"/>
        </w:sectPr>
      </w:pPr>
    </w:p>
    <w:bookmarkStart w:id="6" w:name="page7"/>
    <w:bookmarkEnd w:id="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Basis of Presentation</w:t>
      </w:r>
    </w:p>
    <w:p>
      <w:pPr>
        <w:spacing w:after="0" w:line="187"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"Company," "we," "our" and "us" are used interchangeably to refer to Winnebago Industries, Inc. and its wholly-owned subsidiary, Winnebago of Indiana, LLC, as appropriate in the context.</w:t>
      </w:r>
    </w:p>
    <w:p>
      <w:pPr>
        <w:spacing w:after="0" w:line="169"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We were incorporated under the laws of the state of Iowa on February 12, 1958 and adopted our present name on February 28, 1961. Our executive offices are located at 605 West Crystal Lake Road in Forest City, Iowa. Our telephone number is (641) 585-3535; our website is www.winnebagoind.com. Our common stock trades on the NYSE under the symbol “WGO.”</w:t>
      </w:r>
    </w:p>
    <w:p>
      <w:pPr>
        <w:spacing w:after="0" w:line="174"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In our opinion, the accompanying unaudited consolidated financial statements contain all adjustments, consisting of normal recurring accruals, necessary to present fairly our consolidated financial position as of February 28, 2015 and the consolidated results of income and comprehensive income and consolidated cash flows for the first six months of Fiscal 2015 and 2014. The consolidated statement of income and comprehensive income for the first six months of Fiscal 2015 is not necessarily indicative of the results to be expected for the full year. The consolidated balance sheet data as of August 30, 2014 was derived from audited financial statements, but does not include all of the information and footnotes required by GAAP for complete financial statements. These interim financial statements should be read in conjunction with the audited consolidated financial statements and notes thereto appearing in our Annual Report on Form 10-K for the fiscal year ended August 30, 2014.</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Period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We follow a 52-/53-week fiscal year, ending the last Saturday in August. Both Fiscal 2015 and Fiscal 2014 are 52-week years.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5" w:lineRule="exact"/>
        <w:rPr>
          <w:sz w:val="20"/>
          <w:szCs w:val="20"/>
          <w:color w:val="auto"/>
        </w:rPr>
      </w:pPr>
    </w:p>
    <w:p>
      <w:pPr>
        <w:jc w:val="both"/>
        <w:ind w:right="240"/>
        <w:spacing w:after="0" w:line="253"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specifies how and when to recognize revenue as well as providing informative, relevant disclosures. ASU 2014-09 will become effective for fiscal years beginning after December 15, 2016 (our Fiscal 2018). We are currently evaluating the impact on our consolidated financial statements.</w:t>
      </w:r>
    </w:p>
    <w:p>
      <w:pPr>
        <w:spacing w:after="0" w:line="158" w:lineRule="exact"/>
        <w:rPr>
          <w:sz w:val="20"/>
          <w:szCs w:val="20"/>
          <w:color w:val="auto"/>
        </w:rPr>
      </w:pPr>
    </w:p>
    <w:p>
      <w:pPr>
        <w:ind w:right="320"/>
        <w:spacing w:after="0" w:line="258"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Going Concern</w:t>
      </w:r>
      <w:r>
        <w:rPr>
          <w:rFonts w:ascii="Arial" w:cs="Arial" w:eastAsia="Arial" w:hAnsi="Arial"/>
          <w:sz w:val="16"/>
          <w:szCs w:val="16"/>
          <w:color w:val="auto"/>
        </w:rPr>
        <w:t xml:space="preserve"> (Subtopic 205-40), which provides guidance on management's responsibility in evaluating whether there is substantial doubt about a company's ability to continue as a going concern and related footnote disclosures. ASU 2014-15 will become effective for years ending after December 15, 2016 (our Fiscal 2017). We are currently evaluating the impact of ASU 2014-15 on our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w:t>
      </w:r>
      <w:r>
        <w:rPr>
          <w:rFonts w:ascii="Arial" w:cs="Arial" w:eastAsia="Arial" w:hAnsi="Arial"/>
          <w:sz w:val="18"/>
          <w:szCs w:val="18"/>
          <w:b w:val="1"/>
          <w:bCs w:val="1"/>
          <w:color w:val="auto"/>
        </w:rPr>
        <w:t>:</w:t>
      </w:r>
      <w:r>
        <w:rPr>
          <w:rFonts w:ascii="Arial" w:cs="Arial" w:eastAsia="Arial" w:hAnsi="Arial"/>
          <w:sz w:val="16"/>
          <w:szCs w:val="16"/>
          <w:b w:val="1"/>
          <w:bCs w:val="1"/>
          <w:color w:val="auto"/>
        </w:rPr>
        <w:t xml:space="preserve"> Concentration Risk</w:t>
      </w:r>
    </w:p>
    <w:p>
      <w:pPr>
        <w:spacing w:after="0" w:line="21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One of our dealer organizations accounted for 20.1% and 20.7% of our consolidated net revenues for the first six months of Fiscal 2015 and Fiscal 2014, respectively. A second dealer organization accounted for 19.2% and 12.6% of our consolidated net revenues for the first six months of Fiscal 2015 and Fiscal 2014, respectively. The loss of either or both of these dealer organizations could have a significant adverse effect on our business. In addition, deterioration in the liquidity or creditworthiness of these dealers could negatively impact our sales and could trigger repurchase obligations under our repurchase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Investments and Fair Value Measurements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p>
      <w:pPr>
        <w:spacing w:after="0" w:line="25"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 xml:space="preserve">We account for fair value measurements in accordance with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which defines fair value, establishes a framework for measurement and expands disclosure about fair value measurement. 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Equivalents</w:t>
      </w:r>
    </w:p>
    <w:p>
      <w:pPr>
        <w:spacing w:after="0" w:line="2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carrying value of cash equivalents approximates fair value as original maturities are less than three months. Our cash equivalents are comprised of money market funds traded in an active market with no restrictions.</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380"/>
          </w:cols>
          <w:pgMar w:left="240" w:top="141" w:right="27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by level within the fair value hierarchy our financial assets that were accounted for at fair value on a recurring basis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2015 and August 30, 2014 according to the valuation techniques we used to determine their fair values: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6"/>
          </w:tcPr>
          <w:p>
            <w:pPr>
              <w:jc w:val="center"/>
              <w:ind w:left="1139"/>
              <w:spacing w:after="0"/>
              <w:rPr>
                <w:sz w:val="20"/>
                <w:szCs w:val="20"/>
                <w:color w:val="auto"/>
              </w:rPr>
            </w:pPr>
            <w:r>
              <w:rPr>
                <w:rFonts w:ascii="Arial" w:cs="Arial" w:eastAsia="Arial" w:hAnsi="Arial"/>
                <w:sz w:val="16"/>
                <w:szCs w:val="16"/>
                <w:b w:val="1"/>
                <w:bCs w:val="1"/>
                <w:color w:val="auto"/>
              </w:rPr>
              <w:t>Fair Value Measurements</w:t>
            </w:r>
          </w:p>
        </w:tc>
        <w:tc>
          <w:tcPr>
            <w:tcW w:w="1300" w:type="dxa"/>
            <w:vAlign w:val="bottom"/>
          </w:tcPr>
          <w:p>
            <w:pPr>
              <w:spacing w:after="0"/>
              <w:rPr>
                <w:sz w:val="16"/>
                <w:szCs w:val="16"/>
                <w:color w:val="auto"/>
              </w:rPr>
            </w:pPr>
          </w:p>
        </w:tc>
      </w:tr>
      <w:tr>
        <w:trPr>
          <w:trHeight w:val="228"/>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rPr>
              <w:t>Using Inputs Considered As</w:t>
            </w:r>
          </w:p>
        </w:tc>
      </w:tr>
      <w:tr>
        <w:trPr>
          <w:trHeight w:val="198"/>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Level 1 Quoted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Level 3</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Fair Value at</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Prices in Active</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February 28,</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Markets for</w:t>
            </w: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Significant Other</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Unobservable</w:t>
            </w: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Identical Assets</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Observable Inputs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Inputs</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0"/>
        </w:trPr>
        <w:tc>
          <w:tcPr>
            <w:tcW w:w="5160" w:type="dxa"/>
            <w:vAlign w:val="bottom"/>
            <w:gridSpan w:val="2"/>
          </w:tcPr>
          <w:p>
            <w:pPr>
              <w:ind w:left="120"/>
              <w:spacing w:after="0"/>
              <w:rPr>
                <w:sz w:val="20"/>
                <w:szCs w:val="20"/>
                <w:color w:val="auto"/>
              </w:rPr>
            </w:pPr>
            <w:r>
              <w:rPr>
                <w:rFonts w:ascii="Arial" w:cs="Arial" w:eastAsia="Arial" w:hAnsi="Arial"/>
                <w:sz w:val="16"/>
                <w:szCs w:val="16"/>
                <w:color w:val="auto"/>
              </w:rPr>
              <w:t>Domestic equity funds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5,117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5,117</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ind w:left="1020"/>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64"/>
        </w:trPr>
        <w:tc>
          <w:tcPr>
            <w:tcW w:w="51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Fixed income funds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5,878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5,878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0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gridSpan w:val="6"/>
          </w:tcPr>
          <w:p>
            <w:pPr>
              <w:jc w:val="center"/>
              <w:ind w:left="1139"/>
              <w:spacing w:after="0"/>
              <w:rPr>
                <w:sz w:val="20"/>
                <w:szCs w:val="20"/>
                <w:color w:val="auto"/>
              </w:rPr>
            </w:pPr>
            <w:r>
              <w:rPr>
                <w:rFonts w:ascii="Arial" w:cs="Arial" w:eastAsia="Arial" w:hAnsi="Arial"/>
                <w:sz w:val="16"/>
                <w:szCs w:val="16"/>
                <w:b w:val="1"/>
                <w:bCs w:val="1"/>
                <w:color w:val="auto"/>
              </w:rPr>
              <w:t>Fair Value Measurements</w:t>
            </w:r>
          </w:p>
        </w:tc>
        <w:tc>
          <w:tcPr>
            <w:tcW w:w="1300" w:type="dxa"/>
            <w:vAlign w:val="bottom"/>
          </w:tcPr>
          <w:p>
            <w:pPr>
              <w:spacing w:after="0"/>
              <w:rPr>
                <w:sz w:val="24"/>
                <w:szCs w:val="24"/>
                <w:color w:val="auto"/>
              </w:rPr>
            </w:pPr>
          </w:p>
        </w:tc>
      </w:tr>
      <w:tr>
        <w:trPr>
          <w:trHeight w:val="228"/>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rPr>
              <w:t>Using Inputs Considered As</w:t>
            </w:r>
          </w:p>
        </w:tc>
      </w:tr>
      <w:tr>
        <w:trPr>
          <w:trHeight w:val="198"/>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Level 1 Quoted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Level 3</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Fair Value at</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Prices in Active</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August 30,</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Markets for</w:t>
            </w: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Significant Other</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Unobservable</w:t>
            </w: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Identical Assets</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Observable Inputs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Inputs</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0"/>
        </w:trPr>
        <w:tc>
          <w:tcPr>
            <w:tcW w:w="5160" w:type="dxa"/>
            <w:vAlign w:val="bottom"/>
            <w:gridSpan w:val="2"/>
          </w:tcPr>
          <w:p>
            <w:pPr>
              <w:ind w:left="120"/>
              <w:spacing w:after="0"/>
              <w:rPr>
                <w:sz w:val="20"/>
                <w:szCs w:val="20"/>
                <w:color w:val="auto"/>
              </w:rPr>
            </w:pPr>
            <w:r>
              <w:rPr>
                <w:rFonts w:ascii="Arial" w:cs="Arial" w:eastAsia="Arial" w:hAnsi="Arial"/>
                <w:sz w:val="16"/>
                <w:szCs w:val="16"/>
                <w:color w:val="auto"/>
              </w:rPr>
              <w:t>Domestic equity funds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5,465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5,465</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ind w:left="1020"/>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64"/>
        </w:trPr>
        <w:tc>
          <w:tcPr>
            <w:tcW w:w="51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Fixed income funds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6,423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6,423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provides a reconciliation between the beginning and ending balances of items measured at fair value on a recurring basis in the table above that used significant unobservable inputs (Level 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4"/>
          </w:tcPr>
          <w:p>
            <w:pPr>
              <w:jc w:val="center"/>
              <w:ind w:right="7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4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February 28,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March 1,</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28,</w:t>
            </w:r>
          </w:p>
        </w:tc>
        <w:tc>
          <w:tcPr>
            <w:tcW w:w="300" w:type="dxa"/>
            <w:vAlign w:val="bottom"/>
          </w:tcPr>
          <w:p>
            <w:pPr>
              <w:spacing w:after="0"/>
              <w:rPr>
                <w:sz w:val="17"/>
                <w:szCs w:val="17"/>
                <w:color w:val="auto"/>
              </w:rPr>
            </w:pPr>
          </w:p>
        </w:tc>
        <w:tc>
          <w:tcPr>
            <w:tcW w:w="1380" w:type="dxa"/>
            <w:vAlign w:val="bottom"/>
          </w:tcPr>
          <w:p>
            <w:pPr>
              <w:jc w:val="right"/>
              <w:ind w:right="459"/>
              <w:spacing w:after="0"/>
              <w:rPr>
                <w:sz w:val="20"/>
                <w:szCs w:val="20"/>
                <w:color w:val="auto"/>
              </w:rPr>
            </w:pPr>
            <w:r>
              <w:rPr>
                <w:rFonts w:ascii="Arial" w:cs="Arial" w:eastAsia="Arial" w:hAnsi="Arial"/>
                <w:sz w:val="16"/>
                <w:szCs w:val="16"/>
                <w:b w:val="1"/>
                <w:bCs w:val="1"/>
                <w:color w:val="auto"/>
              </w:rPr>
              <w:t>March 1,</w:t>
            </w:r>
          </w:p>
        </w:tc>
      </w:tr>
      <w:tr>
        <w:trPr>
          <w:trHeight w:val="22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2015</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2014</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2014</w:t>
            </w:r>
          </w:p>
        </w:tc>
      </w:tr>
      <w:tr>
        <w:trPr>
          <w:trHeight w:val="257"/>
        </w:trPr>
        <w:tc>
          <w:tcPr>
            <w:tcW w:w="5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2,108</w:t>
            </w:r>
          </w:p>
        </w:tc>
      </w:tr>
      <w:tr>
        <w:trPr>
          <w:trHeight w:val="260"/>
        </w:trPr>
        <w:tc>
          <w:tcPr>
            <w:tcW w:w="5020" w:type="dxa"/>
            <w:vAlign w:val="bottom"/>
            <w:gridSpan w:val="2"/>
          </w:tcPr>
          <w:p>
            <w:pPr>
              <w:ind w:left="40"/>
              <w:spacing w:after="0"/>
              <w:rPr>
                <w:sz w:val="20"/>
                <w:szCs w:val="20"/>
                <w:color w:val="auto"/>
              </w:rPr>
            </w:pPr>
            <w:r>
              <w:rPr>
                <w:rFonts w:ascii="Arial" w:cs="Arial" w:eastAsia="Arial" w:hAnsi="Arial"/>
                <w:sz w:val="16"/>
                <w:szCs w:val="16"/>
                <w:color w:val="auto"/>
              </w:rPr>
              <w:t>Net change included in other comprehensive income</w:t>
            </w:r>
          </w:p>
        </w:tc>
        <w:tc>
          <w:tcPr>
            <w:tcW w:w="1200" w:type="dxa"/>
            <w:vAlign w:val="bottom"/>
          </w:tcPr>
          <w:p>
            <w:pPr>
              <w:spacing w:after="0"/>
              <w:rPr>
                <w:sz w:val="22"/>
                <w:szCs w:val="22"/>
                <w:color w:val="auto"/>
              </w:rPr>
            </w:pPr>
          </w:p>
        </w:tc>
        <w:tc>
          <w:tcPr>
            <w:tcW w:w="380" w:type="dxa"/>
            <w:vAlign w:val="bottom"/>
            <w:gridSpan w:val="2"/>
          </w:tcPr>
          <w:p>
            <w:pPr>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2"/>
                <w:szCs w:val="22"/>
                <w:color w:val="auto"/>
              </w:rPr>
            </w:pPr>
          </w:p>
        </w:tc>
        <w:tc>
          <w:tcPr>
            <w:tcW w:w="4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242</w:t>
            </w:r>
          </w:p>
        </w:tc>
      </w:tr>
      <w:tr>
        <w:trPr>
          <w:trHeight w:val="273"/>
        </w:trPr>
        <w:tc>
          <w:tcPr>
            <w:tcW w:w="5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Sales</w:t>
            </w:r>
          </w:p>
        </w:tc>
        <w:tc>
          <w:tcPr>
            <w:tcW w:w="120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(2,350)</w:t>
            </w:r>
          </w:p>
        </w:tc>
      </w:tr>
      <w:tr>
        <w:trPr>
          <w:trHeight w:val="240"/>
        </w:trPr>
        <w:tc>
          <w:tcPr>
            <w:tcW w:w="5020" w:type="dxa"/>
            <w:vAlign w:val="bottom"/>
            <w:gridSpan w:val="2"/>
          </w:tcPr>
          <w:p>
            <w:pPr>
              <w:ind w:left="40"/>
              <w:spacing w:after="0"/>
              <w:rPr>
                <w:sz w:val="20"/>
                <w:szCs w:val="20"/>
                <w:color w:val="auto"/>
              </w:rPr>
            </w:pPr>
            <w:r>
              <w:rPr>
                <w:rFonts w:ascii="Arial" w:cs="Arial" w:eastAsia="Arial" w:hAnsi="Arial"/>
                <w:sz w:val="16"/>
                <w:szCs w:val="16"/>
                <w:color w:val="auto"/>
              </w:rPr>
              <w:t>Balance at end of period</w:t>
            </w:r>
          </w:p>
        </w:tc>
        <w:tc>
          <w:tcPr>
            <w:tcW w:w="1200" w:type="dxa"/>
            <w:vAlign w:val="bottom"/>
          </w:tcPr>
          <w:p>
            <w:pPr>
              <w:jc w:val="right"/>
              <w:ind w:right="999"/>
              <w:spacing w:after="0"/>
              <w:rPr>
                <w:sz w:val="20"/>
                <w:szCs w:val="20"/>
                <w:color w:val="auto"/>
              </w:rPr>
            </w:pPr>
            <w:r>
              <w:rPr>
                <w:rFonts w:ascii="Arial" w:cs="Arial" w:eastAsia="Arial" w:hAnsi="Arial"/>
                <w:sz w:val="16"/>
                <w:szCs w:val="16"/>
                <w:color w:val="auto"/>
              </w:rPr>
              <w:t>$</w:t>
            </w:r>
          </w:p>
        </w:tc>
        <w:tc>
          <w:tcPr>
            <w:tcW w:w="380" w:type="dxa"/>
            <w:vAlign w:val="bottom"/>
            <w:gridSpan w:val="2"/>
          </w:tcPr>
          <w:p>
            <w:pPr>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4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300" w:type="dxa"/>
            <w:vAlign w:val="bottom"/>
          </w:tcPr>
          <w:p>
            <w:pPr>
              <w:jc w:val="center"/>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0"/>
        </w:trPr>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that Fund Deferred Compensation</w:t>
      </w:r>
    </w:p>
    <w:p>
      <w:pPr>
        <w:spacing w:after="0" w:line="25"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Our assets that fund deferred compensation are marketable equity securities measured at fair value using quoted market prices and primarily consist of equity-based mutual funds. They are classified as Level 1 as they are traded in an active market for which closing stock prices are readily available. These securities fund the Executive Share Option Plan (see Note 9), a deferred compensation program, and are presented as other assets in the accompanying balance sheets.</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Nonrecurring Basis</w:t>
      </w:r>
    </w:p>
    <w:p>
      <w:pPr>
        <w:spacing w:after="0" w:line="25"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Our non-financial assets, which include goodwill and property, plant and equipment, are not required to be measured at fair value on a recurring basis. However, if certain triggering events occur, or if an annual impairment test is required, we must evaluate the non-financial asset for impairment. If an impairment did occur, the asset is required to be recorded at the estimated fair value. During the first six months of Fiscal 2015, no impairments were recorded for non-financial assets.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4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6780" w:type="dxa"/>
            <w:vAlign w:val="bottom"/>
            <w:gridSpan w:val="3"/>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47"/>
        </w:trPr>
        <w:tc>
          <w:tcPr>
            <w:tcW w:w="6780" w:type="dxa"/>
            <w:vAlign w:val="bottom"/>
            <w:gridSpan w:val="3"/>
          </w:tcPr>
          <w:p>
            <w:pPr>
              <w:spacing w:after="0"/>
              <w:rPr>
                <w:sz w:val="20"/>
                <w:szCs w:val="20"/>
                <w:color w:val="auto"/>
              </w:rPr>
            </w:pPr>
            <w:r>
              <w:rPr>
                <w:rFonts w:ascii="Arial" w:cs="Arial" w:eastAsia="Arial" w:hAnsi="Arial"/>
                <w:sz w:val="16"/>
                <w:szCs w:val="16"/>
                <w:b w:val="1"/>
                <w:bCs w:val="1"/>
                <w:color w:val="auto"/>
              </w:rPr>
              <w:t>Note 4: Inventories</w:t>
            </w:r>
          </w:p>
        </w:tc>
        <w:tc>
          <w:tcPr>
            <w:tcW w:w="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51"/>
        </w:trPr>
        <w:tc>
          <w:tcPr>
            <w:tcW w:w="6780" w:type="dxa"/>
            <w:vAlign w:val="bottom"/>
            <w:gridSpan w:val="3"/>
          </w:tcPr>
          <w:p>
            <w:pPr>
              <w:spacing w:after="0"/>
              <w:rPr>
                <w:sz w:val="20"/>
                <w:szCs w:val="20"/>
                <w:color w:val="auto"/>
              </w:rPr>
            </w:pPr>
            <w:r>
              <w:rPr>
                <w:rFonts w:ascii="Arial" w:cs="Arial" w:eastAsia="Arial" w:hAnsi="Arial"/>
                <w:sz w:val="16"/>
                <w:szCs w:val="16"/>
                <w:color w:val="auto"/>
              </w:rPr>
              <w:t>Inventories consist of the following:</w:t>
            </w:r>
          </w:p>
        </w:tc>
        <w:tc>
          <w:tcPr>
            <w:tcW w:w="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26"/>
        </w:trPr>
        <w:tc>
          <w:tcPr>
            <w:tcW w:w="12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gridSpan w:val="2"/>
          </w:tcPr>
          <w:p>
            <w:pPr>
              <w:ind w:left="260"/>
              <w:spacing w:after="0"/>
              <w:rPr>
                <w:sz w:val="20"/>
                <w:szCs w:val="20"/>
                <w:color w:val="auto"/>
              </w:rPr>
            </w:pPr>
            <w:r>
              <w:rPr>
                <w:rFonts w:ascii="Arial" w:cs="Arial" w:eastAsia="Arial" w:hAnsi="Arial"/>
                <w:sz w:val="16"/>
                <w:szCs w:val="16"/>
                <w:b w:val="1"/>
                <w:bCs w:val="1"/>
                <w:color w:val="auto"/>
              </w:rPr>
              <w:t>February 28,</w:t>
            </w:r>
          </w:p>
        </w:tc>
        <w:tc>
          <w:tcPr>
            <w:tcW w:w="400" w:type="dxa"/>
            <w:vAlign w:val="bottom"/>
          </w:tcPr>
          <w:p>
            <w:pPr>
              <w:spacing w:after="0"/>
              <w:rPr>
                <w:sz w:val="24"/>
                <w:szCs w:val="24"/>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August 30,</w:t>
            </w:r>
          </w:p>
        </w:tc>
      </w:tr>
      <w:tr>
        <w:trPr>
          <w:trHeight w:val="228"/>
        </w:trPr>
        <w:tc>
          <w:tcPr>
            <w:tcW w:w="66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2014</w:t>
            </w:r>
          </w:p>
        </w:tc>
      </w:tr>
      <w:tr>
        <w:trPr>
          <w:trHeight w:val="257"/>
        </w:trPr>
        <w:tc>
          <w:tcPr>
            <w:tcW w:w="67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36,923</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28,029</w:t>
            </w:r>
          </w:p>
        </w:tc>
      </w:tr>
      <w:tr>
        <w:trPr>
          <w:trHeight w:val="260"/>
        </w:trPr>
        <w:tc>
          <w:tcPr>
            <w:tcW w:w="6780" w:type="dxa"/>
            <w:vAlign w:val="bottom"/>
            <w:gridSpan w:val="3"/>
          </w:tcPr>
          <w:p>
            <w:pPr>
              <w:ind w:left="40"/>
              <w:spacing w:after="0"/>
              <w:rPr>
                <w:sz w:val="20"/>
                <w:szCs w:val="20"/>
                <w:color w:val="auto"/>
              </w:rPr>
            </w:pPr>
            <w:r>
              <w:rPr>
                <w:rFonts w:ascii="Arial" w:cs="Arial" w:eastAsia="Arial" w:hAnsi="Arial"/>
                <w:sz w:val="16"/>
                <w:szCs w:val="16"/>
                <w:color w:val="auto"/>
              </w:rPr>
              <w:t>Work-in-process</w:t>
            </w:r>
          </w:p>
        </w:tc>
        <w:tc>
          <w:tcPr>
            <w:tcW w:w="380" w:type="dxa"/>
            <w:vAlign w:val="bottom"/>
          </w:tcPr>
          <w:p>
            <w:pPr>
              <w:spacing w:after="0"/>
              <w:rPr>
                <w:sz w:val="22"/>
                <w:szCs w:val="22"/>
                <w:color w:val="auto"/>
              </w:rPr>
            </w:pPr>
          </w:p>
        </w:tc>
        <w:tc>
          <w:tcPr>
            <w:tcW w:w="1880" w:type="dxa"/>
            <w:vAlign w:val="bottom"/>
          </w:tcPr>
          <w:p>
            <w:pPr>
              <w:jc w:val="right"/>
              <w:ind w:right="459"/>
              <w:spacing w:after="0"/>
              <w:rPr>
                <w:sz w:val="20"/>
                <w:szCs w:val="20"/>
                <w:color w:val="auto"/>
              </w:rPr>
            </w:pPr>
            <w:r>
              <w:rPr>
                <w:rFonts w:ascii="Arial" w:cs="Arial" w:eastAsia="Arial" w:hAnsi="Arial"/>
                <w:sz w:val="16"/>
                <w:szCs w:val="16"/>
                <w:color w:val="auto"/>
              </w:rPr>
              <w:t>71,684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49,919</w:t>
            </w:r>
          </w:p>
        </w:tc>
      </w:tr>
      <w:tr>
        <w:trPr>
          <w:trHeight w:val="273"/>
        </w:trPr>
        <w:tc>
          <w:tcPr>
            <w:tcW w:w="67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Raw materials</w:t>
            </w:r>
          </w:p>
        </w:tc>
        <w:tc>
          <w:tcPr>
            <w:tcW w:w="38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73,159</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66,200</w:t>
            </w:r>
          </w:p>
        </w:tc>
      </w:tr>
      <w:tr>
        <w:trPr>
          <w:trHeight w:val="247"/>
        </w:trPr>
        <w:tc>
          <w:tcPr>
            <w:tcW w:w="6780" w:type="dxa"/>
            <w:vAlign w:val="bottom"/>
            <w:gridSpan w:val="3"/>
          </w:tcPr>
          <w:p>
            <w:pPr>
              <w:ind w:left="40"/>
              <w:spacing w:after="0"/>
              <w:rPr>
                <w:sz w:val="20"/>
                <w:szCs w:val="20"/>
                <w:color w:val="auto"/>
              </w:rPr>
            </w:pPr>
            <w:r>
              <w:rPr>
                <w:rFonts w:ascii="Arial" w:cs="Arial" w:eastAsia="Arial" w:hAnsi="Arial"/>
                <w:sz w:val="16"/>
                <w:szCs w:val="16"/>
                <w:color w:val="auto"/>
              </w:rPr>
              <w:t>Total</w:t>
            </w:r>
          </w:p>
        </w:tc>
        <w:tc>
          <w:tcPr>
            <w:tcW w:w="380" w:type="dxa"/>
            <w:vAlign w:val="bottom"/>
          </w:tcPr>
          <w:p>
            <w:pPr>
              <w:spacing w:after="0"/>
              <w:rPr>
                <w:sz w:val="21"/>
                <w:szCs w:val="21"/>
                <w:color w:val="auto"/>
              </w:rPr>
            </w:pPr>
          </w:p>
        </w:tc>
        <w:tc>
          <w:tcPr>
            <w:tcW w:w="1880" w:type="dxa"/>
            <w:vAlign w:val="bottom"/>
          </w:tcPr>
          <w:p>
            <w:pPr>
              <w:jc w:val="right"/>
              <w:ind w:right="459"/>
              <w:spacing w:after="0"/>
              <w:rPr>
                <w:sz w:val="20"/>
                <w:szCs w:val="20"/>
                <w:color w:val="auto"/>
              </w:rPr>
            </w:pPr>
            <w:r>
              <w:rPr>
                <w:rFonts w:ascii="Arial" w:cs="Arial" w:eastAsia="Arial" w:hAnsi="Arial"/>
                <w:sz w:val="16"/>
                <w:szCs w:val="16"/>
                <w:color w:val="auto"/>
              </w:rPr>
              <w:t>181,766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144,148</w:t>
            </w:r>
          </w:p>
        </w:tc>
      </w:tr>
      <w:tr>
        <w:trPr>
          <w:trHeight w:val="273"/>
        </w:trPr>
        <w:tc>
          <w:tcPr>
            <w:tcW w:w="67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LIFO reserve</w:t>
            </w:r>
          </w:p>
        </w:tc>
        <w:tc>
          <w:tcPr>
            <w:tcW w:w="38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(31,925)</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(31,300)</w:t>
            </w:r>
          </w:p>
        </w:tc>
      </w:tr>
      <w:tr>
        <w:trPr>
          <w:trHeight w:val="240"/>
        </w:trPr>
        <w:tc>
          <w:tcPr>
            <w:tcW w:w="6780" w:type="dxa"/>
            <w:vAlign w:val="bottom"/>
            <w:gridSpan w:val="3"/>
          </w:tcPr>
          <w:p>
            <w:pPr>
              <w:ind w:left="40"/>
              <w:spacing w:after="0"/>
              <w:rPr>
                <w:sz w:val="20"/>
                <w:szCs w:val="20"/>
                <w:color w:val="auto"/>
              </w:rPr>
            </w:pPr>
            <w:r>
              <w:rPr>
                <w:rFonts w:ascii="Arial" w:cs="Arial" w:eastAsia="Arial" w:hAnsi="Arial"/>
                <w:sz w:val="16"/>
                <w:szCs w:val="16"/>
                <w:color w:val="auto"/>
              </w:rPr>
              <w:t>Total inventories</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149,841</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112,848</w:t>
            </w:r>
          </w:p>
        </w:tc>
      </w:tr>
      <w:tr>
        <w:trPr>
          <w:trHeight w:val="20"/>
        </w:trPr>
        <w:tc>
          <w:tcPr>
            <w:tcW w:w="12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above value of inventories, before reduction for the LIFO reserve, approximates replacement cost. Of the $181.8 million and $144.1 million inventory at February 28, 2015 and August 30, 2014, respectively, $169.0 million and $137.7 million is valued on a LIFO basis. Towables inventory of $12.8 million and $6.4 million at February 28, 2015 and August 30, 2014, respectively, is valued on a FIFO basis.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Net Investment in Operating Leases and Operating Lease Repurchase Obligations</w:t>
      </w:r>
    </w:p>
    <w:p>
      <w:pPr>
        <w:spacing w:after="0" w:line="21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During the third quarter of Fiscal 2014 we delivered 520 RV rental units to Apollo, a US RV rental company. Under the terms of a sales agreement with Apollo, all units were paid for upon delivery. To secure an order of this magnitude, we contractually agreed to repurchase up to 343 of the units at specified prices after one season of rental use (by no later than December 31, 2014) provided certain conditions are met. On December 29, 2014 the repurchase timing was extended from December 31, 2014 to February 28, 2015. The original cost of these units was depreciated down to the estimated net realizable value of the rental units during the time frame that the units were in rental use. During the first quarter of Fiscal 2015, we were released of repurchase obligation for 124 units as Apollo sold the units in the market place. As units subject to repurchase were sold, we removed the remaining net investment in operating lease as well as the operating lease repurchase obligation. In the second quarter of Fiscal 2015, we were released of the remaining repurchase obligations and as a result, there were no associated assets or liabilities on the balance sheet at February 28, 2015.</w:t>
      </w:r>
    </w:p>
    <w:p>
      <w:pPr>
        <w:spacing w:after="0" w:line="18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Net lease revenue was recorded ratably over the rental period that Apollo held the units based upon the difference between the proceeds received and the estimated repurchase obligation less the estimated depreciation expense of the unit. We were not required to repurchase any units from Apollo, thus we did not record a gain or loss for the difference between the estimated residual value of the unit and the actual resale value as a component of net lease revenue. We recorded net lease revenue of $626,000 during Fiscal 2014, $623,000 and $1.3 million during the second quarter and first six months of Fiscal 2015, respectively.</w:t>
      </w:r>
    </w:p>
    <w:p>
      <w:pPr>
        <w:spacing w:after="0" w:line="25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 March 2015, we received a rental order of similar size from Apollo for the 2015 rental season. Under the terms of the 2015 sales agreement, the sales of these units will all be normal sales with no units recorded as operating leases. Based on the planned delivery schedule, we will ship approximately two-thirds of these units in the third quarter of Fiscal 2015 and one-third in the fourth quarter of Fiscal 2015.</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Property, Plant and Equipment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0" w:type="dxa"/>
            <w:vAlign w:val="bottom"/>
            <w:gridSpan w:val="2"/>
          </w:tcPr>
          <w:p>
            <w:pPr>
              <w:ind w:left="260"/>
              <w:spacing w:after="0"/>
              <w:rPr>
                <w:sz w:val="20"/>
                <w:szCs w:val="20"/>
                <w:color w:val="auto"/>
              </w:rPr>
            </w:pPr>
            <w:r>
              <w:rPr>
                <w:rFonts w:ascii="Arial" w:cs="Arial" w:eastAsia="Arial" w:hAnsi="Arial"/>
                <w:sz w:val="16"/>
                <w:szCs w:val="16"/>
                <w:b w:val="1"/>
                <w:bCs w:val="1"/>
                <w:color w:val="auto"/>
              </w:rPr>
              <w:t>February 28,</w:t>
            </w:r>
          </w:p>
        </w:tc>
        <w:tc>
          <w:tcPr>
            <w:tcW w:w="400" w:type="dxa"/>
            <w:vAlign w:val="bottom"/>
          </w:tcPr>
          <w:p>
            <w:pPr>
              <w:spacing w:after="0"/>
              <w:rPr>
                <w:sz w:val="16"/>
                <w:szCs w:val="16"/>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August 30,</w:t>
            </w:r>
          </w:p>
        </w:tc>
        <w:tc>
          <w:tcPr>
            <w:tcW w:w="0" w:type="dxa"/>
            <w:vAlign w:val="bottom"/>
          </w:tcPr>
          <w:p>
            <w:pPr>
              <w:spacing w:after="0"/>
              <w:rPr>
                <w:sz w:val="1"/>
                <w:szCs w:val="1"/>
                <w:color w:val="auto"/>
              </w:rPr>
            </w:pPr>
          </w:p>
        </w:tc>
      </w:tr>
      <w:tr>
        <w:trPr>
          <w:trHeight w:val="228"/>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28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738</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260"/>
        </w:trPr>
        <w:tc>
          <w:tcPr>
            <w:tcW w:w="4360" w:type="dxa"/>
            <w:vAlign w:val="bottom"/>
          </w:tcPr>
          <w:p>
            <w:pPr>
              <w:ind w:left="40"/>
              <w:spacing w:after="0"/>
              <w:rPr>
                <w:sz w:val="20"/>
                <w:szCs w:val="20"/>
                <w:color w:val="auto"/>
              </w:rPr>
            </w:pPr>
            <w:r>
              <w:rPr>
                <w:rFonts w:ascii="Arial" w:cs="Arial" w:eastAsia="Arial" w:hAnsi="Arial"/>
                <w:sz w:val="16"/>
                <w:szCs w:val="16"/>
                <w:color w:val="auto"/>
              </w:rPr>
              <w:t>Buildings and building improvements</w:t>
            </w:r>
          </w:p>
        </w:tc>
        <w:tc>
          <w:tcPr>
            <w:tcW w:w="2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80" w:type="dxa"/>
            <w:vAlign w:val="bottom"/>
          </w:tcPr>
          <w:p>
            <w:pPr>
              <w:jc w:val="right"/>
              <w:ind w:right="459"/>
              <w:spacing w:after="0"/>
              <w:rPr>
                <w:sz w:val="20"/>
                <w:szCs w:val="20"/>
                <w:color w:val="auto"/>
              </w:rPr>
            </w:pPr>
            <w:r>
              <w:rPr>
                <w:rFonts w:ascii="Arial" w:cs="Arial" w:eastAsia="Arial" w:hAnsi="Arial"/>
                <w:sz w:val="16"/>
                <w:szCs w:val="16"/>
                <w:color w:val="auto"/>
              </w:rPr>
              <w:t>48,092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47,273</w:t>
            </w:r>
          </w:p>
        </w:tc>
        <w:tc>
          <w:tcPr>
            <w:tcW w:w="0" w:type="dxa"/>
            <w:vAlign w:val="bottom"/>
          </w:tcPr>
          <w:p>
            <w:pPr>
              <w:spacing w:after="0"/>
              <w:rPr>
                <w:sz w:val="1"/>
                <w:szCs w:val="1"/>
                <w:color w:val="auto"/>
              </w:rPr>
            </w:pPr>
          </w:p>
        </w:tc>
      </w:tr>
      <w:tr>
        <w:trPr>
          <w:trHeight w:val="280"/>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2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8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92,351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90,101</w:t>
            </w:r>
          </w:p>
        </w:tc>
        <w:tc>
          <w:tcPr>
            <w:tcW w:w="0" w:type="dxa"/>
            <w:vAlign w:val="bottom"/>
          </w:tcPr>
          <w:p>
            <w:pPr>
              <w:spacing w:after="0"/>
              <w:rPr>
                <w:sz w:val="1"/>
                <w:szCs w:val="1"/>
                <w:color w:val="auto"/>
              </w:rPr>
            </w:pPr>
          </w:p>
        </w:tc>
      </w:tr>
      <w:tr>
        <w:trPr>
          <w:trHeight w:val="260"/>
        </w:trPr>
        <w:tc>
          <w:tcPr>
            <w:tcW w:w="4360" w:type="dxa"/>
            <w:vAlign w:val="bottom"/>
          </w:tcPr>
          <w:p>
            <w:pPr>
              <w:ind w:left="40"/>
              <w:spacing w:after="0"/>
              <w:rPr>
                <w:sz w:val="20"/>
                <w:szCs w:val="20"/>
                <w:color w:val="auto"/>
              </w:rPr>
            </w:pPr>
            <w:r>
              <w:rPr>
                <w:rFonts w:ascii="Arial" w:cs="Arial" w:eastAsia="Arial" w:hAnsi="Arial"/>
                <w:sz w:val="16"/>
                <w:szCs w:val="16"/>
                <w:color w:val="auto"/>
              </w:rPr>
              <w:t>Software</w:t>
            </w:r>
          </w:p>
        </w:tc>
        <w:tc>
          <w:tcPr>
            <w:tcW w:w="2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80" w:type="dxa"/>
            <w:vAlign w:val="bottom"/>
          </w:tcPr>
          <w:p>
            <w:pPr>
              <w:jc w:val="right"/>
              <w:ind w:right="459"/>
              <w:spacing w:after="0"/>
              <w:rPr>
                <w:sz w:val="20"/>
                <w:szCs w:val="20"/>
                <w:color w:val="auto"/>
              </w:rPr>
            </w:pPr>
            <w:r>
              <w:rPr>
                <w:rFonts w:ascii="Arial" w:cs="Arial" w:eastAsia="Arial" w:hAnsi="Arial"/>
                <w:sz w:val="16"/>
                <w:szCs w:val="16"/>
                <w:color w:val="auto"/>
              </w:rPr>
              <w:t>5,052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4,356</w:t>
            </w:r>
          </w:p>
        </w:tc>
        <w:tc>
          <w:tcPr>
            <w:tcW w:w="0" w:type="dxa"/>
            <w:vAlign w:val="bottom"/>
          </w:tcPr>
          <w:p>
            <w:pPr>
              <w:spacing w:after="0"/>
              <w:rPr>
                <w:sz w:val="1"/>
                <w:szCs w:val="1"/>
                <w:color w:val="auto"/>
              </w:rPr>
            </w:pPr>
          </w:p>
        </w:tc>
      </w:tr>
      <w:tr>
        <w:trPr>
          <w:trHeight w:val="273"/>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Transportation</w:t>
            </w:r>
          </w:p>
        </w:tc>
        <w:tc>
          <w:tcPr>
            <w:tcW w:w="2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9,347</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9,098</w:t>
            </w:r>
          </w:p>
        </w:tc>
        <w:tc>
          <w:tcPr>
            <w:tcW w:w="0" w:type="dxa"/>
            <w:vAlign w:val="bottom"/>
          </w:tcPr>
          <w:p>
            <w:pPr>
              <w:spacing w:after="0"/>
              <w:rPr>
                <w:sz w:val="1"/>
                <w:szCs w:val="1"/>
                <w:color w:val="auto"/>
              </w:rPr>
            </w:pPr>
          </w:p>
        </w:tc>
      </w:tr>
      <w:tr>
        <w:trPr>
          <w:trHeight w:val="247"/>
        </w:trPr>
        <w:tc>
          <w:tcPr>
            <w:tcW w:w="4360" w:type="dxa"/>
            <w:vAlign w:val="bottom"/>
          </w:tcPr>
          <w:p>
            <w:pPr>
              <w:ind w:left="40"/>
              <w:spacing w:after="0"/>
              <w:rPr>
                <w:sz w:val="20"/>
                <w:szCs w:val="20"/>
                <w:color w:val="auto"/>
              </w:rPr>
            </w:pPr>
            <w:r>
              <w:rPr>
                <w:rFonts w:ascii="Arial" w:cs="Arial" w:eastAsia="Arial" w:hAnsi="Arial"/>
                <w:sz w:val="16"/>
                <w:szCs w:val="16"/>
                <w:color w:val="auto"/>
              </w:rPr>
              <w:t>Total property, plant and equipment, gross</w:t>
            </w:r>
          </w:p>
        </w:tc>
        <w:tc>
          <w:tcPr>
            <w:tcW w:w="2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tcPr>
          <w:p>
            <w:pPr>
              <w:jc w:val="right"/>
              <w:ind w:right="459"/>
              <w:spacing w:after="0"/>
              <w:rPr>
                <w:sz w:val="20"/>
                <w:szCs w:val="20"/>
                <w:color w:val="auto"/>
              </w:rPr>
            </w:pPr>
            <w:r>
              <w:rPr>
                <w:rFonts w:ascii="Arial" w:cs="Arial" w:eastAsia="Arial" w:hAnsi="Arial"/>
                <w:sz w:val="16"/>
                <w:szCs w:val="16"/>
                <w:color w:val="auto"/>
              </w:rPr>
              <w:t>155,580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151,566</w:t>
            </w:r>
          </w:p>
        </w:tc>
        <w:tc>
          <w:tcPr>
            <w:tcW w:w="0" w:type="dxa"/>
            <w:vAlign w:val="bottom"/>
          </w:tcPr>
          <w:p>
            <w:pPr>
              <w:spacing w:after="0"/>
              <w:rPr>
                <w:sz w:val="1"/>
                <w:szCs w:val="1"/>
                <w:color w:val="auto"/>
              </w:rPr>
            </w:pPr>
          </w:p>
        </w:tc>
      </w:tr>
      <w:tr>
        <w:trPr>
          <w:trHeight w:val="273"/>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2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(127,210)</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(126,431)</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Total property, plant and equipment, net</w:t>
            </w:r>
          </w:p>
        </w:tc>
        <w:tc>
          <w:tcPr>
            <w:tcW w:w="28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459"/>
              <w:spacing w:after="0"/>
              <w:rPr>
                <w:sz w:val="20"/>
                <w:szCs w:val="20"/>
                <w:color w:val="auto"/>
              </w:rPr>
            </w:pPr>
            <w:r>
              <w:rPr>
                <w:rFonts w:ascii="Arial" w:cs="Arial" w:eastAsia="Arial" w:hAnsi="Arial"/>
                <w:sz w:val="16"/>
                <w:szCs w:val="16"/>
                <w:color w:val="auto"/>
              </w:rPr>
              <w:t>28,370</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25,135</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320" w:type="dxa"/>
            <w:vAlign w:val="bottom"/>
            <w:vMerge w:val="restart"/>
          </w:tcPr>
          <w:p>
            <w:pPr>
              <w:jc w:val="right"/>
              <w:ind w:right="8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36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Credit Facilities</w:t>
      </w:r>
    </w:p>
    <w:p>
      <w:pPr>
        <w:spacing w:after="0" w:line="187" w:lineRule="exact"/>
        <w:rPr>
          <w:sz w:val="20"/>
          <w:szCs w:val="20"/>
          <w:color w:val="auto"/>
        </w:rPr>
      </w:pPr>
    </w:p>
    <w:p>
      <w:pPr>
        <w:ind w:right="460"/>
        <w:spacing w:after="0" w:line="253" w:lineRule="auto"/>
        <w:rPr>
          <w:sz w:val="20"/>
          <w:szCs w:val="20"/>
          <w:color w:val="auto"/>
        </w:rPr>
      </w:pPr>
      <w:r>
        <w:rPr>
          <w:rFonts w:ascii="Arial" w:cs="Arial" w:eastAsia="Arial" w:hAnsi="Arial"/>
          <w:sz w:val="16"/>
          <w:szCs w:val="16"/>
          <w:color w:val="auto"/>
        </w:rPr>
        <w:t>On October 31, 2012, we entered into the Credit Agreement with GECC. The Credit Agreement provides for an initial $35.0 million revolving credit facility based on eligible inventory and was to expire on October 31, 2015, unless terminated earlier in accordance with its terms. There is no termination fee associated with the Credit Agreement.</w:t>
      </w:r>
    </w:p>
    <w:p>
      <w:pPr>
        <w:spacing w:after="0" w:line="17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 Credit Agreement contains no financial covenant restrictions for borrowings where we have excess borrowing availability under the facility of greater than $5.0 million. The Credit Agreement requires us to comply with a fixed charge ratio if excess borrowing availability under the facility is less than $5.0 million. In addition the Credit Agreement also includes a framework to expand the size of the facility up to $50.0 million, based on mutually agreeable terms at the time of the expansion. The initial unused line fee associated with the Credit Agreement is 0.5% per annum and has the ability to be lowered based upon facility usage.</w:t>
      </w:r>
    </w:p>
    <w:p>
      <w:pPr>
        <w:spacing w:after="0" w:line="176"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The Credit Agreement contains typical affirmative representations and covenants for a credit agreement of this size and nature. Additionally, the Credit Agreement contains negative covenants limiting our ability, among other things, to incur debt, grant liens, make acquisitions, make certain investments, pay certain dividends and distributions, engage in mergers, consolidations or acquisitions and sell certain assets. Obligations under the Credit Agreement are secured by a security interest in all of our accounts and other receivables, chattel paper, documents, deposit accounts, instruments, equipment, inventory, investment property, leasehold interest, cash and cash equivalents, letter-of-credit rights, most real property and fixtures and certain other business assets.</w:t>
      </w:r>
    </w:p>
    <w:p>
      <w:pPr>
        <w:spacing w:after="0" w:line="176"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On May 28, 2014, we amended this Credit Agreement (the "Amended Credit Agreement"). The Amended Credit Agreement extends the term of the credit facility from October 31, 2015 to May 28, 2019. In addition, interest on loans made under the Amended Credit Facility will be based on LIBOR plus a margin of 2.0%. The amendment also revised and added definitions of several terms including an expanded Restricted Payment Basket that now permits up to $15.0 million purchases of company stock and cash dividends to be excluded from the Fixed Charge ratio annually. In addition, the definition of Eligible Accounts was expanded to permit certain receivables to be included in the Borrowing Base. The Amended Credit Agreement also permits us to engage in certain sale lease buyback transactions in the ordinary course of business subject to certain restrictions and increases our ability to incur capital lease obligations.</w:t>
      </w:r>
    </w:p>
    <w:p>
      <w:pPr>
        <w:spacing w:after="0" w:line="178" w:lineRule="exact"/>
        <w:rPr>
          <w:sz w:val="20"/>
          <w:szCs w:val="20"/>
          <w:color w:val="auto"/>
        </w:rPr>
      </w:pPr>
    </w:p>
    <w:p>
      <w:pPr>
        <w:jc w:val="both"/>
        <w:ind w:right="180"/>
        <w:spacing w:after="0" w:line="260" w:lineRule="auto"/>
        <w:rPr>
          <w:sz w:val="20"/>
          <w:szCs w:val="20"/>
          <w:color w:val="auto"/>
        </w:rPr>
      </w:pPr>
      <w:r>
        <w:rPr>
          <w:rFonts w:ascii="Arial" w:cs="Arial" w:eastAsia="Arial" w:hAnsi="Arial"/>
          <w:sz w:val="16"/>
          <w:szCs w:val="16"/>
          <w:color w:val="auto"/>
        </w:rPr>
        <w:t>During the second quarter we utilized the credit facility from time to time to meet working capital needs, however at the end of the period no borrowings were outstanding. As of the date of this report, we are in compliance with all material terms of the Amended Credit Agreement, and no borrowings are outstanding.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Warranty</w:t>
      </w:r>
    </w:p>
    <w:p>
      <w:pPr>
        <w:spacing w:after="0" w:line="21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We provide our motorhome customers a comprehensive 12-month/15,000-mile warranty on our Class A, B and C motorhomes, and a 3-year/36,000-mile structural warranty on Class A and C sidewalls and floors. We provide a comprehensive 12-month warranty on all towable products. We have also incurred costs for certain warranty-type expenses which occurred after the normal warranty period. We have voluntarily agreed to pay such costs to help protect the reputation of our products and the goodwill of our customers. Estimated costs related to product warranty are accrued at the time of sale and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40" w:type="dxa"/>
            <w:vAlign w:val="bottom"/>
            <w:gridSpan w:val="2"/>
          </w:tcPr>
          <w:p>
            <w:pPr>
              <w:spacing w:after="0"/>
              <w:rPr>
                <w:sz w:val="20"/>
                <w:szCs w:val="20"/>
                <w:color w:val="auto"/>
              </w:rPr>
            </w:pPr>
            <w:r>
              <w:rPr>
                <w:rFonts w:ascii="Arial" w:cs="Arial" w:eastAsia="Arial" w:hAnsi="Arial"/>
                <w:sz w:val="16"/>
                <w:szCs w:val="16"/>
                <w:color w:val="auto"/>
              </w:rPr>
              <w:t>Changes in our product warranty liability are as follows:</w:t>
            </w: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405"/>
        </w:trPr>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28,</w:t>
            </w:r>
          </w:p>
        </w:tc>
        <w:tc>
          <w:tcPr>
            <w:tcW w:w="300" w:type="dxa"/>
            <w:vAlign w:val="bottom"/>
          </w:tcPr>
          <w:p>
            <w:pPr>
              <w:spacing w:after="0"/>
              <w:rPr>
                <w:sz w:val="17"/>
                <w:szCs w:val="17"/>
                <w:color w:val="auto"/>
              </w:rPr>
            </w:pPr>
          </w:p>
        </w:tc>
        <w:tc>
          <w:tcPr>
            <w:tcW w:w="146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1,</w:t>
            </w:r>
          </w:p>
        </w:tc>
        <w:tc>
          <w:tcPr>
            <w:tcW w:w="240" w:type="dxa"/>
            <w:vAlign w:val="bottom"/>
          </w:tcPr>
          <w:p>
            <w:pPr>
              <w:spacing w:after="0"/>
              <w:rPr>
                <w:sz w:val="17"/>
                <w:szCs w:val="17"/>
                <w:color w:val="auto"/>
              </w:rPr>
            </w:pPr>
          </w:p>
        </w:tc>
        <w:tc>
          <w:tcPr>
            <w:tcW w:w="160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28,</w:t>
            </w:r>
          </w:p>
        </w:tc>
        <w:tc>
          <w:tcPr>
            <w:tcW w:w="280" w:type="dxa"/>
            <w:vAlign w:val="bottom"/>
          </w:tcPr>
          <w:p>
            <w:pPr>
              <w:spacing w:after="0"/>
              <w:rPr>
                <w:sz w:val="17"/>
                <w:szCs w:val="17"/>
                <w:color w:val="auto"/>
              </w:rPr>
            </w:pPr>
          </w:p>
        </w:tc>
        <w:tc>
          <w:tcPr>
            <w:tcW w:w="1360" w:type="dxa"/>
            <w:vAlign w:val="bottom"/>
          </w:tcPr>
          <w:p>
            <w:pPr>
              <w:jc w:val="right"/>
              <w:ind w:right="439"/>
              <w:spacing w:after="0"/>
              <w:rPr>
                <w:sz w:val="20"/>
                <w:szCs w:val="20"/>
                <w:color w:val="auto"/>
              </w:rPr>
            </w:pPr>
            <w:r>
              <w:rPr>
                <w:rFonts w:ascii="Arial" w:cs="Arial" w:eastAsia="Arial" w:hAnsi="Arial"/>
                <w:sz w:val="16"/>
                <w:szCs w:val="16"/>
                <w:b w:val="1"/>
                <w:bCs w:val="1"/>
                <w:color w:val="auto"/>
              </w:rPr>
              <w:t>March 1,</w:t>
            </w:r>
          </w:p>
        </w:tc>
      </w:tr>
      <w:tr>
        <w:trPr>
          <w:trHeight w:val="228"/>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2014</w:t>
            </w:r>
          </w:p>
        </w:tc>
      </w:tr>
      <w:tr>
        <w:trPr>
          <w:trHeight w:val="257"/>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9,090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8,345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9,501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8,443</w:t>
            </w:r>
          </w:p>
        </w:tc>
      </w:tr>
      <w:tr>
        <w:trPr>
          <w:trHeight w:val="260"/>
        </w:trPr>
        <w:tc>
          <w:tcPr>
            <w:tcW w:w="4340" w:type="dxa"/>
            <w:vAlign w:val="bottom"/>
            <w:gridSpan w:val="2"/>
          </w:tcPr>
          <w:p>
            <w:pPr>
              <w:ind w:left="40"/>
              <w:spacing w:after="0"/>
              <w:rPr>
                <w:sz w:val="20"/>
                <w:szCs w:val="20"/>
                <w:color w:val="auto"/>
              </w:rPr>
            </w:pPr>
            <w:r>
              <w:rPr>
                <w:rFonts w:ascii="Arial" w:cs="Arial" w:eastAsia="Arial" w:hAnsi="Arial"/>
                <w:sz w:val="16"/>
                <w:szCs w:val="16"/>
                <w:color w:val="auto"/>
              </w:rPr>
              <w:t>Provision</w:t>
            </w:r>
          </w:p>
        </w:tc>
        <w:tc>
          <w:tcPr>
            <w:tcW w:w="240" w:type="dxa"/>
            <w:vAlign w:val="bottom"/>
          </w:tcPr>
          <w:p>
            <w:pPr>
              <w:spacing w:after="0"/>
              <w:rPr>
                <w:sz w:val="22"/>
                <w:szCs w:val="22"/>
                <w:color w:val="auto"/>
              </w:rPr>
            </w:pPr>
          </w:p>
        </w:tc>
        <w:tc>
          <w:tcPr>
            <w:tcW w:w="1500" w:type="dxa"/>
            <w:vAlign w:val="bottom"/>
          </w:tcPr>
          <w:p>
            <w:pPr>
              <w:jc w:val="right"/>
              <w:ind w:right="359"/>
              <w:spacing w:after="0"/>
              <w:rPr>
                <w:sz w:val="20"/>
                <w:szCs w:val="20"/>
                <w:color w:val="auto"/>
              </w:rPr>
            </w:pPr>
            <w:r>
              <w:rPr>
                <w:rFonts w:ascii="Arial" w:cs="Arial" w:eastAsia="Arial" w:hAnsi="Arial"/>
                <w:sz w:val="16"/>
                <w:szCs w:val="16"/>
                <w:color w:val="auto"/>
              </w:rPr>
              <w:t>2,269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jc w:val="right"/>
              <w:ind w:right="339"/>
              <w:spacing w:after="0"/>
              <w:rPr>
                <w:sz w:val="20"/>
                <w:szCs w:val="20"/>
                <w:color w:val="auto"/>
              </w:rPr>
            </w:pPr>
            <w:r>
              <w:rPr>
                <w:rFonts w:ascii="Arial" w:cs="Arial" w:eastAsia="Arial" w:hAnsi="Arial"/>
                <w:sz w:val="16"/>
                <w:szCs w:val="16"/>
                <w:color w:val="auto"/>
              </w:rPr>
              <w:t>2,368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jc w:val="right"/>
              <w:ind w:right="339"/>
              <w:spacing w:after="0"/>
              <w:rPr>
                <w:sz w:val="20"/>
                <w:szCs w:val="20"/>
                <w:color w:val="auto"/>
              </w:rPr>
            </w:pPr>
            <w:r>
              <w:rPr>
                <w:rFonts w:ascii="Arial" w:cs="Arial" w:eastAsia="Arial" w:hAnsi="Arial"/>
                <w:sz w:val="16"/>
                <w:szCs w:val="16"/>
                <w:color w:val="auto"/>
              </w:rPr>
              <w:t>4,846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5,138</w:t>
            </w:r>
          </w:p>
        </w:tc>
      </w:tr>
      <w:tr>
        <w:trPr>
          <w:trHeight w:val="273"/>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Claims paid</w:t>
            </w:r>
          </w:p>
        </w:tc>
        <w:tc>
          <w:tcPr>
            <w:tcW w:w="24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(1,503)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(1,932)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(4,491)</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(4,800)</w:t>
            </w:r>
          </w:p>
        </w:tc>
      </w:tr>
      <w:tr>
        <w:trPr>
          <w:trHeight w:val="240"/>
        </w:trPr>
        <w:tc>
          <w:tcPr>
            <w:tcW w:w="4340" w:type="dxa"/>
            <w:vAlign w:val="bottom"/>
            <w:gridSpan w:val="2"/>
          </w:tcPr>
          <w:p>
            <w:pPr>
              <w:ind w:left="40"/>
              <w:spacing w:after="0"/>
              <w:rPr>
                <w:sz w:val="20"/>
                <w:szCs w:val="20"/>
                <w:color w:val="auto"/>
              </w:rPr>
            </w:pPr>
            <w:r>
              <w:rPr>
                <w:rFonts w:ascii="Arial" w:cs="Arial" w:eastAsia="Arial" w:hAnsi="Arial"/>
                <w:sz w:val="16"/>
                <w:szCs w:val="16"/>
                <w:color w:val="auto"/>
              </w:rPr>
              <w:t>Balance at end of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9,856</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8,781</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9,856</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8,781</w:t>
            </w: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612"/>
        </w:trPr>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jc w:val="right"/>
              <w:ind w:right="2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gridSpan w:val="3"/>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47"/>
        </w:trPr>
        <w:tc>
          <w:tcPr>
            <w:tcW w:w="7400" w:type="dxa"/>
            <w:vAlign w:val="bottom"/>
            <w:gridSpan w:val="3"/>
          </w:tcPr>
          <w:p>
            <w:pPr>
              <w:spacing w:after="0"/>
              <w:rPr>
                <w:sz w:val="20"/>
                <w:szCs w:val="20"/>
                <w:color w:val="auto"/>
              </w:rPr>
            </w:pPr>
            <w:r>
              <w:rPr>
                <w:rFonts w:ascii="Arial" w:cs="Arial" w:eastAsia="Arial" w:hAnsi="Arial"/>
                <w:sz w:val="16"/>
                <w:szCs w:val="16"/>
                <w:b w:val="1"/>
                <w:bCs w:val="1"/>
                <w:color w:val="auto"/>
              </w:rPr>
              <w:t>Note 9: Employee and Retiree Benefits</w:t>
            </w: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51"/>
        </w:trPr>
        <w:tc>
          <w:tcPr>
            <w:tcW w:w="7400" w:type="dxa"/>
            <w:vAlign w:val="bottom"/>
            <w:gridSpan w:val="3"/>
          </w:tcPr>
          <w:p>
            <w:pPr>
              <w:spacing w:after="0"/>
              <w:rPr>
                <w:sz w:val="20"/>
                <w:szCs w:val="20"/>
                <w:color w:val="auto"/>
              </w:rPr>
            </w:pPr>
            <w:r>
              <w:rPr>
                <w:rFonts w:ascii="Arial" w:cs="Arial" w:eastAsia="Arial" w:hAnsi="Arial"/>
                <w:sz w:val="16"/>
                <w:szCs w:val="16"/>
                <w:color w:val="auto"/>
              </w:rPr>
              <w:t>Postretirement health care and deferred compensation benefits are as follows:</w:t>
            </w: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26"/>
        </w:trPr>
        <w:tc>
          <w:tcPr>
            <w:tcW w:w="12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gridSpan w:val="2"/>
          </w:tcPr>
          <w:p>
            <w:pPr>
              <w:ind w:left="180"/>
              <w:spacing w:after="0"/>
              <w:rPr>
                <w:sz w:val="20"/>
                <w:szCs w:val="20"/>
                <w:color w:val="auto"/>
              </w:rPr>
            </w:pPr>
            <w:r>
              <w:rPr>
                <w:rFonts w:ascii="Arial" w:cs="Arial" w:eastAsia="Arial" w:hAnsi="Arial"/>
                <w:sz w:val="16"/>
                <w:szCs w:val="16"/>
                <w:b w:val="1"/>
                <w:bCs w:val="1"/>
                <w:color w:val="auto"/>
              </w:rPr>
              <w:t>February 28,</w:t>
            </w:r>
          </w:p>
        </w:tc>
        <w:tc>
          <w:tcPr>
            <w:tcW w:w="340" w:type="dxa"/>
            <w:vAlign w:val="bottom"/>
          </w:tcPr>
          <w:p>
            <w:pPr>
              <w:spacing w:after="0"/>
              <w:rPr>
                <w:sz w:val="24"/>
                <w:szCs w:val="24"/>
                <w:color w:val="auto"/>
              </w:rPr>
            </w:pPr>
          </w:p>
        </w:tc>
        <w:tc>
          <w:tcPr>
            <w:tcW w:w="1620" w:type="dxa"/>
            <w:vAlign w:val="bottom"/>
          </w:tcPr>
          <w:p>
            <w:pPr>
              <w:jc w:val="right"/>
              <w:ind w:right="499"/>
              <w:spacing w:after="0"/>
              <w:rPr>
                <w:sz w:val="20"/>
                <w:szCs w:val="20"/>
                <w:color w:val="auto"/>
              </w:rPr>
            </w:pPr>
            <w:r>
              <w:rPr>
                <w:rFonts w:ascii="Arial" w:cs="Arial" w:eastAsia="Arial" w:hAnsi="Arial"/>
                <w:sz w:val="16"/>
                <w:szCs w:val="16"/>
                <w:b w:val="1"/>
                <w:bCs w:val="1"/>
                <w:color w:val="auto"/>
              </w:rPr>
              <w:t>August 30,</w:t>
            </w:r>
          </w:p>
        </w:tc>
      </w:tr>
      <w:tr>
        <w:trPr>
          <w:trHeight w:val="228"/>
        </w:trPr>
        <w:tc>
          <w:tcPr>
            <w:tcW w:w="72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2014</w:t>
            </w:r>
          </w:p>
        </w:tc>
      </w:tr>
      <w:tr>
        <w:trPr>
          <w:trHeight w:val="257"/>
        </w:trPr>
        <w:tc>
          <w:tcPr>
            <w:tcW w:w="74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Postretirement health care benefit cost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35,829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36,930</w:t>
            </w:r>
          </w:p>
        </w:tc>
      </w:tr>
      <w:tr>
        <w:trPr>
          <w:trHeight w:val="260"/>
        </w:trPr>
        <w:tc>
          <w:tcPr>
            <w:tcW w:w="7400" w:type="dxa"/>
            <w:vAlign w:val="bottom"/>
            <w:gridSpan w:val="3"/>
          </w:tcPr>
          <w:p>
            <w:pPr>
              <w:ind w:left="40"/>
              <w:spacing w:after="0"/>
              <w:rPr>
                <w:sz w:val="20"/>
                <w:szCs w:val="20"/>
                <w:color w:val="auto"/>
              </w:rPr>
            </w:pPr>
            <w:r>
              <w:rPr>
                <w:rFonts w:ascii="Arial" w:cs="Arial" w:eastAsia="Arial" w:hAnsi="Arial"/>
                <w:sz w:val="16"/>
                <w:szCs w:val="16"/>
                <w:color w:val="auto"/>
              </w:rPr>
              <w:t>Non-qualified deferred compensation</w:t>
            </w:r>
          </w:p>
        </w:tc>
        <w:tc>
          <w:tcPr>
            <w:tcW w:w="300" w:type="dxa"/>
            <w:vAlign w:val="bottom"/>
          </w:tcPr>
          <w:p>
            <w:pPr>
              <w:spacing w:after="0"/>
              <w:rPr>
                <w:sz w:val="22"/>
                <w:szCs w:val="22"/>
                <w:color w:val="auto"/>
              </w:rPr>
            </w:pP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20,313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20" w:type="dxa"/>
            <w:vAlign w:val="bottom"/>
          </w:tcPr>
          <w:p>
            <w:pPr>
              <w:jc w:val="right"/>
              <w:ind w:right="359"/>
              <w:spacing w:after="0"/>
              <w:rPr>
                <w:sz w:val="20"/>
                <w:szCs w:val="20"/>
                <w:color w:val="auto"/>
              </w:rPr>
            </w:pPr>
            <w:r>
              <w:rPr>
                <w:rFonts w:ascii="Arial" w:cs="Arial" w:eastAsia="Arial" w:hAnsi="Arial"/>
                <w:sz w:val="16"/>
                <w:szCs w:val="16"/>
                <w:color w:val="auto"/>
              </w:rPr>
              <w:t>21,014</w:t>
            </w:r>
          </w:p>
        </w:tc>
      </w:tr>
      <w:tr>
        <w:trPr>
          <w:trHeight w:val="280"/>
        </w:trPr>
        <w:tc>
          <w:tcPr>
            <w:tcW w:w="74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Executive share option plan liability</w:t>
            </w:r>
          </w:p>
        </w:tc>
        <w:tc>
          <w:tcPr>
            <w:tcW w:w="3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5,206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5,628</w:t>
            </w:r>
          </w:p>
        </w:tc>
      </w:tr>
      <w:tr>
        <w:trPr>
          <w:trHeight w:val="260"/>
        </w:trPr>
        <w:tc>
          <w:tcPr>
            <w:tcW w:w="7400" w:type="dxa"/>
            <w:vAlign w:val="bottom"/>
            <w:gridSpan w:val="3"/>
          </w:tcPr>
          <w:p>
            <w:pPr>
              <w:ind w:left="40"/>
              <w:spacing w:after="0"/>
              <w:rPr>
                <w:sz w:val="20"/>
                <w:szCs w:val="20"/>
                <w:color w:val="auto"/>
              </w:rPr>
            </w:pPr>
            <w:r>
              <w:rPr>
                <w:rFonts w:ascii="Arial" w:cs="Arial" w:eastAsia="Arial" w:hAnsi="Arial"/>
                <w:sz w:val="16"/>
                <w:szCs w:val="16"/>
                <w:color w:val="auto"/>
              </w:rPr>
              <w:t>SERP benefit liability</w:t>
            </w:r>
          </w:p>
        </w:tc>
        <w:tc>
          <w:tcPr>
            <w:tcW w:w="300" w:type="dxa"/>
            <w:vAlign w:val="bottom"/>
          </w:tcPr>
          <w:p>
            <w:pPr>
              <w:spacing w:after="0"/>
              <w:rPr>
                <w:sz w:val="22"/>
                <w:szCs w:val="22"/>
                <w:color w:val="auto"/>
              </w:rPr>
            </w:pP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3,025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20" w:type="dxa"/>
            <w:vAlign w:val="bottom"/>
          </w:tcPr>
          <w:p>
            <w:pPr>
              <w:jc w:val="right"/>
              <w:ind w:right="359"/>
              <w:spacing w:after="0"/>
              <w:rPr>
                <w:sz w:val="20"/>
                <w:szCs w:val="20"/>
                <w:color w:val="auto"/>
              </w:rPr>
            </w:pPr>
            <w:r>
              <w:rPr>
                <w:rFonts w:ascii="Arial" w:cs="Arial" w:eastAsia="Arial" w:hAnsi="Arial"/>
                <w:sz w:val="16"/>
                <w:szCs w:val="16"/>
                <w:color w:val="auto"/>
              </w:rPr>
              <w:t>2,974</w:t>
            </w:r>
          </w:p>
        </w:tc>
      </w:tr>
      <w:tr>
        <w:trPr>
          <w:trHeight w:val="280"/>
        </w:trPr>
        <w:tc>
          <w:tcPr>
            <w:tcW w:w="74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Executive deferred compensation</w:t>
            </w:r>
          </w:p>
        </w:tc>
        <w:tc>
          <w:tcPr>
            <w:tcW w:w="3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213</w:t>
            </w:r>
          </w:p>
        </w:tc>
      </w:tr>
      <w:tr>
        <w:trPr>
          <w:trHeight w:val="264"/>
        </w:trPr>
        <w:tc>
          <w:tcPr>
            <w:tcW w:w="740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Officer stock-based compensation</w:t>
            </w:r>
          </w:p>
        </w:tc>
        <w:tc>
          <w:tcPr>
            <w:tcW w:w="3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387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627</w:t>
            </w:r>
          </w:p>
        </w:tc>
      </w:tr>
      <w:tr>
        <w:trPr>
          <w:trHeight w:val="257"/>
        </w:trPr>
        <w:tc>
          <w:tcPr>
            <w:tcW w:w="74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Total postretirement health care and deferred compensation benefits</w:t>
            </w:r>
          </w:p>
        </w:tc>
        <w:tc>
          <w:tcPr>
            <w:tcW w:w="30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65,050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67,386</w:t>
            </w:r>
          </w:p>
        </w:tc>
      </w:tr>
      <w:tr>
        <w:trPr>
          <w:trHeight w:val="270"/>
        </w:trPr>
        <w:tc>
          <w:tcPr>
            <w:tcW w:w="740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 xml:space="preserve">Less current portion </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(5,420)</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(4,575)</w:t>
            </w:r>
          </w:p>
        </w:tc>
      </w:tr>
      <w:tr>
        <w:trPr>
          <w:trHeight w:val="234"/>
        </w:trPr>
        <w:tc>
          <w:tcPr>
            <w:tcW w:w="7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Long-term postretirement health care and deferred compensation benefits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59,630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62,811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8890</wp:posOffset>
            </wp:positionV>
            <wp:extent cx="25558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2" w:lineRule="exact"/>
        <w:rPr>
          <w:sz w:val="20"/>
          <w:szCs w:val="20"/>
          <w:color w:val="auto"/>
        </w:rPr>
      </w:pPr>
    </w:p>
    <w:p>
      <w:pPr>
        <w:ind w:right="400" w:firstLine="8"/>
        <w:spacing w:after="0" w:line="225" w:lineRule="auto"/>
        <w:tabs>
          <w:tab w:leader="none" w:pos="150" w:val="left"/>
        </w:tabs>
        <w:numPr>
          <w:ilvl w:val="0"/>
          <w:numId w:val="3"/>
        </w:numPr>
        <w:rPr>
          <w:rFonts w:ascii="Arial" w:cs="Arial" w:eastAsia="Arial" w:hAnsi="Arial"/>
          <w:sz w:val="17"/>
          <w:szCs w:val="17"/>
          <w:color w:val="auto"/>
          <w:vertAlign w:val="superscript"/>
        </w:rPr>
      </w:pPr>
      <w:r>
        <w:rPr>
          <w:rFonts w:ascii="Arial" w:cs="Arial" w:eastAsia="Arial" w:hAnsi="Arial"/>
          <w:sz w:val="14"/>
          <w:szCs w:val="14"/>
          <w:color w:val="auto"/>
        </w:rPr>
        <w:t>The current portions of these benefits are presented on the consolidated balance sheets in accrued compensation with the exception of postretirement health care which is included in other accrued expenses.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Postretirement Health Care Benefits</w:t>
      </w:r>
    </w:p>
    <w:p>
      <w:pPr>
        <w:spacing w:after="0" w:line="25"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at age 55 with 15 years of continuous service. We use a September 1 measurement date for this plan and our postretirement health care plan currently is not funded.</w:t>
      </w:r>
    </w:p>
    <w:p>
      <w:pPr>
        <w:spacing w:after="0" w:line="169"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We established dollar caps on the amount that we will pay for postretirement health care benefits per retiree on an annual basis to reduce our exposure to medical inflation. Retirees are required to pay a monthly premium in excess of the employer dollar caps for medical coverage based on years of service and age at retirement. Changes in the postretirement benefit plan include: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6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center"/>
              <w:ind w:right="139"/>
              <w:spacing w:after="0"/>
              <w:rPr>
                <w:sz w:val="20"/>
                <w:szCs w:val="20"/>
                <w:color w:val="auto"/>
              </w:rPr>
            </w:pPr>
            <w:r>
              <w:rPr>
                <w:rFonts w:ascii="Arial" w:cs="Arial" w:eastAsia="Arial" w:hAnsi="Arial"/>
                <w:sz w:val="16"/>
                <w:szCs w:val="16"/>
                <w:b w:val="1"/>
                <w:bCs w:val="1"/>
                <w:color w:val="auto"/>
              </w:rPr>
              <w:t>Liability</w:t>
            </w:r>
          </w:p>
        </w:tc>
        <w:tc>
          <w:tcPr>
            <w:tcW w:w="1400" w:type="dxa"/>
            <w:vAlign w:val="bottom"/>
          </w:tcPr>
          <w:p>
            <w:pPr>
              <w:spacing w:after="0"/>
              <w:rPr>
                <w:sz w:val="16"/>
                <w:szCs w:val="16"/>
                <w:color w:val="auto"/>
              </w:rPr>
            </w:pPr>
          </w:p>
        </w:tc>
      </w:tr>
      <w:tr>
        <w:trPr>
          <w:trHeight w:val="189"/>
        </w:trPr>
        <w:tc>
          <w:tcPr>
            <w:tcW w:w="156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left="59"/>
              <w:spacing w:after="0"/>
              <w:rPr>
                <w:sz w:val="20"/>
                <w:szCs w:val="20"/>
                <w:color w:val="auto"/>
              </w:rPr>
            </w:pPr>
            <w:r>
              <w:rPr>
                <w:rFonts w:ascii="Arial" w:cs="Arial" w:eastAsia="Arial" w:hAnsi="Arial"/>
                <w:sz w:val="16"/>
                <w:szCs w:val="16"/>
                <w:b w:val="1"/>
                <w:bCs w:val="1"/>
                <w:color w:val="auto"/>
              </w:rPr>
              <w:t>Dollar Cap</w:t>
            </w:r>
          </w:p>
        </w:tc>
        <w:tc>
          <w:tcPr>
            <w:tcW w:w="300" w:type="dxa"/>
            <w:vAlign w:val="bottom"/>
          </w:tcPr>
          <w:p>
            <w:pPr>
              <w:spacing w:after="0"/>
              <w:rPr>
                <w:sz w:val="16"/>
                <w:szCs w:val="16"/>
                <w:color w:val="auto"/>
              </w:rPr>
            </w:pPr>
          </w:p>
        </w:tc>
        <w:tc>
          <w:tcPr>
            <w:tcW w:w="140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Reduction</w:t>
            </w:r>
          </w:p>
        </w:tc>
        <w:tc>
          <w:tcPr>
            <w:tcW w:w="1400" w:type="dxa"/>
            <w:vAlign w:val="bottom"/>
          </w:tcPr>
          <w:p>
            <w:pPr>
              <w:ind w:left="160"/>
              <w:spacing w:after="0"/>
              <w:rPr>
                <w:sz w:val="20"/>
                <w:szCs w:val="20"/>
                <w:color w:val="auto"/>
              </w:rPr>
            </w:pPr>
            <w:r>
              <w:rPr>
                <w:rFonts w:ascii="Arial" w:cs="Arial" w:eastAsia="Arial" w:hAnsi="Arial"/>
                <w:sz w:val="16"/>
                <w:szCs w:val="16"/>
                <w:b w:val="1"/>
                <w:bCs w:val="1"/>
                <w:color w:val="auto"/>
              </w:rPr>
              <w:t>Amortization</w:t>
            </w:r>
          </w:p>
        </w:tc>
      </w:tr>
      <w:tr>
        <w:trPr>
          <w:trHeight w:val="228"/>
        </w:trPr>
        <w:tc>
          <w:tcPr>
            <w:tcW w:w="15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Date</w:t>
            </w:r>
          </w:p>
        </w:tc>
        <w:tc>
          <w:tcPr>
            <w:tcW w:w="530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Event</w:t>
            </w:r>
          </w:p>
        </w:tc>
        <w:tc>
          <w:tcPr>
            <w:tcW w:w="14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b w:val="1"/>
                <w:bCs w:val="1"/>
                <w:color w:val="auto"/>
                <w:w w:val="99"/>
              </w:rPr>
              <w:t>Reduction</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(In thousands)</w:t>
            </w:r>
          </w:p>
        </w:tc>
        <w:tc>
          <w:tcPr>
            <w:tcW w:w="140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Period</w:t>
            </w:r>
          </w:p>
        </w:tc>
      </w:tr>
      <w:tr>
        <w:trPr>
          <w:trHeight w:val="270"/>
        </w:trPr>
        <w:tc>
          <w:tcPr>
            <w:tcW w:w="1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Fiscal 2005</w:t>
            </w:r>
          </w:p>
        </w:tc>
        <w:tc>
          <w:tcPr>
            <w:tcW w:w="54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Established employer dollar caps</w:t>
            </w:r>
          </w:p>
        </w:tc>
        <w:tc>
          <w:tcPr>
            <w:tcW w:w="1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0"/>
        </w:trPr>
        <w:tc>
          <w:tcPr>
            <w:tcW w:w="1560" w:type="dxa"/>
            <w:vAlign w:val="bottom"/>
          </w:tcPr>
          <w:p>
            <w:pPr>
              <w:ind w:left="40"/>
              <w:spacing w:after="0"/>
              <w:rPr>
                <w:sz w:val="20"/>
                <w:szCs w:val="20"/>
                <w:color w:val="auto"/>
              </w:rPr>
            </w:pPr>
            <w:r>
              <w:rPr>
                <w:rFonts w:ascii="Arial" w:cs="Arial" w:eastAsia="Arial" w:hAnsi="Arial"/>
                <w:sz w:val="16"/>
                <w:szCs w:val="16"/>
                <w:color w:val="auto"/>
              </w:rPr>
              <w:t>January 2012</w:t>
            </w:r>
          </w:p>
        </w:tc>
        <w:tc>
          <w:tcPr>
            <w:tcW w:w="5440" w:type="dxa"/>
            <w:vAlign w:val="bottom"/>
            <w:gridSpan w:val="2"/>
          </w:tcPr>
          <w:p>
            <w:pPr>
              <w:ind w:left="540"/>
              <w:spacing w:after="0"/>
              <w:rPr>
                <w:sz w:val="20"/>
                <w:szCs w:val="20"/>
                <w:color w:val="auto"/>
              </w:rPr>
            </w:pPr>
            <w:r>
              <w:rPr>
                <w:rFonts w:ascii="Arial" w:cs="Arial" w:eastAsia="Arial" w:hAnsi="Arial"/>
                <w:sz w:val="16"/>
                <w:szCs w:val="16"/>
                <w:color w:val="auto"/>
              </w:rPr>
              <w:t>Reduced employer dollar caps</w:t>
            </w:r>
          </w:p>
        </w:tc>
        <w:tc>
          <w:tcPr>
            <w:tcW w:w="1320" w:type="dxa"/>
            <w:vAlign w:val="bottom"/>
          </w:tcPr>
          <w:p>
            <w:pPr>
              <w:jc w:val="center"/>
              <w:ind w:left="79"/>
              <w:spacing w:after="0"/>
              <w:rPr>
                <w:sz w:val="20"/>
                <w:szCs w:val="20"/>
                <w:color w:val="auto"/>
              </w:rPr>
            </w:pPr>
            <w:r>
              <w:rPr>
                <w:rFonts w:ascii="Arial" w:cs="Arial" w:eastAsia="Arial" w:hAnsi="Arial"/>
                <w:sz w:val="16"/>
                <w:szCs w:val="16"/>
                <w:color w:val="auto"/>
                <w:w w:val="99"/>
              </w:rPr>
              <w:t>10%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4,598</w:t>
            </w:r>
          </w:p>
        </w:tc>
        <w:tc>
          <w:tcPr>
            <w:tcW w:w="1400" w:type="dxa"/>
            <w:vAlign w:val="bottom"/>
          </w:tcPr>
          <w:p>
            <w:pPr>
              <w:ind w:left="360"/>
              <w:spacing w:after="0"/>
              <w:rPr>
                <w:sz w:val="20"/>
                <w:szCs w:val="20"/>
                <w:color w:val="auto"/>
              </w:rPr>
            </w:pPr>
            <w:r>
              <w:rPr>
                <w:rFonts w:ascii="Arial" w:cs="Arial" w:eastAsia="Arial" w:hAnsi="Arial"/>
                <w:sz w:val="16"/>
                <w:szCs w:val="16"/>
                <w:color w:val="auto"/>
              </w:rPr>
              <w:t>7.8 years</w:t>
            </w:r>
          </w:p>
        </w:tc>
      </w:tr>
      <w:tr>
        <w:trPr>
          <w:trHeight w:val="280"/>
        </w:trPr>
        <w:tc>
          <w:tcPr>
            <w:tcW w:w="1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January 2013</w:t>
            </w:r>
          </w:p>
        </w:tc>
        <w:tc>
          <w:tcPr>
            <w:tcW w:w="54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Reduced employer dollar caps</w:t>
            </w:r>
          </w:p>
        </w:tc>
        <w:tc>
          <w:tcPr>
            <w:tcW w:w="132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w w:val="99"/>
              </w:rPr>
              <w:t>10%</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4,289</w:t>
            </w:r>
          </w:p>
        </w:tc>
        <w:tc>
          <w:tcPr>
            <w:tcW w:w="1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7.5 years</w:t>
            </w:r>
          </w:p>
        </w:tc>
      </w:tr>
      <w:tr>
        <w:trPr>
          <w:trHeight w:val="260"/>
        </w:trPr>
        <w:tc>
          <w:tcPr>
            <w:tcW w:w="1560" w:type="dxa"/>
            <w:vAlign w:val="bottom"/>
          </w:tcPr>
          <w:p>
            <w:pPr>
              <w:ind w:left="40"/>
              <w:spacing w:after="0"/>
              <w:rPr>
                <w:sz w:val="20"/>
                <w:szCs w:val="20"/>
                <w:color w:val="auto"/>
              </w:rPr>
            </w:pPr>
            <w:r>
              <w:rPr>
                <w:rFonts w:ascii="Arial" w:cs="Arial" w:eastAsia="Arial" w:hAnsi="Arial"/>
                <w:sz w:val="16"/>
                <w:szCs w:val="16"/>
                <w:color w:val="auto"/>
              </w:rPr>
              <w:t>January 2014</w:t>
            </w:r>
          </w:p>
        </w:tc>
        <w:tc>
          <w:tcPr>
            <w:tcW w:w="5440" w:type="dxa"/>
            <w:vAlign w:val="bottom"/>
            <w:gridSpan w:val="2"/>
          </w:tcPr>
          <w:p>
            <w:pPr>
              <w:ind w:left="540"/>
              <w:spacing w:after="0"/>
              <w:rPr>
                <w:sz w:val="20"/>
                <w:szCs w:val="20"/>
                <w:color w:val="auto"/>
              </w:rPr>
            </w:pPr>
            <w:r>
              <w:rPr>
                <w:rFonts w:ascii="Arial" w:cs="Arial" w:eastAsia="Arial" w:hAnsi="Arial"/>
                <w:sz w:val="16"/>
                <w:szCs w:val="16"/>
                <w:color w:val="auto"/>
              </w:rPr>
              <w:t>Reduced employer dollar caps</w:t>
            </w:r>
          </w:p>
        </w:tc>
        <w:tc>
          <w:tcPr>
            <w:tcW w:w="1320" w:type="dxa"/>
            <w:vAlign w:val="bottom"/>
          </w:tcPr>
          <w:p>
            <w:pPr>
              <w:jc w:val="center"/>
              <w:ind w:left="79"/>
              <w:spacing w:after="0"/>
              <w:rPr>
                <w:sz w:val="20"/>
                <w:szCs w:val="20"/>
                <w:color w:val="auto"/>
              </w:rPr>
            </w:pPr>
            <w:r>
              <w:rPr>
                <w:rFonts w:ascii="Arial" w:cs="Arial" w:eastAsia="Arial" w:hAnsi="Arial"/>
                <w:sz w:val="16"/>
                <w:szCs w:val="16"/>
                <w:color w:val="auto"/>
                <w:w w:val="99"/>
              </w:rPr>
              <w:t>10%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3,580</w:t>
            </w:r>
          </w:p>
        </w:tc>
        <w:tc>
          <w:tcPr>
            <w:tcW w:w="1400" w:type="dxa"/>
            <w:vAlign w:val="bottom"/>
          </w:tcPr>
          <w:p>
            <w:pPr>
              <w:ind w:left="360"/>
              <w:spacing w:after="0"/>
              <w:rPr>
                <w:sz w:val="20"/>
                <w:szCs w:val="20"/>
                <w:color w:val="auto"/>
              </w:rPr>
            </w:pPr>
            <w:r>
              <w:rPr>
                <w:rFonts w:ascii="Arial" w:cs="Arial" w:eastAsia="Arial" w:hAnsi="Arial"/>
                <w:sz w:val="16"/>
                <w:szCs w:val="16"/>
                <w:color w:val="auto"/>
              </w:rPr>
              <w:t>7.3 years</w:t>
            </w:r>
          </w:p>
        </w:tc>
      </w:tr>
      <w:tr>
        <w:trPr>
          <w:trHeight w:val="280"/>
        </w:trPr>
        <w:tc>
          <w:tcPr>
            <w:tcW w:w="1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January 2015</w:t>
            </w:r>
          </w:p>
        </w:tc>
        <w:tc>
          <w:tcPr>
            <w:tcW w:w="54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Reduced employer dollar caps</w:t>
            </w:r>
          </w:p>
        </w:tc>
        <w:tc>
          <w:tcPr>
            <w:tcW w:w="132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w w:val="99"/>
              </w:rPr>
              <w:t>10%</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1,524</w:t>
            </w:r>
          </w:p>
        </w:tc>
        <w:tc>
          <w:tcPr>
            <w:tcW w:w="1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7.1 years</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Net periodic postretirement benefit income consisted of the following components: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28,</w:t>
            </w:r>
          </w:p>
        </w:tc>
        <w:tc>
          <w:tcPr>
            <w:tcW w:w="300" w:type="dxa"/>
            <w:vAlign w:val="bottom"/>
          </w:tcPr>
          <w:p>
            <w:pPr>
              <w:spacing w:after="0"/>
              <w:rPr>
                <w:sz w:val="17"/>
                <w:szCs w:val="17"/>
                <w:color w:val="auto"/>
              </w:rPr>
            </w:pPr>
          </w:p>
        </w:tc>
        <w:tc>
          <w:tcPr>
            <w:tcW w:w="146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1,</w:t>
            </w:r>
          </w:p>
        </w:tc>
        <w:tc>
          <w:tcPr>
            <w:tcW w:w="24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28,</w:t>
            </w:r>
          </w:p>
        </w:tc>
        <w:tc>
          <w:tcPr>
            <w:tcW w:w="300" w:type="dxa"/>
            <w:vAlign w:val="bottom"/>
          </w:tcPr>
          <w:p>
            <w:pPr>
              <w:spacing w:after="0"/>
              <w:rPr>
                <w:sz w:val="17"/>
                <w:szCs w:val="17"/>
                <w:color w:val="auto"/>
              </w:rPr>
            </w:pPr>
          </w:p>
        </w:tc>
        <w:tc>
          <w:tcPr>
            <w:tcW w:w="1360" w:type="dxa"/>
            <w:vAlign w:val="bottom"/>
          </w:tcPr>
          <w:p>
            <w:pPr>
              <w:jc w:val="right"/>
              <w:ind w:right="439"/>
              <w:spacing w:after="0"/>
              <w:rPr>
                <w:sz w:val="20"/>
                <w:szCs w:val="20"/>
                <w:color w:val="auto"/>
              </w:rPr>
            </w:pPr>
            <w:r>
              <w:rPr>
                <w:rFonts w:ascii="Arial" w:cs="Arial" w:eastAsia="Arial" w:hAnsi="Arial"/>
                <w:sz w:val="16"/>
                <w:szCs w:val="16"/>
                <w:b w:val="1"/>
                <w:bCs w:val="1"/>
                <w:color w:val="auto"/>
              </w:rPr>
              <w:t>March 1,</w:t>
            </w:r>
          </w:p>
        </w:tc>
      </w:tr>
      <w:tr>
        <w:trPr>
          <w:trHeight w:val="228"/>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2014</w:t>
            </w:r>
          </w:p>
        </w:tc>
      </w:tr>
      <w:tr>
        <w:trPr>
          <w:trHeight w:val="257"/>
        </w:trPr>
        <w:tc>
          <w:tcPr>
            <w:tcW w:w="4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332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685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780</w:t>
            </w:r>
          </w:p>
        </w:tc>
      </w:tr>
      <w:tr>
        <w:trPr>
          <w:trHeight w:val="260"/>
        </w:trPr>
        <w:tc>
          <w:tcPr>
            <w:tcW w:w="4380" w:type="dxa"/>
            <w:vAlign w:val="bottom"/>
            <w:gridSpan w:val="2"/>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tcPr>
          <w:p>
            <w:pPr>
              <w:spacing w:after="0"/>
              <w:rPr>
                <w:sz w:val="22"/>
                <w:szCs w:val="22"/>
                <w:color w:val="auto"/>
              </w:rPr>
            </w:pPr>
          </w:p>
        </w:tc>
        <w:tc>
          <w:tcPr>
            <w:tcW w:w="1500" w:type="dxa"/>
            <w:vAlign w:val="bottom"/>
          </w:tcPr>
          <w:p>
            <w:pPr>
              <w:jc w:val="right"/>
              <w:ind w:right="359"/>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359"/>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200</w:t>
            </w:r>
          </w:p>
        </w:tc>
      </w:tr>
      <w:tr>
        <w:trPr>
          <w:trHeight w:val="280"/>
        </w:trPr>
        <w:tc>
          <w:tcPr>
            <w:tcW w:w="4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prior service benefit</w:t>
            </w: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(1,327)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(1,405)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(2,620)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(2,686)</w:t>
            </w:r>
          </w:p>
        </w:tc>
      </w:tr>
      <w:tr>
        <w:trPr>
          <w:trHeight w:val="264"/>
        </w:trPr>
        <w:tc>
          <w:tcPr>
            <w:tcW w:w="43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Amortization of net actuarial loss</w:t>
            </w: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351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269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667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529</w:t>
            </w:r>
          </w:p>
        </w:tc>
      </w:tr>
      <w:tr>
        <w:trPr>
          <w:trHeight w:val="240"/>
        </w:trPr>
        <w:tc>
          <w:tcPr>
            <w:tcW w:w="4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periodic postretirement benefit income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(541)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(652)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(1,055)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(1,177)</w:t>
            </w: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67"/>
        </w:trPr>
        <w:tc>
          <w:tcPr>
            <w:tcW w:w="4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4"/>
        </w:trPr>
        <w:tc>
          <w:tcPr>
            <w:tcW w:w="4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Payments for postretirement health care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476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532</w:t>
            </w: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Stockholders' Equity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25"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We have a 2014 Omnibus Equity, Performance Award, and Incentive Compensation Plan (as amended, the "Plan") approved by shareholders in place which allows us to grant or issue non-qualified stock options, incentive stock options, share awards and other equity compensation to key employees and to non-employee directors.</w:t>
      </w:r>
    </w:p>
    <w:p>
      <w:pPr>
        <w:spacing w:after="0" w:line="147"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On October 15, 2014 and October 16, 2013 the Human Resources Committee of the Board of Directors granted an aggregate of 99,600 and 84,200 shares, respectively, of restricted common stock to our key employees and non-employee directors under the Plan. The value of the restricted stock award is determined using the intrinsic value method which, in this case, is based on the number of shares granted and the closing price of our common stock on the date of grant.</w:t>
      </w:r>
    </w:p>
    <w:p>
      <w:pPr>
        <w:sectPr>
          <w:pgSz w:w="11900" w:h="16838" w:orient="portrait"/>
          <w:cols w:equalWidth="0" w:num="1">
            <w:col w:w="11420"/>
          </w:cols>
          <w:pgMar w:left="240" w:top="118" w:right="2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118" w:right="23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6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Stock-based compensation expense was $447,000 and $436,000 during the second quarters of Fiscal 2015 and 2014, respectively. Stock-based compensation expense was $1.3 million and $1.4 million during the six months of Fiscal 2015 and 2014, respectively. Of the $1.3 million expense recognized in Fiscal 2015, $838,000 related to the October 15, 2014 grant of 99,600 shares. The remainder is related to the amortization of previously granted restricted stock awards, as well as non-employee director stock units issued in lieu of director fees. Compensation expense is recognized over the requisite service period of the award or over a period ending with the employee's eligible retirement date, if earlier.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On December 17, 2014, the Board of Directors declared a quarterly cash dividend of $0.09 per share of common stock, which was paid on February 4, 2015 to shareholders of record at the close of business on January 21, 2015.</w:t>
      </w:r>
    </w:p>
    <w:p>
      <w:pPr>
        <w:spacing w:after="0" w:line="169"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On March 18, 2015, the Board of Directors declared a quarterly cash dividend of $0.09 per share of common stock, payable on May 6, 2015 to shareholders of record at the close of business on April 22, 2015.</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Contingent Liabilities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Generally, manufacturers in the RV industry enter into repurchase agreements with lending institutions which have provided wholesale floorplan financing to dealers. Most dealers' RVs are financed on a "floorplan" basis under which a bank or finance company lends the dealer all, or substantially all, of the purchase price, collateralized by a security interest in the recreation vehicles purchased.</w:t>
      </w:r>
    </w:p>
    <w:p>
      <w:pPr>
        <w:spacing w:after="0" w:line="147"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Our repurchase agreements provide that, in the event of default by the dealer on the agreement to pay the lending institution, we will repurchase the financed merchandise. The terms of these agreements, which generally can last up to 18 months, provide that our liability will be the lesser of remaining principal owed by the dealer or dealer invoice less periodic reductions based on the time since the date of the original invoice. Our contingent liability on these repurchase agreements was approximately $429.6 million and $363.8 million at February 28, 2015 and August 30, 2014, respectively.</w:t>
      </w:r>
    </w:p>
    <w:p>
      <w:pPr>
        <w:spacing w:after="0" w:line="14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certain instances, we also repurchase inventory from our dealers due to state law or regulatory requirements that govern voluntary or involuntary relationship terminations. Although laws vary from state to state, some states have laws in place that require manufacturers of recreation vehicles to repurchase current inventory if a dealership exits the business. Incremental repurchase exposure beyond existing repurchase agreements, related to dealer inventory in states that we have had historical experience of repurchasing inventory, totaled $6.5 million and $6.8 million at February 28, 2015 and August 30, 2014, respectively.</w:t>
      </w:r>
    </w:p>
    <w:p>
      <w:pPr>
        <w:spacing w:after="0" w:line="14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risk of loss related to our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 reporting date subject to a repurchase agreement, net of the greater of periodic reductions per the agreement or dealer principal payments. Based on the repurchase exposure as previously described, we established an associated loss reserve. Our accrued losses on repurchases were $1.5 million as of February 28, 2015 and $2.2 million as of August 30, 2014.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gridSpan w:val="2"/>
          </w:tcPr>
          <w:p>
            <w:pPr>
              <w:spacing w:after="0"/>
              <w:rPr>
                <w:sz w:val="20"/>
                <w:szCs w:val="20"/>
                <w:color w:val="auto"/>
              </w:rPr>
            </w:pPr>
            <w:r>
              <w:rPr>
                <w:rFonts w:ascii="Arial" w:cs="Arial" w:eastAsia="Arial" w:hAnsi="Arial"/>
                <w:sz w:val="16"/>
                <w:szCs w:val="16"/>
                <w:color w:val="auto"/>
              </w:rPr>
              <w:t>A summary of repurchase activity is as follows:</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1"/>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28,</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March 1,</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28,</w:t>
            </w:r>
          </w:p>
        </w:tc>
        <w:tc>
          <w:tcPr>
            <w:tcW w:w="260" w:type="dxa"/>
            <w:vAlign w:val="bottom"/>
          </w:tcPr>
          <w:p>
            <w:pPr>
              <w:spacing w:after="0"/>
              <w:rPr>
                <w:sz w:val="17"/>
                <w:szCs w:val="17"/>
                <w:color w:val="auto"/>
              </w:rPr>
            </w:pPr>
          </w:p>
        </w:tc>
        <w:tc>
          <w:tcPr>
            <w:tcW w:w="1220" w:type="dxa"/>
            <w:vAlign w:val="bottom"/>
          </w:tcPr>
          <w:p>
            <w:pPr>
              <w:jc w:val="right"/>
              <w:ind w:right="339"/>
              <w:spacing w:after="0"/>
              <w:rPr>
                <w:sz w:val="20"/>
                <w:szCs w:val="20"/>
                <w:color w:val="auto"/>
              </w:rPr>
            </w:pPr>
            <w:r>
              <w:rPr>
                <w:rFonts w:ascii="Arial" w:cs="Arial" w:eastAsia="Arial" w:hAnsi="Arial"/>
                <w:sz w:val="16"/>
                <w:szCs w:val="16"/>
                <w:b w:val="1"/>
                <w:bCs w:val="1"/>
                <w:color w:val="auto"/>
              </w:rPr>
              <w:t>March 1,</w:t>
            </w: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2014</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Inventory repurchased:</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0"/>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Units</w:t>
            </w:r>
          </w:p>
        </w:tc>
        <w:tc>
          <w:tcPr>
            <w:tcW w:w="18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2"/>
                <w:szCs w:val="22"/>
                <w:color w:val="auto"/>
              </w:rPr>
            </w:pPr>
          </w:p>
        </w:tc>
        <w:tc>
          <w:tcPr>
            <w:tcW w:w="4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280"/>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Dollars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7,156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325</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Inventory resold:</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Units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60"/>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Cash collected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6,102</w:t>
            </w:r>
          </w:p>
        </w:tc>
        <w:tc>
          <w:tcPr>
            <w:tcW w:w="120" w:type="dxa"/>
            <w:vAlign w:val="bottom"/>
          </w:tcPr>
          <w:p>
            <w:pPr>
              <w:spacing w:after="0"/>
              <w:rPr>
                <w:sz w:val="22"/>
                <w:szCs w:val="22"/>
                <w:color w:val="auto"/>
              </w:rPr>
            </w:pPr>
          </w:p>
        </w:tc>
        <w:tc>
          <w:tcPr>
            <w:tcW w:w="11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4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6,140</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257</w:t>
            </w:r>
          </w:p>
        </w:tc>
      </w:tr>
      <w:tr>
        <w:trPr>
          <w:trHeight w:val="280"/>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Loss realized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1,022</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r>
      <w:tr>
        <w:trPr>
          <w:trHeight w:val="251"/>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Units in ending inventory</w:t>
            </w:r>
          </w:p>
        </w:tc>
        <w:tc>
          <w:tcPr>
            <w:tcW w:w="18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1"/>
                <w:szCs w:val="21"/>
                <w:color w:val="auto"/>
              </w:rPr>
            </w:pPr>
          </w:p>
        </w:tc>
        <w:tc>
          <w:tcPr>
            <w:tcW w:w="4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10"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The majority of the units resold in the second quarter of Fiscal 2015 were attributable to a single dealership. The loss realized in the quarter had previously been reserved for, and the decrease in the loss reserve is the result of the resale of the repurchased units.</w:t>
      </w:r>
    </w:p>
    <w:p>
      <w:pPr>
        <w:spacing w:after="0" w:line="169" w:lineRule="exact"/>
        <w:rPr>
          <w:sz w:val="20"/>
          <w:szCs w:val="20"/>
          <w:color w:val="auto"/>
        </w:rPr>
      </w:pPr>
    </w:p>
    <w:p>
      <w:pPr>
        <w:ind w:right="460"/>
        <w:spacing w:after="0" w:line="253" w:lineRule="auto"/>
        <w:rPr>
          <w:sz w:val="20"/>
          <w:szCs w:val="20"/>
          <w:color w:val="auto"/>
        </w:rPr>
      </w:pPr>
      <w:r>
        <w:rPr>
          <w:rFonts w:ascii="Arial" w:cs="Arial" w:eastAsia="Arial" w:hAnsi="Arial"/>
          <w:sz w:val="16"/>
          <w:szCs w:val="16"/>
          <w:color w:val="auto"/>
        </w:rPr>
        <w:t>We do not believe there is a reasonable likelihood that there will be a material change in the future estimates or assumptions we use to calculate our loss reserve for repurchase commitments. A hypothetical change of a 10% increase or decrease in our significant repurchase commitment assumptions at February 28, 2015 would have affected net income by approximately $293,000.</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4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We are involved in various legal proceedings which are ordinary litigation incidental to our business, some of which are covered in whole or in part by insurance. We believe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Income Taxes</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 xml:space="preserve">We account for income taxes under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objectives of accounting for income taxes are to recognize the amount of taxes payable or refundable for the current year and deferred tax liabilities and assets for the future tax consequences of events that have been recognized in our financial statements or tax returns.</w:t>
      </w:r>
    </w:p>
    <w:p>
      <w:pPr>
        <w:spacing w:after="0" w:line="165"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We file tax returns in the US federal jurisdiction, as well as various international and state jurisdictions. Although certain years are no longer subject to examinations by the IRS and various state taxing authorities, net operating loss carryforwards generated in those years may still be adjusted upon examination by the IRS or state taxing authorities if they either have been or will be used in a future period. As of February 28, 2015, our federal returns from Fiscal 2011 to present continue to be subject to review by the IRS. With few exceptions, the state returns from Fiscal 2009 to present continue to be subject to review by the taxing jurisdictions. A number of years may elapse before an uncertain tax position is audited and finally resolved, and it is often very difficult to predict the outcome of such audits.</w:t>
      </w:r>
    </w:p>
    <w:p>
      <w:pPr>
        <w:spacing w:after="0" w:line="17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As of February 28, 2015, our unrecognized tax benefits were $2.8 million including accrued interest and penalties of $1.1 million. If we were to prevail on all unrecognized tax benefits recorded, $1.9 million of the $2.8 million would benefit the overall effective tax rate. It is our policy to recognize interest and penalties accrued relative to unrecognized tax benefits as tax expense. It is reasonably possible that the amount of unrecognized tax benefits with respect to our other unrecognized tax positions will increase or decrease during the next twelve months; however, an estimate of the amount or range of the change cannot be made at this time.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Earnings Per Share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calculation of basic and diluted income per share: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28,</w:t>
            </w:r>
          </w:p>
        </w:tc>
        <w:tc>
          <w:tcPr>
            <w:tcW w:w="26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1,</w:t>
            </w:r>
          </w:p>
        </w:tc>
        <w:tc>
          <w:tcPr>
            <w:tcW w:w="1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28,</w:t>
            </w:r>
          </w:p>
        </w:tc>
        <w:tc>
          <w:tcPr>
            <w:tcW w:w="260" w:type="dxa"/>
            <w:vAlign w:val="bottom"/>
          </w:tcPr>
          <w:p>
            <w:pPr>
              <w:spacing w:after="0"/>
              <w:rPr>
                <w:sz w:val="17"/>
                <w:szCs w:val="17"/>
                <w:color w:val="auto"/>
              </w:rPr>
            </w:pPr>
          </w:p>
        </w:tc>
        <w:tc>
          <w:tcPr>
            <w:tcW w:w="1220" w:type="dxa"/>
            <w:vAlign w:val="bottom"/>
          </w:tcPr>
          <w:p>
            <w:pPr>
              <w:jc w:val="right"/>
              <w:ind w:right="339"/>
              <w:spacing w:after="0"/>
              <w:rPr>
                <w:sz w:val="20"/>
                <w:szCs w:val="20"/>
                <w:color w:val="auto"/>
              </w:rPr>
            </w:pPr>
            <w:r>
              <w:rPr>
                <w:rFonts w:ascii="Arial" w:cs="Arial" w:eastAsia="Arial" w:hAnsi="Arial"/>
                <w:sz w:val="16"/>
                <w:szCs w:val="16"/>
                <w:b w:val="1"/>
                <w:bCs w:val="1"/>
                <w:color w:val="auto"/>
              </w:rPr>
              <w:t>March 1,</w:t>
            </w: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share - basic</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8,096</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9,593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17,991</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20,739</w:t>
            </w: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26,924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27,595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26,946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27,723</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Net income per share - basic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0.67</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0.75</w:t>
            </w:r>
          </w:p>
        </w:tc>
      </w:tr>
      <w:tr>
        <w:trPr>
          <w:trHeight w:val="293"/>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Income per share - assuming dilution</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8,096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9,593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17,991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20,739</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26,924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27,595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26,946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27,723</w:t>
            </w: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Dilutive impact of awards and options outstanding</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Weighted average shares and potential dilutive shares outstanding</w:t>
            </w:r>
          </w:p>
        </w:tc>
        <w:tc>
          <w:tcPr>
            <w:tcW w:w="18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27,018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27,724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27,048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27,850</w:t>
            </w: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per share - assuming dilution</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0.74</w:t>
            </w:r>
          </w:p>
        </w:tc>
      </w:tr>
    </w:tbl>
    <w:p>
      <w:pPr>
        <w:spacing w:after="0" w:line="191"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 xml:space="preserve">At the end of the second quarter of Fiscal 2015 and Fiscal 2014, there were options outstanding to purchase 180,154 shares and 316,600 shares, respectively, of common stock at an average price of $28.20 and $32.02, respectively, which were not included in the computation of diluted income per share because they are considered anti-dilutive under the treasury stock method per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Comprehensive Income (Loss)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Changes in AOCI by component, net of tax, were: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50"/>
        </w:trPr>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center"/>
              <w:ind w:right="39"/>
              <w:spacing w:after="0"/>
              <w:rPr>
                <w:sz w:val="20"/>
                <w:szCs w:val="20"/>
                <w:color w:val="auto"/>
              </w:rPr>
            </w:pPr>
            <w:r>
              <w:rPr>
                <w:rFonts w:ascii="Arial" w:cs="Arial" w:eastAsia="Arial" w:hAnsi="Arial"/>
                <w:sz w:val="16"/>
                <w:szCs w:val="16"/>
                <w:b w:val="1"/>
                <w:bCs w:val="1"/>
                <w:color w:val="auto"/>
              </w:rPr>
              <w:t>February 28, 2015</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March 1, 2014</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198"/>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center"/>
              <w:ind w:right="19"/>
              <w:spacing w:after="0"/>
              <w:rPr>
                <w:sz w:val="20"/>
                <w:szCs w:val="20"/>
                <w:color w:val="auto"/>
              </w:rPr>
            </w:pPr>
            <w:r>
              <w:rPr>
                <w:rFonts w:ascii="Arial" w:cs="Arial" w:eastAsia="Arial" w:hAnsi="Arial"/>
                <w:sz w:val="16"/>
                <w:szCs w:val="16"/>
                <w:b w:val="1"/>
                <w:bCs w:val="1"/>
                <w:color w:val="auto"/>
              </w:rPr>
              <w:t>Unrealized</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center"/>
              <w:ind w:right="19"/>
              <w:spacing w:after="0"/>
              <w:rPr>
                <w:sz w:val="20"/>
                <w:szCs w:val="20"/>
                <w:color w:val="auto"/>
              </w:rPr>
            </w:pPr>
            <w:r>
              <w:rPr>
                <w:rFonts w:ascii="Arial" w:cs="Arial" w:eastAsia="Arial" w:hAnsi="Arial"/>
                <w:sz w:val="16"/>
                <w:szCs w:val="16"/>
                <w:b w:val="1"/>
                <w:bCs w:val="1"/>
                <w:color w:val="auto"/>
              </w:rPr>
              <w:t>Unrealized</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89"/>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center"/>
              <w:ind w:right="19"/>
              <w:spacing w:after="0"/>
              <w:rPr>
                <w:sz w:val="20"/>
                <w:szCs w:val="20"/>
                <w:color w:val="auto"/>
              </w:rPr>
            </w:pPr>
            <w:r>
              <w:rPr>
                <w:rFonts w:ascii="Arial" w:cs="Arial" w:eastAsia="Arial" w:hAnsi="Arial"/>
                <w:sz w:val="16"/>
                <w:szCs w:val="16"/>
                <w:b w:val="1"/>
                <w:bCs w:val="1"/>
                <w:color w:val="auto"/>
              </w:rPr>
              <w:t>Gains and</w:t>
            </w: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39"/>
              <w:spacing w:after="0"/>
              <w:rPr>
                <w:sz w:val="20"/>
                <w:szCs w:val="20"/>
                <w:color w:val="auto"/>
              </w:rPr>
            </w:pPr>
            <w:r>
              <w:rPr>
                <w:rFonts w:ascii="Arial" w:cs="Arial" w:eastAsia="Arial" w:hAnsi="Arial"/>
                <w:sz w:val="16"/>
                <w:szCs w:val="16"/>
                <w:b w:val="1"/>
                <w:bCs w:val="1"/>
                <w:color w:val="auto"/>
              </w:rPr>
              <w:t>Gains and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Defined</w:t>
            </w:r>
          </w:p>
        </w:tc>
        <w:tc>
          <w:tcPr>
            <w:tcW w:w="320" w:type="dxa"/>
            <w:vAlign w:val="bottom"/>
          </w:tcPr>
          <w:p>
            <w:pPr>
              <w:spacing w:after="0"/>
              <w:rPr>
                <w:sz w:val="16"/>
                <w:szCs w:val="16"/>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rPr>
              <w:t>Losses on</w:t>
            </w: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rPr>
              <w:t>Defined</w:t>
            </w:r>
          </w:p>
        </w:tc>
        <w:tc>
          <w:tcPr>
            <w:tcW w:w="260" w:type="dxa"/>
            <w:vAlign w:val="bottom"/>
          </w:tcPr>
          <w:p>
            <w:pPr>
              <w:spacing w:after="0"/>
              <w:rPr>
                <w:sz w:val="16"/>
                <w:szCs w:val="16"/>
                <w:color w:val="auto"/>
              </w:rPr>
            </w:pPr>
          </w:p>
        </w:tc>
        <w:tc>
          <w:tcPr>
            <w:tcW w:w="1280" w:type="dxa"/>
            <w:vAlign w:val="bottom"/>
          </w:tcPr>
          <w:p>
            <w:pPr>
              <w:jc w:val="center"/>
              <w:ind w:right="39"/>
              <w:spacing w:after="0"/>
              <w:rPr>
                <w:sz w:val="20"/>
                <w:szCs w:val="20"/>
                <w:color w:val="auto"/>
              </w:rPr>
            </w:pPr>
            <w:r>
              <w:rPr>
                <w:rFonts w:ascii="Arial" w:cs="Arial" w:eastAsia="Arial" w:hAnsi="Arial"/>
                <w:sz w:val="16"/>
                <w:szCs w:val="16"/>
                <w:b w:val="1"/>
                <w:bCs w:val="1"/>
                <w:color w:val="auto"/>
              </w:rPr>
              <w:t>Losses on</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9"/>
              </w:rPr>
              <w:t>Benefit</w:t>
            </w:r>
          </w:p>
        </w:tc>
        <w:tc>
          <w:tcPr>
            <w:tcW w:w="320" w:type="dxa"/>
            <w:vAlign w:val="bottom"/>
          </w:tcPr>
          <w:p>
            <w:pPr>
              <w:spacing w:after="0"/>
              <w:rPr>
                <w:sz w:val="16"/>
                <w:szCs w:val="16"/>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rPr>
              <w:t>Available-</w:t>
            </w: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Benefit</w:t>
            </w:r>
          </w:p>
        </w:tc>
        <w:tc>
          <w:tcPr>
            <w:tcW w:w="260" w:type="dxa"/>
            <w:vAlign w:val="bottom"/>
          </w:tcPr>
          <w:p>
            <w:pPr>
              <w:spacing w:after="0"/>
              <w:rPr>
                <w:sz w:val="16"/>
                <w:szCs w:val="16"/>
                <w:color w:val="auto"/>
              </w:rPr>
            </w:pPr>
          </w:p>
        </w:tc>
        <w:tc>
          <w:tcPr>
            <w:tcW w:w="1280" w:type="dxa"/>
            <w:vAlign w:val="bottom"/>
          </w:tcPr>
          <w:p>
            <w:pPr>
              <w:jc w:val="center"/>
              <w:ind w:right="39"/>
              <w:spacing w:after="0"/>
              <w:rPr>
                <w:sz w:val="20"/>
                <w:szCs w:val="20"/>
                <w:color w:val="auto"/>
              </w:rPr>
            </w:pPr>
            <w:r>
              <w:rPr>
                <w:rFonts w:ascii="Arial" w:cs="Arial" w:eastAsia="Arial" w:hAnsi="Arial"/>
                <w:sz w:val="16"/>
                <w:szCs w:val="16"/>
                <w:b w:val="1"/>
                <w:bCs w:val="1"/>
                <w:color w:val="auto"/>
              </w:rPr>
              <w:t>Available-</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Pension</w:t>
            </w:r>
          </w:p>
        </w:tc>
        <w:tc>
          <w:tcPr>
            <w:tcW w:w="320" w:type="dxa"/>
            <w:vAlign w:val="bottom"/>
          </w:tcPr>
          <w:p>
            <w:pPr>
              <w:spacing w:after="0"/>
              <w:rPr>
                <w:sz w:val="16"/>
                <w:szCs w:val="16"/>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rPr>
              <w:t>for-Sale</w:t>
            </w: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Pension</w:t>
            </w:r>
          </w:p>
        </w:tc>
        <w:tc>
          <w:tcPr>
            <w:tcW w:w="260" w:type="dxa"/>
            <w:vAlign w:val="bottom"/>
          </w:tcPr>
          <w:p>
            <w:pPr>
              <w:spacing w:after="0"/>
              <w:rPr>
                <w:sz w:val="16"/>
                <w:szCs w:val="16"/>
                <w:color w:val="auto"/>
              </w:rPr>
            </w:pPr>
          </w:p>
        </w:tc>
        <w:tc>
          <w:tcPr>
            <w:tcW w:w="1280" w:type="dxa"/>
            <w:vAlign w:val="bottom"/>
          </w:tcPr>
          <w:p>
            <w:pPr>
              <w:jc w:val="center"/>
              <w:ind w:right="39"/>
              <w:spacing w:after="0"/>
              <w:rPr>
                <w:sz w:val="20"/>
                <w:szCs w:val="20"/>
                <w:color w:val="auto"/>
              </w:rPr>
            </w:pPr>
            <w:r>
              <w:rPr>
                <w:rFonts w:ascii="Arial" w:cs="Arial" w:eastAsia="Arial" w:hAnsi="Arial"/>
                <w:sz w:val="16"/>
                <w:szCs w:val="16"/>
                <w:b w:val="1"/>
                <w:bCs w:val="1"/>
                <w:color w:val="auto"/>
              </w:rPr>
              <w:t>for-Sale</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8"/>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Items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Securities</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Items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9"/>
              </w:rPr>
              <w:t>Securities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Total</w:t>
            </w:r>
          </w:p>
        </w:tc>
      </w:tr>
      <w:tr>
        <w:trPr>
          <w:trHeight w:val="257"/>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(2,409)</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(2,409)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364</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364</w:t>
            </w:r>
          </w:p>
        </w:tc>
      </w:tr>
      <w:tr>
        <w:trPr>
          <w:trHeight w:val="270"/>
        </w:trPr>
        <w:tc>
          <w:tcPr>
            <w:tcW w:w="3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32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OCI before reclassifications</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944</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944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2,234</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2,234</w:t>
            </w:r>
          </w:p>
        </w:tc>
      </w:tr>
      <w:tr>
        <w:trPr>
          <w:trHeight w:val="264"/>
        </w:trPr>
        <w:tc>
          <w:tcPr>
            <w:tcW w:w="326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Amounts reclassified from AOCI</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(602)</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(602)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(708)</w:t>
            </w: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(708)</w:t>
            </w:r>
          </w:p>
        </w:tc>
      </w:tr>
      <w:tr>
        <w:trPr>
          <w:trHeight w:val="250"/>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current-period OCI</w:t>
            </w: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342</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342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1,526</w:t>
            </w: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1,526</w:t>
            </w:r>
          </w:p>
        </w:tc>
      </w:tr>
      <w:tr>
        <w:trPr>
          <w:trHeight w:val="270"/>
        </w:trPr>
        <w:tc>
          <w:tcPr>
            <w:tcW w:w="3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4"/>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(2,067)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(2,067)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1,890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1,890</w:t>
            </w: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652"/>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50"/>
        </w:trPr>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center"/>
              <w:ind w:right="39"/>
              <w:spacing w:after="0"/>
              <w:rPr>
                <w:sz w:val="20"/>
                <w:szCs w:val="20"/>
                <w:color w:val="auto"/>
              </w:rPr>
            </w:pPr>
            <w:r>
              <w:rPr>
                <w:rFonts w:ascii="Arial" w:cs="Arial" w:eastAsia="Arial" w:hAnsi="Arial"/>
                <w:sz w:val="16"/>
                <w:szCs w:val="16"/>
                <w:b w:val="1"/>
                <w:bCs w:val="1"/>
                <w:color w:val="auto"/>
              </w:rPr>
              <w:t>February 28, 2015</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March 1, 2014</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198"/>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center"/>
              <w:ind w:right="19"/>
              <w:spacing w:after="0"/>
              <w:rPr>
                <w:sz w:val="20"/>
                <w:szCs w:val="20"/>
                <w:color w:val="auto"/>
              </w:rPr>
            </w:pPr>
            <w:r>
              <w:rPr>
                <w:rFonts w:ascii="Arial" w:cs="Arial" w:eastAsia="Arial" w:hAnsi="Arial"/>
                <w:sz w:val="16"/>
                <w:szCs w:val="16"/>
                <w:b w:val="1"/>
                <w:bCs w:val="1"/>
                <w:color w:val="auto"/>
              </w:rPr>
              <w:t>Unrealized</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89"/>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center"/>
              <w:ind w:right="19"/>
              <w:spacing w:after="0"/>
              <w:rPr>
                <w:sz w:val="20"/>
                <w:szCs w:val="20"/>
                <w:color w:val="auto"/>
              </w:rPr>
            </w:pPr>
            <w:r>
              <w:rPr>
                <w:rFonts w:ascii="Arial" w:cs="Arial" w:eastAsia="Arial" w:hAnsi="Arial"/>
                <w:sz w:val="16"/>
                <w:szCs w:val="16"/>
                <w:b w:val="1"/>
                <w:bCs w:val="1"/>
                <w:color w:val="auto"/>
              </w:rPr>
              <w:t>Gains and</w:t>
            </w: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gridSpan w:val="2"/>
          </w:tcPr>
          <w:p>
            <w:pPr>
              <w:jc w:val="center"/>
              <w:ind w:left="59"/>
              <w:spacing w:after="0"/>
              <w:rPr>
                <w:sz w:val="20"/>
                <w:szCs w:val="20"/>
                <w:color w:val="auto"/>
              </w:rPr>
            </w:pPr>
            <w:r>
              <w:rPr>
                <w:rFonts w:ascii="Arial" w:cs="Arial" w:eastAsia="Arial" w:hAnsi="Arial"/>
                <w:sz w:val="16"/>
                <w:szCs w:val="16"/>
                <w:b w:val="1"/>
                <w:bCs w:val="1"/>
                <w:color w:val="auto"/>
              </w:rPr>
              <w:t>Unrealized Gains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center"/>
              <w:ind w:right="39"/>
              <w:spacing w:after="0"/>
              <w:rPr>
                <w:sz w:val="20"/>
                <w:szCs w:val="20"/>
                <w:color w:val="auto"/>
              </w:rPr>
            </w:pPr>
            <w:r>
              <w:rPr>
                <w:rFonts w:ascii="Arial" w:cs="Arial" w:eastAsia="Arial" w:hAnsi="Arial"/>
                <w:sz w:val="16"/>
                <w:szCs w:val="16"/>
                <w:b w:val="1"/>
                <w:bCs w:val="1"/>
                <w:color w:val="auto"/>
              </w:rPr>
              <w:t>Defined</w:t>
            </w:r>
          </w:p>
        </w:tc>
        <w:tc>
          <w:tcPr>
            <w:tcW w:w="320" w:type="dxa"/>
            <w:vAlign w:val="bottom"/>
          </w:tcPr>
          <w:p>
            <w:pPr>
              <w:spacing w:after="0"/>
              <w:rPr>
                <w:sz w:val="16"/>
                <w:szCs w:val="16"/>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rPr>
              <w:t>Losses on</w:t>
            </w: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rPr>
              <w:t>Defined</w:t>
            </w:r>
          </w:p>
        </w:tc>
        <w:tc>
          <w:tcPr>
            <w:tcW w:w="260" w:type="dxa"/>
            <w:vAlign w:val="bottom"/>
          </w:tcPr>
          <w:p>
            <w:pPr>
              <w:spacing w:after="0"/>
              <w:rPr>
                <w:sz w:val="16"/>
                <w:szCs w:val="16"/>
                <w:color w:val="auto"/>
              </w:rPr>
            </w:pPr>
          </w:p>
        </w:tc>
        <w:tc>
          <w:tcPr>
            <w:tcW w:w="128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and Losses on</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center"/>
              <w:ind w:right="39"/>
              <w:spacing w:after="0"/>
              <w:rPr>
                <w:sz w:val="20"/>
                <w:szCs w:val="20"/>
                <w:color w:val="auto"/>
              </w:rPr>
            </w:pPr>
            <w:r>
              <w:rPr>
                <w:rFonts w:ascii="Arial" w:cs="Arial" w:eastAsia="Arial" w:hAnsi="Arial"/>
                <w:sz w:val="16"/>
                <w:szCs w:val="16"/>
                <w:b w:val="1"/>
                <w:bCs w:val="1"/>
                <w:color w:val="auto"/>
              </w:rPr>
              <w:t>Benefit</w:t>
            </w:r>
          </w:p>
        </w:tc>
        <w:tc>
          <w:tcPr>
            <w:tcW w:w="320" w:type="dxa"/>
            <w:vAlign w:val="bottom"/>
          </w:tcPr>
          <w:p>
            <w:pPr>
              <w:spacing w:after="0"/>
              <w:rPr>
                <w:sz w:val="16"/>
                <w:szCs w:val="16"/>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rPr>
              <w:t>Available-</w:t>
            </w: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Benefit</w:t>
            </w:r>
          </w:p>
        </w:tc>
        <w:tc>
          <w:tcPr>
            <w:tcW w:w="260" w:type="dxa"/>
            <w:vAlign w:val="bottom"/>
          </w:tcPr>
          <w:p>
            <w:pPr>
              <w:spacing w:after="0"/>
              <w:rPr>
                <w:sz w:val="16"/>
                <w:szCs w:val="16"/>
                <w:color w:val="auto"/>
              </w:rPr>
            </w:pPr>
          </w:p>
        </w:tc>
        <w:tc>
          <w:tcPr>
            <w:tcW w:w="1280" w:type="dxa"/>
            <w:vAlign w:val="bottom"/>
          </w:tcPr>
          <w:p>
            <w:pPr>
              <w:jc w:val="center"/>
              <w:ind w:right="39"/>
              <w:spacing w:after="0"/>
              <w:rPr>
                <w:sz w:val="20"/>
                <w:szCs w:val="20"/>
                <w:color w:val="auto"/>
              </w:rPr>
            </w:pPr>
            <w:r>
              <w:rPr>
                <w:rFonts w:ascii="Arial" w:cs="Arial" w:eastAsia="Arial" w:hAnsi="Arial"/>
                <w:sz w:val="16"/>
                <w:szCs w:val="16"/>
                <w:b w:val="1"/>
                <w:bCs w:val="1"/>
                <w:color w:val="auto"/>
              </w:rPr>
              <w:t>Available-</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center"/>
              <w:ind w:right="39"/>
              <w:spacing w:after="0"/>
              <w:rPr>
                <w:sz w:val="20"/>
                <w:szCs w:val="20"/>
                <w:color w:val="auto"/>
              </w:rPr>
            </w:pPr>
            <w:r>
              <w:rPr>
                <w:rFonts w:ascii="Arial" w:cs="Arial" w:eastAsia="Arial" w:hAnsi="Arial"/>
                <w:sz w:val="16"/>
                <w:szCs w:val="16"/>
                <w:b w:val="1"/>
                <w:bCs w:val="1"/>
                <w:color w:val="auto"/>
              </w:rPr>
              <w:t>Pension</w:t>
            </w:r>
          </w:p>
        </w:tc>
        <w:tc>
          <w:tcPr>
            <w:tcW w:w="320" w:type="dxa"/>
            <w:vAlign w:val="bottom"/>
          </w:tcPr>
          <w:p>
            <w:pPr>
              <w:spacing w:after="0"/>
              <w:rPr>
                <w:sz w:val="16"/>
                <w:szCs w:val="16"/>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rPr>
              <w:t>for-Sale</w:t>
            </w: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Pension</w:t>
            </w:r>
          </w:p>
        </w:tc>
        <w:tc>
          <w:tcPr>
            <w:tcW w:w="260" w:type="dxa"/>
            <w:vAlign w:val="bottom"/>
          </w:tcPr>
          <w:p>
            <w:pPr>
              <w:spacing w:after="0"/>
              <w:rPr>
                <w:sz w:val="16"/>
                <w:szCs w:val="16"/>
                <w:color w:val="auto"/>
              </w:rPr>
            </w:pPr>
          </w:p>
        </w:tc>
        <w:tc>
          <w:tcPr>
            <w:tcW w:w="1280" w:type="dxa"/>
            <w:vAlign w:val="bottom"/>
          </w:tcPr>
          <w:p>
            <w:pPr>
              <w:jc w:val="center"/>
              <w:ind w:right="39"/>
              <w:spacing w:after="0"/>
              <w:rPr>
                <w:sz w:val="20"/>
                <w:szCs w:val="20"/>
                <w:color w:val="auto"/>
              </w:rPr>
            </w:pPr>
            <w:r>
              <w:rPr>
                <w:rFonts w:ascii="Arial" w:cs="Arial" w:eastAsia="Arial" w:hAnsi="Arial"/>
                <w:sz w:val="16"/>
                <w:szCs w:val="16"/>
                <w:b w:val="1"/>
                <w:bCs w:val="1"/>
                <w:color w:val="auto"/>
              </w:rPr>
              <w:t>for-Sale</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8"/>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Items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Securities</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Items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9"/>
              </w:rPr>
              <w:t>Securities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Total</w:t>
            </w:r>
          </w:p>
        </w:tc>
      </w:tr>
      <w:tr>
        <w:trPr>
          <w:trHeight w:val="257"/>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(1,808)</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(1,808)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1,000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(151)</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849</w:t>
            </w:r>
          </w:p>
        </w:tc>
      </w:tr>
      <w:tr>
        <w:trPr>
          <w:trHeight w:val="270"/>
        </w:trPr>
        <w:tc>
          <w:tcPr>
            <w:tcW w:w="3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32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OCI before reclassifications</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944</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944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2,234</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151</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2,385</w:t>
            </w:r>
          </w:p>
        </w:tc>
      </w:tr>
      <w:tr>
        <w:trPr>
          <w:trHeight w:val="264"/>
        </w:trPr>
        <w:tc>
          <w:tcPr>
            <w:tcW w:w="326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Amounts reclassified from AOCI</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(1,203)</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(1,203)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(1,344)</w:t>
            </w: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(1,344)</w:t>
            </w:r>
          </w:p>
        </w:tc>
      </w:tr>
      <w:tr>
        <w:trPr>
          <w:trHeight w:val="250"/>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current-period OCI</w:t>
            </w: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(259)</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890</w:t>
            </w: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151</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1,041</w:t>
            </w:r>
          </w:p>
        </w:tc>
      </w:tr>
      <w:tr>
        <w:trPr>
          <w:trHeight w:val="270"/>
        </w:trPr>
        <w:tc>
          <w:tcPr>
            <w:tcW w:w="3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4"/>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(2,067)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(2,067)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1,890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1,890</w:t>
            </w: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60" w:type="dxa"/>
            <w:vAlign w:val="bottom"/>
            <w:gridSpan w:val="4"/>
          </w:tcPr>
          <w:p>
            <w:pPr>
              <w:spacing w:after="0"/>
              <w:rPr>
                <w:sz w:val="20"/>
                <w:szCs w:val="20"/>
                <w:color w:val="auto"/>
              </w:rPr>
            </w:pPr>
            <w:r>
              <w:rPr>
                <w:rFonts w:ascii="Arial" w:cs="Arial" w:eastAsia="Arial" w:hAnsi="Arial"/>
                <w:sz w:val="16"/>
                <w:szCs w:val="16"/>
                <w:color w:val="auto"/>
              </w:rPr>
              <w:t>Reclassifications out of AOCI in net periodic benefit costs, net of tax, were:</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91"/>
        </w:trPr>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24"/>
                <w:szCs w:val="24"/>
                <w:color w:val="auto"/>
              </w:rPr>
            </w:pPr>
          </w:p>
        </w:tc>
        <w:tc>
          <w:tcPr>
            <w:tcW w:w="278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Six Months Ended</w:t>
            </w:r>
          </w:p>
        </w:tc>
      </w:tr>
      <w:tr>
        <w:trPr>
          <w:trHeight w:val="184"/>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2"/>
          </w:tcPr>
          <w:p>
            <w:pPr>
              <w:ind w:left="40"/>
              <w:spacing w:after="0"/>
              <w:rPr>
                <w:sz w:val="20"/>
                <w:szCs w:val="20"/>
                <w:color w:val="auto"/>
              </w:rPr>
            </w:pPr>
            <w:r>
              <w:rPr>
                <w:rFonts w:ascii="Arial" w:cs="Arial" w:eastAsia="Arial" w:hAnsi="Arial"/>
                <w:sz w:val="16"/>
                <w:szCs w:val="16"/>
                <w:b w:val="1"/>
                <w:bCs w:val="1"/>
                <w:color w:val="auto"/>
              </w:rPr>
              <w:t>Location on Consolidated</w:t>
            </w: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r>
      <w:tr>
        <w:trPr>
          <w:trHeight w:val="189"/>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2"/>
          </w:tcPr>
          <w:p>
            <w:pPr>
              <w:ind w:left="40"/>
              <w:spacing w:after="0"/>
              <w:rPr>
                <w:sz w:val="20"/>
                <w:szCs w:val="20"/>
                <w:color w:val="auto"/>
              </w:rPr>
            </w:pPr>
            <w:r>
              <w:rPr>
                <w:rFonts w:ascii="Arial" w:cs="Arial" w:eastAsia="Arial" w:hAnsi="Arial"/>
                <w:sz w:val="16"/>
                <w:szCs w:val="16"/>
                <w:b w:val="1"/>
                <w:bCs w:val="1"/>
                <w:color w:val="auto"/>
              </w:rPr>
              <w:t>Statements</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2"/>
          </w:tcPr>
          <w:p>
            <w:pPr>
              <w:ind w:left="40"/>
              <w:spacing w:after="0"/>
              <w:rPr>
                <w:sz w:val="20"/>
                <w:szCs w:val="20"/>
                <w:color w:val="auto"/>
              </w:rPr>
            </w:pPr>
            <w:r>
              <w:rPr>
                <w:rFonts w:ascii="Arial" w:cs="Arial" w:eastAsia="Arial" w:hAnsi="Arial"/>
                <w:sz w:val="16"/>
                <w:szCs w:val="16"/>
                <w:b w:val="1"/>
                <w:bCs w:val="1"/>
                <w:color w:val="auto"/>
              </w:rPr>
              <w:t>of Income and</w:t>
            </w:r>
          </w:p>
        </w:tc>
        <w:tc>
          <w:tcPr>
            <w:tcW w:w="160" w:type="dxa"/>
            <w:vAlign w:val="bottom"/>
          </w:tcPr>
          <w:p>
            <w:pPr>
              <w:spacing w:after="0"/>
              <w:rPr>
                <w:sz w:val="16"/>
                <w:szCs w:val="16"/>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28,</w:t>
            </w:r>
          </w:p>
        </w:tc>
        <w:tc>
          <w:tcPr>
            <w:tcW w:w="220" w:type="dxa"/>
            <w:vAlign w:val="bottom"/>
          </w:tcPr>
          <w:p>
            <w:pPr>
              <w:spacing w:after="0"/>
              <w:rPr>
                <w:sz w:val="16"/>
                <w:szCs w:val="16"/>
                <w:color w:val="auto"/>
              </w:rPr>
            </w:pP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1,</w:t>
            </w:r>
          </w:p>
        </w:tc>
        <w:tc>
          <w:tcPr>
            <w:tcW w:w="16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28,</w:t>
            </w:r>
          </w:p>
        </w:tc>
        <w:tc>
          <w:tcPr>
            <w:tcW w:w="240" w:type="dxa"/>
            <w:vAlign w:val="bottom"/>
          </w:tcPr>
          <w:p>
            <w:pPr>
              <w:spacing w:after="0"/>
              <w:rPr>
                <w:sz w:val="16"/>
                <w:szCs w:val="16"/>
                <w:color w:val="auto"/>
              </w:rPr>
            </w:pPr>
          </w:p>
        </w:tc>
        <w:tc>
          <w:tcPr>
            <w:tcW w:w="1160" w:type="dxa"/>
            <w:vAlign w:val="bottom"/>
          </w:tcPr>
          <w:p>
            <w:pPr>
              <w:jc w:val="right"/>
              <w:ind w:right="299"/>
              <w:spacing w:after="0"/>
              <w:rPr>
                <w:sz w:val="20"/>
                <w:szCs w:val="20"/>
                <w:color w:val="auto"/>
              </w:rPr>
            </w:pPr>
            <w:r>
              <w:rPr>
                <w:rFonts w:ascii="Arial" w:cs="Arial" w:eastAsia="Arial" w:hAnsi="Arial"/>
                <w:sz w:val="16"/>
                <w:szCs w:val="16"/>
                <w:b w:val="1"/>
                <w:bCs w:val="1"/>
                <w:color w:val="auto"/>
              </w:rPr>
              <w:t>March 1,</w:t>
            </w:r>
          </w:p>
        </w:tc>
      </w:tr>
      <w:tr>
        <w:trPr>
          <w:trHeight w:val="228"/>
        </w:trPr>
        <w:tc>
          <w:tcPr>
            <w:tcW w:w="29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r>
      <w:tr>
        <w:trPr>
          <w:trHeight w:val="257"/>
        </w:trPr>
        <w:tc>
          <w:tcPr>
            <w:tcW w:w="3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prior service credit</w:t>
            </w:r>
          </w:p>
        </w:tc>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(822)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(876)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(1,622)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(1,676)</w:t>
            </w:r>
          </w:p>
        </w:tc>
      </w:tr>
      <w:tr>
        <w:trPr>
          <w:trHeight w:val="264"/>
        </w:trPr>
        <w:tc>
          <w:tcPr>
            <w:tcW w:w="30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Amortization of net actuarial loss</w:t>
            </w:r>
          </w:p>
        </w:tc>
        <w:tc>
          <w:tcPr>
            <w:tcW w:w="24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Operating expenses</w:t>
            </w: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332</w:t>
            </w:r>
          </w:p>
        </w:tc>
      </w:tr>
      <w:tr>
        <w:trPr>
          <w:trHeight w:val="254"/>
        </w:trPr>
        <w:tc>
          <w:tcPr>
            <w:tcW w:w="3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reclassifications</w:t>
            </w:r>
          </w:p>
        </w:tc>
        <w:tc>
          <w:tcPr>
            <w:tcW w:w="2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(1,203)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(1,344)</w:t>
            </w: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Subsequent Event</w:t>
      </w:r>
    </w:p>
    <w:p>
      <w:pPr>
        <w:spacing w:after="0" w:line="21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evaluated all events or transactions occurring between the balance sheet date for the quarterly period ended February 28, 2015 and the date of issuance of the financial statements that would require recognition or disclosure in the financial statements. There were no material subsequent events except the March 26, 2015 Apollo sales agreement as noted in Note 5 and the March 18, 2015 dividend declaration as noted in Note 10.</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Management's Discussion and Analysis of Financial Condition and Results of Operations</w:t>
      </w:r>
    </w:p>
    <w:p>
      <w:pPr>
        <w:spacing w:after="0" w:line="187" w:lineRule="exact"/>
        <w:rPr>
          <w:sz w:val="20"/>
          <w:szCs w:val="20"/>
          <w:color w:val="auto"/>
        </w:rPr>
      </w:pPr>
    </w:p>
    <w:p>
      <w:pPr>
        <w:jc w:val="both"/>
        <w:ind w:right="40"/>
        <w:spacing w:after="0" w:line="191" w:lineRule="exact"/>
        <w:rPr>
          <w:sz w:val="20"/>
          <w:szCs w:val="20"/>
          <w:color w:val="auto"/>
        </w:rPr>
      </w:pPr>
      <w:r>
        <w:rPr>
          <w:rFonts w:ascii="Arial" w:cs="Arial" w:eastAsia="Arial" w:hAnsi="Arial"/>
          <w:sz w:val="16"/>
          <w:szCs w:val="16"/>
          <w:color w:val="auto"/>
        </w:rPr>
        <w:t>This management's discussion should be read in conjunction with the Unaudited Consolidated Financial Statements contained in this Form 10-Q as well as the Management's Discussion and Analysis and Risk Factors included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August 30, 2014 and in Part II, Item 1A of this Quarterly Report on Form 10-Q.</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41" w:right="239" w:bottom="1440" w:gutter="0" w:footer="0" w:header="0"/>
          <w:type w:val="continuous"/>
        </w:sectPr>
      </w:pPr>
    </w:p>
    <w:bookmarkStart w:id="14" w:name="page15"/>
    <w:bookmarkEnd w:id="1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214"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Certain of the matters discussed in this Quarterly Report on Form 10-Q are “forward-looking statements” within the meaning of Section 27A of the Securities Act of 1933, as amended, and Section 21E of the Securities Exchange Act of 1934, as amended, which involve risks and uncertainties.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any unexpected expenses related to ERP and strategic sourcing projects, and other factors which may be disclosed throughout this report. Although we believe that the expectations reflected in the “forward-looking statements” are reasonable, we cannot guarantee future results, or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NYSE.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Overview</w:t>
      </w:r>
    </w:p>
    <w:p>
      <w:pPr>
        <w:spacing w:after="0" w:line="187"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Winnebago Industries, Inc. is a leading US manufacturer of RVs with a proud history of manufacturing RV products for more than 50 years. We produce all of our motorhomes in vertically integrated manufacturing facilities in Iowa and we produce all travel trailer and fifth wheel trailers in Indiana. We distribute our products primarily through independent dealers throughout the US and Canada, who then retail the products to the end consumer.</w:t>
      </w:r>
    </w:p>
    <w:p>
      <w:pPr>
        <w:spacing w:after="0" w:line="161" w:lineRule="exact"/>
        <w:rPr>
          <w:sz w:val="20"/>
          <w:szCs w:val="20"/>
          <w:color w:val="auto"/>
        </w:rPr>
      </w:pPr>
    </w:p>
    <w:p>
      <w:pPr>
        <w:ind w:right="640"/>
        <w:spacing w:after="0" w:line="295" w:lineRule="auto"/>
        <w:rPr>
          <w:sz w:val="20"/>
          <w:szCs w:val="20"/>
          <w:color w:val="auto"/>
        </w:rPr>
      </w:pPr>
      <w:r>
        <w:rPr>
          <w:rFonts w:ascii="Arial" w:cs="Arial" w:eastAsia="Arial" w:hAnsi="Arial"/>
          <w:sz w:val="16"/>
          <w:szCs w:val="16"/>
          <w:color w:val="auto"/>
        </w:rPr>
        <w:t>Our retail unit market share, as reported by Stat Surveys based on state records, is illustrated below. Note that this data is subject to adjustment and is continuously updated.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gridSpan w:val="3"/>
          </w:tcPr>
          <w:p>
            <w:pPr>
              <w:ind w:left="740"/>
              <w:spacing w:after="0"/>
              <w:rPr>
                <w:sz w:val="20"/>
                <w:szCs w:val="20"/>
                <w:color w:val="auto"/>
              </w:rPr>
            </w:pPr>
            <w:r>
              <w:rPr>
                <w:rFonts w:ascii="Arial" w:cs="Arial" w:eastAsia="Arial" w:hAnsi="Arial"/>
                <w:sz w:val="14"/>
                <w:szCs w:val="14"/>
                <w:b w:val="1"/>
                <w:bCs w:val="1"/>
                <w:color w:val="auto"/>
              </w:rPr>
              <w:t>Through January 31</w:t>
            </w:r>
          </w:p>
        </w:tc>
        <w:tc>
          <w:tcPr>
            <w:tcW w:w="1400" w:type="dxa"/>
            <w:vAlign w:val="bottom"/>
          </w:tcPr>
          <w:p>
            <w:pPr>
              <w:spacing w:after="0"/>
              <w:rPr>
                <w:sz w:val="17"/>
                <w:szCs w:val="17"/>
                <w:color w:val="auto"/>
              </w:rPr>
            </w:pPr>
          </w:p>
        </w:tc>
        <w:tc>
          <w:tcPr>
            <w:tcW w:w="1600" w:type="dxa"/>
            <w:vAlign w:val="bottom"/>
          </w:tcPr>
          <w:p>
            <w:pPr>
              <w:jc w:val="right"/>
              <w:ind w:right="303"/>
              <w:spacing w:after="0"/>
              <w:rPr>
                <w:sz w:val="20"/>
                <w:szCs w:val="20"/>
                <w:color w:val="auto"/>
              </w:rPr>
            </w:pPr>
            <w:r>
              <w:rPr>
                <w:rFonts w:ascii="Arial" w:cs="Arial" w:eastAsia="Arial" w:hAnsi="Arial"/>
                <w:sz w:val="14"/>
                <w:szCs w:val="14"/>
                <w:b w:val="1"/>
                <w:bCs w:val="1"/>
                <w:color w:val="auto"/>
              </w:rPr>
              <w:t>Calendar Year</w:t>
            </w:r>
          </w:p>
        </w:tc>
        <w:tc>
          <w:tcPr>
            <w:tcW w:w="1260" w:type="dxa"/>
            <w:vAlign w:val="bottom"/>
          </w:tcPr>
          <w:p>
            <w:pPr>
              <w:spacing w:after="0"/>
              <w:rPr>
                <w:sz w:val="17"/>
                <w:szCs w:val="17"/>
                <w:color w:val="auto"/>
              </w:rPr>
            </w:pPr>
          </w:p>
        </w:tc>
      </w:tr>
      <w:tr>
        <w:trPr>
          <w:trHeight w:val="250"/>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US and Canada</w:t>
            </w:r>
          </w:p>
        </w:tc>
        <w:tc>
          <w:tcPr>
            <w:tcW w:w="100" w:type="dxa"/>
            <w:vAlign w:val="bottom"/>
            <w:tcBorders>
              <w:bottom w:val="single" w:sz="8" w:color="CCEEFF"/>
            </w:tcBorders>
          </w:tcPr>
          <w:p>
            <w:pPr>
              <w:spacing w:after="0"/>
              <w:rPr>
                <w:sz w:val="21"/>
                <w:szCs w:val="21"/>
                <w:color w:val="auto"/>
              </w:rPr>
            </w:pPr>
          </w:p>
        </w:tc>
        <w:tc>
          <w:tcPr>
            <w:tcW w:w="1560" w:type="dxa"/>
            <w:vAlign w:val="bottom"/>
            <w:tcBorders>
              <w:top w:val="single" w:sz="8" w:color="auto"/>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2015</w:t>
            </w:r>
          </w:p>
        </w:tc>
        <w:tc>
          <w:tcPr>
            <w:tcW w:w="12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2014</w:t>
            </w:r>
          </w:p>
        </w:tc>
        <w:tc>
          <w:tcPr>
            <w:tcW w:w="1600" w:type="dxa"/>
            <w:vAlign w:val="bottom"/>
            <w:tcBorders>
              <w:top w:val="single" w:sz="8" w:color="auto"/>
              <w:bottom w:val="single" w:sz="8" w:color="auto"/>
            </w:tcBorders>
          </w:tcPr>
          <w:p>
            <w:pPr>
              <w:jc w:val="right"/>
              <w:ind w:right="623"/>
              <w:spacing w:after="0"/>
              <w:rPr>
                <w:sz w:val="20"/>
                <w:szCs w:val="20"/>
                <w:color w:val="auto"/>
              </w:rPr>
            </w:pPr>
            <w:r>
              <w:rPr>
                <w:rFonts w:ascii="Arial" w:cs="Arial" w:eastAsia="Arial" w:hAnsi="Arial"/>
                <w:sz w:val="14"/>
                <w:szCs w:val="14"/>
                <w:b w:val="1"/>
                <w:bCs w:val="1"/>
                <w:color w:val="auto"/>
              </w:rPr>
              <w:t>2013</w:t>
            </w:r>
          </w:p>
        </w:tc>
        <w:tc>
          <w:tcPr>
            <w:tcW w:w="126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2012</w:t>
            </w:r>
          </w:p>
        </w:tc>
      </w:tr>
      <w:tr>
        <w:trPr>
          <w:trHeight w:val="256"/>
        </w:trPr>
        <w:tc>
          <w:tcPr>
            <w:tcW w:w="4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Motorized A, B, C</w:t>
            </w:r>
          </w:p>
        </w:tc>
        <w:tc>
          <w:tcPr>
            <w:tcW w:w="1560" w:type="dxa"/>
            <w:vAlign w:val="bottom"/>
            <w:shd w:val="clear" w:color="auto" w:fill="CCEEFF"/>
          </w:tcPr>
          <w:p>
            <w:pPr>
              <w:jc w:val="right"/>
              <w:ind w:right="343"/>
              <w:spacing w:after="0"/>
              <w:rPr>
                <w:sz w:val="20"/>
                <w:szCs w:val="20"/>
                <w:color w:val="auto"/>
              </w:rPr>
            </w:pPr>
            <w:r>
              <w:rPr>
                <w:rFonts w:ascii="Arial" w:cs="Arial" w:eastAsia="Arial" w:hAnsi="Arial"/>
                <w:sz w:val="16"/>
                <w:szCs w:val="16"/>
                <w:color w:val="auto"/>
              </w:rPr>
              <w:t>21.3%</w:t>
            </w:r>
          </w:p>
        </w:tc>
        <w:tc>
          <w:tcPr>
            <w:tcW w:w="12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20.7%</w:t>
            </w:r>
          </w:p>
        </w:tc>
        <w:tc>
          <w:tcPr>
            <w:tcW w:w="1600" w:type="dxa"/>
            <w:vAlign w:val="bottom"/>
            <w:shd w:val="clear" w:color="auto" w:fill="CCEEFF"/>
          </w:tcPr>
          <w:p>
            <w:pPr>
              <w:jc w:val="right"/>
              <w:ind w:right="363"/>
              <w:spacing w:after="0"/>
              <w:rPr>
                <w:sz w:val="20"/>
                <w:szCs w:val="20"/>
                <w:color w:val="auto"/>
              </w:rPr>
            </w:pPr>
            <w:r>
              <w:rPr>
                <w:rFonts w:ascii="Arial" w:cs="Arial" w:eastAsia="Arial" w:hAnsi="Arial"/>
                <w:sz w:val="16"/>
                <w:szCs w:val="16"/>
                <w:color w:val="auto"/>
              </w:rPr>
              <w:t>18.6%</w:t>
            </w:r>
          </w:p>
        </w:tc>
        <w:tc>
          <w:tcPr>
            <w:tcW w:w="126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19.8%</w:t>
            </w:r>
          </w:p>
        </w:tc>
      </w:tr>
      <w:tr>
        <w:trPr>
          <w:trHeight w:val="251"/>
        </w:trPr>
        <w:tc>
          <w:tcPr>
            <w:tcW w:w="4220" w:type="dxa"/>
            <w:vAlign w:val="bottom"/>
            <w:gridSpan w:val="2"/>
          </w:tcPr>
          <w:p>
            <w:pPr>
              <w:ind w:left="40"/>
              <w:spacing w:after="0"/>
              <w:rPr>
                <w:sz w:val="20"/>
                <w:szCs w:val="20"/>
                <w:color w:val="auto"/>
              </w:rPr>
            </w:pPr>
            <w:r>
              <w:rPr>
                <w:rFonts w:ascii="Arial" w:cs="Arial" w:eastAsia="Arial" w:hAnsi="Arial"/>
                <w:sz w:val="16"/>
                <w:szCs w:val="16"/>
                <w:color w:val="auto"/>
              </w:rPr>
              <w:t>Travel trailer and fifth wheels</w:t>
            </w:r>
          </w:p>
        </w:tc>
        <w:tc>
          <w:tcPr>
            <w:tcW w:w="1560" w:type="dxa"/>
            <w:vAlign w:val="bottom"/>
          </w:tcPr>
          <w:p>
            <w:pPr>
              <w:jc w:val="right"/>
              <w:ind w:right="343"/>
              <w:spacing w:after="0"/>
              <w:rPr>
                <w:sz w:val="20"/>
                <w:szCs w:val="20"/>
                <w:color w:val="auto"/>
              </w:rPr>
            </w:pPr>
            <w:r>
              <w:rPr>
                <w:rFonts w:ascii="Arial" w:cs="Arial" w:eastAsia="Arial" w:hAnsi="Arial"/>
                <w:sz w:val="16"/>
                <w:szCs w:val="16"/>
                <w:color w:val="auto"/>
              </w:rPr>
              <w:t>1.0%</w:t>
            </w: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1"/>
                <w:szCs w:val="21"/>
                <w:color w:val="auto"/>
              </w:rPr>
            </w:pPr>
          </w:p>
        </w:tc>
        <w:tc>
          <w:tcPr>
            <w:tcW w:w="1400" w:type="dxa"/>
            <w:vAlign w:val="bottom"/>
          </w:tcPr>
          <w:p>
            <w:pPr>
              <w:jc w:val="right"/>
              <w:ind w:right="182"/>
              <w:spacing w:after="0"/>
              <w:rPr>
                <w:sz w:val="20"/>
                <w:szCs w:val="20"/>
                <w:color w:val="auto"/>
              </w:rPr>
            </w:pPr>
            <w:r>
              <w:rPr>
                <w:rFonts w:ascii="Arial" w:cs="Arial" w:eastAsia="Arial" w:hAnsi="Arial"/>
                <w:sz w:val="16"/>
                <w:szCs w:val="16"/>
                <w:color w:val="auto"/>
              </w:rPr>
              <w:t>0.8%</w:t>
            </w:r>
          </w:p>
        </w:tc>
        <w:tc>
          <w:tcPr>
            <w:tcW w:w="1600" w:type="dxa"/>
            <w:vAlign w:val="bottom"/>
          </w:tcPr>
          <w:p>
            <w:pPr>
              <w:jc w:val="right"/>
              <w:ind w:right="363"/>
              <w:spacing w:after="0"/>
              <w:rPr>
                <w:sz w:val="20"/>
                <w:szCs w:val="20"/>
                <w:color w:val="auto"/>
              </w:rPr>
            </w:pPr>
            <w:r>
              <w:rPr>
                <w:rFonts w:ascii="Arial" w:cs="Arial" w:eastAsia="Arial" w:hAnsi="Arial"/>
                <w:sz w:val="16"/>
                <w:szCs w:val="16"/>
                <w:color w:val="auto"/>
              </w:rPr>
              <w:t>1.0%</w:t>
            </w:r>
          </w:p>
        </w:tc>
        <w:tc>
          <w:tcPr>
            <w:tcW w:w="1260" w:type="dxa"/>
            <w:vAlign w:val="bottom"/>
          </w:tcPr>
          <w:p>
            <w:pPr>
              <w:jc w:val="right"/>
              <w:ind w:right="202"/>
              <w:spacing w:after="0"/>
              <w:rPr>
                <w:sz w:val="20"/>
                <w:szCs w:val="20"/>
                <w:color w:val="auto"/>
              </w:rPr>
            </w:pPr>
            <w:r>
              <w:rPr>
                <w:rFonts w:ascii="Arial" w:cs="Arial" w:eastAsia="Arial" w:hAnsi="Arial"/>
                <w:sz w:val="16"/>
                <w:szCs w:val="16"/>
                <w:color w:val="auto"/>
              </w:rPr>
              <w:t>0.9%</w:t>
            </w:r>
          </w:p>
        </w:tc>
      </w:tr>
    </w:tbl>
    <w:p>
      <w:pPr>
        <w:spacing w:after="0" w:line="238"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During calendar 2014, we increased our North American motorhome retail market share by 210 basis points. The most notable growth occurred in the Class C segment which was fueled in part by our partnership with a large rental dealer. We also experienced significant retail growth in Class B in calendar 2014 due to new products introduced and increased demand for existing offerings.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Presented in fiscal quarters, certain key metrics are shown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2"/>
          </w:tcPr>
          <w:p>
            <w:pPr>
              <w:jc w:val="right"/>
              <w:ind w:right="181"/>
              <w:spacing w:after="0"/>
              <w:rPr>
                <w:sz w:val="20"/>
                <w:szCs w:val="20"/>
                <w:color w:val="auto"/>
              </w:rPr>
            </w:pPr>
            <w:r>
              <w:rPr>
                <w:rFonts w:ascii="Arial" w:cs="Arial" w:eastAsia="Arial" w:hAnsi="Arial"/>
                <w:sz w:val="16"/>
                <w:szCs w:val="16"/>
                <w:b w:val="1"/>
                <w:bCs w:val="1"/>
                <w:color w:val="auto"/>
              </w:rPr>
              <w:t>Class A, B &amp; C Motorhomes</w:t>
            </w: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2"/>
          </w:tcPr>
          <w:p>
            <w:pPr>
              <w:jc w:val="right"/>
              <w:ind w:right="141"/>
              <w:spacing w:after="0"/>
              <w:rPr>
                <w:sz w:val="20"/>
                <w:szCs w:val="20"/>
                <w:color w:val="auto"/>
              </w:rPr>
            </w:pPr>
            <w:r>
              <w:rPr>
                <w:rFonts w:ascii="Arial" w:cs="Arial" w:eastAsia="Arial" w:hAnsi="Arial"/>
                <w:sz w:val="16"/>
                <w:szCs w:val="16"/>
                <w:b w:val="1"/>
                <w:bCs w:val="1"/>
                <w:color w:val="auto"/>
              </w:rPr>
              <w:t>Travel Trailers &amp; Fifth Wheels</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3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As of Quarter End</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3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As of Quarter End</w:t>
            </w:r>
          </w:p>
        </w:tc>
        <w:tc>
          <w:tcPr>
            <w:tcW w:w="0" w:type="dxa"/>
            <w:vAlign w:val="bottom"/>
          </w:tcPr>
          <w:p>
            <w:pPr>
              <w:spacing w:after="0"/>
              <w:rPr>
                <w:sz w:val="1"/>
                <w:szCs w:val="1"/>
                <w:color w:val="auto"/>
              </w:rPr>
            </w:pPr>
          </w:p>
        </w:tc>
      </w:tr>
      <w:tr>
        <w:trPr>
          <w:trHeight w:val="244"/>
        </w:trPr>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ind w:right="180"/>
              <w:spacing w:after="0"/>
              <w:rPr>
                <w:sz w:val="20"/>
                <w:szCs w:val="20"/>
                <w:color w:val="auto"/>
              </w:rPr>
            </w:pPr>
            <w:r>
              <w:rPr>
                <w:rFonts w:ascii="Arial" w:cs="Arial" w:eastAsia="Arial" w:hAnsi="Arial"/>
                <w:sz w:val="14"/>
                <w:szCs w:val="14"/>
                <w:b w:val="1"/>
                <w:bCs w:val="1"/>
                <w:color w:val="auto"/>
              </w:rPr>
              <w:t>Wholesale</w:t>
            </w:r>
          </w:p>
        </w:tc>
        <w:tc>
          <w:tcPr>
            <w:tcW w:w="1360" w:type="dxa"/>
            <w:vAlign w:val="bottom"/>
          </w:tcPr>
          <w:p>
            <w:pPr>
              <w:jc w:val="right"/>
              <w:ind w:right="400"/>
              <w:spacing w:after="0"/>
              <w:rPr>
                <w:sz w:val="20"/>
                <w:szCs w:val="20"/>
                <w:color w:val="auto"/>
              </w:rPr>
            </w:pPr>
            <w:r>
              <w:rPr>
                <w:rFonts w:ascii="Arial" w:cs="Arial" w:eastAsia="Arial" w:hAnsi="Arial"/>
                <w:sz w:val="14"/>
                <w:szCs w:val="14"/>
                <w:b w:val="1"/>
                <w:bCs w:val="1"/>
                <w:color w:val="auto"/>
              </w:rPr>
              <w:t>Retail</w:t>
            </w:r>
          </w:p>
        </w:tc>
        <w:tc>
          <w:tcPr>
            <w:tcW w:w="1200" w:type="dxa"/>
            <w:vAlign w:val="bottom"/>
          </w:tcPr>
          <w:p>
            <w:pPr>
              <w:jc w:val="right"/>
              <w:ind w:right="341"/>
              <w:spacing w:after="0"/>
              <w:rPr>
                <w:sz w:val="20"/>
                <w:szCs w:val="20"/>
                <w:color w:val="auto"/>
              </w:rPr>
            </w:pPr>
            <w:r>
              <w:rPr>
                <w:rFonts w:ascii="Arial" w:cs="Arial" w:eastAsia="Arial" w:hAnsi="Arial"/>
                <w:sz w:val="14"/>
                <w:szCs w:val="14"/>
                <w:b w:val="1"/>
                <w:bCs w:val="1"/>
                <w:color w:val="auto"/>
              </w:rPr>
              <w:t>Dealer</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Order</w:t>
            </w:r>
          </w:p>
        </w:tc>
        <w:tc>
          <w:tcPr>
            <w:tcW w:w="1180" w:type="dxa"/>
            <w:vAlign w:val="bottom"/>
          </w:tcPr>
          <w:p>
            <w:pPr>
              <w:jc w:val="right"/>
              <w:ind w:right="140"/>
              <w:spacing w:after="0"/>
              <w:rPr>
                <w:sz w:val="20"/>
                <w:szCs w:val="20"/>
                <w:color w:val="auto"/>
              </w:rPr>
            </w:pPr>
            <w:r>
              <w:rPr>
                <w:rFonts w:ascii="Arial" w:cs="Arial" w:eastAsia="Arial" w:hAnsi="Arial"/>
                <w:sz w:val="14"/>
                <w:szCs w:val="14"/>
                <w:b w:val="1"/>
                <w:bCs w:val="1"/>
                <w:color w:val="auto"/>
              </w:rPr>
              <w:t>Wholesale</w:t>
            </w:r>
          </w:p>
        </w:tc>
        <w:tc>
          <w:tcPr>
            <w:tcW w:w="1400" w:type="dxa"/>
            <w:vAlign w:val="bottom"/>
          </w:tcPr>
          <w:p>
            <w:pPr>
              <w:jc w:val="right"/>
              <w:ind w:right="400"/>
              <w:spacing w:after="0"/>
              <w:rPr>
                <w:sz w:val="20"/>
                <w:szCs w:val="20"/>
                <w:color w:val="auto"/>
              </w:rPr>
            </w:pPr>
            <w:r>
              <w:rPr>
                <w:rFonts w:ascii="Arial" w:cs="Arial" w:eastAsia="Arial" w:hAnsi="Arial"/>
                <w:sz w:val="14"/>
                <w:szCs w:val="14"/>
                <w:b w:val="1"/>
                <w:bCs w:val="1"/>
                <w:color w:val="auto"/>
              </w:rPr>
              <w:t>Retail</w:t>
            </w:r>
          </w:p>
        </w:tc>
        <w:tc>
          <w:tcPr>
            <w:tcW w:w="1220" w:type="dxa"/>
            <w:vAlign w:val="bottom"/>
          </w:tcPr>
          <w:p>
            <w:pPr>
              <w:jc w:val="right"/>
              <w:ind w:right="341"/>
              <w:spacing w:after="0"/>
              <w:rPr>
                <w:sz w:val="20"/>
                <w:szCs w:val="20"/>
                <w:color w:val="auto"/>
              </w:rPr>
            </w:pPr>
            <w:r>
              <w:rPr>
                <w:rFonts w:ascii="Arial" w:cs="Arial" w:eastAsia="Arial" w:hAnsi="Arial"/>
                <w:sz w:val="14"/>
                <w:szCs w:val="14"/>
                <w:b w:val="1"/>
                <w:bCs w:val="1"/>
                <w:color w:val="auto"/>
              </w:rPr>
              <w:t>Dealer</w:t>
            </w:r>
          </w:p>
        </w:tc>
        <w:tc>
          <w:tcPr>
            <w:tcW w:w="1080" w:type="dxa"/>
            <w:vAlign w:val="bottom"/>
          </w:tcPr>
          <w:p>
            <w:pPr>
              <w:jc w:val="right"/>
              <w:ind w:right="300"/>
              <w:spacing w:after="0"/>
              <w:rPr>
                <w:sz w:val="20"/>
                <w:szCs w:val="20"/>
                <w:color w:val="auto"/>
              </w:rPr>
            </w:pPr>
            <w:r>
              <w:rPr>
                <w:rFonts w:ascii="Arial" w:cs="Arial" w:eastAsia="Arial" w:hAnsi="Arial"/>
                <w:sz w:val="14"/>
                <w:szCs w:val="14"/>
                <w:b w:val="1"/>
                <w:bCs w:val="1"/>
                <w:color w:val="auto"/>
              </w:rPr>
              <w:t>Order</w:t>
            </w:r>
          </w:p>
        </w:tc>
        <w:tc>
          <w:tcPr>
            <w:tcW w:w="0" w:type="dxa"/>
            <w:vAlign w:val="bottom"/>
          </w:tcPr>
          <w:p>
            <w:pPr>
              <w:spacing w:after="0"/>
              <w:rPr>
                <w:sz w:val="1"/>
                <w:szCs w:val="1"/>
                <w:color w:val="auto"/>
              </w:rPr>
            </w:pPr>
          </w:p>
        </w:tc>
      </w:tr>
      <w:tr>
        <w:trPr>
          <w:trHeight w:val="276"/>
        </w:trPr>
        <w:tc>
          <w:tcPr>
            <w:tcW w:w="15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units)</w:t>
            </w:r>
          </w:p>
        </w:tc>
        <w:tc>
          <w:tcPr>
            <w:tcW w:w="1220" w:type="dxa"/>
            <w:vAlign w:val="bottom"/>
          </w:tcPr>
          <w:p>
            <w:pPr>
              <w:jc w:val="right"/>
              <w:ind w:right="200"/>
              <w:spacing w:after="0"/>
              <w:rPr>
                <w:sz w:val="20"/>
                <w:szCs w:val="20"/>
                <w:color w:val="auto"/>
              </w:rPr>
            </w:pPr>
            <w:r>
              <w:rPr>
                <w:rFonts w:ascii="Arial" w:cs="Arial" w:eastAsia="Arial" w:hAnsi="Arial"/>
                <w:sz w:val="14"/>
                <w:szCs w:val="14"/>
                <w:b w:val="1"/>
                <w:bCs w:val="1"/>
                <w:color w:val="auto"/>
              </w:rPr>
              <w:t>Deliveries</w:t>
            </w:r>
          </w:p>
        </w:tc>
        <w:tc>
          <w:tcPr>
            <w:tcW w:w="1360" w:type="dxa"/>
            <w:vAlign w:val="bottom"/>
          </w:tcPr>
          <w:p>
            <w:pPr>
              <w:jc w:val="right"/>
              <w:ind w:right="140"/>
              <w:spacing w:after="0"/>
              <w:rPr>
                <w:sz w:val="20"/>
                <w:szCs w:val="20"/>
                <w:color w:val="auto"/>
              </w:rPr>
            </w:pPr>
            <w:r>
              <w:rPr>
                <w:rFonts w:ascii="Arial" w:cs="Arial" w:eastAsia="Arial" w:hAnsi="Arial"/>
                <w:sz w:val="14"/>
                <w:szCs w:val="14"/>
                <w:b w:val="1"/>
                <w:bCs w:val="1"/>
                <w:color w:val="auto"/>
              </w:rPr>
              <w:t>Registrations</w:t>
            </w:r>
          </w:p>
        </w:tc>
        <w:tc>
          <w:tcPr>
            <w:tcW w:w="1200" w:type="dxa"/>
            <w:vAlign w:val="bottom"/>
          </w:tcPr>
          <w:p>
            <w:pPr>
              <w:jc w:val="right"/>
              <w:ind w:right="241"/>
              <w:spacing w:after="0"/>
              <w:rPr>
                <w:sz w:val="20"/>
                <w:szCs w:val="20"/>
                <w:color w:val="auto"/>
              </w:rPr>
            </w:pPr>
            <w:r>
              <w:rPr>
                <w:rFonts w:ascii="Arial" w:cs="Arial" w:eastAsia="Arial" w:hAnsi="Arial"/>
                <w:sz w:val="14"/>
                <w:szCs w:val="14"/>
                <w:b w:val="1"/>
                <w:bCs w:val="1"/>
                <w:color w:val="auto"/>
              </w:rPr>
              <w:t>Inventory</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Backlog</w:t>
            </w:r>
          </w:p>
        </w:tc>
        <w:tc>
          <w:tcPr>
            <w:tcW w:w="1180" w:type="dxa"/>
            <w:vAlign w:val="bottom"/>
          </w:tcPr>
          <w:p>
            <w:pPr>
              <w:jc w:val="right"/>
              <w:ind w:right="140"/>
              <w:spacing w:after="0"/>
              <w:rPr>
                <w:sz w:val="20"/>
                <w:szCs w:val="20"/>
                <w:color w:val="auto"/>
              </w:rPr>
            </w:pPr>
            <w:r>
              <w:rPr>
                <w:rFonts w:ascii="Arial" w:cs="Arial" w:eastAsia="Arial" w:hAnsi="Arial"/>
                <w:sz w:val="14"/>
                <w:szCs w:val="14"/>
                <w:b w:val="1"/>
                <w:bCs w:val="1"/>
                <w:color w:val="auto"/>
              </w:rPr>
              <w:t>Deliveries</w:t>
            </w:r>
          </w:p>
        </w:tc>
        <w:tc>
          <w:tcPr>
            <w:tcW w:w="1400" w:type="dxa"/>
            <w:vAlign w:val="bottom"/>
          </w:tcPr>
          <w:p>
            <w:pPr>
              <w:jc w:val="right"/>
              <w:ind w:right="140"/>
              <w:spacing w:after="0"/>
              <w:rPr>
                <w:sz w:val="20"/>
                <w:szCs w:val="20"/>
                <w:color w:val="auto"/>
              </w:rPr>
            </w:pPr>
            <w:r>
              <w:rPr>
                <w:rFonts w:ascii="Arial" w:cs="Arial" w:eastAsia="Arial" w:hAnsi="Arial"/>
                <w:sz w:val="14"/>
                <w:szCs w:val="14"/>
                <w:b w:val="1"/>
                <w:bCs w:val="1"/>
                <w:color w:val="auto"/>
              </w:rPr>
              <w:t>Registrations</w:t>
            </w:r>
          </w:p>
        </w:tc>
        <w:tc>
          <w:tcPr>
            <w:tcW w:w="1220" w:type="dxa"/>
            <w:vAlign w:val="bottom"/>
          </w:tcPr>
          <w:p>
            <w:pPr>
              <w:jc w:val="right"/>
              <w:ind w:right="241"/>
              <w:spacing w:after="0"/>
              <w:rPr>
                <w:sz w:val="20"/>
                <w:szCs w:val="20"/>
                <w:color w:val="auto"/>
              </w:rPr>
            </w:pPr>
            <w:r>
              <w:rPr>
                <w:rFonts w:ascii="Arial" w:cs="Arial" w:eastAsia="Arial" w:hAnsi="Arial"/>
                <w:sz w:val="14"/>
                <w:szCs w:val="14"/>
                <w:b w:val="1"/>
                <w:bCs w:val="1"/>
                <w:color w:val="auto"/>
              </w:rPr>
              <w:t>Inventory</w:t>
            </w:r>
          </w:p>
        </w:tc>
        <w:tc>
          <w:tcPr>
            <w:tcW w:w="1080" w:type="dxa"/>
            <w:vAlign w:val="bottom"/>
          </w:tcPr>
          <w:p>
            <w:pPr>
              <w:jc w:val="right"/>
              <w:ind w:right="220"/>
              <w:spacing w:after="0"/>
              <w:rPr>
                <w:sz w:val="20"/>
                <w:szCs w:val="20"/>
                <w:color w:val="auto"/>
              </w:rPr>
            </w:pPr>
            <w:r>
              <w:rPr>
                <w:rFonts w:ascii="Arial" w:cs="Arial" w:eastAsia="Arial" w:hAnsi="Arial"/>
                <w:sz w:val="14"/>
                <w:szCs w:val="14"/>
                <w:b w:val="1"/>
                <w:bCs w:val="1"/>
                <w:color w:val="auto"/>
              </w:rPr>
              <w:t>Backlog</w:t>
            </w:r>
          </w:p>
        </w:tc>
        <w:tc>
          <w:tcPr>
            <w:tcW w:w="0" w:type="dxa"/>
            <w:vAlign w:val="bottom"/>
          </w:tcPr>
          <w:p>
            <w:pPr>
              <w:spacing w:after="0"/>
              <w:rPr>
                <w:sz w:val="1"/>
                <w:szCs w:val="1"/>
                <w:color w:val="auto"/>
              </w:rPr>
            </w:pPr>
          </w:p>
        </w:tc>
      </w:tr>
      <w:tr>
        <w:trPr>
          <w:trHeight w:val="256"/>
        </w:trPr>
        <w:tc>
          <w:tcPr>
            <w:tcW w:w="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1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2013</w:t>
            </w:r>
          </w:p>
        </w:tc>
        <w:tc>
          <w:tcPr>
            <w:tcW w:w="100" w:type="dxa"/>
            <w:vAlign w:val="bottom"/>
            <w:tcBorders>
              <w:top w:val="single" w:sz="8" w:color="CCEEFF"/>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1,978</w:t>
            </w:r>
          </w:p>
        </w:tc>
        <w:tc>
          <w:tcPr>
            <w:tcW w:w="1360" w:type="dxa"/>
            <w:vAlign w:val="bottom"/>
            <w:tcBorders>
              <w:top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1,736</w:t>
            </w:r>
          </w:p>
        </w:tc>
        <w:tc>
          <w:tcPr>
            <w:tcW w:w="1200" w:type="dxa"/>
            <w:vAlign w:val="bottom"/>
            <w:tcBorders>
              <w:top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rPr>
              <w:t>2,634</w:t>
            </w:r>
          </w:p>
        </w:tc>
        <w:tc>
          <w:tcPr>
            <w:tcW w:w="1100" w:type="dxa"/>
            <w:vAlign w:val="bottom"/>
            <w:tcBorders>
              <w:top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2,846</w:t>
            </w:r>
          </w:p>
        </w:tc>
        <w:tc>
          <w:tcPr>
            <w:tcW w:w="100" w:type="dxa"/>
            <w:vAlign w:val="bottom"/>
            <w:tcBorders>
              <w:top w:val="single" w:sz="8" w:color="CCEEFF"/>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713</w:t>
            </w:r>
          </w:p>
        </w:tc>
        <w:tc>
          <w:tcPr>
            <w:tcW w:w="1400" w:type="dxa"/>
            <w:vAlign w:val="bottom"/>
            <w:tcBorders>
              <w:top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846</w:t>
            </w:r>
          </w:p>
        </w:tc>
        <w:tc>
          <w:tcPr>
            <w:tcW w:w="1220" w:type="dxa"/>
            <w:vAlign w:val="bottom"/>
            <w:tcBorders>
              <w:top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rPr>
              <w:t>1,642</w:t>
            </w:r>
          </w:p>
        </w:tc>
        <w:tc>
          <w:tcPr>
            <w:tcW w:w="1080" w:type="dxa"/>
            <w:vAlign w:val="bottom"/>
            <w:tcBorders>
              <w:top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60"/>
        </w:trPr>
        <w:tc>
          <w:tcPr>
            <w:tcW w:w="280" w:type="dxa"/>
            <w:vAlign w:val="bottom"/>
          </w:tcPr>
          <w:p>
            <w:pPr>
              <w:ind w:left="40"/>
              <w:spacing w:after="0"/>
              <w:rPr>
                <w:sz w:val="20"/>
                <w:szCs w:val="20"/>
                <w:color w:val="auto"/>
              </w:rPr>
            </w:pPr>
            <w:r>
              <w:rPr>
                <w:rFonts w:ascii="Arial" w:cs="Arial" w:eastAsia="Arial" w:hAnsi="Arial"/>
                <w:sz w:val="16"/>
                <w:szCs w:val="16"/>
                <w:color w:val="auto"/>
              </w:rPr>
              <w:t>Q4</w:t>
            </w:r>
          </w:p>
        </w:tc>
        <w:tc>
          <w:tcPr>
            <w:tcW w:w="1180" w:type="dxa"/>
            <w:vAlign w:val="bottom"/>
          </w:tcPr>
          <w:p>
            <w:pPr>
              <w:ind w:left="20"/>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22"/>
                <w:szCs w:val="22"/>
                <w:color w:val="auto"/>
              </w:rPr>
            </w:pP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1,890</w:t>
            </w:r>
          </w:p>
        </w:tc>
        <w:tc>
          <w:tcPr>
            <w:tcW w:w="1360" w:type="dxa"/>
            <w:vAlign w:val="bottom"/>
          </w:tcPr>
          <w:p>
            <w:pPr>
              <w:jc w:val="right"/>
              <w:ind w:right="220"/>
              <w:spacing w:after="0"/>
              <w:rPr>
                <w:sz w:val="20"/>
                <w:szCs w:val="20"/>
                <w:color w:val="auto"/>
              </w:rPr>
            </w:pPr>
            <w:r>
              <w:rPr>
                <w:rFonts w:ascii="Arial" w:cs="Arial" w:eastAsia="Arial" w:hAnsi="Arial"/>
                <w:sz w:val="16"/>
                <w:szCs w:val="16"/>
                <w:color w:val="auto"/>
              </w:rPr>
              <w:t>1,870</w:t>
            </w:r>
          </w:p>
        </w:tc>
        <w:tc>
          <w:tcPr>
            <w:tcW w:w="1200" w:type="dxa"/>
            <w:vAlign w:val="bottom"/>
          </w:tcPr>
          <w:p>
            <w:pPr>
              <w:jc w:val="right"/>
              <w:ind w:right="301"/>
              <w:spacing w:after="0"/>
              <w:rPr>
                <w:sz w:val="20"/>
                <w:szCs w:val="20"/>
                <w:color w:val="auto"/>
              </w:rPr>
            </w:pPr>
            <w:r>
              <w:rPr>
                <w:rFonts w:ascii="Arial" w:cs="Arial" w:eastAsia="Arial" w:hAnsi="Arial"/>
                <w:sz w:val="16"/>
                <w:szCs w:val="16"/>
                <w:color w:val="auto"/>
              </w:rPr>
              <w:t>2,654</w:t>
            </w:r>
          </w:p>
        </w:tc>
        <w:tc>
          <w:tcPr>
            <w:tcW w:w="1100" w:type="dxa"/>
            <w:vAlign w:val="bottom"/>
          </w:tcPr>
          <w:p>
            <w:pPr>
              <w:jc w:val="right"/>
              <w:ind w:right="280"/>
              <w:spacing w:after="0"/>
              <w:rPr>
                <w:sz w:val="20"/>
                <w:szCs w:val="20"/>
                <w:color w:val="auto"/>
              </w:rPr>
            </w:pPr>
            <w:r>
              <w:rPr>
                <w:rFonts w:ascii="Arial" w:cs="Arial" w:eastAsia="Arial" w:hAnsi="Arial"/>
                <w:sz w:val="16"/>
                <w:szCs w:val="16"/>
                <w:color w:val="auto"/>
              </w:rPr>
              <w:t>3,380</w:t>
            </w:r>
          </w:p>
        </w:tc>
        <w:tc>
          <w:tcPr>
            <w:tcW w:w="100" w:type="dxa"/>
            <w:vAlign w:val="bottom"/>
          </w:tcPr>
          <w:p>
            <w:pPr>
              <w:spacing w:after="0"/>
              <w:rPr>
                <w:sz w:val="22"/>
                <w:szCs w:val="22"/>
                <w:color w:val="auto"/>
              </w:rPr>
            </w:pPr>
          </w:p>
        </w:tc>
        <w:tc>
          <w:tcPr>
            <w:tcW w:w="1180" w:type="dxa"/>
            <w:vAlign w:val="bottom"/>
          </w:tcPr>
          <w:p>
            <w:pPr>
              <w:jc w:val="right"/>
              <w:ind w:right="200"/>
              <w:spacing w:after="0"/>
              <w:rPr>
                <w:sz w:val="20"/>
                <w:szCs w:val="20"/>
                <w:color w:val="auto"/>
              </w:rPr>
            </w:pPr>
            <w:r>
              <w:rPr>
                <w:rFonts w:ascii="Arial" w:cs="Arial" w:eastAsia="Arial" w:hAnsi="Arial"/>
                <w:sz w:val="16"/>
                <w:szCs w:val="16"/>
                <w:color w:val="auto"/>
              </w:rPr>
              <w:t>717</w:t>
            </w:r>
          </w:p>
        </w:tc>
        <w:tc>
          <w:tcPr>
            <w:tcW w:w="1400" w:type="dxa"/>
            <w:vAlign w:val="bottom"/>
          </w:tcPr>
          <w:p>
            <w:pPr>
              <w:jc w:val="right"/>
              <w:ind w:right="220"/>
              <w:spacing w:after="0"/>
              <w:rPr>
                <w:sz w:val="20"/>
                <w:szCs w:val="20"/>
                <w:color w:val="auto"/>
              </w:rPr>
            </w:pPr>
            <w:r>
              <w:rPr>
                <w:rFonts w:ascii="Arial" w:cs="Arial" w:eastAsia="Arial" w:hAnsi="Arial"/>
                <w:sz w:val="16"/>
                <w:szCs w:val="16"/>
                <w:color w:val="auto"/>
              </w:rPr>
              <w:t>748</w:t>
            </w:r>
          </w:p>
        </w:tc>
        <w:tc>
          <w:tcPr>
            <w:tcW w:w="1220" w:type="dxa"/>
            <w:vAlign w:val="bottom"/>
          </w:tcPr>
          <w:p>
            <w:pPr>
              <w:jc w:val="right"/>
              <w:ind w:right="321"/>
              <w:spacing w:after="0"/>
              <w:rPr>
                <w:sz w:val="20"/>
                <w:szCs w:val="20"/>
                <w:color w:val="auto"/>
              </w:rPr>
            </w:pPr>
            <w:r>
              <w:rPr>
                <w:rFonts w:ascii="Arial" w:cs="Arial" w:eastAsia="Arial" w:hAnsi="Arial"/>
                <w:sz w:val="16"/>
                <w:szCs w:val="16"/>
                <w:color w:val="auto"/>
              </w:rPr>
              <w:t>1,611</w:t>
            </w:r>
          </w:p>
        </w:tc>
        <w:tc>
          <w:tcPr>
            <w:tcW w:w="1080" w:type="dxa"/>
            <w:vAlign w:val="bottom"/>
          </w:tcPr>
          <w:p>
            <w:pPr>
              <w:jc w:val="right"/>
              <w:ind w:right="280"/>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80"/>
        </w:trPr>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2014</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2,005</w:t>
            </w:r>
          </w:p>
        </w:tc>
        <w:tc>
          <w:tcPr>
            <w:tcW w:w="136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1,524</w:t>
            </w:r>
          </w:p>
        </w:tc>
        <w:tc>
          <w:tcPr>
            <w:tcW w:w="120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3,135</w:t>
            </w:r>
          </w:p>
        </w:tc>
        <w:tc>
          <w:tcPr>
            <w:tcW w:w="110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3,534</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484</w:t>
            </w:r>
          </w:p>
        </w:tc>
        <w:tc>
          <w:tcPr>
            <w:tcW w:w="14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504</w:t>
            </w:r>
          </w:p>
        </w:tc>
        <w:tc>
          <w:tcPr>
            <w:tcW w:w="122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1,591</w:t>
            </w:r>
          </w:p>
        </w:tc>
        <w:tc>
          <w:tcPr>
            <w:tcW w:w="108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64"/>
        </w:trPr>
        <w:tc>
          <w:tcPr>
            <w:tcW w:w="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Q1</w:t>
            </w:r>
          </w:p>
        </w:tc>
        <w:tc>
          <w:tcPr>
            <w:tcW w:w="1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2014</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2,055</w:t>
            </w:r>
          </w:p>
        </w:tc>
        <w:tc>
          <w:tcPr>
            <w:tcW w:w="13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1,283</w:t>
            </w:r>
          </w:p>
        </w:tc>
        <w:tc>
          <w:tcPr>
            <w:tcW w:w="1200" w:type="dxa"/>
            <w:vAlign w:val="bottom"/>
            <w:tcBorders>
              <w:bottom w:val="single" w:sz="8" w:color="CCEEFF"/>
            </w:tcBorders>
          </w:tcPr>
          <w:p>
            <w:pPr>
              <w:jc w:val="right"/>
              <w:ind w:right="301"/>
              <w:spacing w:after="0"/>
              <w:rPr>
                <w:sz w:val="20"/>
                <w:szCs w:val="20"/>
                <w:color w:val="auto"/>
              </w:rPr>
            </w:pPr>
            <w:r>
              <w:rPr>
                <w:rFonts w:ascii="Arial" w:cs="Arial" w:eastAsia="Arial" w:hAnsi="Arial"/>
                <w:sz w:val="16"/>
                <w:szCs w:val="16"/>
                <w:color w:val="auto"/>
              </w:rPr>
              <w:t>3,907</w:t>
            </w:r>
          </w:p>
        </w:tc>
        <w:tc>
          <w:tcPr>
            <w:tcW w:w="1100" w:type="dxa"/>
            <w:vAlign w:val="bottom"/>
            <w:tcBorders>
              <w:bottom w:val="single" w:sz="8" w:color="CCEEFF"/>
            </w:tcBorders>
          </w:tcPr>
          <w:p>
            <w:pPr>
              <w:jc w:val="right"/>
              <w:ind w:right="280"/>
              <w:spacing w:after="0"/>
              <w:rPr>
                <w:sz w:val="20"/>
                <w:szCs w:val="20"/>
                <w:color w:val="auto"/>
              </w:rPr>
            </w:pPr>
            <w:r>
              <w:rPr>
                <w:rFonts w:ascii="Arial" w:cs="Arial" w:eastAsia="Arial" w:hAnsi="Arial"/>
                <w:sz w:val="16"/>
                <w:szCs w:val="16"/>
                <w:color w:val="auto"/>
              </w:rPr>
              <w:t>2,900</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575</w:t>
            </w:r>
          </w:p>
        </w:tc>
        <w:tc>
          <w:tcPr>
            <w:tcW w:w="14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394</w:t>
            </w:r>
          </w:p>
        </w:tc>
        <w:tc>
          <w:tcPr>
            <w:tcW w:w="1220" w:type="dxa"/>
            <w:vAlign w:val="bottom"/>
            <w:tcBorders>
              <w:bottom w:val="single" w:sz="8" w:color="CCEEFF"/>
            </w:tcBorders>
          </w:tcPr>
          <w:p>
            <w:pPr>
              <w:jc w:val="right"/>
              <w:ind w:right="321"/>
              <w:spacing w:after="0"/>
              <w:rPr>
                <w:sz w:val="20"/>
                <w:szCs w:val="20"/>
                <w:color w:val="auto"/>
              </w:rPr>
            </w:pPr>
            <w:r>
              <w:rPr>
                <w:rFonts w:ascii="Arial" w:cs="Arial" w:eastAsia="Arial" w:hAnsi="Arial"/>
                <w:sz w:val="16"/>
                <w:szCs w:val="16"/>
                <w:color w:val="auto"/>
              </w:rPr>
              <w:t>1,772</w:t>
            </w:r>
          </w:p>
        </w:tc>
        <w:tc>
          <w:tcPr>
            <w:tcW w:w="1080" w:type="dxa"/>
            <w:vAlign w:val="bottom"/>
            <w:tcBorders>
              <w:bottom w:val="single" w:sz="8" w:color="CCEEFF"/>
            </w:tcBorders>
          </w:tcPr>
          <w:p>
            <w:pPr>
              <w:jc w:val="right"/>
              <w:ind w:right="280"/>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40"/>
        </w:trPr>
        <w:tc>
          <w:tcPr>
            <w:tcW w:w="1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Rolling 12 months</w:t>
            </w:r>
          </w:p>
        </w:tc>
        <w:tc>
          <w:tcPr>
            <w:tcW w:w="12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7,928</w:t>
            </w:r>
          </w:p>
        </w:tc>
        <w:tc>
          <w:tcPr>
            <w:tcW w:w="1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6,413</w:t>
            </w:r>
          </w:p>
        </w:tc>
        <w:tc>
          <w:tcPr>
            <w:tcW w:w="1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2,489</w:t>
            </w:r>
          </w:p>
        </w:tc>
        <w:tc>
          <w:tcPr>
            <w:tcW w:w="140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2,492</w:t>
            </w:r>
          </w:p>
        </w:tc>
        <w:tc>
          <w:tcPr>
            <w:tcW w:w="1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60" w:type="dxa"/>
            <w:vAlign w:val="bottom"/>
            <w:gridSpan w:val="3"/>
            <w:vMerge w:val="restart"/>
          </w:tcPr>
          <w:p>
            <w:pPr>
              <w:ind w:left="40"/>
              <w:spacing w:after="0"/>
              <w:rPr>
                <w:sz w:val="20"/>
                <w:szCs w:val="20"/>
                <w:color w:val="auto"/>
              </w:rPr>
            </w:pPr>
            <w:r>
              <w:rPr>
                <w:rFonts w:ascii="Arial" w:cs="Arial" w:eastAsia="Arial" w:hAnsi="Arial"/>
                <w:sz w:val="16"/>
                <w:szCs w:val="16"/>
                <w:color w:val="auto"/>
              </w:rPr>
              <w:t>Mar 2013-Feb</w:t>
            </w:r>
          </w:p>
        </w:tc>
        <w:tc>
          <w:tcPr>
            <w:tcW w:w="1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560" w:type="dxa"/>
            <w:vAlign w:val="bottom"/>
            <w:gridSpan w:val="3"/>
            <w:vMerge w:val="continue"/>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460" w:type="dxa"/>
            <w:vAlign w:val="bottom"/>
            <w:gridSpan w:val="2"/>
          </w:tcPr>
          <w:p>
            <w:pPr>
              <w:ind w:left="40"/>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80" w:type="dxa"/>
            <w:vAlign w:val="bottom"/>
          </w:tcPr>
          <w:p>
            <w:pPr>
              <w:ind w:left="40"/>
              <w:spacing w:after="0"/>
              <w:rPr>
                <w:sz w:val="20"/>
                <w:szCs w:val="20"/>
                <w:color w:val="auto"/>
              </w:rPr>
            </w:pPr>
            <w:r>
              <w:rPr>
                <w:rFonts w:ascii="Arial" w:cs="Arial" w:eastAsia="Arial" w:hAnsi="Arial"/>
                <w:sz w:val="16"/>
                <w:szCs w:val="16"/>
                <w:color w:val="auto"/>
              </w:rPr>
              <w:t>Q3</w:t>
            </w:r>
          </w:p>
        </w:tc>
        <w:tc>
          <w:tcPr>
            <w:tcW w:w="1180" w:type="dxa"/>
            <w:vAlign w:val="bottom"/>
          </w:tcPr>
          <w:p>
            <w:pPr>
              <w:ind w:left="20"/>
              <w:spacing w:after="0"/>
              <w:rPr>
                <w:sz w:val="20"/>
                <w:szCs w:val="20"/>
                <w:color w:val="auto"/>
              </w:rPr>
            </w:pPr>
            <w:r>
              <w:rPr>
                <w:rFonts w:ascii="Arial" w:cs="Arial" w:eastAsia="Arial" w:hAnsi="Arial"/>
                <w:sz w:val="16"/>
                <w:szCs w:val="16"/>
                <w:color w:val="auto"/>
              </w:rPr>
              <w:t xml:space="preserve">2014 </w:t>
            </w:r>
            <w:r>
              <w:rPr>
                <w:rFonts w:ascii="Arial" w:cs="Arial" w:eastAsia="Arial" w:hAnsi="Arial"/>
                <w:sz w:val="21"/>
                <w:szCs w:val="21"/>
                <w:color w:val="auto"/>
                <w:vertAlign w:val="superscript"/>
              </w:rPr>
              <w:t>(1)</w:t>
            </w:r>
          </w:p>
        </w:tc>
        <w:tc>
          <w:tcPr>
            <w:tcW w:w="100" w:type="dxa"/>
            <w:vAlign w:val="bottom"/>
          </w:tcPr>
          <w:p>
            <w:pPr>
              <w:spacing w:after="0"/>
              <w:rPr>
                <w:sz w:val="23"/>
                <w:szCs w:val="23"/>
                <w:color w:val="auto"/>
              </w:rPr>
            </w:pP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2,674</w:t>
            </w:r>
          </w:p>
        </w:tc>
        <w:tc>
          <w:tcPr>
            <w:tcW w:w="1360" w:type="dxa"/>
            <w:vAlign w:val="bottom"/>
          </w:tcPr>
          <w:p>
            <w:pPr>
              <w:jc w:val="right"/>
              <w:ind w:right="220"/>
              <w:spacing w:after="0"/>
              <w:rPr>
                <w:sz w:val="20"/>
                <w:szCs w:val="20"/>
                <w:color w:val="auto"/>
              </w:rPr>
            </w:pPr>
            <w:r>
              <w:rPr>
                <w:rFonts w:ascii="Arial" w:cs="Arial" w:eastAsia="Arial" w:hAnsi="Arial"/>
                <w:sz w:val="16"/>
                <w:szCs w:val="16"/>
                <w:color w:val="auto"/>
              </w:rPr>
              <w:t>2,783</w:t>
            </w:r>
          </w:p>
        </w:tc>
        <w:tc>
          <w:tcPr>
            <w:tcW w:w="1200" w:type="dxa"/>
            <w:vAlign w:val="bottom"/>
          </w:tcPr>
          <w:p>
            <w:pPr>
              <w:jc w:val="right"/>
              <w:ind w:right="301"/>
              <w:spacing w:after="0"/>
              <w:rPr>
                <w:sz w:val="20"/>
                <w:szCs w:val="20"/>
                <w:color w:val="auto"/>
              </w:rPr>
            </w:pPr>
            <w:r>
              <w:rPr>
                <w:rFonts w:ascii="Arial" w:cs="Arial" w:eastAsia="Arial" w:hAnsi="Arial"/>
                <w:sz w:val="16"/>
                <w:szCs w:val="16"/>
                <w:color w:val="auto"/>
              </w:rPr>
              <w:t>3,798</w:t>
            </w:r>
          </w:p>
        </w:tc>
        <w:tc>
          <w:tcPr>
            <w:tcW w:w="1100" w:type="dxa"/>
            <w:vAlign w:val="bottom"/>
          </w:tcPr>
          <w:p>
            <w:pPr>
              <w:jc w:val="right"/>
              <w:ind w:right="280"/>
              <w:spacing w:after="0"/>
              <w:rPr>
                <w:sz w:val="20"/>
                <w:szCs w:val="20"/>
                <w:color w:val="auto"/>
              </w:rPr>
            </w:pPr>
            <w:r>
              <w:rPr>
                <w:rFonts w:ascii="Arial" w:cs="Arial" w:eastAsia="Arial" w:hAnsi="Arial"/>
                <w:sz w:val="16"/>
                <w:szCs w:val="16"/>
                <w:color w:val="auto"/>
              </w:rPr>
              <w:t>2,357</w:t>
            </w:r>
          </w:p>
        </w:tc>
        <w:tc>
          <w:tcPr>
            <w:tcW w:w="100" w:type="dxa"/>
            <w:vAlign w:val="bottom"/>
          </w:tcPr>
          <w:p>
            <w:pPr>
              <w:spacing w:after="0"/>
              <w:rPr>
                <w:sz w:val="23"/>
                <w:szCs w:val="23"/>
                <w:color w:val="auto"/>
              </w:rPr>
            </w:pPr>
          </w:p>
        </w:tc>
        <w:tc>
          <w:tcPr>
            <w:tcW w:w="1180" w:type="dxa"/>
            <w:vAlign w:val="bottom"/>
          </w:tcPr>
          <w:p>
            <w:pPr>
              <w:jc w:val="right"/>
              <w:ind w:right="200"/>
              <w:spacing w:after="0"/>
              <w:rPr>
                <w:sz w:val="20"/>
                <w:szCs w:val="20"/>
                <w:color w:val="auto"/>
              </w:rPr>
            </w:pPr>
            <w:r>
              <w:rPr>
                <w:rFonts w:ascii="Arial" w:cs="Arial" w:eastAsia="Arial" w:hAnsi="Arial"/>
                <w:sz w:val="16"/>
                <w:szCs w:val="16"/>
                <w:color w:val="auto"/>
              </w:rPr>
              <w:t>727</w:t>
            </w:r>
          </w:p>
        </w:tc>
        <w:tc>
          <w:tcPr>
            <w:tcW w:w="1400" w:type="dxa"/>
            <w:vAlign w:val="bottom"/>
          </w:tcPr>
          <w:p>
            <w:pPr>
              <w:jc w:val="right"/>
              <w:ind w:right="220"/>
              <w:spacing w:after="0"/>
              <w:rPr>
                <w:sz w:val="20"/>
                <w:szCs w:val="20"/>
                <w:color w:val="auto"/>
              </w:rPr>
            </w:pPr>
            <w:r>
              <w:rPr>
                <w:rFonts w:ascii="Arial" w:cs="Arial" w:eastAsia="Arial" w:hAnsi="Arial"/>
                <w:sz w:val="16"/>
                <w:szCs w:val="16"/>
                <w:color w:val="auto"/>
              </w:rPr>
              <w:t>724</w:t>
            </w:r>
          </w:p>
        </w:tc>
        <w:tc>
          <w:tcPr>
            <w:tcW w:w="1220" w:type="dxa"/>
            <w:vAlign w:val="bottom"/>
          </w:tcPr>
          <w:p>
            <w:pPr>
              <w:jc w:val="right"/>
              <w:ind w:right="321"/>
              <w:spacing w:after="0"/>
              <w:rPr>
                <w:sz w:val="20"/>
                <w:szCs w:val="20"/>
                <w:color w:val="auto"/>
              </w:rPr>
            </w:pPr>
            <w:r>
              <w:rPr>
                <w:rFonts w:ascii="Arial" w:cs="Arial" w:eastAsia="Arial" w:hAnsi="Arial"/>
                <w:sz w:val="16"/>
                <w:szCs w:val="16"/>
                <w:color w:val="auto"/>
              </w:rPr>
              <w:t>1,775</w:t>
            </w:r>
          </w:p>
        </w:tc>
        <w:tc>
          <w:tcPr>
            <w:tcW w:w="1080" w:type="dxa"/>
            <w:vAlign w:val="bottom"/>
          </w:tcPr>
          <w:p>
            <w:pPr>
              <w:jc w:val="right"/>
              <w:ind w:right="280"/>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70"/>
        </w:trPr>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2014</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2,364</w:t>
            </w:r>
          </w:p>
        </w:tc>
        <w:tc>
          <w:tcPr>
            <w:tcW w:w="136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2,183</w:t>
            </w:r>
          </w:p>
        </w:tc>
        <w:tc>
          <w:tcPr>
            <w:tcW w:w="120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3,979</w:t>
            </w:r>
          </w:p>
        </w:tc>
        <w:tc>
          <w:tcPr>
            <w:tcW w:w="110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1,899</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723</w:t>
            </w:r>
          </w:p>
        </w:tc>
        <w:tc>
          <w:tcPr>
            <w:tcW w:w="14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777</w:t>
            </w:r>
          </w:p>
        </w:tc>
        <w:tc>
          <w:tcPr>
            <w:tcW w:w="122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1,721</w:t>
            </w:r>
          </w:p>
        </w:tc>
        <w:tc>
          <w:tcPr>
            <w:tcW w:w="108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60"/>
        </w:trPr>
        <w:tc>
          <w:tcPr>
            <w:tcW w:w="280" w:type="dxa"/>
            <w:vAlign w:val="bottom"/>
          </w:tcPr>
          <w:p>
            <w:pPr>
              <w:ind w:left="40"/>
              <w:spacing w:after="0"/>
              <w:rPr>
                <w:sz w:val="20"/>
                <w:szCs w:val="20"/>
                <w:color w:val="auto"/>
              </w:rPr>
            </w:pPr>
            <w:r>
              <w:rPr>
                <w:rFonts w:ascii="Arial" w:cs="Arial" w:eastAsia="Arial" w:hAnsi="Arial"/>
                <w:sz w:val="16"/>
                <w:szCs w:val="16"/>
                <w:color w:val="auto"/>
              </w:rPr>
              <w:t>Q1</w:t>
            </w:r>
          </w:p>
        </w:tc>
        <w:tc>
          <w:tcPr>
            <w:tcW w:w="1180" w:type="dxa"/>
            <w:vAlign w:val="bottom"/>
          </w:tcPr>
          <w:p>
            <w:pPr>
              <w:ind w:left="20"/>
              <w:spacing w:after="0"/>
              <w:rPr>
                <w:sz w:val="20"/>
                <w:szCs w:val="20"/>
                <w:color w:val="auto"/>
              </w:rPr>
            </w:pPr>
            <w:r>
              <w:rPr>
                <w:rFonts w:ascii="Arial" w:cs="Arial" w:eastAsia="Arial" w:hAnsi="Arial"/>
                <w:sz w:val="16"/>
                <w:szCs w:val="16"/>
                <w:color w:val="auto"/>
              </w:rPr>
              <w:t>2015</w:t>
            </w:r>
          </w:p>
        </w:tc>
        <w:tc>
          <w:tcPr>
            <w:tcW w:w="100" w:type="dxa"/>
            <w:vAlign w:val="bottom"/>
          </w:tcPr>
          <w:p>
            <w:pPr>
              <w:spacing w:after="0"/>
              <w:rPr>
                <w:sz w:val="22"/>
                <w:szCs w:val="22"/>
                <w:color w:val="auto"/>
              </w:rPr>
            </w:pP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2,031</w:t>
            </w:r>
          </w:p>
        </w:tc>
        <w:tc>
          <w:tcPr>
            <w:tcW w:w="1360" w:type="dxa"/>
            <w:vAlign w:val="bottom"/>
          </w:tcPr>
          <w:p>
            <w:pPr>
              <w:jc w:val="right"/>
              <w:ind w:right="220"/>
              <w:spacing w:after="0"/>
              <w:rPr>
                <w:sz w:val="20"/>
                <w:szCs w:val="20"/>
                <w:color w:val="auto"/>
              </w:rPr>
            </w:pPr>
            <w:r>
              <w:rPr>
                <w:rFonts w:ascii="Arial" w:cs="Arial" w:eastAsia="Arial" w:hAnsi="Arial"/>
                <w:sz w:val="16"/>
                <w:szCs w:val="16"/>
                <w:color w:val="auto"/>
              </w:rPr>
              <w:t>1,818</w:t>
            </w:r>
          </w:p>
        </w:tc>
        <w:tc>
          <w:tcPr>
            <w:tcW w:w="1200" w:type="dxa"/>
            <w:vAlign w:val="bottom"/>
          </w:tcPr>
          <w:p>
            <w:pPr>
              <w:jc w:val="right"/>
              <w:ind w:right="301"/>
              <w:spacing w:after="0"/>
              <w:rPr>
                <w:sz w:val="20"/>
                <w:szCs w:val="20"/>
                <w:color w:val="auto"/>
              </w:rPr>
            </w:pPr>
            <w:r>
              <w:rPr>
                <w:rFonts w:ascii="Arial" w:cs="Arial" w:eastAsia="Arial" w:hAnsi="Arial"/>
                <w:sz w:val="16"/>
                <w:szCs w:val="16"/>
                <w:color w:val="auto"/>
              </w:rPr>
              <w:t>4,192</w:t>
            </w:r>
          </w:p>
        </w:tc>
        <w:tc>
          <w:tcPr>
            <w:tcW w:w="1100" w:type="dxa"/>
            <w:vAlign w:val="bottom"/>
          </w:tcPr>
          <w:p>
            <w:pPr>
              <w:jc w:val="right"/>
              <w:ind w:right="280"/>
              <w:spacing w:after="0"/>
              <w:rPr>
                <w:sz w:val="20"/>
                <w:szCs w:val="20"/>
                <w:color w:val="auto"/>
              </w:rPr>
            </w:pPr>
            <w:r>
              <w:rPr>
                <w:rFonts w:ascii="Arial" w:cs="Arial" w:eastAsia="Arial" w:hAnsi="Arial"/>
                <w:sz w:val="16"/>
                <w:szCs w:val="16"/>
                <w:color w:val="auto"/>
              </w:rPr>
              <w:t>2,122</w:t>
            </w:r>
          </w:p>
        </w:tc>
        <w:tc>
          <w:tcPr>
            <w:tcW w:w="100" w:type="dxa"/>
            <w:vAlign w:val="bottom"/>
          </w:tcPr>
          <w:p>
            <w:pPr>
              <w:spacing w:after="0"/>
              <w:rPr>
                <w:sz w:val="22"/>
                <w:szCs w:val="22"/>
                <w:color w:val="auto"/>
              </w:rPr>
            </w:pPr>
          </w:p>
        </w:tc>
        <w:tc>
          <w:tcPr>
            <w:tcW w:w="1180" w:type="dxa"/>
            <w:vAlign w:val="bottom"/>
          </w:tcPr>
          <w:p>
            <w:pPr>
              <w:jc w:val="right"/>
              <w:ind w:right="200"/>
              <w:spacing w:after="0"/>
              <w:rPr>
                <w:sz w:val="20"/>
                <w:szCs w:val="20"/>
                <w:color w:val="auto"/>
              </w:rPr>
            </w:pPr>
            <w:r>
              <w:rPr>
                <w:rFonts w:ascii="Arial" w:cs="Arial" w:eastAsia="Arial" w:hAnsi="Arial"/>
                <w:sz w:val="16"/>
                <w:szCs w:val="16"/>
                <w:color w:val="auto"/>
              </w:rPr>
              <w:t>546</w:t>
            </w:r>
          </w:p>
        </w:tc>
        <w:tc>
          <w:tcPr>
            <w:tcW w:w="1400" w:type="dxa"/>
            <w:vAlign w:val="bottom"/>
          </w:tcPr>
          <w:p>
            <w:pPr>
              <w:jc w:val="right"/>
              <w:ind w:right="220"/>
              <w:spacing w:after="0"/>
              <w:rPr>
                <w:sz w:val="20"/>
                <w:szCs w:val="20"/>
                <w:color w:val="auto"/>
              </w:rPr>
            </w:pPr>
            <w:r>
              <w:rPr>
                <w:rFonts w:ascii="Arial" w:cs="Arial" w:eastAsia="Arial" w:hAnsi="Arial"/>
                <w:sz w:val="16"/>
                <w:szCs w:val="16"/>
                <w:color w:val="auto"/>
              </w:rPr>
              <w:t>585</w:t>
            </w:r>
          </w:p>
        </w:tc>
        <w:tc>
          <w:tcPr>
            <w:tcW w:w="1220" w:type="dxa"/>
            <w:vAlign w:val="bottom"/>
          </w:tcPr>
          <w:p>
            <w:pPr>
              <w:jc w:val="right"/>
              <w:ind w:right="321"/>
              <w:spacing w:after="0"/>
              <w:rPr>
                <w:sz w:val="20"/>
                <w:szCs w:val="20"/>
                <w:color w:val="auto"/>
              </w:rPr>
            </w:pPr>
            <w:r>
              <w:rPr>
                <w:rFonts w:ascii="Arial" w:cs="Arial" w:eastAsia="Arial" w:hAnsi="Arial"/>
                <w:sz w:val="16"/>
                <w:szCs w:val="16"/>
                <w:color w:val="auto"/>
              </w:rPr>
              <w:t>1,682</w:t>
            </w:r>
          </w:p>
        </w:tc>
        <w:tc>
          <w:tcPr>
            <w:tcW w:w="1080" w:type="dxa"/>
            <w:vAlign w:val="bottom"/>
          </w:tcPr>
          <w:p>
            <w:pPr>
              <w:jc w:val="right"/>
              <w:ind w:right="280"/>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73"/>
        </w:trPr>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Q2</w:t>
            </w:r>
          </w:p>
        </w:tc>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2015</w:t>
            </w:r>
          </w:p>
        </w:tc>
        <w:tc>
          <w:tcPr>
            <w:tcW w:w="10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2,104</w:t>
            </w:r>
          </w:p>
        </w:tc>
        <w:tc>
          <w:tcPr>
            <w:tcW w:w="1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1,518</w:t>
            </w:r>
          </w:p>
        </w:tc>
        <w:tc>
          <w:tcPr>
            <w:tcW w:w="120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4,778</w:t>
            </w:r>
          </w:p>
        </w:tc>
        <w:tc>
          <w:tcPr>
            <w:tcW w:w="110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2,275</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605</w:t>
            </w:r>
          </w:p>
        </w:tc>
        <w:tc>
          <w:tcPr>
            <w:tcW w:w="140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410</w:t>
            </w:r>
          </w:p>
        </w:tc>
        <w:tc>
          <w:tcPr>
            <w:tcW w:w="122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1,877</w:t>
            </w:r>
          </w:p>
        </w:tc>
        <w:tc>
          <w:tcPr>
            <w:tcW w:w="108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80"/>
        </w:trPr>
        <w:tc>
          <w:tcPr>
            <w:tcW w:w="15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Rolling 12 months</w:t>
            </w:r>
          </w:p>
        </w:tc>
        <w:tc>
          <w:tcPr>
            <w:tcW w:w="12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9,173</w:t>
            </w:r>
          </w:p>
        </w:tc>
        <w:tc>
          <w:tcPr>
            <w:tcW w:w="13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8,302</w:t>
            </w:r>
          </w:p>
        </w:tc>
        <w:tc>
          <w:tcPr>
            <w:tcW w:w="120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2,601</w:t>
            </w:r>
          </w:p>
        </w:tc>
        <w:tc>
          <w:tcPr>
            <w:tcW w:w="14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2,496</w:t>
            </w:r>
          </w:p>
        </w:tc>
        <w:tc>
          <w:tcPr>
            <w:tcW w:w="122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560" w:type="dxa"/>
            <w:vAlign w:val="bottom"/>
            <w:gridSpan w:val="3"/>
            <w:shd w:val="clear" w:color="auto" w:fill="CCEEFF"/>
          </w:tcPr>
          <w:p>
            <w:pPr>
              <w:ind w:left="40"/>
              <w:spacing w:after="0" w:line="175" w:lineRule="exact"/>
              <w:rPr>
                <w:sz w:val="20"/>
                <w:szCs w:val="20"/>
                <w:color w:val="auto"/>
              </w:rPr>
            </w:pPr>
            <w:r>
              <w:rPr>
                <w:rFonts w:ascii="Arial" w:cs="Arial" w:eastAsia="Arial" w:hAnsi="Arial"/>
                <w:sz w:val="16"/>
                <w:szCs w:val="16"/>
                <w:color w:val="auto"/>
              </w:rPr>
              <w:t>Mar 2014-Feb</w:t>
            </w:r>
          </w:p>
        </w:tc>
        <w:tc>
          <w:tcPr>
            <w:tcW w:w="1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4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Unit change</w:t>
            </w:r>
          </w:p>
        </w:tc>
        <w:tc>
          <w:tcPr>
            <w:tcW w:w="12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1,245</w:t>
            </w:r>
          </w:p>
        </w:tc>
        <w:tc>
          <w:tcPr>
            <w:tcW w:w="136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1,889</w:t>
            </w:r>
          </w:p>
        </w:tc>
        <w:tc>
          <w:tcPr>
            <w:tcW w:w="120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871</w:t>
            </w:r>
          </w:p>
        </w:tc>
        <w:tc>
          <w:tcPr>
            <w:tcW w:w="1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(625)</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112</w:t>
            </w:r>
          </w:p>
        </w:tc>
        <w:tc>
          <w:tcPr>
            <w:tcW w:w="14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4</w:t>
            </w:r>
          </w:p>
        </w:tc>
        <w:tc>
          <w:tcPr>
            <w:tcW w:w="122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105</w:t>
            </w:r>
          </w:p>
        </w:tc>
        <w:tc>
          <w:tcPr>
            <w:tcW w:w="10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8"/>
        </w:trPr>
        <w:tc>
          <w:tcPr>
            <w:tcW w:w="1560" w:type="dxa"/>
            <w:vAlign w:val="bottom"/>
            <w:gridSpan w:val="3"/>
          </w:tcPr>
          <w:p>
            <w:pPr>
              <w:ind w:left="40"/>
              <w:spacing w:after="0"/>
              <w:rPr>
                <w:sz w:val="20"/>
                <w:szCs w:val="20"/>
                <w:color w:val="auto"/>
              </w:rPr>
            </w:pPr>
            <w:r>
              <w:rPr>
                <w:rFonts w:ascii="Arial" w:cs="Arial" w:eastAsia="Arial" w:hAnsi="Arial"/>
                <w:sz w:val="16"/>
                <w:szCs w:val="16"/>
                <w:color w:val="auto"/>
              </w:rPr>
              <w:t>Percentage</w:t>
            </w: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560" w:type="dxa"/>
            <w:vAlign w:val="bottom"/>
            <w:gridSpan w:val="3"/>
          </w:tcPr>
          <w:p>
            <w:pPr>
              <w:ind w:left="40"/>
              <w:spacing w:after="0"/>
              <w:rPr>
                <w:sz w:val="20"/>
                <w:szCs w:val="20"/>
                <w:color w:val="auto"/>
              </w:rPr>
            </w:pPr>
            <w:r>
              <w:rPr>
                <w:rFonts w:ascii="Arial" w:cs="Arial" w:eastAsia="Arial" w:hAnsi="Arial"/>
                <w:sz w:val="16"/>
                <w:szCs w:val="16"/>
                <w:color w:val="auto"/>
              </w:rPr>
              <w:t>change</w:t>
            </w: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15.7%</w:t>
            </w: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29.5%</w:t>
            </w:r>
          </w:p>
        </w:tc>
        <w:tc>
          <w:tcPr>
            <w:tcW w:w="1200" w:type="dxa"/>
            <w:vAlign w:val="bottom"/>
          </w:tcPr>
          <w:p>
            <w:pPr>
              <w:jc w:val="right"/>
              <w:ind w:right="161"/>
              <w:spacing w:after="0"/>
              <w:rPr>
                <w:sz w:val="20"/>
                <w:szCs w:val="20"/>
                <w:color w:val="auto"/>
              </w:rPr>
            </w:pPr>
            <w:r>
              <w:rPr>
                <w:rFonts w:ascii="Arial" w:cs="Arial" w:eastAsia="Arial" w:hAnsi="Arial"/>
                <w:sz w:val="16"/>
                <w:szCs w:val="16"/>
                <w:color w:val="auto"/>
              </w:rPr>
              <w:t>22.3%</w:t>
            </w: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6"/>
                <w:szCs w:val="16"/>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4.5%</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0.2%</w:t>
            </w:r>
          </w:p>
        </w:tc>
        <w:tc>
          <w:tcPr>
            <w:tcW w:w="1220" w:type="dxa"/>
            <w:vAlign w:val="bottom"/>
          </w:tcPr>
          <w:p>
            <w:pPr>
              <w:jc w:val="right"/>
              <w:ind w:right="161"/>
              <w:spacing w:after="0"/>
              <w:rPr>
                <w:sz w:val="20"/>
                <w:szCs w:val="20"/>
                <w:color w:val="auto"/>
              </w:rPr>
            </w:pPr>
            <w:r>
              <w:rPr>
                <w:rFonts w:ascii="Arial" w:cs="Arial" w:eastAsia="Arial" w:hAnsi="Arial"/>
                <w:sz w:val="16"/>
                <w:szCs w:val="16"/>
                <w:color w:val="auto"/>
              </w:rPr>
              <w:t>5.9%</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right="280" w:firstLine="8"/>
        <w:spacing w:after="0" w:line="225" w:lineRule="auto"/>
        <w:tabs>
          <w:tab w:leader="none" w:pos="150" w:val="left"/>
        </w:tabs>
        <w:numPr>
          <w:ilvl w:val="0"/>
          <w:numId w:val="4"/>
        </w:numPr>
        <w:rPr>
          <w:rFonts w:ascii="Arial" w:cs="Arial" w:eastAsia="Arial" w:hAnsi="Arial"/>
          <w:sz w:val="17"/>
          <w:szCs w:val="17"/>
          <w:color w:val="auto"/>
          <w:vertAlign w:val="superscript"/>
        </w:rPr>
      </w:pPr>
      <w:r>
        <w:rPr>
          <w:rFonts w:ascii="Arial" w:cs="Arial" w:eastAsia="Arial" w:hAnsi="Arial"/>
          <w:sz w:val="14"/>
          <w:szCs w:val="14"/>
          <w:color w:val="auto"/>
        </w:rPr>
        <w:t>Of the 2,674 units delivered in Q3 2014, 343 units were accounted for as operating leases as the units were subject to repurchase option. These units were included as retail registrations, not in dealer inventory, as the units were immediately placed into rental service once delivered. See Note 5 to the financial statements.</w:t>
      </w:r>
    </w:p>
    <w:p>
      <w:pPr>
        <w:sectPr>
          <w:pgSz w:w="11900" w:h="16838" w:orient="portrait"/>
          <w:cols w:equalWidth="0" w:num="1">
            <w:col w:w="11420"/>
          </w:cols>
          <w:pgMar w:left="240" w:top="141" w:right="2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41" w:right="2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Outlook</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Key statistics for the motorhome industry are as follows: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14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900" w:type="dxa"/>
            <w:vAlign w:val="bottom"/>
            <w:tcBorders>
              <w:bottom w:val="single" w:sz="8" w:color="auto"/>
            </w:tcBorders>
            <w:gridSpan w:val="6"/>
          </w:tcPr>
          <w:p>
            <w:pPr>
              <w:jc w:val="right"/>
              <w:ind w:right="541"/>
              <w:spacing w:after="0"/>
              <w:rPr>
                <w:sz w:val="20"/>
                <w:szCs w:val="20"/>
                <w:color w:val="auto"/>
              </w:rPr>
            </w:pPr>
            <w:r>
              <w:rPr>
                <w:rFonts w:ascii="Arial" w:cs="Arial" w:eastAsia="Arial" w:hAnsi="Arial"/>
                <w:sz w:val="14"/>
                <w:szCs w:val="14"/>
                <w:b w:val="1"/>
                <w:bCs w:val="1"/>
                <w:color w:val="auto"/>
              </w:rPr>
              <w:t>US and Canada Industry Class A, B &amp; C Motorhomes</w:t>
            </w:r>
          </w:p>
        </w:tc>
        <w:tc>
          <w:tcPr>
            <w:tcW w:w="1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310"/>
        </w:trPr>
        <w:tc>
          <w:tcPr>
            <w:tcW w:w="1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80" w:type="dxa"/>
            <w:vAlign w:val="bottom"/>
            <w:gridSpan w:val="2"/>
          </w:tcPr>
          <w:p>
            <w:pPr>
              <w:jc w:val="right"/>
              <w:ind w:right="361"/>
              <w:spacing w:after="0"/>
              <w:rPr>
                <w:sz w:val="20"/>
                <w:szCs w:val="20"/>
                <w:color w:val="auto"/>
              </w:rPr>
            </w:pPr>
            <w:r>
              <w:rPr>
                <w:rFonts w:ascii="Arial" w:cs="Arial" w:eastAsia="Arial" w:hAnsi="Arial"/>
                <w:sz w:val="14"/>
                <w:szCs w:val="14"/>
                <w:b w:val="1"/>
                <w:bCs w:val="1"/>
                <w:color w:val="auto"/>
              </w:rPr>
              <w:t>Wholesale Shipments</w:t>
            </w:r>
            <w:r>
              <w:rPr>
                <w:rFonts w:ascii="Arial" w:cs="Arial" w:eastAsia="Arial" w:hAnsi="Arial"/>
                <w:sz w:val="17"/>
                <w:szCs w:val="17"/>
                <w:b w:val="1"/>
                <w:bCs w:val="1"/>
                <w:color w:val="auto"/>
                <w:vertAlign w:val="superscript"/>
              </w:rPr>
              <w:t>(1)</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80" w:type="dxa"/>
            <w:vAlign w:val="bottom"/>
            <w:gridSpan w:val="2"/>
          </w:tcPr>
          <w:p>
            <w:pPr>
              <w:jc w:val="right"/>
              <w:ind w:right="481"/>
              <w:spacing w:after="0"/>
              <w:rPr>
                <w:sz w:val="20"/>
                <w:szCs w:val="20"/>
                <w:color w:val="auto"/>
              </w:rPr>
            </w:pPr>
            <w:r>
              <w:rPr>
                <w:rFonts w:ascii="Arial" w:cs="Arial" w:eastAsia="Arial" w:hAnsi="Arial"/>
                <w:sz w:val="14"/>
                <w:szCs w:val="14"/>
                <w:b w:val="1"/>
                <w:bCs w:val="1"/>
                <w:color w:val="auto"/>
              </w:rPr>
              <w:t>Retail Registrations</w:t>
            </w:r>
            <w:r>
              <w:rPr>
                <w:rFonts w:ascii="Arial" w:cs="Arial" w:eastAsia="Arial" w:hAnsi="Arial"/>
                <w:sz w:val="17"/>
                <w:szCs w:val="17"/>
                <w:b w:val="1"/>
                <w:bCs w:val="1"/>
                <w:color w:val="auto"/>
                <w:vertAlign w:val="superscript"/>
              </w:rPr>
              <w:t>(2)</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14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2"/>
          </w:tcPr>
          <w:p>
            <w:pPr>
              <w:jc w:val="right"/>
              <w:ind w:right="681"/>
              <w:spacing w:after="0"/>
              <w:rPr>
                <w:sz w:val="20"/>
                <w:szCs w:val="20"/>
                <w:color w:val="auto"/>
              </w:rPr>
            </w:pPr>
            <w:r>
              <w:rPr>
                <w:rFonts w:ascii="Arial" w:cs="Arial" w:eastAsia="Arial" w:hAnsi="Arial"/>
                <w:sz w:val="14"/>
                <w:szCs w:val="14"/>
                <w:b w:val="1"/>
                <w:bCs w:val="1"/>
                <w:color w:val="auto"/>
              </w:rPr>
              <w:t>Calendar Year</w:t>
            </w:r>
          </w:p>
        </w:tc>
        <w:tc>
          <w:tcPr>
            <w:tcW w:w="1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2"/>
          </w:tcPr>
          <w:p>
            <w:pPr>
              <w:jc w:val="right"/>
              <w:ind w:right="721"/>
              <w:spacing w:after="0"/>
              <w:rPr>
                <w:sz w:val="20"/>
                <w:szCs w:val="20"/>
                <w:color w:val="auto"/>
              </w:rPr>
            </w:pPr>
            <w:r>
              <w:rPr>
                <w:rFonts w:ascii="Arial" w:cs="Arial" w:eastAsia="Arial" w:hAnsi="Arial"/>
                <w:sz w:val="14"/>
                <w:szCs w:val="14"/>
                <w:b w:val="1"/>
                <w:bCs w:val="1"/>
                <w:color w:val="auto"/>
              </w:rPr>
              <w:t>Calendar Year</w:t>
            </w:r>
          </w:p>
        </w:tc>
        <w:tc>
          <w:tcPr>
            <w:tcW w:w="12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64"/>
        </w:trPr>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2013</w:t>
            </w: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Unit Change</w:t>
            </w: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2013</w:t>
            </w:r>
          </w:p>
        </w:tc>
        <w:tc>
          <w:tcPr>
            <w:tcW w:w="13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Unit Change</w:t>
            </w:r>
          </w:p>
        </w:tc>
        <w:tc>
          <w:tcPr>
            <w:tcW w:w="12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22"/>
                <w:szCs w:val="22"/>
                <w:color w:val="auto"/>
              </w:rPr>
            </w:pPr>
          </w:p>
        </w:tc>
      </w:tr>
      <w:tr>
        <w:trPr>
          <w:trHeight w:val="270"/>
        </w:trPr>
        <w:tc>
          <w:tcPr>
            <w:tcW w:w="148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11,125</w:t>
            </w: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8,500</w:t>
            </w:r>
          </w:p>
        </w:tc>
        <w:tc>
          <w:tcPr>
            <w:tcW w:w="11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2,625</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30.9 %</w:t>
            </w:r>
          </w:p>
        </w:tc>
        <w:tc>
          <w:tcPr>
            <w:tcW w:w="120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8,076</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7,147</w:t>
            </w:r>
          </w:p>
        </w:tc>
        <w:tc>
          <w:tcPr>
            <w:tcW w:w="130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929</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20" w:type="dxa"/>
            <w:vAlign w:val="bottom"/>
          </w:tcPr>
          <w:p>
            <w:pPr>
              <w:spacing w:after="0"/>
              <w:rPr>
                <w:sz w:val="23"/>
                <w:szCs w:val="23"/>
                <w:color w:val="auto"/>
              </w:rPr>
            </w:pPr>
          </w:p>
        </w:tc>
      </w:tr>
      <w:tr>
        <w:trPr>
          <w:trHeight w:val="260"/>
        </w:trPr>
        <w:tc>
          <w:tcPr>
            <w:tcW w:w="1480" w:type="dxa"/>
            <w:vAlign w:val="bottom"/>
          </w:tcPr>
          <w:p>
            <w:pPr>
              <w:ind w:left="40"/>
              <w:spacing w:after="0"/>
              <w:rPr>
                <w:sz w:val="20"/>
                <w:szCs w:val="20"/>
                <w:color w:val="auto"/>
              </w:rPr>
            </w:pPr>
            <w:r>
              <w:rPr>
                <w:rFonts w:ascii="Arial" w:cs="Arial" w:eastAsia="Arial" w:hAnsi="Arial"/>
                <w:sz w:val="16"/>
                <w:szCs w:val="16"/>
                <w:color w:val="auto"/>
              </w:rPr>
              <w:t>Q2</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12,203</w:t>
            </w:r>
          </w:p>
        </w:tc>
        <w:tc>
          <w:tcPr>
            <w:tcW w:w="38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10,972</w:t>
            </w:r>
          </w:p>
        </w:tc>
        <w:tc>
          <w:tcPr>
            <w:tcW w:w="1160" w:type="dxa"/>
            <w:vAlign w:val="bottom"/>
          </w:tcPr>
          <w:p>
            <w:pPr>
              <w:jc w:val="right"/>
              <w:ind w:right="221"/>
              <w:spacing w:after="0"/>
              <w:rPr>
                <w:sz w:val="20"/>
                <w:szCs w:val="20"/>
                <w:color w:val="auto"/>
              </w:rPr>
            </w:pPr>
            <w:r>
              <w:rPr>
                <w:rFonts w:ascii="Arial" w:cs="Arial" w:eastAsia="Arial" w:hAnsi="Arial"/>
                <w:sz w:val="16"/>
                <w:szCs w:val="16"/>
                <w:color w:val="auto"/>
              </w:rPr>
              <w:t>1,231</w:t>
            </w:r>
          </w:p>
        </w:tc>
        <w:tc>
          <w:tcPr>
            <w:tcW w:w="1120" w:type="dxa"/>
            <w:vAlign w:val="bottom"/>
          </w:tcPr>
          <w:p>
            <w:pPr>
              <w:jc w:val="right"/>
              <w:spacing w:after="0"/>
              <w:rPr>
                <w:sz w:val="20"/>
                <w:szCs w:val="20"/>
                <w:color w:val="auto"/>
              </w:rPr>
            </w:pPr>
            <w:r>
              <w:rPr>
                <w:rFonts w:ascii="Arial" w:cs="Arial" w:eastAsia="Arial" w:hAnsi="Arial"/>
                <w:sz w:val="16"/>
                <w:szCs w:val="16"/>
                <w:color w:val="auto"/>
              </w:rPr>
              <w:t>11.2 %</w:t>
            </w:r>
          </w:p>
        </w:tc>
        <w:tc>
          <w:tcPr>
            <w:tcW w:w="1200" w:type="dxa"/>
            <w:vAlign w:val="bottom"/>
            <w:gridSpan w:val="2"/>
          </w:tcPr>
          <w:p>
            <w:pPr>
              <w:jc w:val="right"/>
              <w:ind w:right="42"/>
              <w:spacing w:after="0"/>
              <w:rPr>
                <w:sz w:val="20"/>
                <w:szCs w:val="20"/>
                <w:color w:val="auto"/>
              </w:rPr>
            </w:pPr>
            <w:r>
              <w:rPr>
                <w:rFonts w:ascii="Arial" w:cs="Arial" w:eastAsia="Arial" w:hAnsi="Arial"/>
                <w:sz w:val="16"/>
                <w:szCs w:val="16"/>
                <w:color w:val="auto"/>
              </w:rPr>
              <w:t>12,505</w:t>
            </w:r>
          </w:p>
        </w:tc>
        <w:tc>
          <w:tcPr>
            <w:tcW w:w="340" w:type="dxa"/>
            <w:vAlign w:val="bottom"/>
          </w:tcPr>
          <w:p>
            <w:pPr>
              <w:spacing w:after="0"/>
              <w:rPr>
                <w:sz w:val="22"/>
                <w:szCs w:val="22"/>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10,909</w:t>
            </w:r>
          </w:p>
        </w:tc>
        <w:tc>
          <w:tcPr>
            <w:tcW w:w="1300" w:type="dxa"/>
            <w:vAlign w:val="bottom"/>
          </w:tcPr>
          <w:p>
            <w:pPr>
              <w:jc w:val="right"/>
              <w:ind w:right="261"/>
              <w:spacing w:after="0"/>
              <w:rPr>
                <w:sz w:val="20"/>
                <w:szCs w:val="20"/>
                <w:color w:val="auto"/>
              </w:rPr>
            </w:pPr>
            <w:r>
              <w:rPr>
                <w:rFonts w:ascii="Arial" w:cs="Arial" w:eastAsia="Arial" w:hAnsi="Arial"/>
                <w:sz w:val="16"/>
                <w:szCs w:val="16"/>
                <w:color w:val="auto"/>
              </w:rPr>
              <w:t>1,596</w:t>
            </w:r>
          </w:p>
        </w:tc>
        <w:tc>
          <w:tcPr>
            <w:tcW w:w="1200" w:type="dxa"/>
            <w:vAlign w:val="bottom"/>
          </w:tcPr>
          <w:p>
            <w:pPr>
              <w:jc w:val="right"/>
              <w:spacing w:after="0"/>
              <w:rPr>
                <w:sz w:val="20"/>
                <w:szCs w:val="20"/>
                <w:color w:val="auto"/>
              </w:rPr>
            </w:pPr>
            <w:r>
              <w:rPr>
                <w:rFonts w:ascii="Arial" w:cs="Arial" w:eastAsia="Arial" w:hAnsi="Arial"/>
                <w:sz w:val="16"/>
                <w:szCs w:val="16"/>
                <w:color w:val="auto"/>
              </w:rPr>
              <w:t>14.6 %</w:t>
            </w:r>
          </w:p>
        </w:tc>
        <w:tc>
          <w:tcPr>
            <w:tcW w:w="20" w:type="dxa"/>
            <w:vAlign w:val="bottom"/>
          </w:tcPr>
          <w:p>
            <w:pPr>
              <w:spacing w:after="0"/>
              <w:rPr>
                <w:sz w:val="22"/>
                <w:szCs w:val="22"/>
                <w:color w:val="auto"/>
              </w:rPr>
            </w:pPr>
          </w:p>
        </w:tc>
      </w:tr>
      <w:tr>
        <w:trPr>
          <w:trHeight w:val="280"/>
        </w:trPr>
        <w:tc>
          <w:tcPr>
            <w:tcW w:w="148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10,704</w:t>
            </w:r>
          </w:p>
        </w:tc>
        <w:tc>
          <w:tcPr>
            <w:tcW w:w="3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9,469</w:t>
            </w:r>
          </w:p>
        </w:tc>
        <w:tc>
          <w:tcPr>
            <w:tcW w:w="11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1,235</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120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10,609</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9,125</w:t>
            </w:r>
          </w:p>
        </w:tc>
        <w:tc>
          <w:tcPr>
            <w:tcW w:w="130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1,484</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16.3 %</w:t>
            </w:r>
          </w:p>
        </w:tc>
        <w:tc>
          <w:tcPr>
            <w:tcW w:w="20" w:type="dxa"/>
            <w:vAlign w:val="bottom"/>
          </w:tcPr>
          <w:p>
            <w:pPr>
              <w:spacing w:after="0"/>
              <w:rPr>
                <w:sz w:val="24"/>
                <w:szCs w:val="24"/>
                <w:color w:val="auto"/>
              </w:rPr>
            </w:pPr>
          </w:p>
        </w:tc>
      </w:tr>
      <w:tr>
        <w:trPr>
          <w:trHeight w:val="264"/>
        </w:trPr>
        <w:tc>
          <w:tcPr>
            <w:tcW w:w="1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Q4</w:t>
            </w: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9,919</w:t>
            </w: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9,391</w:t>
            </w:r>
          </w:p>
        </w:tc>
        <w:tc>
          <w:tcPr>
            <w:tcW w:w="116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528</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5.6 %</w:t>
            </w: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7,500</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6,281</w:t>
            </w:r>
          </w:p>
        </w:tc>
        <w:tc>
          <w:tcPr>
            <w:tcW w:w="130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1,219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19.4 %</w:t>
            </w:r>
          </w:p>
        </w:tc>
        <w:tc>
          <w:tcPr>
            <w:tcW w:w="20" w:type="dxa"/>
            <w:vAlign w:val="bottom"/>
          </w:tcPr>
          <w:p>
            <w:pPr>
              <w:spacing w:after="0"/>
              <w:rPr>
                <w:sz w:val="22"/>
                <w:szCs w:val="22"/>
                <w:color w:val="auto"/>
              </w:rPr>
            </w:pPr>
          </w:p>
        </w:tc>
      </w:tr>
      <w:tr>
        <w:trPr>
          <w:trHeight w:val="267"/>
        </w:trPr>
        <w:tc>
          <w:tcPr>
            <w:tcW w:w="148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43,951</w:t>
            </w:r>
          </w:p>
        </w:tc>
        <w:tc>
          <w:tcPr>
            <w:tcW w:w="3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38,332</w:t>
            </w:r>
          </w:p>
        </w:tc>
        <w:tc>
          <w:tcPr>
            <w:tcW w:w="11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5,619</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14.7 %</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38,690</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33,462</w:t>
            </w:r>
          </w:p>
        </w:tc>
        <w:tc>
          <w:tcPr>
            <w:tcW w:w="130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rPr>
              <w:t>5,228</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15.6 %</w:t>
            </w:r>
          </w:p>
        </w:tc>
        <w:tc>
          <w:tcPr>
            <w:tcW w:w="20" w:type="dxa"/>
            <w:vAlign w:val="bottom"/>
          </w:tcPr>
          <w:p>
            <w:pPr>
              <w:spacing w:after="0"/>
              <w:rPr>
                <w:sz w:val="23"/>
                <w:szCs w:val="23"/>
                <w:color w:val="auto"/>
              </w:rPr>
            </w:pPr>
          </w:p>
        </w:tc>
      </w:tr>
      <w:tr>
        <w:trPr>
          <w:trHeight w:val="20"/>
        </w:trPr>
        <w:tc>
          <w:tcPr>
            <w:tcW w:w="1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8"/>
        </w:trPr>
        <w:tc>
          <w:tcPr>
            <w:tcW w:w="1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2014</w:t>
            </w: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Unit Change</w:t>
            </w: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 Change</w:t>
            </w:r>
          </w:p>
        </w:tc>
        <w:tc>
          <w:tcPr>
            <w:tcW w:w="120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2014</w:t>
            </w:r>
          </w:p>
        </w:tc>
        <w:tc>
          <w:tcPr>
            <w:tcW w:w="13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Unit Change</w:t>
            </w:r>
          </w:p>
        </w:tc>
        <w:tc>
          <w:tcPr>
            <w:tcW w:w="12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 Change</w:t>
            </w:r>
          </w:p>
        </w:tc>
        <w:tc>
          <w:tcPr>
            <w:tcW w:w="20" w:type="dxa"/>
            <w:vAlign w:val="bottom"/>
            <w:tcBorders>
              <w:bottom w:val="single" w:sz="8" w:color="auto"/>
            </w:tcBorders>
          </w:tcPr>
          <w:p>
            <w:pPr>
              <w:spacing w:after="0"/>
              <w:rPr>
                <w:sz w:val="21"/>
                <w:szCs w:val="21"/>
                <w:color w:val="auto"/>
              </w:rPr>
            </w:pPr>
          </w:p>
        </w:tc>
      </w:tr>
      <w:tr>
        <w:trPr>
          <w:trHeight w:val="270"/>
        </w:trPr>
        <w:tc>
          <w:tcPr>
            <w:tcW w:w="148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January</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3,732</w:t>
            </w: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3,268</w:t>
            </w:r>
          </w:p>
        </w:tc>
        <w:tc>
          <w:tcPr>
            <w:tcW w:w="11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464</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14.2 %</w:t>
            </w:r>
          </w:p>
        </w:tc>
        <w:tc>
          <w:tcPr>
            <w:tcW w:w="120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2,110</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2,119</w:t>
            </w:r>
          </w:p>
        </w:tc>
        <w:tc>
          <w:tcPr>
            <w:tcW w:w="13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(9)</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0" w:type="dxa"/>
            <w:vAlign w:val="bottom"/>
            <w:shd w:val="clear" w:color="auto" w:fill="000000"/>
          </w:tcPr>
          <w:p>
            <w:pPr>
              <w:spacing w:after="0"/>
              <w:rPr>
                <w:sz w:val="23"/>
                <w:szCs w:val="23"/>
                <w:color w:val="auto"/>
              </w:rPr>
            </w:pPr>
          </w:p>
        </w:tc>
      </w:tr>
      <w:tr>
        <w:trPr>
          <w:trHeight w:val="260"/>
        </w:trPr>
        <w:tc>
          <w:tcPr>
            <w:tcW w:w="148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February</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4,087</w:t>
            </w:r>
          </w:p>
        </w:tc>
        <w:tc>
          <w:tcPr>
            <w:tcW w:w="38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3,737</w:t>
            </w:r>
          </w:p>
        </w:tc>
        <w:tc>
          <w:tcPr>
            <w:tcW w:w="1160" w:type="dxa"/>
            <w:vAlign w:val="bottom"/>
          </w:tcPr>
          <w:p>
            <w:pPr>
              <w:jc w:val="right"/>
              <w:ind w:right="221"/>
              <w:spacing w:after="0"/>
              <w:rPr>
                <w:sz w:val="20"/>
                <w:szCs w:val="20"/>
                <w:color w:val="auto"/>
              </w:rPr>
            </w:pPr>
            <w:r>
              <w:rPr>
                <w:rFonts w:ascii="Arial" w:cs="Arial" w:eastAsia="Arial" w:hAnsi="Arial"/>
                <w:sz w:val="16"/>
                <w:szCs w:val="16"/>
                <w:color w:val="auto"/>
              </w:rPr>
              <w:t>350</w:t>
            </w:r>
          </w:p>
        </w:tc>
        <w:tc>
          <w:tcPr>
            <w:tcW w:w="1120" w:type="dxa"/>
            <w:vAlign w:val="bottom"/>
          </w:tcPr>
          <w:p>
            <w:pPr>
              <w:jc w:val="right"/>
              <w:spacing w:after="0"/>
              <w:rPr>
                <w:sz w:val="20"/>
                <w:szCs w:val="20"/>
                <w:color w:val="auto"/>
              </w:rPr>
            </w:pPr>
            <w:r>
              <w:rPr>
                <w:rFonts w:ascii="Arial" w:cs="Arial" w:eastAsia="Arial" w:hAnsi="Arial"/>
                <w:sz w:val="16"/>
                <w:szCs w:val="16"/>
                <w:color w:val="auto"/>
              </w:rPr>
              <w:t>9.4 %</w:t>
            </w: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2,420</w:t>
            </w:r>
          </w:p>
        </w:tc>
        <w:tc>
          <w:tcPr>
            <w:tcW w:w="1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r>
      <w:tr>
        <w:trPr>
          <w:trHeight w:val="273"/>
        </w:trPr>
        <w:tc>
          <w:tcPr>
            <w:tcW w:w="1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March</w:t>
            </w: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4,532</w:t>
            </w:r>
          </w:p>
        </w:tc>
        <w:tc>
          <w:tcPr>
            <w:tcW w:w="3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4,120</w:t>
            </w:r>
          </w:p>
        </w:tc>
        <w:tc>
          <w:tcPr>
            <w:tcW w:w="11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412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0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3,537</w:t>
            </w:r>
          </w:p>
        </w:tc>
        <w:tc>
          <w:tcPr>
            <w:tcW w:w="1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r>
      <w:tr>
        <w:trPr>
          <w:trHeight w:val="260"/>
        </w:trPr>
        <w:tc>
          <w:tcPr>
            <w:tcW w:w="1480" w:type="dxa"/>
            <w:vAlign w:val="bottom"/>
          </w:tcPr>
          <w:p>
            <w:pPr>
              <w:ind w:left="40"/>
              <w:spacing w:after="0"/>
              <w:rPr>
                <w:sz w:val="20"/>
                <w:szCs w:val="20"/>
                <w:color w:val="auto"/>
              </w:rPr>
            </w:pPr>
            <w:r>
              <w:rPr>
                <w:rFonts w:ascii="Arial" w:cs="Arial" w:eastAsia="Arial" w:hAnsi="Arial"/>
                <w:sz w:val="16"/>
                <w:szCs w:val="16"/>
                <w:color w:val="auto"/>
              </w:rPr>
              <w:t>Q1</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12,351</w:t>
            </w:r>
          </w:p>
        </w:tc>
        <w:tc>
          <w:tcPr>
            <w:tcW w:w="3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11,125</w:t>
            </w:r>
          </w:p>
        </w:tc>
        <w:tc>
          <w:tcPr>
            <w:tcW w:w="1160" w:type="dxa"/>
            <w:vAlign w:val="bottom"/>
          </w:tcPr>
          <w:p>
            <w:pPr>
              <w:jc w:val="right"/>
              <w:ind w:right="221"/>
              <w:spacing w:after="0"/>
              <w:rPr>
                <w:sz w:val="20"/>
                <w:szCs w:val="20"/>
                <w:color w:val="auto"/>
              </w:rPr>
            </w:pPr>
            <w:r>
              <w:rPr>
                <w:rFonts w:ascii="Arial" w:cs="Arial" w:eastAsia="Arial" w:hAnsi="Arial"/>
                <w:sz w:val="16"/>
                <w:szCs w:val="16"/>
                <w:color w:val="auto"/>
              </w:rPr>
              <w:t>1,226</w:t>
            </w:r>
          </w:p>
        </w:tc>
        <w:tc>
          <w:tcPr>
            <w:tcW w:w="1120" w:type="dxa"/>
            <w:vAlign w:val="bottom"/>
          </w:tcPr>
          <w:p>
            <w:pPr>
              <w:jc w:val="right"/>
              <w:spacing w:after="0"/>
              <w:rPr>
                <w:sz w:val="20"/>
                <w:szCs w:val="20"/>
                <w:color w:val="auto"/>
              </w:rPr>
            </w:pPr>
            <w:r>
              <w:rPr>
                <w:rFonts w:ascii="Arial" w:cs="Arial" w:eastAsia="Arial" w:hAnsi="Arial"/>
                <w:sz w:val="16"/>
                <w:szCs w:val="16"/>
                <w:color w:val="auto"/>
              </w:rPr>
              <w:t>11.0 %</w:t>
            </w: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8,076</w:t>
            </w:r>
          </w:p>
        </w:tc>
        <w:tc>
          <w:tcPr>
            <w:tcW w:w="1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80"/>
        </w:trPr>
        <w:tc>
          <w:tcPr>
            <w:tcW w:w="148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Q2</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12,900</w:t>
            </w:r>
          </w:p>
        </w:tc>
        <w:tc>
          <w:tcPr>
            <w:tcW w:w="3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12,203</w:t>
            </w:r>
          </w:p>
        </w:tc>
        <w:tc>
          <w:tcPr>
            <w:tcW w:w="11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697</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12,505</w:t>
            </w:r>
          </w:p>
        </w:tc>
        <w:tc>
          <w:tcPr>
            <w:tcW w:w="1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60"/>
        </w:trPr>
        <w:tc>
          <w:tcPr>
            <w:tcW w:w="1480" w:type="dxa"/>
            <w:vAlign w:val="bottom"/>
          </w:tcPr>
          <w:p>
            <w:pPr>
              <w:ind w:left="40"/>
              <w:spacing w:after="0"/>
              <w:rPr>
                <w:sz w:val="20"/>
                <w:szCs w:val="20"/>
                <w:color w:val="auto"/>
              </w:rPr>
            </w:pPr>
            <w:r>
              <w:rPr>
                <w:rFonts w:ascii="Arial" w:cs="Arial" w:eastAsia="Arial" w:hAnsi="Arial"/>
                <w:sz w:val="16"/>
                <w:szCs w:val="16"/>
                <w:color w:val="auto"/>
              </w:rPr>
              <w:t>Q3</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10,700</w:t>
            </w:r>
          </w:p>
        </w:tc>
        <w:tc>
          <w:tcPr>
            <w:tcW w:w="3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10,704</w:t>
            </w:r>
          </w:p>
        </w:tc>
        <w:tc>
          <w:tcPr>
            <w:tcW w:w="1160" w:type="dxa"/>
            <w:vAlign w:val="bottom"/>
          </w:tcPr>
          <w:p>
            <w:pPr>
              <w:jc w:val="right"/>
              <w:ind w:right="161"/>
              <w:spacing w:after="0"/>
              <w:rPr>
                <w:sz w:val="20"/>
                <w:szCs w:val="20"/>
                <w:color w:val="auto"/>
              </w:rPr>
            </w:pPr>
            <w:r>
              <w:rPr>
                <w:rFonts w:ascii="Arial" w:cs="Arial" w:eastAsia="Arial" w:hAnsi="Arial"/>
                <w:sz w:val="16"/>
                <w:szCs w:val="16"/>
                <w:color w:val="auto"/>
              </w:rPr>
              <w:t>(4)</w:t>
            </w:r>
          </w:p>
        </w:tc>
        <w:tc>
          <w:tcPr>
            <w:tcW w:w="1120" w:type="dxa"/>
            <w:vAlign w:val="bottom"/>
          </w:tcPr>
          <w:p>
            <w:pPr>
              <w:jc w:val="right"/>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10,609</w:t>
            </w:r>
          </w:p>
        </w:tc>
        <w:tc>
          <w:tcPr>
            <w:tcW w:w="1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3"/>
        </w:trPr>
        <w:tc>
          <w:tcPr>
            <w:tcW w:w="148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10,000</w:t>
            </w:r>
          </w:p>
        </w:tc>
        <w:tc>
          <w:tcPr>
            <w:tcW w:w="3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9,919</w:t>
            </w:r>
          </w:p>
        </w:tc>
        <w:tc>
          <w:tcPr>
            <w:tcW w:w="11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81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0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7,500</w:t>
            </w:r>
          </w:p>
        </w:tc>
        <w:tc>
          <w:tcPr>
            <w:tcW w:w="1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80"/>
        </w:trPr>
        <w:tc>
          <w:tcPr>
            <w:tcW w:w="1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w:t>
            </w: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45,951</w:t>
            </w:r>
          </w:p>
        </w:tc>
        <w:tc>
          <w:tcPr>
            <w:tcW w:w="3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w:t>
            </w: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43,951</w:t>
            </w:r>
          </w:p>
        </w:tc>
        <w:tc>
          <w:tcPr>
            <w:tcW w:w="116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2,000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4.6 %</w:t>
            </w: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38,690</w:t>
            </w:r>
          </w:p>
        </w:tc>
        <w:tc>
          <w:tcPr>
            <w:tcW w:w="130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254"/>
        </w:trPr>
        <w:tc>
          <w:tcPr>
            <w:tcW w:w="1480" w:type="dxa"/>
            <w:vAlign w:val="bottom"/>
            <w:tcBorders>
              <w:left w:val="single" w:sz="8" w:color="CCEEFF"/>
            </w:tcBorders>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327"/>
        </w:trPr>
        <w:tc>
          <w:tcPr>
            <w:tcW w:w="1480" w:type="dxa"/>
            <w:vAlign w:val="bottom"/>
          </w:tcPr>
          <w:p>
            <w:pPr>
              <w:ind w:left="40"/>
              <w:spacing w:after="0"/>
              <w:rPr>
                <w:sz w:val="20"/>
                <w:szCs w:val="20"/>
                <w:color w:val="auto"/>
              </w:rPr>
            </w:pPr>
            <w:r>
              <w:rPr>
                <w:rFonts w:ascii="Arial" w:cs="Arial" w:eastAsia="Arial" w:hAnsi="Arial"/>
                <w:sz w:val="16"/>
                <w:szCs w:val="16"/>
                <w:color w:val="auto"/>
              </w:rPr>
              <w:t xml:space="preserve">YTD </w:t>
            </w:r>
            <w:r>
              <w:rPr>
                <w:rFonts w:ascii="Arial" w:cs="Arial" w:eastAsia="Arial" w:hAnsi="Arial"/>
                <w:sz w:val="21"/>
                <w:szCs w:val="21"/>
                <w:color w:val="auto"/>
                <w:vertAlign w:val="superscript"/>
              </w:rPr>
              <w:t>(5)</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7,819</w:t>
            </w:r>
          </w:p>
        </w:tc>
        <w:tc>
          <w:tcPr>
            <w:tcW w:w="380" w:type="dxa"/>
            <w:vAlign w:val="bottom"/>
          </w:tcPr>
          <w:p>
            <w:pPr>
              <w:spacing w:after="0"/>
              <w:rPr>
                <w:sz w:val="24"/>
                <w:szCs w:val="24"/>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7,005</w:t>
            </w:r>
          </w:p>
        </w:tc>
        <w:tc>
          <w:tcPr>
            <w:tcW w:w="1160" w:type="dxa"/>
            <w:vAlign w:val="bottom"/>
          </w:tcPr>
          <w:p>
            <w:pPr>
              <w:jc w:val="right"/>
              <w:ind w:right="221"/>
              <w:spacing w:after="0"/>
              <w:rPr>
                <w:sz w:val="20"/>
                <w:szCs w:val="20"/>
                <w:color w:val="auto"/>
              </w:rPr>
            </w:pPr>
            <w:r>
              <w:rPr>
                <w:rFonts w:ascii="Arial" w:cs="Arial" w:eastAsia="Arial" w:hAnsi="Arial"/>
                <w:sz w:val="16"/>
                <w:szCs w:val="16"/>
                <w:color w:val="auto"/>
              </w:rPr>
              <w:t>814</w:t>
            </w:r>
          </w:p>
        </w:tc>
        <w:tc>
          <w:tcPr>
            <w:tcW w:w="1120" w:type="dxa"/>
            <w:vAlign w:val="bottom"/>
          </w:tcPr>
          <w:p>
            <w:pPr>
              <w:jc w:val="right"/>
              <w:spacing w:after="0"/>
              <w:rPr>
                <w:sz w:val="20"/>
                <w:szCs w:val="20"/>
                <w:color w:val="auto"/>
              </w:rPr>
            </w:pPr>
            <w:r>
              <w:rPr>
                <w:rFonts w:ascii="Arial" w:cs="Arial" w:eastAsia="Arial" w:hAnsi="Arial"/>
                <w:sz w:val="16"/>
                <w:szCs w:val="16"/>
                <w:color w:val="auto"/>
              </w:rPr>
              <w:t>11.6 %</w:t>
            </w:r>
          </w:p>
        </w:tc>
        <w:tc>
          <w:tcPr>
            <w:tcW w:w="1200" w:type="dxa"/>
            <w:vAlign w:val="bottom"/>
            <w:gridSpan w:val="2"/>
          </w:tcPr>
          <w:p>
            <w:pPr>
              <w:jc w:val="right"/>
              <w:ind w:right="42"/>
              <w:spacing w:after="0"/>
              <w:rPr>
                <w:sz w:val="20"/>
                <w:szCs w:val="20"/>
                <w:color w:val="auto"/>
              </w:rPr>
            </w:pPr>
            <w:r>
              <w:rPr>
                <w:rFonts w:ascii="Arial" w:cs="Arial" w:eastAsia="Arial" w:hAnsi="Arial"/>
                <w:sz w:val="16"/>
                <w:szCs w:val="16"/>
                <w:color w:val="auto"/>
              </w:rPr>
              <w:t>2,110</w:t>
            </w:r>
          </w:p>
        </w:tc>
        <w:tc>
          <w:tcPr>
            <w:tcW w:w="340" w:type="dxa"/>
            <w:vAlign w:val="bottom"/>
          </w:tcPr>
          <w:p>
            <w:pPr>
              <w:spacing w:after="0"/>
              <w:rPr>
                <w:sz w:val="24"/>
                <w:szCs w:val="24"/>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2,119</w:t>
            </w: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6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Class A, B and C wholesale shipments as reported by RVIA.</w:t>
      </w:r>
    </w:p>
    <w:p>
      <w:pPr>
        <w:ind w:left="340" w:hanging="332"/>
        <w:spacing w:after="0" w:line="187" w:lineRule="auto"/>
        <w:tabs>
          <w:tab w:leader="none" w:pos="34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Class A, B and C retail registrations as reported by Stat Surveys for the US and Canada combined.</w:t>
      </w:r>
    </w:p>
    <w:p>
      <w:pPr>
        <w:jc w:val="both"/>
        <w:ind w:left="340" w:right="320" w:hanging="332"/>
        <w:spacing w:after="0" w:line="211" w:lineRule="auto"/>
        <w:tabs>
          <w:tab w:leader="none" w:pos="34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Monthly and quarterly Class A, B and C wholesale shipments are based upon the forecast prepared by Dr. Richard Curtin of the University of Michigan Consumer Survey Research Center for RVIA and reported in the Roadsigns RV Spring 2015 Industry Forecast Issue. The revised RVIA annual 2015 wholesale shipment forecast is 45,000.</w:t>
      </w:r>
    </w:p>
    <w:p>
      <w:pPr>
        <w:ind w:left="340" w:hanging="332"/>
        <w:spacing w:after="0" w:line="187" w:lineRule="auto"/>
        <w:tabs>
          <w:tab w:leader="none" w:pos="34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Stat Surveys has not issued a projection for 2015 retail demand for this period.</w:t>
      </w:r>
    </w:p>
    <w:p>
      <w:pPr>
        <w:ind w:left="340" w:hanging="332"/>
        <w:spacing w:after="0" w:line="199" w:lineRule="auto"/>
        <w:tabs>
          <w:tab w:leader="none" w:pos="34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YTD wholesale shipments include January through February; YTD retail registrations include January.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Key statistics for the towable industry are as follows:</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140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26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US and Canada Travel Trailer &amp; Fifth Wheel Industry</w:t>
            </w:r>
          </w:p>
        </w:tc>
        <w:tc>
          <w:tcPr>
            <w:tcW w:w="8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80" w:type="dxa"/>
            <w:vAlign w:val="bottom"/>
            <w:gridSpan w:val="2"/>
          </w:tcPr>
          <w:p>
            <w:pPr>
              <w:jc w:val="right"/>
              <w:ind w:right="421"/>
              <w:spacing w:after="0"/>
              <w:rPr>
                <w:sz w:val="20"/>
                <w:szCs w:val="20"/>
                <w:color w:val="auto"/>
              </w:rPr>
            </w:pPr>
            <w:r>
              <w:rPr>
                <w:rFonts w:ascii="Arial" w:cs="Arial" w:eastAsia="Arial" w:hAnsi="Arial"/>
                <w:sz w:val="14"/>
                <w:szCs w:val="14"/>
                <w:b w:val="1"/>
                <w:bCs w:val="1"/>
                <w:color w:val="auto"/>
              </w:rPr>
              <w:t>Wholesale Shipments</w:t>
            </w:r>
            <w:r>
              <w:rPr>
                <w:rFonts w:ascii="Arial" w:cs="Arial" w:eastAsia="Arial" w:hAnsi="Arial"/>
                <w:sz w:val="17"/>
                <w:szCs w:val="17"/>
                <w:b w:val="1"/>
                <w:bCs w:val="1"/>
                <w:color w:val="auto"/>
                <w:vertAlign w:val="superscript"/>
              </w:rPr>
              <w:t>(1)</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gridSpan w:val="2"/>
          </w:tcPr>
          <w:p>
            <w:pPr>
              <w:jc w:val="right"/>
              <w:ind w:right="461"/>
              <w:spacing w:after="0"/>
              <w:rPr>
                <w:sz w:val="20"/>
                <w:szCs w:val="20"/>
                <w:color w:val="auto"/>
              </w:rPr>
            </w:pPr>
            <w:r>
              <w:rPr>
                <w:rFonts w:ascii="Arial" w:cs="Arial" w:eastAsia="Arial" w:hAnsi="Arial"/>
                <w:sz w:val="14"/>
                <w:szCs w:val="14"/>
                <w:b w:val="1"/>
                <w:bCs w:val="1"/>
                <w:color w:val="auto"/>
                <w:w w:val="99"/>
              </w:rPr>
              <w:t>Retail Registrations</w:t>
            </w:r>
            <w:r>
              <w:rPr>
                <w:rFonts w:ascii="Arial" w:cs="Arial" w:eastAsia="Arial" w:hAnsi="Arial"/>
                <w:sz w:val="17"/>
                <w:szCs w:val="17"/>
                <w:b w:val="1"/>
                <w:bCs w:val="1"/>
                <w:color w:val="auto"/>
                <w:w w:val="99"/>
                <w:vertAlign w:val="superscript"/>
              </w:rPr>
              <w:t>(2)</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4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2"/>
          </w:tcPr>
          <w:p>
            <w:pPr>
              <w:jc w:val="right"/>
              <w:ind w:right="721"/>
              <w:spacing w:after="0"/>
              <w:rPr>
                <w:sz w:val="20"/>
                <w:szCs w:val="20"/>
                <w:color w:val="auto"/>
              </w:rPr>
            </w:pPr>
            <w:r>
              <w:rPr>
                <w:rFonts w:ascii="Arial" w:cs="Arial" w:eastAsia="Arial" w:hAnsi="Arial"/>
                <w:sz w:val="14"/>
                <w:szCs w:val="14"/>
                <w:b w:val="1"/>
                <w:bCs w:val="1"/>
                <w:color w:val="auto"/>
              </w:rPr>
              <w:t>Calendar Year</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2"/>
          </w:tcPr>
          <w:p>
            <w:pPr>
              <w:jc w:val="right"/>
              <w:ind w:right="701"/>
              <w:spacing w:after="0"/>
              <w:rPr>
                <w:sz w:val="20"/>
                <w:szCs w:val="20"/>
                <w:color w:val="auto"/>
              </w:rPr>
            </w:pPr>
            <w:r>
              <w:rPr>
                <w:rFonts w:ascii="Arial" w:cs="Arial" w:eastAsia="Arial" w:hAnsi="Arial"/>
                <w:sz w:val="14"/>
                <w:szCs w:val="14"/>
                <w:b w:val="1"/>
                <w:bCs w:val="1"/>
                <w:color w:val="auto"/>
              </w:rPr>
              <w:t>Calendar Year</w:t>
            </w:r>
          </w:p>
        </w:tc>
        <w:tc>
          <w:tcPr>
            <w:tcW w:w="12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2013</w:t>
            </w:r>
          </w:p>
        </w:tc>
        <w:tc>
          <w:tcPr>
            <w:tcW w:w="12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Unit Change</w:t>
            </w:r>
          </w:p>
        </w:tc>
        <w:tc>
          <w:tcPr>
            <w:tcW w:w="11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2013</w:t>
            </w:r>
          </w:p>
        </w:tc>
        <w:tc>
          <w:tcPr>
            <w:tcW w:w="12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Unit Change</w:t>
            </w:r>
          </w:p>
        </w:tc>
        <w:tc>
          <w:tcPr>
            <w:tcW w:w="12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75,458</w:t>
            </w: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66,745</w:t>
            </w:r>
          </w:p>
        </w:tc>
        <w:tc>
          <w:tcPr>
            <w:tcW w:w="122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8,713</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13.1 %</w:t>
            </w:r>
          </w:p>
        </w:tc>
        <w:tc>
          <w:tcPr>
            <w:tcW w:w="1540" w:type="dxa"/>
            <w:vAlign w:val="bottom"/>
            <w:gridSpan w:val="2"/>
            <w:shd w:val="clear" w:color="auto" w:fill="CCEEFF"/>
          </w:tcPr>
          <w:p>
            <w:pPr>
              <w:jc w:val="right"/>
              <w:ind w:right="362"/>
              <w:spacing w:after="0"/>
              <w:rPr>
                <w:sz w:val="20"/>
                <w:szCs w:val="20"/>
                <w:color w:val="auto"/>
              </w:rPr>
            </w:pPr>
            <w:r>
              <w:rPr>
                <w:rFonts w:ascii="Arial" w:cs="Arial" w:eastAsia="Arial" w:hAnsi="Arial"/>
                <w:sz w:val="16"/>
                <w:szCs w:val="16"/>
                <w:color w:val="auto"/>
              </w:rPr>
              <w:t>45,970</w:t>
            </w: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42,987</w:t>
            </w:r>
          </w:p>
        </w:tc>
        <w:tc>
          <w:tcPr>
            <w:tcW w:w="12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2,983</w:t>
            </w: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1400" w:type="dxa"/>
            <w:vAlign w:val="bottom"/>
          </w:tcPr>
          <w:p>
            <w:pPr>
              <w:ind w:left="40"/>
              <w:spacing w:after="0"/>
              <w:rPr>
                <w:sz w:val="20"/>
                <w:szCs w:val="20"/>
                <w:color w:val="auto"/>
              </w:rPr>
            </w:pPr>
            <w:r>
              <w:rPr>
                <w:rFonts w:ascii="Arial" w:cs="Arial" w:eastAsia="Arial" w:hAnsi="Arial"/>
                <w:sz w:val="16"/>
                <w:szCs w:val="16"/>
                <w:color w:val="auto"/>
              </w:rPr>
              <w:t>Q2</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85,648</w:t>
            </w:r>
          </w:p>
        </w:tc>
        <w:tc>
          <w:tcPr>
            <w:tcW w:w="420" w:type="dxa"/>
            <w:vAlign w:val="bottom"/>
          </w:tcPr>
          <w:p>
            <w:pPr>
              <w:spacing w:after="0"/>
              <w:rPr>
                <w:sz w:val="22"/>
                <w:szCs w:val="22"/>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79,935</w:t>
            </w:r>
          </w:p>
        </w:tc>
        <w:tc>
          <w:tcPr>
            <w:tcW w:w="1220" w:type="dxa"/>
            <w:vAlign w:val="bottom"/>
          </w:tcPr>
          <w:p>
            <w:pPr>
              <w:jc w:val="right"/>
              <w:ind w:right="181"/>
              <w:spacing w:after="0"/>
              <w:rPr>
                <w:sz w:val="20"/>
                <w:szCs w:val="20"/>
                <w:color w:val="auto"/>
              </w:rPr>
            </w:pPr>
            <w:r>
              <w:rPr>
                <w:rFonts w:ascii="Arial" w:cs="Arial" w:eastAsia="Arial" w:hAnsi="Arial"/>
                <w:sz w:val="16"/>
                <w:szCs w:val="16"/>
                <w:color w:val="auto"/>
              </w:rPr>
              <w:t>5,713</w:t>
            </w:r>
          </w:p>
        </w:tc>
        <w:tc>
          <w:tcPr>
            <w:tcW w:w="1180" w:type="dxa"/>
            <w:vAlign w:val="bottom"/>
          </w:tcPr>
          <w:p>
            <w:pPr>
              <w:jc w:val="right"/>
              <w:spacing w:after="0"/>
              <w:rPr>
                <w:sz w:val="20"/>
                <w:szCs w:val="20"/>
                <w:color w:val="auto"/>
              </w:rPr>
            </w:pPr>
            <w:r>
              <w:rPr>
                <w:rFonts w:ascii="Arial" w:cs="Arial" w:eastAsia="Arial" w:hAnsi="Arial"/>
                <w:sz w:val="16"/>
                <w:szCs w:val="16"/>
                <w:color w:val="auto"/>
              </w:rPr>
              <w:t>7.1 %</w:t>
            </w:r>
          </w:p>
        </w:tc>
        <w:tc>
          <w:tcPr>
            <w:tcW w:w="1540" w:type="dxa"/>
            <w:vAlign w:val="bottom"/>
            <w:gridSpan w:val="2"/>
          </w:tcPr>
          <w:p>
            <w:pPr>
              <w:jc w:val="right"/>
              <w:ind w:right="362"/>
              <w:spacing w:after="0"/>
              <w:rPr>
                <w:sz w:val="20"/>
                <w:szCs w:val="20"/>
                <w:color w:val="auto"/>
              </w:rPr>
            </w:pPr>
            <w:r>
              <w:rPr>
                <w:rFonts w:ascii="Arial" w:cs="Arial" w:eastAsia="Arial" w:hAnsi="Arial"/>
                <w:sz w:val="16"/>
                <w:szCs w:val="16"/>
                <w:color w:val="auto"/>
              </w:rPr>
              <w:t>99,881</w:t>
            </w:r>
          </w:p>
        </w:tc>
        <w:tc>
          <w:tcPr>
            <w:tcW w:w="320" w:type="dxa"/>
            <w:vAlign w:val="bottom"/>
          </w:tcPr>
          <w:p>
            <w:pPr>
              <w:spacing w:after="0"/>
              <w:rPr>
                <w:sz w:val="22"/>
                <w:szCs w:val="22"/>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94,717</w:t>
            </w: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5,164</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5.5%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140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65,543</w:t>
            </w: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61,251</w:t>
            </w:r>
          </w:p>
        </w:tc>
        <w:tc>
          <w:tcPr>
            <w:tcW w:w="122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4,292</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7.0 %</w:t>
            </w:r>
          </w:p>
        </w:tc>
        <w:tc>
          <w:tcPr>
            <w:tcW w:w="1540" w:type="dxa"/>
            <w:vAlign w:val="bottom"/>
            <w:gridSpan w:val="2"/>
            <w:shd w:val="clear" w:color="auto" w:fill="CCEEFF"/>
          </w:tcPr>
          <w:p>
            <w:pPr>
              <w:jc w:val="right"/>
              <w:ind w:right="362"/>
              <w:spacing w:after="0"/>
              <w:rPr>
                <w:sz w:val="20"/>
                <w:szCs w:val="20"/>
                <w:color w:val="auto"/>
              </w:rPr>
            </w:pPr>
            <w:r>
              <w:rPr>
                <w:rFonts w:ascii="Arial" w:cs="Arial" w:eastAsia="Arial" w:hAnsi="Arial"/>
                <w:sz w:val="16"/>
                <w:szCs w:val="16"/>
                <w:color w:val="auto"/>
              </w:rPr>
              <w:t>86,737</w:t>
            </w: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79,805</w:t>
            </w:r>
          </w:p>
        </w:tc>
        <w:tc>
          <w:tcPr>
            <w:tcW w:w="12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6,932</w:t>
            </w: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8.7%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Q4</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72,289</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60,104</w:t>
            </w:r>
          </w:p>
        </w:tc>
        <w:tc>
          <w:tcPr>
            <w:tcW w:w="12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12,185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20.3 %</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42,144</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37,054</w:t>
            </w:r>
          </w:p>
        </w:tc>
        <w:tc>
          <w:tcPr>
            <w:tcW w:w="12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5,090</w:t>
            </w: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140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298,938</w:t>
            </w:r>
          </w:p>
        </w:tc>
        <w:tc>
          <w:tcPr>
            <w:tcW w:w="4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268,035</w:t>
            </w:r>
          </w:p>
        </w:tc>
        <w:tc>
          <w:tcPr>
            <w:tcW w:w="122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30,903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color w:val="auto"/>
              </w:rPr>
              <w:t>274,732</w:t>
            </w:r>
          </w:p>
        </w:tc>
        <w:tc>
          <w:tcPr>
            <w:tcW w:w="3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254,563</w:t>
            </w:r>
          </w:p>
        </w:tc>
        <w:tc>
          <w:tcPr>
            <w:tcW w:w="12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20,169</w:t>
            </w:r>
          </w:p>
        </w:tc>
        <w:tc>
          <w:tcPr>
            <w:tcW w:w="12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7.9%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2014</w:t>
            </w:r>
          </w:p>
        </w:tc>
        <w:tc>
          <w:tcPr>
            <w:tcW w:w="12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Unit Change</w:t>
            </w:r>
          </w:p>
        </w:tc>
        <w:tc>
          <w:tcPr>
            <w:tcW w:w="11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1540" w:type="dxa"/>
            <w:vAlign w:val="bottom"/>
            <w:tcBorders>
              <w:bottom w:val="single" w:sz="8" w:color="auto"/>
            </w:tcBorders>
            <w:gridSpan w:val="2"/>
          </w:tcPr>
          <w:p>
            <w:pPr>
              <w:jc w:val="right"/>
              <w:ind w:right="362"/>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2014</w:t>
            </w:r>
          </w:p>
        </w:tc>
        <w:tc>
          <w:tcPr>
            <w:tcW w:w="12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Unit Change</w:t>
            </w:r>
          </w:p>
        </w:tc>
        <w:tc>
          <w:tcPr>
            <w:tcW w:w="12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 Change</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January</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23,799</w:t>
            </w: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21,306</w:t>
            </w:r>
          </w:p>
        </w:tc>
        <w:tc>
          <w:tcPr>
            <w:tcW w:w="122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2,493</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11.7 %</w:t>
            </w:r>
          </w:p>
        </w:tc>
        <w:tc>
          <w:tcPr>
            <w:tcW w:w="1540" w:type="dxa"/>
            <w:vAlign w:val="bottom"/>
            <w:gridSpan w:val="2"/>
            <w:shd w:val="clear" w:color="auto" w:fill="CCEEFF"/>
          </w:tcPr>
          <w:p>
            <w:pPr>
              <w:jc w:val="right"/>
              <w:ind w:right="362"/>
              <w:spacing w:after="0"/>
              <w:rPr>
                <w:sz w:val="20"/>
                <w:szCs w:val="20"/>
                <w:color w:val="auto"/>
              </w:rPr>
            </w:pPr>
            <w:r>
              <w:rPr>
                <w:rFonts w:ascii="Arial" w:cs="Arial" w:eastAsia="Arial" w:hAnsi="Arial"/>
                <w:sz w:val="16"/>
                <w:szCs w:val="16"/>
                <w:color w:val="auto"/>
              </w:rPr>
              <w:t>11,053</w:t>
            </w: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10,115</w:t>
            </w:r>
          </w:p>
        </w:tc>
        <w:tc>
          <w:tcPr>
            <w:tcW w:w="12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938</w:t>
            </w: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9.3%</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140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February</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26,979</w:t>
            </w:r>
          </w:p>
        </w:tc>
        <w:tc>
          <w:tcPr>
            <w:tcW w:w="420" w:type="dxa"/>
            <w:vAlign w:val="bottom"/>
          </w:tcPr>
          <w:p>
            <w:pPr>
              <w:spacing w:after="0"/>
              <w:rPr>
                <w:sz w:val="22"/>
                <w:szCs w:val="22"/>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26,043</w:t>
            </w:r>
          </w:p>
        </w:tc>
        <w:tc>
          <w:tcPr>
            <w:tcW w:w="1220" w:type="dxa"/>
            <w:vAlign w:val="bottom"/>
          </w:tcPr>
          <w:p>
            <w:pPr>
              <w:jc w:val="right"/>
              <w:ind w:right="181"/>
              <w:spacing w:after="0"/>
              <w:rPr>
                <w:sz w:val="20"/>
                <w:szCs w:val="20"/>
                <w:color w:val="auto"/>
              </w:rPr>
            </w:pPr>
            <w:r>
              <w:rPr>
                <w:rFonts w:ascii="Arial" w:cs="Arial" w:eastAsia="Arial" w:hAnsi="Arial"/>
                <w:sz w:val="16"/>
                <w:szCs w:val="16"/>
                <w:color w:val="auto"/>
              </w:rPr>
              <w:t>936</w:t>
            </w:r>
          </w:p>
        </w:tc>
        <w:tc>
          <w:tcPr>
            <w:tcW w:w="1180" w:type="dxa"/>
            <w:vAlign w:val="bottom"/>
          </w:tcPr>
          <w:p>
            <w:pPr>
              <w:jc w:val="right"/>
              <w:spacing w:after="0"/>
              <w:rPr>
                <w:sz w:val="20"/>
                <w:szCs w:val="20"/>
                <w:color w:val="auto"/>
              </w:rPr>
            </w:pPr>
            <w:r>
              <w:rPr>
                <w:rFonts w:ascii="Arial" w:cs="Arial" w:eastAsia="Arial" w:hAnsi="Arial"/>
                <w:sz w:val="16"/>
                <w:szCs w:val="16"/>
                <w:color w:val="auto"/>
              </w:rPr>
              <w:t>3.6 %</w:t>
            </w:r>
          </w:p>
        </w:tc>
        <w:tc>
          <w:tcPr>
            <w:tcW w:w="1540" w:type="dxa"/>
            <w:vAlign w:val="bottom"/>
            <w:gridSpan w:val="2"/>
          </w:tcPr>
          <w:p>
            <w:pPr>
              <w:jc w:val="right"/>
              <w:ind w:right="22"/>
              <w:spacing w:after="0"/>
              <w:rPr>
                <w:sz w:val="20"/>
                <w:szCs w:val="20"/>
                <w:color w:val="auto"/>
              </w:rPr>
            </w:pPr>
            <w:r>
              <w:rPr>
                <w:rFonts w:ascii="Arial" w:cs="Arial" w:eastAsia="Arial" w:hAnsi="Arial"/>
                <w:sz w:val="11"/>
                <w:szCs w:val="11"/>
                <w:color w:val="auto"/>
              </w:rPr>
              <w:t>(4)</w:t>
            </w:r>
          </w:p>
        </w:tc>
        <w:tc>
          <w:tcPr>
            <w:tcW w:w="320" w:type="dxa"/>
            <w:vAlign w:val="bottom"/>
          </w:tcPr>
          <w:p>
            <w:pPr>
              <w:spacing w:after="0"/>
              <w:rPr>
                <w:sz w:val="22"/>
                <w:szCs w:val="22"/>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13,653</w:t>
            </w:r>
          </w:p>
        </w:tc>
        <w:tc>
          <w:tcPr>
            <w:tcW w:w="1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1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March</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30,899</w:t>
            </w:r>
          </w:p>
        </w:tc>
        <w:tc>
          <w:tcPr>
            <w:tcW w:w="42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rPr>
              <w:t>(3)</w:t>
            </w:r>
          </w:p>
        </w:tc>
        <w:tc>
          <w:tcPr>
            <w:tcW w:w="10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28,109</w:t>
            </w:r>
          </w:p>
        </w:tc>
        <w:tc>
          <w:tcPr>
            <w:tcW w:w="122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2,790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1540" w:type="dxa"/>
            <w:vAlign w:val="bottom"/>
            <w:tcBorders>
              <w:bottom w:val="single" w:sz="8" w:color="auto"/>
            </w:tcBorders>
            <w:gridSpan w:val="2"/>
            <w:shd w:val="clear" w:color="auto" w:fill="CCEEFF"/>
          </w:tcPr>
          <w:p>
            <w:pPr>
              <w:jc w:val="right"/>
              <w:ind w:right="22"/>
              <w:spacing w:after="0"/>
              <w:rPr>
                <w:sz w:val="20"/>
                <w:szCs w:val="20"/>
                <w:color w:val="auto"/>
              </w:rPr>
            </w:pPr>
            <w:r>
              <w:rPr>
                <w:rFonts w:ascii="Arial" w:cs="Arial" w:eastAsia="Arial" w:hAnsi="Arial"/>
                <w:sz w:val="11"/>
                <w:szCs w:val="11"/>
                <w:color w:val="auto"/>
              </w:rPr>
              <w:t>(4)</w:t>
            </w:r>
          </w:p>
        </w:tc>
        <w:tc>
          <w:tcPr>
            <w:tcW w:w="3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22,202</w:t>
            </w:r>
          </w:p>
        </w:tc>
        <w:tc>
          <w:tcPr>
            <w:tcW w:w="12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1400" w:type="dxa"/>
            <w:vAlign w:val="bottom"/>
          </w:tcPr>
          <w:p>
            <w:pPr>
              <w:ind w:left="40"/>
              <w:spacing w:after="0"/>
              <w:rPr>
                <w:sz w:val="20"/>
                <w:szCs w:val="20"/>
                <w:color w:val="auto"/>
              </w:rPr>
            </w:pPr>
            <w:r>
              <w:rPr>
                <w:rFonts w:ascii="Arial" w:cs="Arial" w:eastAsia="Arial" w:hAnsi="Arial"/>
                <w:sz w:val="16"/>
                <w:szCs w:val="16"/>
                <w:color w:val="auto"/>
              </w:rPr>
              <w:t>Q1</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82,272</w:t>
            </w:r>
          </w:p>
        </w:tc>
        <w:tc>
          <w:tcPr>
            <w:tcW w:w="420" w:type="dxa"/>
            <w:vAlign w:val="bottom"/>
          </w:tcPr>
          <w:p>
            <w:pPr>
              <w:jc w:val="right"/>
              <w:ind w:right="126"/>
              <w:spacing w:after="0"/>
              <w:rPr>
                <w:sz w:val="20"/>
                <w:szCs w:val="20"/>
                <w:color w:val="auto"/>
              </w:rPr>
            </w:pPr>
            <w:r>
              <w:rPr>
                <w:rFonts w:ascii="Arial" w:cs="Arial" w:eastAsia="Arial" w:hAnsi="Arial"/>
                <w:sz w:val="11"/>
                <w:szCs w:val="11"/>
                <w:color w:val="auto"/>
              </w:rPr>
              <w:t>(3)</w:t>
            </w: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75,458</w:t>
            </w:r>
          </w:p>
        </w:tc>
        <w:tc>
          <w:tcPr>
            <w:tcW w:w="1220" w:type="dxa"/>
            <w:vAlign w:val="bottom"/>
          </w:tcPr>
          <w:p>
            <w:pPr>
              <w:jc w:val="right"/>
              <w:ind w:right="181"/>
              <w:spacing w:after="0"/>
              <w:rPr>
                <w:sz w:val="20"/>
                <w:szCs w:val="20"/>
                <w:color w:val="auto"/>
              </w:rPr>
            </w:pPr>
            <w:r>
              <w:rPr>
                <w:rFonts w:ascii="Arial" w:cs="Arial" w:eastAsia="Arial" w:hAnsi="Arial"/>
                <w:sz w:val="16"/>
                <w:szCs w:val="16"/>
                <w:color w:val="auto"/>
              </w:rPr>
              <w:t>6,814</w:t>
            </w:r>
          </w:p>
        </w:tc>
        <w:tc>
          <w:tcPr>
            <w:tcW w:w="1180" w:type="dxa"/>
            <w:vAlign w:val="bottom"/>
          </w:tcPr>
          <w:p>
            <w:pPr>
              <w:jc w:val="right"/>
              <w:spacing w:after="0"/>
              <w:rPr>
                <w:sz w:val="20"/>
                <w:szCs w:val="20"/>
                <w:color w:val="auto"/>
              </w:rPr>
            </w:pPr>
            <w:r>
              <w:rPr>
                <w:rFonts w:ascii="Arial" w:cs="Arial" w:eastAsia="Arial" w:hAnsi="Arial"/>
                <w:sz w:val="16"/>
                <w:szCs w:val="16"/>
                <w:color w:val="auto"/>
              </w:rPr>
              <w:t>9.0 %</w:t>
            </w:r>
          </w:p>
        </w:tc>
        <w:tc>
          <w:tcPr>
            <w:tcW w:w="1540" w:type="dxa"/>
            <w:vAlign w:val="bottom"/>
            <w:gridSpan w:val="2"/>
          </w:tcPr>
          <w:p>
            <w:pPr>
              <w:jc w:val="right"/>
              <w:ind w:right="22"/>
              <w:spacing w:after="0"/>
              <w:rPr>
                <w:sz w:val="20"/>
                <w:szCs w:val="20"/>
                <w:color w:val="auto"/>
              </w:rPr>
            </w:pPr>
            <w:r>
              <w:rPr>
                <w:rFonts w:ascii="Arial" w:cs="Arial" w:eastAsia="Arial" w:hAnsi="Arial"/>
                <w:sz w:val="11"/>
                <w:szCs w:val="11"/>
                <w:color w:val="auto"/>
              </w:rPr>
              <w:t>(4)</w:t>
            </w:r>
          </w:p>
        </w:tc>
        <w:tc>
          <w:tcPr>
            <w:tcW w:w="320" w:type="dxa"/>
            <w:vAlign w:val="bottom"/>
          </w:tcPr>
          <w:p>
            <w:pPr>
              <w:spacing w:after="0"/>
              <w:rPr>
                <w:sz w:val="22"/>
                <w:szCs w:val="22"/>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45,970</w:t>
            </w:r>
          </w:p>
        </w:tc>
        <w:tc>
          <w:tcPr>
            <w:tcW w:w="1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140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Q2</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94,300</w:t>
            </w:r>
          </w:p>
        </w:tc>
        <w:tc>
          <w:tcPr>
            <w:tcW w:w="42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(3)</w:t>
            </w: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85,648</w:t>
            </w:r>
          </w:p>
        </w:tc>
        <w:tc>
          <w:tcPr>
            <w:tcW w:w="122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8,652</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10.1 %</w:t>
            </w:r>
          </w:p>
        </w:tc>
        <w:tc>
          <w:tcPr>
            <w:tcW w:w="1540" w:type="dxa"/>
            <w:vAlign w:val="bottom"/>
            <w:gridSpan w:val="2"/>
            <w:shd w:val="clear" w:color="auto" w:fill="CCEEFF"/>
          </w:tcPr>
          <w:p>
            <w:pPr>
              <w:jc w:val="right"/>
              <w:ind w:right="22"/>
              <w:spacing w:after="0"/>
              <w:rPr>
                <w:sz w:val="20"/>
                <w:szCs w:val="20"/>
                <w:color w:val="auto"/>
              </w:rPr>
            </w:pPr>
            <w:r>
              <w:rPr>
                <w:rFonts w:ascii="Arial" w:cs="Arial" w:eastAsia="Arial" w:hAnsi="Arial"/>
                <w:sz w:val="11"/>
                <w:szCs w:val="11"/>
                <w:color w:val="auto"/>
              </w:rPr>
              <w:t>(4)</w:t>
            </w: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99,881</w:t>
            </w:r>
          </w:p>
        </w:tc>
        <w:tc>
          <w:tcPr>
            <w:tcW w:w="12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400" w:type="dxa"/>
            <w:vAlign w:val="bottom"/>
          </w:tcPr>
          <w:p>
            <w:pPr>
              <w:ind w:left="40"/>
              <w:spacing w:after="0"/>
              <w:rPr>
                <w:sz w:val="20"/>
                <w:szCs w:val="20"/>
                <w:color w:val="auto"/>
              </w:rPr>
            </w:pPr>
            <w:r>
              <w:rPr>
                <w:rFonts w:ascii="Arial" w:cs="Arial" w:eastAsia="Arial" w:hAnsi="Arial"/>
                <w:sz w:val="16"/>
                <w:szCs w:val="16"/>
                <w:color w:val="auto"/>
              </w:rPr>
              <w:t>Q3</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73,400</w:t>
            </w:r>
          </w:p>
        </w:tc>
        <w:tc>
          <w:tcPr>
            <w:tcW w:w="420" w:type="dxa"/>
            <w:vAlign w:val="bottom"/>
          </w:tcPr>
          <w:p>
            <w:pPr>
              <w:jc w:val="right"/>
              <w:ind w:right="126"/>
              <w:spacing w:after="0"/>
              <w:rPr>
                <w:sz w:val="20"/>
                <w:szCs w:val="20"/>
                <w:color w:val="auto"/>
              </w:rPr>
            </w:pPr>
            <w:r>
              <w:rPr>
                <w:rFonts w:ascii="Arial" w:cs="Arial" w:eastAsia="Arial" w:hAnsi="Arial"/>
                <w:sz w:val="11"/>
                <w:szCs w:val="11"/>
                <w:color w:val="auto"/>
              </w:rPr>
              <w:t>(3)</w:t>
            </w: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65,543</w:t>
            </w:r>
          </w:p>
        </w:tc>
        <w:tc>
          <w:tcPr>
            <w:tcW w:w="1220" w:type="dxa"/>
            <w:vAlign w:val="bottom"/>
          </w:tcPr>
          <w:p>
            <w:pPr>
              <w:jc w:val="right"/>
              <w:ind w:right="181"/>
              <w:spacing w:after="0"/>
              <w:rPr>
                <w:sz w:val="20"/>
                <w:szCs w:val="20"/>
                <w:color w:val="auto"/>
              </w:rPr>
            </w:pPr>
            <w:r>
              <w:rPr>
                <w:rFonts w:ascii="Arial" w:cs="Arial" w:eastAsia="Arial" w:hAnsi="Arial"/>
                <w:sz w:val="16"/>
                <w:szCs w:val="16"/>
                <w:color w:val="auto"/>
              </w:rPr>
              <w:t>7,857</w:t>
            </w:r>
          </w:p>
        </w:tc>
        <w:tc>
          <w:tcPr>
            <w:tcW w:w="1180" w:type="dxa"/>
            <w:vAlign w:val="bottom"/>
          </w:tcPr>
          <w:p>
            <w:pPr>
              <w:jc w:val="right"/>
              <w:spacing w:after="0"/>
              <w:rPr>
                <w:sz w:val="20"/>
                <w:szCs w:val="20"/>
                <w:color w:val="auto"/>
              </w:rPr>
            </w:pPr>
            <w:r>
              <w:rPr>
                <w:rFonts w:ascii="Arial" w:cs="Arial" w:eastAsia="Arial" w:hAnsi="Arial"/>
                <w:sz w:val="16"/>
                <w:szCs w:val="16"/>
                <w:color w:val="auto"/>
              </w:rPr>
              <w:t>12.0 %</w:t>
            </w:r>
          </w:p>
        </w:tc>
        <w:tc>
          <w:tcPr>
            <w:tcW w:w="1540" w:type="dxa"/>
            <w:vAlign w:val="bottom"/>
            <w:gridSpan w:val="2"/>
          </w:tcPr>
          <w:p>
            <w:pPr>
              <w:jc w:val="right"/>
              <w:ind w:right="22"/>
              <w:spacing w:after="0"/>
              <w:rPr>
                <w:sz w:val="20"/>
                <w:szCs w:val="20"/>
                <w:color w:val="auto"/>
              </w:rPr>
            </w:pPr>
            <w:r>
              <w:rPr>
                <w:rFonts w:ascii="Arial" w:cs="Arial" w:eastAsia="Arial" w:hAnsi="Arial"/>
                <w:sz w:val="11"/>
                <w:szCs w:val="11"/>
                <w:color w:val="auto"/>
              </w:rPr>
              <w:t>(4)</w:t>
            </w:r>
          </w:p>
        </w:tc>
        <w:tc>
          <w:tcPr>
            <w:tcW w:w="320" w:type="dxa"/>
            <w:vAlign w:val="bottom"/>
          </w:tcPr>
          <w:p>
            <w:pPr>
              <w:spacing w:after="0"/>
              <w:rPr>
                <w:sz w:val="22"/>
                <w:szCs w:val="22"/>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86,737</w:t>
            </w:r>
          </w:p>
        </w:tc>
        <w:tc>
          <w:tcPr>
            <w:tcW w:w="1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140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70,900</w:t>
            </w:r>
          </w:p>
        </w:tc>
        <w:tc>
          <w:tcPr>
            <w:tcW w:w="42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rPr>
              <w:t>(3)</w:t>
            </w:r>
          </w:p>
        </w:tc>
        <w:tc>
          <w:tcPr>
            <w:tcW w:w="10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72,289</w:t>
            </w:r>
          </w:p>
        </w:tc>
        <w:tc>
          <w:tcPr>
            <w:tcW w:w="12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(1,389)</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540" w:type="dxa"/>
            <w:vAlign w:val="bottom"/>
            <w:gridSpan w:val="2"/>
            <w:shd w:val="clear" w:color="auto" w:fill="CCEEFF"/>
          </w:tcPr>
          <w:p>
            <w:pPr>
              <w:jc w:val="right"/>
              <w:ind w:right="22"/>
              <w:spacing w:after="0"/>
              <w:rPr>
                <w:sz w:val="20"/>
                <w:szCs w:val="20"/>
                <w:color w:val="auto"/>
              </w:rPr>
            </w:pPr>
            <w:r>
              <w:rPr>
                <w:rFonts w:ascii="Arial" w:cs="Arial" w:eastAsia="Arial" w:hAnsi="Arial"/>
                <w:sz w:val="11"/>
                <w:szCs w:val="11"/>
                <w:color w:val="auto"/>
              </w:rPr>
              <w:t>(4)</w:t>
            </w:r>
          </w:p>
        </w:tc>
        <w:tc>
          <w:tcPr>
            <w:tcW w:w="3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42,144</w:t>
            </w:r>
          </w:p>
        </w:tc>
        <w:tc>
          <w:tcPr>
            <w:tcW w:w="12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4"/>
        </w:trPr>
        <w:tc>
          <w:tcPr>
            <w:tcW w:w="1400" w:type="dxa"/>
            <w:vAlign w:val="bottom"/>
            <w:vMerge w:val="restart"/>
          </w:tcPr>
          <w:p>
            <w:pPr>
              <w:ind w:left="40"/>
              <w:spacing w:after="0"/>
              <w:rPr>
                <w:sz w:val="20"/>
                <w:szCs w:val="20"/>
                <w:color w:val="auto"/>
              </w:rPr>
            </w:pPr>
            <w:r>
              <w:rPr>
                <w:rFonts w:ascii="Arial" w:cs="Arial" w:eastAsia="Arial" w:hAnsi="Arial"/>
                <w:sz w:val="16"/>
                <w:szCs w:val="16"/>
                <w:color w:val="auto"/>
              </w:rPr>
              <w:t>Total</w:t>
            </w:r>
          </w:p>
        </w:tc>
        <w:tc>
          <w:tcPr>
            <w:tcW w:w="1080" w:type="dxa"/>
            <w:vAlign w:val="bottom"/>
            <w:vMerge w:val="restart"/>
          </w:tcPr>
          <w:p>
            <w:pPr>
              <w:jc w:val="right"/>
              <w:ind w:right="20"/>
              <w:spacing w:after="0"/>
              <w:rPr>
                <w:sz w:val="20"/>
                <w:szCs w:val="20"/>
                <w:color w:val="auto"/>
              </w:rPr>
            </w:pPr>
            <w:r>
              <w:rPr>
                <w:rFonts w:ascii="Arial" w:cs="Arial" w:eastAsia="Arial" w:hAnsi="Arial"/>
                <w:sz w:val="16"/>
                <w:szCs w:val="16"/>
                <w:color w:val="auto"/>
              </w:rPr>
              <w:t>320,872</w:t>
            </w:r>
          </w:p>
        </w:tc>
        <w:tc>
          <w:tcPr>
            <w:tcW w:w="420" w:type="dxa"/>
            <w:vAlign w:val="bottom"/>
          </w:tcPr>
          <w:p>
            <w:pPr>
              <w:jc w:val="right"/>
              <w:ind w:right="126"/>
              <w:spacing w:after="0"/>
              <w:rPr>
                <w:sz w:val="20"/>
                <w:szCs w:val="20"/>
                <w:color w:val="auto"/>
              </w:rPr>
            </w:pPr>
            <w:r>
              <w:rPr>
                <w:rFonts w:ascii="Arial" w:cs="Arial" w:eastAsia="Arial" w:hAnsi="Arial"/>
                <w:sz w:val="11"/>
                <w:szCs w:val="11"/>
                <w:color w:val="auto"/>
              </w:rPr>
              <w:t>(3)</w:t>
            </w:r>
          </w:p>
        </w:tc>
        <w:tc>
          <w:tcPr>
            <w:tcW w:w="1060" w:type="dxa"/>
            <w:vAlign w:val="bottom"/>
            <w:vMerge w:val="restart"/>
          </w:tcPr>
          <w:p>
            <w:pPr>
              <w:jc w:val="right"/>
              <w:ind w:right="61"/>
              <w:spacing w:after="0"/>
              <w:rPr>
                <w:sz w:val="20"/>
                <w:szCs w:val="20"/>
                <w:color w:val="auto"/>
              </w:rPr>
            </w:pPr>
            <w:r>
              <w:rPr>
                <w:rFonts w:ascii="Arial" w:cs="Arial" w:eastAsia="Arial" w:hAnsi="Arial"/>
                <w:sz w:val="16"/>
                <w:szCs w:val="16"/>
                <w:color w:val="auto"/>
              </w:rPr>
              <w:t>298,938</w:t>
            </w:r>
          </w:p>
        </w:tc>
        <w:tc>
          <w:tcPr>
            <w:tcW w:w="1220" w:type="dxa"/>
            <w:vAlign w:val="bottom"/>
            <w:vMerge w:val="restart"/>
          </w:tcPr>
          <w:p>
            <w:pPr>
              <w:jc w:val="right"/>
              <w:ind w:right="181"/>
              <w:spacing w:after="0"/>
              <w:rPr>
                <w:sz w:val="20"/>
                <w:szCs w:val="20"/>
                <w:color w:val="auto"/>
              </w:rPr>
            </w:pPr>
            <w:r>
              <w:rPr>
                <w:rFonts w:ascii="Arial" w:cs="Arial" w:eastAsia="Arial" w:hAnsi="Arial"/>
                <w:sz w:val="16"/>
                <w:szCs w:val="16"/>
                <w:color w:val="auto"/>
              </w:rPr>
              <w:t>21,934</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7.3 %</w:t>
            </w: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vMerge w:val="restart"/>
          </w:tcPr>
          <w:p>
            <w:pPr>
              <w:jc w:val="right"/>
              <w:ind w:right="41"/>
              <w:spacing w:after="0"/>
              <w:rPr>
                <w:sz w:val="20"/>
                <w:szCs w:val="20"/>
                <w:color w:val="auto"/>
              </w:rPr>
            </w:pPr>
            <w:r>
              <w:rPr>
                <w:rFonts w:ascii="Arial" w:cs="Arial" w:eastAsia="Arial" w:hAnsi="Arial"/>
                <w:sz w:val="16"/>
                <w:szCs w:val="16"/>
                <w:color w:val="auto"/>
              </w:rPr>
              <w:t>274,732</w:t>
            </w:r>
          </w:p>
        </w:tc>
        <w:tc>
          <w:tcPr>
            <w:tcW w:w="1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400" w:type="dxa"/>
            <w:vAlign w:val="bottom"/>
            <w:tcBorders>
              <w:bottom w:val="single" w:sz="8" w:color="CCEEFF"/>
            </w:tcBorders>
            <w:vMerge w:val="continue"/>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vMerge w:val="continue"/>
          </w:tcPr>
          <w:p>
            <w:pPr>
              <w:spacing w:after="0"/>
              <w:rPr>
                <w:sz w:val="11"/>
                <w:szCs w:val="11"/>
                <w:color w:val="auto"/>
              </w:rPr>
            </w:pPr>
          </w:p>
        </w:tc>
        <w:tc>
          <w:tcPr>
            <w:tcW w:w="1220" w:type="dxa"/>
            <w:vAlign w:val="bottom"/>
            <w:tcBorders>
              <w:bottom w:val="single" w:sz="8" w:color="auto"/>
            </w:tcBorders>
            <w:vMerge w:val="continue"/>
          </w:tcPr>
          <w:p>
            <w:pPr>
              <w:spacing w:after="0"/>
              <w:rPr>
                <w:sz w:val="11"/>
                <w:szCs w:val="11"/>
                <w:color w:val="auto"/>
              </w:rPr>
            </w:pPr>
          </w:p>
        </w:tc>
        <w:tc>
          <w:tcPr>
            <w:tcW w:w="11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4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1200" w:type="dxa"/>
            <w:vAlign w:val="bottom"/>
            <w:tcBorders>
              <w:bottom w:val="single" w:sz="8" w:color="CCEEFF"/>
            </w:tcBorders>
          </w:tcPr>
          <w:p>
            <w:pPr>
              <w:spacing w:after="0"/>
              <w:rPr>
                <w:sz w:val="11"/>
                <w:szCs w:val="11"/>
                <w:color w:val="auto"/>
              </w:rPr>
            </w:pPr>
          </w:p>
        </w:tc>
        <w:tc>
          <w:tcPr>
            <w:tcW w:w="1200" w:type="dxa"/>
            <w:vAlign w:val="bottom"/>
            <w:tcBorders>
              <w:bottom w:val="single" w:sz="8" w:color="CCEE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1400" w:type="dxa"/>
            <w:vAlign w:val="bottom"/>
            <w:tcBorders>
              <w:left w:val="single" w:sz="8" w:color="CCEEFF"/>
            </w:tcBorders>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7"/>
        </w:trPr>
        <w:tc>
          <w:tcPr>
            <w:tcW w:w="1400" w:type="dxa"/>
            <w:vAlign w:val="bottom"/>
          </w:tcPr>
          <w:p>
            <w:pPr>
              <w:ind w:left="40"/>
              <w:spacing w:after="0"/>
              <w:rPr>
                <w:sz w:val="20"/>
                <w:szCs w:val="20"/>
                <w:color w:val="auto"/>
              </w:rPr>
            </w:pPr>
            <w:r>
              <w:rPr>
                <w:rFonts w:ascii="Arial" w:cs="Arial" w:eastAsia="Arial" w:hAnsi="Arial"/>
                <w:sz w:val="16"/>
                <w:szCs w:val="16"/>
                <w:color w:val="auto"/>
              </w:rPr>
              <w:t xml:space="preserve">YTD </w:t>
            </w:r>
            <w:r>
              <w:rPr>
                <w:rFonts w:ascii="Arial" w:cs="Arial" w:eastAsia="Arial" w:hAnsi="Arial"/>
                <w:sz w:val="21"/>
                <w:szCs w:val="21"/>
                <w:color w:val="auto"/>
                <w:vertAlign w:val="superscript"/>
              </w:rPr>
              <w:t>(5)</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50,778</w:t>
            </w:r>
          </w:p>
        </w:tc>
        <w:tc>
          <w:tcPr>
            <w:tcW w:w="420" w:type="dxa"/>
            <w:vAlign w:val="bottom"/>
          </w:tcPr>
          <w:p>
            <w:pPr>
              <w:spacing w:after="0"/>
              <w:rPr>
                <w:sz w:val="24"/>
                <w:szCs w:val="24"/>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47,349</w:t>
            </w:r>
          </w:p>
        </w:tc>
        <w:tc>
          <w:tcPr>
            <w:tcW w:w="1220" w:type="dxa"/>
            <w:vAlign w:val="bottom"/>
          </w:tcPr>
          <w:p>
            <w:pPr>
              <w:jc w:val="right"/>
              <w:ind w:right="181"/>
              <w:spacing w:after="0"/>
              <w:rPr>
                <w:sz w:val="20"/>
                <w:szCs w:val="20"/>
                <w:color w:val="auto"/>
              </w:rPr>
            </w:pPr>
            <w:r>
              <w:rPr>
                <w:rFonts w:ascii="Arial" w:cs="Arial" w:eastAsia="Arial" w:hAnsi="Arial"/>
                <w:sz w:val="16"/>
                <w:szCs w:val="16"/>
                <w:color w:val="auto"/>
              </w:rPr>
              <w:t>3,429</w:t>
            </w:r>
          </w:p>
        </w:tc>
        <w:tc>
          <w:tcPr>
            <w:tcW w:w="1180" w:type="dxa"/>
            <w:vAlign w:val="bottom"/>
          </w:tcPr>
          <w:p>
            <w:pPr>
              <w:jc w:val="right"/>
              <w:spacing w:after="0"/>
              <w:rPr>
                <w:sz w:val="20"/>
                <w:szCs w:val="20"/>
                <w:color w:val="auto"/>
              </w:rPr>
            </w:pPr>
            <w:r>
              <w:rPr>
                <w:rFonts w:ascii="Arial" w:cs="Arial" w:eastAsia="Arial" w:hAnsi="Arial"/>
                <w:sz w:val="16"/>
                <w:szCs w:val="16"/>
                <w:color w:val="auto"/>
              </w:rPr>
              <w:t>7.2 %</w:t>
            </w:r>
          </w:p>
        </w:tc>
        <w:tc>
          <w:tcPr>
            <w:tcW w:w="1540" w:type="dxa"/>
            <w:vAlign w:val="bottom"/>
            <w:gridSpan w:val="2"/>
          </w:tcPr>
          <w:p>
            <w:pPr>
              <w:jc w:val="right"/>
              <w:ind w:right="362"/>
              <w:spacing w:after="0"/>
              <w:rPr>
                <w:sz w:val="20"/>
                <w:szCs w:val="20"/>
                <w:color w:val="auto"/>
              </w:rPr>
            </w:pPr>
            <w:r>
              <w:rPr>
                <w:rFonts w:ascii="Arial" w:cs="Arial" w:eastAsia="Arial" w:hAnsi="Arial"/>
                <w:sz w:val="16"/>
                <w:szCs w:val="16"/>
                <w:color w:val="auto"/>
              </w:rPr>
              <w:t>11,053</w:t>
            </w:r>
          </w:p>
        </w:tc>
        <w:tc>
          <w:tcPr>
            <w:tcW w:w="320" w:type="dxa"/>
            <w:vAlign w:val="bottom"/>
          </w:tcPr>
          <w:p>
            <w:pPr>
              <w:spacing w:after="0"/>
              <w:rPr>
                <w:sz w:val="24"/>
                <w:szCs w:val="24"/>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10,115</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Towable wholesale shipments as reported by RVIA.</w:t>
      </w:r>
    </w:p>
    <w:p>
      <w:pPr>
        <w:ind w:left="340" w:hanging="332"/>
        <w:spacing w:after="0" w:line="199"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Towable retail registrations as reported by Stat Surveys for the US and Canada combined.</w:t>
      </w:r>
    </w:p>
    <w:p>
      <w:pPr>
        <w:sectPr>
          <w:pgSz w:w="11900" w:h="16838" w:orient="portrait"/>
          <w:cols w:equalWidth="0" w:num="1">
            <w:col w:w="11440"/>
          </w:cols>
          <w:pgMar w:left="240" w:top="141" w:right="219" w:bottom="1440" w:gutter="0" w:footer="0" w:header="0"/>
        </w:sect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40"/>
          </w:cols>
          <w:pgMar w:left="240" w:top="141" w:right="21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51" w:lineRule="exact"/>
        <w:rPr>
          <w:sz w:val="20"/>
          <w:szCs w:val="20"/>
          <w:color w:val="auto"/>
        </w:rPr>
      </w:pPr>
    </w:p>
    <w:p>
      <w:pPr>
        <w:ind w:left="340" w:right="280" w:hanging="332"/>
        <w:spacing w:after="0" w:line="211"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Monthly and quarterly towable wholesale shipments are based upon the forecast prepared by Dr. Richard Curtin of the University of Michigan Consumer Survey Research Center for RVIA and reported in the Roadsigns RV Spring 2015 Industry Forecast Issue. The revised RVIA annual 2015 wholesale shipment forecast is 319,700.</w:t>
      </w:r>
    </w:p>
    <w:p>
      <w:pPr>
        <w:ind w:left="340" w:hanging="332"/>
        <w:spacing w:after="0" w:line="187"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Stat Surveys has not issued a projection for retail demand for this period.</w:t>
      </w:r>
    </w:p>
    <w:p>
      <w:pPr>
        <w:ind w:left="340" w:hanging="332"/>
        <w:spacing w:after="0" w:line="199"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YTD wholesale shipments include January through February; YTD retail registrations include January.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Outlook</w:t>
      </w:r>
    </w:p>
    <w:p>
      <w:pPr>
        <w:spacing w:after="0" w:line="187"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Our motorized dealer backlog is an indicator of demand for our product in the current marketplace. We believe that the decrease in our backlog (as noted in the table below) is a result of more timely delivery through increased production rates and improved chassis supply. We continued to increase our production rates during the first six months of fiscal Fiscal 2015. In Fiscal 2014 we leased an additional production facility to facilitate the increased production rate and to reach an additional labor market. During the second quarter of fiscal 2015 we took motorhome orders for 2,257 units as compared to 1,421 units in the second quarter of fiscal 2014. We believe this also represents the positive outlook of our dealer base.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Our motorized sales order backlog of 2,275 as of February 28, 2015 represents orders to be shipped in the next two quarters: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As Of</w:t>
            </w: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75"/>
        </w:trPr>
        <w:tc>
          <w:tcPr>
            <w:tcW w:w="3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ind w:right="340"/>
              <w:spacing w:after="0"/>
              <w:rPr>
                <w:sz w:val="20"/>
                <w:szCs w:val="20"/>
                <w:color w:val="auto"/>
              </w:rPr>
            </w:pPr>
            <w:r>
              <w:rPr>
                <w:rFonts w:ascii="Arial" w:cs="Arial" w:eastAsia="Arial" w:hAnsi="Arial"/>
                <w:sz w:val="14"/>
                <w:szCs w:val="14"/>
                <w:b w:val="1"/>
                <w:bCs w:val="1"/>
                <w:color w:val="auto"/>
              </w:rPr>
              <w:t>(Decrease)</w:t>
            </w:r>
          </w:p>
        </w:tc>
        <w:tc>
          <w:tcPr>
            <w:tcW w:w="1340" w:type="dxa"/>
            <w:vAlign w:val="bottom"/>
          </w:tcPr>
          <w:p>
            <w:pPr>
              <w:jc w:val="right"/>
              <w:ind w:right="560"/>
              <w:spacing w:after="0"/>
              <w:rPr>
                <w:sz w:val="20"/>
                <w:szCs w:val="20"/>
                <w:color w:val="auto"/>
              </w:rPr>
            </w:pPr>
            <w:r>
              <w:rPr>
                <w:rFonts w:ascii="Arial" w:cs="Arial" w:eastAsia="Arial" w:hAnsi="Arial"/>
                <w:sz w:val="14"/>
                <w:szCs w:val="14"/>
                <w:b w:val="1"/>
                <w:bCs w:val="1"/>
                <w:color w:val="auto"/>
              </w:rPr>
              <w:t>%</w:t>
            </w:r>
          </w:p>
        </w:tc>
      </w:tr>
      <w:tr>
        <w:trPr>
          <w:trHeight w:val="196"/>
        </w:trPr>
        <w:tc>
          <w:tcPr>
            <w:tcW w:w="3260" w:type="dxa"/>
            <w:vAlign w:val="bottom"/>
          </w:tcPr>
          <w:p>
            <w:pPr>
              <w:ind w:left="40"/>
              <w:spacing w:after="0"/>
              <w:rPr>
                <w:sz w:val="20"/>
                <w:szCs w:val="20"/>
                <w:color w:val="auto"/>
              </w:rPr>
            </w:pPr>
            <w:r>
              <w:rPr>
                <w:rFonts w:ascii="Arial" w:cs="Arial" w:eastAsia="Arial" w:hAnsi="Arial"/>
                <w:sz w:val="14"/>
                <w:szCs w:val="14"/>
                <w:b w:val="1"/>
                <w:bCs w:val="1"/>
                <w:color w:val="auto"/>
              </w:rPr>
              <w:t>(In units)</w:t>
            </w:r>
          </w:p>
        </w:tc>
        <w:tc>
          <w:tcPr>
            <w:tcW w:w="320" w:type="dxa"/>
            <w:vAlign w:val="bottom"/>
          </w:tcPr>
          <w:p>
            <w:pPr>
              <w:spacing w:after="0"/>
              <w:rPr>
                <w:sz w:val="17"/>
                <w:szCs w:val="17"/>
                <w:color w:val="auto"/>
              </w:rPr>
            </w:pPr>
          </w:p>
        </w:tc>
        <w:tc>
          <w:tcPr>
            <w:tcW w:w="2340" w:type="dxa"/>
            <w:vAlign w:val="bottom"/>
            <w:gridSpan w:val="3"/>
          </w:tcPr>
          <w:p>
            <w:pPr>
              <w:ind w:left="360"/>
              <w:spacing w:after="0"/>
              <w:rPr>
                <w:sz w:val="20"/>
                <w:szCs w:val="20"/>
                <w:color w:val="auto"/>
              </w:rPr>
            </w:pPr>
            <w:r>
              <w:rPr>
                <w:rFonts w:ascii="Arial" w:cs="Arial" w:eastAsia="Arial" w:hAnsi="Arial"/>
                <w:sz w:val="14"/>
                <w:szCs w:val="14"/>
                <w:b w:val="1"/>
                <w:bCs w:val="1"/>
                <w:color w:val="auto"/>
              </w:rPr>
              <w:t>February 28, 2015</w:t>
            </w:r>
          </w:p>
        </w:tc>
        <w:tc>
          <w:tcPr>
            <w:tcW w:w="3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March 1, 2014</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ind w:right="420"/>
              <w:spacing w:after="0"/>
              <w:rPr>
                <w:sz w:val="20"/>
                <w:szCs w:val="20"/>
                <w:color w:val="auto"/>
              </w:rPr>
            </w:pPr>
            <w:r>
              <w:rPr>
                <w:rFonts w:ascii="Arial" w:cs="Arial" w:eastAsia="Arial" w:hAnsi="Arial"/>
                <w:sz w:val="14"/>
                <w:szCs w:val="14"/>
                <w:b w:val="1"/>
                <w:bCs w:val="1"/>
                <w:color w:val="auto"/>
              </w:rPr>
              <w:t>Increase</w:t>
            </w:r>
          </w:p>
        </w:tc>
        <w:tc>
          <w:tcPr>
            <w:tcW w:w="1340" w:type="dxa"/>
            <w:vAlign w:val="bottom"/>
          </w:tcPr>
          <w:p>
            <w:pPr>
              <w:jc w:val="right"/>
              <w:ind w:right="360"/>
              <w:spacing w:after="0"/>
              <w:rPr>
                <w:sz w:val="20"/>
                <w:szCs w:val="20"/>
                <w:color w:val="auto"/>
              </w:rPr>
            </w:pPr>
            <w:r>
              <w:rPr>
                <w:rFonts w:ascii="Arial" w:cs="Arial" w:eastAsia="Arial" w:hAnsi="Arial"/>
                <w:sz w:val="14"/>
                <w:szCs w:val="14"/>
                <w:b w:val="1"/>
                <w:bCs w:val="1"/>
                <w:color w:val="auto"/>
              </w:rPr>
              <w:t>Change</w:t>
            </w:r>
          </w:p>
        </w:tc>
      </w:tr>
      <w:tr>
        <w:trPr>
          <w:trHeight w:val="256"/>
        </w:trPr>
        <w:tc>
          <w:tcPr>
            <w:tcW w:w="32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32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487</w:t>
            </w:r>
          </w:p>
        </w:tc>
        <w:tc>
          <w:tcPr>
            <w:tcW w:w="13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21.4%</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right"/>
              <w:ind w:right="620"/>
              <w:spacing w:after="0"/>
              <w:rPr>
                <w:sz w:val="20"/>
                <w:szCs w:val="20"/>
                <w:color w:val="auto"/>
              </w:rPr>
            </w:pPr>
            <w:r>
              <w:rPr>
                <w:rFonts w:ascii="Arial" w:cs="Arial" w:eastAsia="Arial" w:hAnsi="Arial"/>
                <w:sz w:val="16"/>
                <w:szCs w:val="16"/>
                <w:color w:val="auto"/>
              </w:rPr>
              <w:t>1,129</w:t>
            </w:r>
          </w:p>
        </w:tc>
        <w:tc>
          <w:tcPr>
            <w:tcW w:w="7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38.9%</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(642)</w:t>
            </w:r>
          </w:p>
        </w:tc>
        <w:tc>
          <w:tcPr>
            <w:tcW w:w="134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(56.9)%</w:t>
            </w:r>
          </w:p>
        </w:tc>
      </w:tr>
      <w:tr>
        <w:trPr>
          <w:trHeight w:val="264"/>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229</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20"/>
              <w:spacing w:after="0"/>
              <w:rPr>
                <w:sz w:val="20"/>
                <w:szCs w:val="20"/>
                <w:color w:val="auto"/>
              </w:rPr>
            </w:pPr>
            <w:r>
              <w:rPr>
                <w:rFonts w:ascii="Arial" w:cs="Arial" w:eastAsia="Arial" w:hAnsi="Arial"/>
                <w:sz w:val="16"/>
                <w:szCs w:val="16"/>
                <w:color w:val="auto"/>
              </w:rPr>
              <w:t>274</w:t>
            </w: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(45)</w:t>
            </w: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(16.4)%</w:t>
            </w:r>
          </w:p>
        </w:tc>
      </w:tr>
      <w:tr>
        <w:trPr>
          <w:trHeight w:val="257"/>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716</w:t>
            </w: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620"/>
              <w:spacing w:after="0"/>
              <w:rPr>
                <w:sz w:val="20"/>
                <w:szCs w:val="20"/>
                <w:color w:val="auto"/>
              </w:rPr>
            </w:pPr>
            <w:r>
              <w:rPr>
                <w:rFonts w:ascii="Arial" w:cs="Arial" w:eastAsia="Arial" w:hAnsi="Arial"/>
                <w:sz w:val="16"/>
                <w:szCs w:val="16"/>
                <w:color w:val="auto"/>
              </w:rPr>
              <w:t>1,403</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48.4%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(687)</w:t>
            </w:r>
          </w:p>
        </w:tc>
        <w:tc>
          <w:tcPr>
            <w:tcW w:w="13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(49.0)%</w:t>
            </w:r>
          </w:p>
        </w:tc>
      </w:tr>
      <w:tr>
        <w:trPr>
          <w:trHeight w:val="260"/>
        </w:trPr>
        <w:tc>
          <w:tcPr>
            <w:tcW w:w="3260" w:type="dxa"/>
            <w:vAlign w:val="bottom"/>
          </w:tcPr>
          <w:p>
            <w:pPr>
              <w:ind w:left="40"/>
              <w:spacing w:after="0"/>
              <w:rPr>
                <w:sz w:val="20"/>
                <w:szCs w:val="20"/>
                <w:color w:val="auto"/>
              </w:rPr>
            </w:pPr>
            <w:r>
              <w:rPr>
                <w:rFonts w:ascii="Arial" w:cs="Arial" w:eastAsia="Arial" w:hAnsi="Arial"/>
                <w:sz w:val="16"/>
                <w:szCs w:val="16"/>
                <w:color w:val="auto"/>
              </w:rPr>
              <w:t>Class B</w:t>
            </w:r>
          </w:p>
        </w:tc>
        <w:tc>
          <w:tcPr>
            <w:tcW w:w="32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238</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80" w:type="dxa"/>
            <w:vAlign w:val="bottom"/>
          </w:tcPr>
          <w:p>
            <w:pPr>
              <w:jc w:val="right"/>
              <w:ind w:right="620"/>
              <w:spacing w:after="0"/>
              <w:rPr>
                <w:sz w:val="20"/>
                <w:szCs w:val="20"/>
                <w:color w:val="auto"/>
              </w:rPr>
            </w:pPr>
            <w:r>
              <w:rPr>
                <w:rFonts w:ascii="Arial" w:cs="Arial" w:eastAsia="Arial" w:hAnsi="Arial"/>
                <w:sz w:val="16"/>
                <w:szCs w:val="16"/>
                <w:color w:val="auto"/>
              </w:rPr>
              <w:t>274</w:t>
            </w: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(36)</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(13.1)%</w:t>
            </w:r>
          </w:p>
        </w:tc>
      </w:tr>
      <w:tr>
        <w:trPr>
          <w:trHeight w:val="273"/>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3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1,321</w:t>
            </w: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58.1%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620"/>
              <w:spacing w:after="0"/>
              <w:rPr>
                <w:sz w:val="20"/>
                <w:szCs w:val="20"/>
                <w:color w:val="auto"/>
              </w:rPr>
            </w:pPr>
            <w:r>
              <w:rPr>
                <w:rFonts w:ascii="Arial" w:cs="Arial" w:eastAsia="Arial" w:hAnsi="Arial"/>
                <w:sz w:val="16"/>
                <w:szCs w:val="16"/>
                <w:color w:val="auto"/>
              </w:rPr>
              <w:t>1,223</w:t>
            </w:r>
          </w:p>
        </w:tc>
        <w:tc>
          <w:tcPr>
            <w:tcW w:w="7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42.2%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98</w:t>
            </w:r>
          </w:p>
        </w:tc>
        <w:tc>
          <w:tcPr>
            <w:tcW w:w="13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8.0 %</w:t>
            </w:r>
          </w:p>
        </w:tc>
      </w:tr>
      <w:tr>
        <w:trPr>
          <w:trHeight w:val="283"/>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motorhome backlog</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2,275</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20"/>
              <w:spacing w:after="0"/>
              <w:rPr>
                <w:sz w:val="20"/>
                <w:szCs w:val="20"/>
                <w:color w:val="auto"/>
              </w:rPr>
            </w:pPr>
            <w:r>
              <w:rPr>
                <w:rFonts w:ascii="Arial" w:cs="Arial" w:eastAsia="Arial" w:hAnsi="Arial"/>
                <w:sz w:val="16"/>
                <w:szCs w:val="16"/>
                <w:color w:val="auto"/>
              </w:rPr>
              <w:t>2,900</w:t>
            </w: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(625)</w:t>
            </w: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(21.6)%</w:t>
            </w:r>
          </w:p>
        </w:tc>
      </w:tr>
      <w:tr>
        <w:trPr>
          <w:trHeight w:val="251"/>
        </w:trPr>
        <w:tc>
          <w:tcPr>
            <w:tcW w:w="3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60"/>
        </w:trPr>
        <w:tc>
          <w:tcPr>
            <w:tcW w:w="326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32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83</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80" w:type="dxa"/>
            <w:vAlign w:val="bottom"/>
          </w:tcPr>
          <w:p>
            <w:pPr>
              <w:jc w:val="right"/>
              <w:ind w:right="620"/>
              <w:spacing w:after="0"/>
              <w:rPr>
                <w:sz w:val="20"/>
                <w:szCs w:val="20"/>
                <w:color w:val="auto"/>
              </w:rPr>
            </w:pPr>
            <w:r>
              <w:rPr>
                <w:rFonts w:ascii="Arial" w:cs="Arial" w:eastAsia="Arial" w:hAnsi="Arial"/>
                <w:sz w:val="16"/>
                <w:szCs w:val="16"/>
                <w:color w:val="auto"/>
              </w:rPr>
              <w:t>169</w:t>
            </w: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82.0%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(86)</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(50.9)%</w:t>
            </w:r>
          </w:p>
        </w:tc>
      </w:tr>
      <w:tr>
        <w:trPr>
          <w:trHeight w:val="273"/>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3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47</w:t>
            </w: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36.2%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620"/>
              <w:spacing w:after="0"/>
              <w:rPr>
                <w:sz w:val="20"/>
                <w:szCs w:val="20"/>
                <w:color w:val="auto"/>
              </w:rPr>
            </w:pPr>
            <w:r>
              <w:rPr>
                <w:rFonts w:ascii="Arial" w:cs="Arial" w:eastAsia="Arial" w:hAnsi="Arial"/>
                <w:sz w:val="16"/>
                <w:szCs w:val="16"/>
                <w:color w:val="auto"/>
              </w:rPr>
              <w:t>37</w:t>
            </w:r>
          </w:p>
        </w:tc>
        <w:tc>
          <w:tcPr>
            <w:tcW w:w="7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10</w:t>
            </w:r>
          </w:p>
        </w:tc>
        <w:tc>
          <w:tcPr>
            <w:tcW w:w="13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27.0 %</w:t>
            </w:r>
          </w:p>
        </w:tc>
      </w:tr>
      <w:tr>
        <w:trPr>
          <w:trHeight w:val="283"/>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towable backlog</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130</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20"/>
              <w:spacing w:after="0"/>
              <w:rPr>
                <w:sz w:val="20"/>
                <w:szCs w:val="20"/>
                <w:color w:val="auto"/>
              </w:rPr>
            </w:pPr>
            <w:r>
              <w:rPr>
                <w:rFonts w:ascii="Arial" w:cs="Arial" w:eastAsia="Arial" w:hAnsi="Arial"/>
                <w:sz w:val="16"/>
                <w:szCs w:val="16"/>
                <w:color w:val="auto"/>
              </w:rPr>
              <w:t>206</w:t>
            </w: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(76)</w:t>
            </w: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(36.9)%</w:t>
            </w:r>
          </w:p>
        </w:tc>
      </w:tr>
      <w:tr>
        <w:trPr>
          <w:trHeight w:val="251"/>
        </w:trPr>
        <w:tc>
          <w:tcPr>
            <w:tcW w:w="3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70"/>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Approximate backlog revenue in thousands</w:t>
            </w:r>
            <w:r>
              <w:rPr>
                <w:rFonts w:ascii="Arial" w:cs="Arial" w:eastAsia="Arial" w:hAnsi="Arial"/>
                <w:sz w:val="21"/>
                <w:szCs w:val="21"/>
                <w:color w:val="auto"/>
                <w:vertAlign w:val="superscript"/>
              </w:rPr>
              <w:t>(2)</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3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1480" w:type="dxa"/>
            <w:vAlign w:val="bottom"/>
            <w:tcBorders>
              <w:bottom w:val="single" w:sz="8" w:color="CCEEFF"/>
            </w:tcBorders>
          </w:tcPr>
          <w:p>
            <w:pPr>
              <w:spacing w:after="0"/>
              <w:rPr>
                <w:sz w:val="23"/>
                <w:szCs w:val="23"/>
                <w:color w:val="auto"/>
              </w:rPr>
            </w:pPr>
          </w:p>
        </w:tc>
        <w:tc>
          <w:tcPr>
            <w:tcW w:w="7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260" w:type="dxa"/>
            <w:vAlign w:val="bottom"/>
            <w:tcBorders>
              <w:bottom w:val="single" w:sz="8" w:color="CCEEFF"/>
            </w:tcBorders>
          </w:tcPr>
          <w:p>
            <w:pPr>
              <w:spacing w:after="0"/>
              <w:rPr>
                <w:sz w:val="23"/>
                <w:szCs w:val="23"/>
                <w:color w:val="auto"/>
              </w:rPr>
            </w:pPr>
          </w:p>
        </w:tc>
        <w:tc>
          <w:tcPr>
            <w:tcW w:w="1340" w:type="dxa"/>
            <w:vAlign w:val="bottom"/>
            <w:tcBorders>
              <w:bottom w:val="single" w:sz="8" w:color="CCEEFF"/>
            </w:tcBorders>
          </w:tcPr>
          <w:p>
            <w:pPr>
              <w:spacing w:after="0"/>
              <w:rPr>
                <w:sz w:val="23"/>
                <w:szCs w:val="23"/>
                <w:color w:val="auto"/>
              </w:rPr>
            </w:pPr>
          </w:p>
        </w:tc>
      </w:tr>
      <w:tr>
        <w:trPr>
          <w:trHeight w:val="250"/>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216,228</w:t>
            </w: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620"/>
              <w:spacing w:after="0"/>
              <w:rPr>
                <w:sz w:val="20"/>
                <w:szCs w:val="20"/>
                <w:color w:val="auto"/>
              </w:rPr>
            </w:pPr>
            <w:r>
              <w:rPr>
                <w:rFonts w:ascii="Arial" w:cs="Arial" w:eastAsia="Arial" w:hAnsi="Arial"/>
                <w:sz w:val="16"/>
                <w:szCs w:val="16"/>
                <w:color w:val="auto"/>
              </w:rPr>
              <w:t>260,095</w:t>
            </w: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(43,867)</w:t>
            </w:r>
          </w:p>
        </w:tc>
        <w:tc>
          <w:tcPr>
            <w:tcW w:w="13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(16.9)%</w:t>
            </w:r>
          </w:p>
        </w:tc>
      </w:tr>
      <w:tr>
        <w:trPr>
          <w:trHeight w:val="251"/>
        </w:trPr>
        <w:tc>
          <w:tcPr>
            <w:tcW w:w="3260" w:type="dxa"/>
            <w:vAlign w:val="bottom"/>
          </w:tcPr>
          <w:p>
            <w:pPr>
              <w:ind w:left="40"/>
              <w:spacing w:after="0"/>
              <w:rPr>
                <w:sz w:val="20"/>
                <w:szCs w:val="20"/>
                <w:color w:val="auto"/>
              </w:rPr>
            </w:pPr>
            <w:r>
              <w:rPr>
                <w:rFonts w:ascii="Arial" w:cs="Arial" w:eastAsia="Arial" w:hAnsi="Arial"/>
                <w:sz w:val="16"/>
                <w:szCs w:val="16"/>
                <w:color w:val="auto"/>
              </w:rPr>
              <w:t>Towable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4,121</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620"/>
              <w:spacing w:after="0"/>
              <w:rPr>
                <w:sz w:val="20"/>
                <w:szCs w:val="20"/>
                <w:color w:val="auto"/>
              </w:rPr>
            </w:pPr>
            <w:r>
              <w:rPr>
                <w:rFonts w:ascii="Arial" w:cs="Arial" w:eastAsia="Arial" w:hAnsi="Arial"/>
                <w:sz w:val="16"/>
                <w:szCs w:val="16"/>
                <w:color w:val="auto"/>
              </w:rPr>
              <w:t>4,853</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(732)</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(15.1)%</w:t>
            </w:r>
          </w:p>
        </w:tc>
      </w:tr>
    </w:tbl>
    <w:p>
      <w:pPr>
        <w:ind w:left="240" w:hanging="232"/>
        <w:spacing w:after="0" w:line="216" w:lineRule="auto"/>
        <w:tabs>
          <w:tab w:leader="none" w:pos="24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ind w:left="240" w:right="80" w:hanging="232"/>
        <w:spacing w:after="0" w:line="218" w:lineRule="auto"/>
        <w:tabs>
          <w:tab w:leader="none" w:pos="24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Our backlog includes all accepted purchase orders from dealers to be shipped within the next six months. Orders in backlog can be cancelled or postponed at the option of the purchaser and, therefore, backlog may not necessarily be an accurate measure of future sales.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Our unit dealer inventory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3860" w:type="dxa"/>
            <w:vAlign w:val="bottom"/>
          </w:tcPr>
          <w:p>
            <w:pPr>
              <w:jc w:val="right"/>
              <w:ind w:right="323"/>
              <w:spacing w:after="0"/>
              <w:rPr>
                <w:sz w:val="20"/>
                <w:szCs w:val="20"/>
                <w:color w:val="auto"/>
              </w:rPr>
            </w:pPr>
            <w:r>
              <w:rPr>
                <w:rFonts w:ascii="Arial" w:cs="Arial" w:eastAsia="Arial" w:hAnsi="Arial"/>
                <w:sz w:val="14"/>
                <w:szCs w:val="14"/>
                <w:b w:val="1"/>
                <w:bCs w:val="1"/>
                <w:color w:val="auto"/>
              </w:rPr>
              <w:t>February 28,</w:t>
            </w: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March 1,</w:t>
            </w:r>
          </w:p>
        </w:tc>
        <w:tc>
          <w:tcPr>
            <w:tcW w:w="1420" w:type="dxa"/>
            <w:vAlign w:val="bottom"/>
          </w:tcPr>
          <w:p>
            <w:pPr>
              <w:spacing w:after="0"/>
              <w:rPr>
                <w:sz w:val="14"/>
                <w:szCs w:val="14"/>
                <w:color w:val="auto"/>
              </w:rPr>
            </w:pPr>
          </w:p>
        </w:tc>
        <w:tc>
          <w:tcPr>
            <w:tcW w:w="1260" w:type="dxa"/>
            <w:vAlign w:val="bottom"/>
          </w:tcPr>
          <w:p>
            <w:pPr>
              <w:jc w:val="right"/>
              <w:ind w:right="583"/>
              <w:spacing w:after="0"/>
              <w:rPr>
                <w:sz w:val="20"/>
                <w:szCs w:val="20"/>
                <w:color w:val="auto"/>
              </w:rPr>
            </w:pPr>
            <w:r>
              <w:rPr>
                <w:rFonts w:ascii="Arial" w:cs="Arial" w:eastAsia="Arial" w:hAnsi="Arial"/>
                <w:sz w:val="14"/>
                <w:szCs w:val="14"/>
                <w:b w:val="1"/>
                <w:bCs w:val="1"/>
                <w:color w:val="auto"/>
              </w:rPr>
              <w:t>%</w:t>
            </w:r>
          </w:p>
        </w:tc>
      </w:tr>
      <w:tr>
        <w:trPr>
          <w:trHeight w:val="196"/>
        </w:trPr>
        <w:tc>
          <w:tcPr>
            <w:tcW w:w="354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2015</w:t>
            </w:r>
          </w:p>
        </w:tc>
        <w:tc>
          <w:tcPr>
            <w:tcW w:w="12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Increase</w:t>
            </w:r>
          </w:p>
        </w:tc>
        <w:tc>
          <w:tcPr>
            <w:tcW w:w="126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Change</w:t>
            </w:r>
          </w:p>
        </w:tc>
      </w:tr>
      <w:tr>
        <w:trPr>
          <w:trHeight w:val="256"/>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386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4,778</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3,907</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871</w:t>
            </w:r>
          </w:p>
        </w:tc>
        <w:tc>
          <w:tcPr>
            <w:tcW w:w="12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22.3%</w:t>
            </w:r>
          </w:p>
        </w:tc>
      </w:tr>
      <w:tr>
        <w:trPr>
          <w:trHeight w:val="251"/>
        </w:trPr>
        <w:tc>
          <w:tcPr>
            <w:tcW w:w="3540" w:type="dxa"/>
            <w:vAlign w:val="bottom"/>
          </w:tcPr>
          <w:p>
            <w:pPr>
              <w:ind w:left="40"/>
              <w:spacing w:after="0"/>
              <w:rPr>
                <w:sz w:val="20"/>
                <w:szCs w:val="20"/>
                <w:color w:val="auto"/>
              </w:rPr>
            </w:pPr>
            <w:r>
              <w:rPr>
                <w:rFonts w:ascii="Arial" w:cs="Arial" w:eastAsia="Arial" w:hAnsi="Arial"/>
                <w:sz w:val="16"/>
                <w:szCs w:val="16"/>
                <w:color w:val="auto"/>
              </w:rPr>
              <w:t>Towables</w:t>
            </w:r>
          </w:p>
        </w:tc>
        <w:tc>
          <w:tcPr>
            <w:tcW w:w="3860" w:type="dxa"/>
            <w:vAlign w:val="bottom"/>
          </w:tcPr>
          <w:p>
            <w:pPr>
              <w:jc w:val="right"/>
              <w:ind w:right="163"/>
              <w:spacing w:after="0"/>
              <w:rPr>
                <w:sz w:val="20"/>
                <w:szCs w:val="20"/>
                <w:color w:val="auto"/>
              </w:rPr>
            </w:pPr>
            <w:r>
              <w:rPr>
                <w:rFonts w:ascii="Arial" w:cs="Arial" w:eastAsia="Arial" w:hAnsi="Arial"/>
                <w:sz w:val="16"/>
                <w:szCs w:val="16"/>
                <w:color w:val="auto"/>
              </w:rPr>
              <w:t>1,877</w:t>
            </w:r>
          </w:p>
        </w:tc>
        <w:tc>
          <w:tcPr>
            <w:tcW w:w="1220" w:type="dxa"/>
            <w:vAlign w:val="bottom"/>
          </w:tcPr>
          <w:p>
            <w:pPr>
              <w:jc w:val="right"/>
              <w:ind w:right="23"/>
              <w:spacing w:after="0"/>
              <w:rPr>
                <w:sz w:val="20"/>
                <w:szCs w:val="20"/>
                <w:color w:val="auto"/>
              </w:rPr>
            </w:pPr>
            <w:r>
              <w:rPr>
                <w:rFonts w:ascii="Arial" w:cs="Arial" w:eastAsia="Arial" w:hAnsi="Arial"/>
                <w:sz w:val="16"/>
                <w:szCs w:val="16"/>
                <w:color w:val="auto"/>
              </w:rPr>
              <w:t>1,772</w:t>
            </w:r>
          </w:p>
        </w:tc>
        <w:tc>
          <w:tcPr>
            <w:tcW w:w="120" w:type="dxa"/>
            <w:vAlign w:val="bottom"/>
          </w:tcPr>
          <w:p>
            <w:pPr>
              <w:spacing w:after="0"/>
              <w:rPr>
                <w:sz w:val="21"/>
                <w:szCs w:val="21"/>
                <w:color w:val="auto"/>
              </w:rPr>
            </w:pPr>
          </w:p>
        </w:tc>
        <w:tc>
          <w:tcPr>
            <w:tcW w:w="1420" w:type="dxa"/>
            <w:vAlign w:val="bottom"/>
          </w:tcPr>
          <w:p>
            <w:pPr>
              <w:jc w:val="right"/>
              <w:ind w:right="222"/>
              <w:spacing w:after="0"/>
              <w:rPr>
                <w:sz w:val="20"/>
                <w:szCs w:val="20"/>
                <w:color w:val="auto"/>
              </w:rPr>
            </w:pPr>
            <w:r>
              <w:rPr>
                <w:rFonts w:ascii="Arial" w:cs="Arial" w:eastAsia="Arial" w:hAnsi="Arial"/>
                <w:sz w:val="16"/>
                <w:szCs w:val="16"/>
                <w:color w:val="auto"/>
              </w:rPr>
              <w:t>105</w:t>
            </w:r>
          </w:p>
        </w:tc>
        <w:tc>
          <w:tcPr>
            <w:tcW w:w="1260" w:type="dxa"/>
            <w:vAlign w:val="bottom"/>
          </w:tcPr>
          <w:p>
            <w:pPr>
              <w:jc w:val="right"/>
              <w:ind w:right="83"/>
              <w:spacing w:after="0"/>
              <w:rPr>
                <w:sz w:val="20"/>
                <w:szCs w:val="20"/>
                <w:color w:val="auto"/>
              </w:rPr>
            </w:pPr>
            <w:r>
              <w:rPr>
                <w:rFonts w:ascii="Arial" w:cs="Arial" w:eastAsia="Arial" w:hAnsi="Arial"/>
                <w:sz w:val="16"/>
                <w:szCs w:val="16"/>
                <w:color w:val="auto"/>
              </w:rPr>
              <w:t>5.9%</w:t>
            </w:r>
          </w:p>
        </w:tc>
      </w:tr>
    </w:tbl>
    <w:p>
      <w:pPr>
        <w:spacing w:after="0" w:line="210"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We believe that the increased level of our motorized dealer inventory at the end of the second quarter of Fiscal 2015 is aligned with current market conditions given the improved retail demand and the strong sales order backlog of our product. Notably, dealer inventory of our Class B motorhomes has increased significantly in the past year (up 329 units) due to the strong retail demand of our product which was up over 100% on a trailing twelve month basis. We have introduced a number of new products in the past year in all segments, many of these products were delivered to the dealers during calendar 2014 for their initial stocking. We believe that these innovative products will generate additional retail demand in the coming quarters. We have also restructured our dealer distribution points for these new product offerings in the past year as our dealer physical locations have increased, which is another factor contributing to our dealer inventory growth.</w:t>
      </w:r>
    </w:p>
    <w:p>
      <w:pPr>
        <w:spacing w:after="0" w:line="182"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The recreation vehicle industry has, from time to time, experienced shortages of chassis due to various causes such as component shortages and/or production delays due to quality issues at the chassis manufacturers. In the first half of Fiscal 2014 we experienced shortages of certain motorized RV chassis which negatively affected our sales and earnings. Conditions improved during the second half of Fiscal 2014 with Ford’s improved Class A chassis supply and resolution of their Class A chassis quality issues which had caused a supply constraint. We continue to closely monitor our chassis suppliers and work with them to minimize impact to our production.</w:t>
      </w:r>
    </w:p>
    <w:p>
      <w:pPr>
        <w:spacing w:after="0" w:line="176"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Our motorized production facilities are located in sparsely populated areas of Iowa. In addition, the unemployment rate in these areas is currently low. These factors limit our ability to increase motorized production volumes at a more rapid pace. To the extent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4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740"/>
        <w:spacing w:after="0" w:line="260" w:lineRule="auto"/>
        <w:rPr>
          <w:sz w:val="20"/>
          <w:szCs w:val="20"/>
          <w:color w:val="auto"/>
        </w:rPr>
      </w:pPr>
      <w:r>
        <w:rPr>
          <w:rFonts w:ascii="Arial" w:cs="Arial" w:eastAsia="Arial" w:hAnsi="Arial"/>
          <w:sz w:val="16"/>
          <w:szCs w:val="16"/>
          <w:color w:val="auto"/>
        </w:rPr>
        <w:t>that we have been able to increase the production rate, we have also incurred incremental operating expenses associated with overtime and workers compensation expense.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At the December 2014 Board of Directors meeting, two strategic initiatives were approved and, as a result, commenced in the second quarter of Fiscal 2015.</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Both of these projects represent significant investments that we believe will contribute to our future success.</w:t>
      </w:r>
    </w:p>
    <w:p>
      <w:pPr>
        <w:spacing w:after="0" w:line="5" w:lineRule="exact"/>
        <w:rPr>
          <w:sz w:val="20"/>
          <w:szCs w:val="20"/>
          <w:color w:val="auto"/>
        </w:rPr>
      </w:pPr>
    </w:p>
    <w:p>
      <w:pPr>
        <w:ind w:left="340" w:right="40" w:hanging="332"/>
        <w:spacing w:after="0" w:line="246"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first strategic initiative relates to the execution of an ERP system implementation which will replace our in-house developed financial and operation legacy systems and provide better support for our changing business needs and plans for future growth. We believe that this project will deliver long-term cost savings through supply chain management optimization and operational improvements once completed, in addition to a reduction in system maintenance, internal development and support costs. Our current estimate for completion of this project is $12 to $16 million over a three-year time frame which includes software, external implementation assistance and increased internal staffing directly related to this initiative. We anticipate that approximately 40% of the cost will be immediately expensed over the life of the project and 60% will be capitalized. As a result, we expect up to $3.0 million of incremental general and administrative expense in Fiscal 2015 of which $652,000 was incurred in our second fiscal quarter.</w:t>
      </w:r>
    </w:p>
    <w:p>
      <w:pPr>
        <w:spacing w:after="0" w:line="3" w:lineRule="exact"/>
        <w:rPr>
          <w:rFonts w:ascii="Arial" w:cs="Arial" w:eastAsia="Arial" w:hAnsi="Arial"/>
          <w:sz w:val="16"/>
          <w:szCs w:val="16"/>
          <w:color w:val="auto"/>
        </w:rPr>
      </w:pPr>
    </w:p>
    <w:p>
      <w:pPr>
        <w:ind w:left="340" w:right="100" w:hanging="332"/>
        <w:spacing w:after="0" w:line="248"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second initiative is a strategic sourcing project with the objective of obtaining long-term material cost savings through standardizing our purchasing processes, optimizing our supplier relationships and improving our current sourcing methodologies. We have engaged external support with deep domain expertise to help us conduct this project and, as a result, we expect to incur up to $2.8 million in general and administrative expenses for this assistance, of which $827,000 and $967,000 was incurred in the second quarter and first six months of Fiscal 2015, respectively. We expect to incur approximately $700,000 of incremental general and administrative expense for the remainder of Fiscal 2015 and $1.1 million in Fiscal 2016; the project is planned to be completed in June 2016 based on current internal staffing support. When fully implemented, we anticipate this investment will provide gross margin expansion of 30 to 50 basis points.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Quarter Compared to the Comparable Quarter Last Year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key items included in the statements of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3"/>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198"/>
        </w:trPr>
        <w:tc>
          <w:tcPr>
            <w:tcW w:w="288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percent</w:t>
            </w:r>
          </w:p>
        </w:tc>
        <w:tc>
          <w:tcPr>
            <w:tcW w:w="140" w:type="dxa"/>
            <w:vAlign w:val="bottom"/>
          </w:tcPr>
          <w:p>
            <w:pPr>
              <w:spacing w:after="0"/>
              <w:rPr>
                <w:sz w:val="17"/>
                <w:szCs w:val="17"/>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rPr>
              <w:t>February 28,</w:t>
            </w:r>
          </w:p>
        </w:tc>
        <w:tc>
          <w:tcPr>
            <w:tcW w:w="1440" w:type="dxa"/>
            <w:vAlign w:val="bottom"/>
            <w:gridSpan w:val="2"/>
          </w:tcPr>
          <w:p>
            <w:pPr>
              <w:ind w:left="460"/>
              <w:spacing w:after="0"/>
              <w:rPr>
                <w:sz w:val="20"/>
                <w:szCs w:val="20"/>
                <w:color w:val="auto"/>
              </w:rPr>
            </w:pPr>
            <w:r>
              <w:rPr>
                <w:rFonts w:ascii="Arial" w:cs="Arial" w:eastAsia="Arial" w:hAnsi="Arial"/>
                <w:sz w:val="16"/>
                <w:szCs w:val="16"/>
                <w:b w:val="1"/>
                <w:bCs w:val="1"/>
                <w:color w:val="auto"/>
              </w:rPr>
              <w:t>% of</w:t>
            </w:r>
          </w:p>
        </w:tc>
        <w:tc>
          <w:tcPr>
            <w:tcW w:w="260" w:type="dxa"/>
            <w:vAlign w:val="bottom"/>
          </w:tcPr>
          <w:p>
            <w:pPr>
              <w:spacing w:after="0"/>
              <w:rPr>
                <w:sz w:val="17"/>
                <w:szCs w:val="17"/>
                <w:color w:val="auto"/>
              </w:rPr>
            </w:pPr>
          </w:p>
        </w:tc>
        <w:tc>
          <w:tcPr>
            <w:tcW w:w="1260" w:type="dxa"/>
            <w:vAlign w:val="bottom"/>
          </w:tcPr>
          <w:p>
            <w:pPr>
              <w:jc w:val="right"/>
              <w:ind w:right="399"/>
              <w:spacing w:after="0"/>
              <w:rPr>
                <w:sz w:val="20"/>
                <w:szCs w:val="20"/>
                <w:color w:val="auto"/>
              </w:rPr>
            </w:pPr>
            <w:r>
              <w:rPr>
                <w:rFonts w:ascii="Arial" w:cs="Arial" w:eastAsia="Arial" w:hAnsi="Arial"/>
                <w:sz w:val="16"/>
                <w:szCs w:val="16"/>
                <w:b w:val="1"/>
                <w:bCs w:val="1"/>
                <w:color w:val="auto"/>
              </w:rPr>
              <w:t>March 1,</w:t>
            </w:r>
          </w:p>
        </w:tc>
        <w:tc>
          <w:tcPr>
            <w:tcW w:w="1520" w:type="dxa"/>
            <w:vAlign w:val="bottom"/>
            <w:gridSpan w:val="2"/>
          </w:tcPr>
          <w:p>
            <w:pPr>
              <w:ind w:left="50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220" w:type="dxa"/>
            <w:vAlign w:val="bottom"/>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20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34"/>
        </w:trPr>
        <w:tc>
          <w:tcPr>
            <w:tcW w:w="27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and per share data)</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340" w:type="dxa"/>
            <w:vAlign w:val="bottom"/>
            <w:tcBorders>
              <w:bottom w:val="single" w:sz="8" w:color="auto"/>
            </w:tcBorders>
          </w:tcPr>
          <w:p>
            <w:pPr>
              <w:jc w:val="right"/>
              <w:ind w:right="17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2014</w:t>
            </w:r>
          </w:p>
        </w:tc>
        <w:tc>
          <w:tcPr>
            <w:tcW w:w="1400" w:type="dxa"/>
            <w:vAlign w:val="bottom"/>
            <w:tcBorders>
              <w:bottom w:val="single" w:sz="8" w:color="auto"/>
            </w:tcBorders>
          </w:tcPr>
          <w:p>
            <w:pPr>
              <w:jc w:val="right"/>
              <w:ind w:right="19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(Decrease)</w:t>
            </w:r>
          </w:p>
        </w:tc>
        <w:tc>
          <w:tcPr>
            <w:tcW w:w="12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234,543</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228,811</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5,732</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2.5 %</w:t>
            </w:r>
          </w:p>
        </w:tc>
      </w:tr>
      <w:tr>
        <w:trPr>
          <w:trHeight w:val="264"/>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210,285</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205,966</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90.0 %</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4,319</w:t>
            </w: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2.1 %</w:t>
            </w:r>
          </w:p>
        </w:tc>
      </w:tr>
      <w:tr>
        <w:trPr>
          <w:trHeight w:val="25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24,258</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22,845</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1,413</w:t>
            </w: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6.2 %</w:t>
            </w:r>
          </w:p>
        </w:tc>
      </w:tr>
      <w:tr>
        <w:trPr>
          <w:trHeight w:val="284"/>
        </w:trPr>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4,846</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4,489</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2.0 %</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357</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8.0 %</w:t>
            </w:r>
          </w:p>
        </w:tc>
      </w:tr>
      <w:tr>
        <w:trPr>
          <w:trHeight w:val="260"/>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22"/>
                <w:szCs w:val="22"/>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7,464</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4,949</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2.2 %</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2,515</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50.8 %</w:t>
            </w:r>
          </w:p>
        </w:tc>
      </w:tr>
      <w:tr>
        <w:trPr>
          <w:trHeight w:val="273"/>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Gain on sale of real estate</w:t>
            </w: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(629)</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629</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r>
      <w:tr>
        <w:trPr>
          <w:trHeight w:val="250"/>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Operating expenses</w:t>
            </w:r>
          </w:p>
        </w:tc>
        <w:tc>
          <w:tcPr>
            <w:tcW w:w="14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12,310</w:t>
            </w:r>
          </w:p>
        </w:tc>
        <w:tc>
          <w:tcPr>
            <w:tcW w:w="13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8,809</w:t>
            </w:r>
          </w:p>
        </w:tc>
        <w:tc>
          <w:tcPr>
            <w:tcW w:w="14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3.8 %</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3,501</w:t>
            </w:r>
          </w:p>
        </w:tc>
        <w:tc>
          <w:tcPr>
            <w:tcW w:w="12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39.7 %</w:t>
            </w:r>
          </w:p>
        </w:tc>
      </w:tr>
      <w:tr>
        <w:trPr>
          <w:trHeight w:val="284"/>
        </w:trPr>
        <w:tc>
          <w:tcPr>
            <w:tcW w:w="2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0"/>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140" w:type="dxa"/>
            <w:vAlign w:val="bottom"/>
          </w:tcPr>
          <w:p>
            <w:pPr>
              <w:spacing w:after="0"/>
              <w:rPr>
                <w:sz w:val="22"/>
                <w:szCs w:val="22"/>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11,948</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14,036</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6.1 %</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(2,088)</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(14.9)%</w:t>
            </w:r>
          </w:p>
        </w:tc>
      </w:tr>
      <w:tr>
        <w:trPr>
          <w:trHeight w:val="273"/>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income (expense)</w:t>
            </w: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(74)</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 %</w:t>
            </w: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102</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(137.8)%</w:t>
            </w:r>
          </w:p>
        </w:tc>
      </w:tr>
      <w:tr>
        <w:trPr>
          <w:trHeight w:val="247"/>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1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11,976</w:t>
            </w:r>
          </w:p>
        </w:tc>
        <w:tc>
          <w:tcPr>
            <w:tcW w:w="1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13,962</w:t>
            </w:r>
          </w:p>
        </w:tc>
        <w:tc>
          <w:tcPr>
            <w:tcW w:w="1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6.1 %</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(1,986)</w:t>
            </w:r>
          </w:p>
        </w:tc>
        <w:tc>
          <w:tcPr>
            <w:tcW w:w="12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(14.2)%</w:t>
            </w:r>
          </w:p>
        </w:tc>
      </w:tr>
      <w:tr>
        <w:trPr>
          <w:trHeight w:val="273"/>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taxes</w:t>
            </w: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3,880</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4,369</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1.9 %</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(489)</w:t>
            </w: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(11.2)%</w:t>
            </w:r>
          </w:p>
        </w:tc>
      </w:tr>
      <w:tr>
        <w:trPr>
          <w:trHeight w:val="280"/>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8,096</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9,593</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4.2 %</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(1,497)</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(15.6)%</w:t>
            </w:r>
          </w:p>
        </w:tc>
      </w:tr>
      <w:tr>
        <w:trPr>
          <w:trHeight w:val="146"/>
        </w:trPr>
        <w:tc>
          <w:tcPr>
            <w:tcW w:w="2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260"/>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Diluted income per share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0.30</w:t>
            </w: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0.35</w:t>
            </w: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(0.05)</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(14.3)%</w:t>
            </w:r>
          </w:p>
        </w:tc>
      </w:tr>
      <w:tr>
        <w:trPr>
          <w:trHeight w:val="28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Diluted average shares outstanding</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27,018</w:t>
            </w: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27,724</w:t>
            </w: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(706)</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r>
    </w:tbl>
    <w:p>
      <w:pPr>
        <w:spacing w:after="0" w:line="24"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41"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2880" w:type="dxa"/>
            <w:vAlign w:val="bottom"/>
            <w:gridSpan w:val="3"/>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60"/>
        </w:trPr>
        <w:tc>
          <w:tcPr>
            <w:tcW w:w="5820" w:type="dxa"/>
            <w:vAlign w:val="bottom"/>
            <w:gridSpan w:val="7"/>
          </w:tcPr>
          <w:p>
            <w:pPr>
              <w:spacing w:after="0"/>
              <w:rPr>
                <w:sz w:val="20"/>
                <w:szCs w:val="20"/>
                <w:color w:val="auto"/>
              </w:rPr>
            </w:pPr>
            <w:r>
              <w:rPr>
                <w:rFonts w:ascii="Arial" w:cs="Arial" w:eastAsia="Arial" w:hAnsi="Arial"/>
                <w:sz w:val="16"/>
                <w:szCs w:val="16"/>
                <w:color w:val="auto"/>
              </w:rPr>
              <w:t>Unit deliveries and ASP, net of discounts, consisted of the following:</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05"/>
        </w:trPr>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ind w:right="299"/>
              <w:spacing w:after="0"/>
              <w:rPr>
                <w:sz w:val="20"/>
                <w:szCs w:val="20"/>
                <w:color w:val="auto"/>
              </w:rPr>
            </w:pPr>
            <w:r>
              <w:rPr>
                <w:rFonts w:ascii="Arial" w:cs="Arial" w:eastAsia="Arial" w:hAnsi="Arial"/>
                <w:sz w:val="16"/>
                <w:szCs w:val="16"/>
                <w:b w:val="1"/>
                <w:bCs w:val="1"/>
                <w:color w:val="auto"/>
              </w:rPr>
              <w:t>February 28,</w:t>
            </w: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220" w:type="dxa"/>
            <w:vAlign w:val="bottom"/>
          </w:tcPr>
          <w:p>
            <w:pPr>
              <w:spacing w:after="0"/>
              <w:rPr>
                <w:sz w:val="17"/>
                <w:szCs w:val="17"/>
                <w:color w:val="auto"/>
              </w:rPr>
            </w:pPr>
          </w:p>
        </w:tc>
        <w:tc>
          <w:tcPr>
            <w:tcW w:w="1280" w:type="dxa"/>
            <w:vAlign w:val="bottom"/>
          </w:tcPr>
          <w:p>
            <w:pPr>
              <w:jc w:val="right"/>
              <w:ind w:right="439"/>
              <w:spacing w:after="0"/>
              <w:rPr>
                <w:sz w:val="20"/>
                <w:szCs w:val="20"/>
                <w:color w:val="auto"/>
              </w:rPr>
            </w:pPr>
            <w:r>
              <w:rPr>
                <w:rFonts w:ascii="Arial" w:cs="Arial" w:eastAsia="Arial" w:hAnsi="Arial"/>
                <w:sz w:val="16"/>
                <w:szCs w:val="16"/>
                <w:b w:val="1"/>
                <w:bCs w:val="1"/>
                <w:color w:val="auto"/>
              </w:rPr>
              <w:t>March 1,</w:t>
            </w: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200" w:type="dxa"/>
            <w:vAlign w:val="bottom"/>
          </w:tcPr>
          <w:p>
            <w:pPr>
              <w:spacing w:after="0"/>
              <w:rPr>
                <w:sz w:val="17"/>
                <w:szCs w:val="17"/>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b w:val="1"/>
                <w:bCs w:val="1"/>
                <w:color w:val="auto"/>
              </w:rPr>
              <w:t>(Decrease)</w:t>
            </w:r>
          </w:p>
        </w:tc>
        <w:tc>
          <w:tcPr>
            <w:tcW w:w="124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r>
      <w:tr>
        <w:trPr>
          <w:trHeight w:val="234"/>
        </w:trPr>
        <w:tc>
          <w:tcPr>
            <w:tcW w:w="27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units)</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1280" w:type="dxa"/>
            <w:vAlign w:val="bottom"/>
            <w:tcBorders>
              <w:bottom w:val="single" w:sz="8" w:color="auto"/>
            </w:tcBorders>
          </w:tcPr>
          <w:p>
            <w:pPr>
              <w:jc w:val="right"/>
              <w:ind w:right="319"/>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1300" w:type="dxa"/>
            <w:vAlign w:val="bottom"/>
            <w:tcBorders>
              <w:bottom w:val="single" w:sz="8" w:color="auto"/>
            </w:tcBorders>
          </w:tcPr>
          <w:p>
            <w:pPr>
              <w:ind w:left="26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2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264"/>
        </w:trPr>
        <w:tc>
          <w:tcPr>
            <w:tcW w:w="28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60"/>
        </w:trPr>
        <w:tc>
          <w:tcPr>
            <w:tcW w:w="2880" w:type="dxa"/>
            <w:vAlign w:val="bottom"/>
            <w:gridSpan w:val="3"/>
          </w:tcPr>
          <w:p>
            <w:pPr>
              <w:ind w:left="180"/>
              <w:spacing w:after="0"/>
              <w:rPr>
                <w:sz w:val="20"/>
                <w:szCs w:val="20"/>
                <w:color w:val="auto"/>
              </w:rPr>
            </w:pPr>
            <w:r>
              <w:rPr>
                <w:rFonts w:ascii="Arial" w:cs="Arial" w:eastAsia="Arial" w:hAnsi="Arial"/>
                <w:sz w:val="16"/>
                <w:szCs w:val="16"/>
                <w:color w:val="auto"/>
              </w:rPr>
              <w:t>Class A gas</w:t>
            </w:r>
          </w:p>
        </w:tc>
        <w:tc>
          <w:tcPr>
            <w:tcW w:w="140" w:type="dxa"/>
            <w:vAlign w:val="bottom"/>
          </w:tcPr>
          <w:p>
            <w:pPr>
              <w:spacing w:after="0"/>
              <w:rPr>
                <w:sz w:val="22"/>
                <w:szCs w:val="22"/>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524</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589</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39"/>
              <w:spacing w:after="0"/>
              <w:rPr>
                <w:sz w:val="20"/>
                <w:szCs w:val="20"/>
                <w:color w:val="auto"/>
              </w:rPr>
            </w:pPr>
            <w:r>
              <w:rPr>
                <w:rFonts w:ascii="Arial" w:cs="Arial" w:eastAsia="Arial" w:hAnsi="Arial"/>
                <w:sz w:val="16"/>
                <w:szCs w:val="16"/>
                <w:color w:val="auto"/>
              </w:rPr>
              <w:t>(65)</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(11.0)%</w:t>
            </w:r>
          </w:p>
        </w:tc>
      </w:tr>
      <w:tr>
        <w:trPr>
          <w:trHeight w:val="273"/>
        </w:trPr>
        <w:tc>
          <w:tcPr>
            <w:tcW w:w="288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Class A diesel</w:t>
            </w:r>
          </w:p>
        </w:tc>
        <w:tc>
          <w:tcPr>
            <w:tcW w:w="1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286</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456</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(170)</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(37.3)%</w:t>
            </w:r>
          </w:p>
        </w:tc>
      </w:tr>
      <w:tr>
        <w:trPr>
          <w:trHeight w:val="247"/>
        </w:trPr>
        <w:tc>
          <w:tcPr>
            <w:tcW w:w="2880" w:type="dxa"/>
            <w:vAlign w:val="bottom"/>
            <w:gridSpan w:val="3"/>
          </w:tcPr>
          <w:p>
            <w:pPr>
              <w:ind w:left="180"/>
              <w:spacing w:after="0"/>
              <w:rPr>
                <w:sz w:val="20"/>
                <w:szCs w:val="20"/>
                <w:color w:val="auto"/>
              </w:rPr>
            </w:pPr>
            <w:r>
              <w:rPr>
                <w:rFonts w:ascii="Arial" w:cs="Arial" w:eastAsia="Arial" w:hAnsi="Arial"/>
                <w:sz w:val="16"/>
                <w:szCs w:val="16"/>
                <w:color w:val="auto"/>
              </w:rPr>
              <w:t>Total Class A</w:t>
            </w:r>
          </w:p>
        </w:tc>
        <w:tc>
          <w:tcPr>
            <w:tcW w:w="140" w:type="dxa"/>
            <w:vAlign w:val="bottom"/>
          </w:tcPr>
          <w:p>
            <w:pPr>
              <w:spacing w:after="0"/>
              <w:rPr>
                <w:sz w:val="21"/>
                <w:szCs w:val="21"/>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810</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38.5%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1,045</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39"/>
              <w:spacing w:after="0"/>
              <w:rPr>
                <w:sz w:val="20"/>
                <w:szCs w:val="20"/>
                <w:color w:val="auto"/>
              </w:rPr>
            </w:pPr>
            <w:r>
              <w:rPr>
                <w:rFonts w:ascii="Arial" w:cs="Arial" w:eastAsia="Arial" w:hAnsi="Arial"/>
                <w:sz w:val="16"/>
                <w:szCs w:val="16"/>
                <w:color w:val="auto"/>
              </w:rPr>
              <w:t>(235)</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(22.5)%</w:t>
            </w:r>
          </w:p>
        </w:tc>
      </w:tr>
      <w:tr>
        <w:trPr>
          <w:trHeight w:val="280"/>
        </w:trPr>
        <w:tc>
          <w:tcPr>
            <w:tcW w:w="288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Class B</w:t>
            </w:r>
          </w:p>
        </w:tc>
        <w:tc>
          <w:tcPr>
            <w:tcW w:w="1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277</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198</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79</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39.9 %</w:t>
            </w:r>
          </w:p>
        </w:tc>
      </w:tr>
      <w:tr>
        <w:trPr>
          <w:trHeight w:val="264"/>
        </w:trPr>
        <w:tc>
          <w:tcPr>
            <w:tcW w:w="2880" w:type="dxa"/>
            <w:vAlign w:val="bottom"/>
            <w:tcBorders>
              <w:bottom w:val="single" w:sz="8" w:color="CCEEFF"/>
            </w:tcBorders>
            <w:gridSpan w:val="3"/>
          </w:tcPr>
          <w:p>
            <w:pPr>
              <w:ind w:left="180"/>
              <w:spacing w:after="0"/>
              <w:rPr>
                <w:sz w:val="20"/>
                <w:szCs w:val="20"/>
                <w:color w:val="auto"/>
              </w:rPr>
            </w:pPr>
            <w:r>
              <w:rPr>
                <w:rFonts w:ascii="Arial" w:cs="Arial" w:eastAsia="Arial" w:hAnsi="Arial"/>
                <w:sz w:val="16"/>
                <w:szCs w:val="16"/>
                <w:color w:val="auto"/>
              </w:rPr>
              <w:t>Class C</w:t>
            </w: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1,017</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48.3%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812</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205</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25.2 %</w:t>
            </w:r>
          </w:p>
        </w:tc>
      </w:tr>
      <w:tr>
        <w:trPr>
          <w:trHeight w:val="240"/>
        </w:trPr>
        <w:tc>
          <w:tcPr>
            <w:tcW w:w="28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Total motorhome deliveries</w:t>
            </w:r>
          </w:p>
        </w:tc>
        <w:tc>
          <w:tcPr>
            <w:tcW w:w="1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2,104</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2,055</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49</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2.4 %</w:t>
            </w:r>
          </w:p>
        </w:tc>
      </w:tr>
      <w:tr>
        <w:trPr>
          <w:trHeight w:val="20"/>
        </w:trPr>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7"/>
        </w:trPr>
        <w:tc>
          <w:tcPr>
            <w:tcW w:w="1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288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ASP (in thousands)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100.2</w:t>
            </w: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100.6</w:t>
            </w: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(0.4)</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(0.4)%</w:t>
            </w:r>
          </w:p>
        </w:tc>
      </w:tr>
      <w:tr>
        <w:trPr>
          <w:trHeight w:val="284"/>
        </w:trPr>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28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Towables:</w:t>
            </w: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0"/>
        </w:trPr>
        <w:tc>
          <w:tcPr>
            <w:tcW w:w="2880" w:type="dxa"/>
            <w:vAlign w:val="bottom"/>
            <w:gridSpan w:val="3"/>
          </w:tcPr>
          <w:p>
            <w:pPr>
              <w:ind w:left="180"/>
              <w:spacing w:after="0"/>
              <w:rPr>
                <w:sz w:val="20"/>
                <w:szCs w:val="20"/>
                <w:color w:val="auto"/>
              </w:rPr>
            </w:pPr>
            <w:r>
              <w:rPr>
                <w:rFonts w:ascii="Arial" w:cs="Arial" w:eastAsia="Arial" w:hAnsi="Arial"/>
                <w:sz w:val="16"/>
                <w:szCs w:val="16"/>
                <w:color w:val="auto"/>
              </w:rPr>
              <w:t>Travel trailer</w:t>
            </w:r>
          </w:p>
        </w:tc>
        <w:tc>
          <w:tcPr>
            <w:tcW w:w="140" w:type="dxa"/>
            <w:vAlign w:val="bottom"/>
          </w:tcPr>
          <w:p>
            <w:pPr>
              <w:spacing w:after="0"/>
              <w:rPr>
                <w:sz w:val="22"/>
                <w:szCs w:val="22"/>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508</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84.0%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463</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80.5%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45</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9.7 %</w:t>
            </w:r>
          </w:p>
        </w:tc>
      </w:tr>
      <w:tr>
        <w:trPr>
          <w:trHeight w:val="273"/>
        </w:trPr>
        <w:tc>
          <w:tcPr>
            <w:tcW w:w="288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Fifth wheel</w:t>
            </w:r>
          </w:p>
        </w:tc>
        <w:tc>
          <w:tcPr>
            <w:tcW w:w="1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97</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112</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(15)</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(13.4)%</w:t>
            </w:r>
          </w:p>
        </w:tc>
      </w:tr>
      <w:tr>
        <w:trPr>
          <w:trHeight w:val="280"/>
        </w:trPr>
        <w:tc>
          <w:tcPr>
            <w:tcW w:w="2880" w:type="dxa"/>
            <w:vAlign w:val="bottom"/>
            <w:tcBorders>
              <w:bottom w:val="single" w:sz="8" w:color="CCEEFF"/>
            </w:tcBorders>
            <w:gridSpan w:val="3"/>
          </w:tcPr>
          <w:p>
            <w:pPr>
              <w:ind w:left="180"/>
              <w:spacing w:after="0"/>
              <w:rPr>
                <w:sz w:val="20"/>
                <w:szCs w:val="20"/>
                <w:color w:val="auto"/>
              </w:rPr>
            </w:pPr>
            <w:r>
              <w:rPr>
                <w:rFonts w:ascii="Arial" w:cs="Arial" w:eastAsia="Arial" w:hAnsi="Arial"/>
                <w:sz w:val="16"/>
                <w:szCs w:val="16"/>
                <w:color w:val="auto"/>
              </w:rPr>
              <w:t>Total towable deliveries</w:t>
            </w: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605</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575</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30</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5.2 %</w:t>
            </w:r>
          </w:p>
        </w:tc>
      </w:tr>
      <w:tr>
        <w:trPr>
          <w:trHeight w:val="267"/>
        </w:trPr>
        <w:tc>
          <w:tcPr>
            <w:tcW w:w="12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51"/>
        </w:trPr>
        <w:tc>
          <w:tcPr>
            <w:tcW w:w="2880" w:type="dxa"/>
            <w:vAlign w:val="bottom"/>
            <w:gridSpan w:val="3"/>
          </w:tcPr>
          <w:p>
            <w:pPr>
              <w:ind w:left="180"/>
              <w:spacing w:after="0"/>
              <w:rPr>
                <w:sz w:val="20"/>
                <w:szCs w:val="20"/>
                <w:color w:val="auto"/>
              </w:rPr>
            </w:pPr>
            <w:r>
              <w:rPr>
                <w:rFonts w:ascii="Arial" w:cs="Arial" w:eastAsia="Arial" w:hAnsi="Arial"/>
                <w:sz w:val="16"/>
                <w:szCs w:val="16"/>
                <w:color w:val="auto"/>
              </w:rPr>
              <w:t>ASP (in thousands)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25.7</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23.9</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1.8</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7.7 %</w:t>
            </w:r>
          </w:p>
        </w:tc>
      </w:tr>
    </w:tbl>
    <w:p>
      <w:pPr>
        <w:ind w:left="160" w:hanging="152"/>
        <w:spacing w:after="0" w:line="227" w:lineRule="auto"/>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40" w:type="dxa"/>
            <w:vAlign w:val="bottom"/>
            <w:gridSpan w:val="2"/>
          </w:tcPr>
          <w:p>
            <w:pPr>
              <w:spacing w:after="0"/>
              <w:rPr>
                <w:sz w:val="20"/>
                <w:szCs w:val="20"/>
                <w:color w:val="auto"/>
              </w:rPr>
            </w:pPr>
            <w:r>
              <w:rPr>
                <w:rFonts w:ascii="Arial" w:cs="Arial" w:eastAsia="Arial" w:hAnsi="Arial"/>
                <w:sz w:val="16"/>
                <w:szCs w:val="16"/>
                <w:color w:val="auto"/>
              </w:rPr>
              <w:t>Net revenues consisted of the following:</w:t>
            </w: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1"/>
        </w:trPr>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98"/>
        </w:trPr>
        <w:tc>
          <w:tcPr>
            <w:tcW w:w="2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February 28,</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b w:val="1"/>
                <w:bCs w:val="1"/>
                <w:color w:val="auto"/>
              </w:rPr>
              <w:t>March 1,</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419"/>
              <w:spacing w:after="0"/>
              <w:rPr>
                <w:sz w:val="20"/>
                <w:szCs w:val="20"/>
                <w:color w:val="auto"/>
              </w:rPr>
            </w:pPr>
            <w:r>
              <w:rPr>
                <w:rFonts w:ascii="Arial" w:cs="Arial" w:eastAsia="Arial" w:hAnsi="Arial"/>
                <w:sz w:val="16"/>
                <w:szCs w:val="16"/>
                <w:b w:val="1"/>
                <w:bCs w:val="1"/>
                <w:color w:val="auto"/>
              </w:rPr>
              <w:t>Increase</w:t>
            </w: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28"/>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2015</w:t>
            </w: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2014</w:t>
            </w: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(Decrease)</w:t>
            </w: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57"/>
        </w:trPr>
        <w:tc>
          <w:tcPr>
            <w:tcW w:w="3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Motorhomes </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212,329</w:t>
            </w: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90.5%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207,406</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90.6%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4,923</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2.4 %</w:t>
            </w:r>
          </w:p>
        </w:tc>
      </w:tr>
      <w:tr>
        <w:trPr>
          <w:trHeight w:val="270"/>
        </w:trPr>
        <w:tc>
          <w:tcPr>
            <w:tcW w:w="3040" w:type="dxa"/>
            <w:vAlign w:val="bottom"/>
            <w:gridSpan w:val="2"/>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1500" w:type="dxa"/>
            <w:vAlign w:val="bottom"/>
          </w:tcPr>
          <w:p>
            <w:pPr>
              <w:jc w:val="right"/>
              <w:ind w:right="599"/>
              <w:spacing w:after="0"/>
              <w:rPr>
                <w:sz w:val="20"/>
                <w:szCs w:val="20"/>
                <w:color w:val="auto"/>
              </w:rPr>
            </w:pPr>
            <w:r>
              <w:rPr>
                <w:rFonts w:ascii="Arial" w:cs="Arial" w:eastAsia="Arial" w:hAnsi="Arial"/>
                <w:sz w:val="16"/>
                <w:szCs w:val="16"/>
                <w:color w:val="auto"/>
              </w:rPr>
              <w:t>15,351</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80" w:type="dxa"/>
            <w:vAlign w:val="bottom"/>
          </w:tcPr>
          <w:p>
            <w:pPr>
              <w:jc w:val="right"/>
              <w:ind w:right="499"/>
              <w:spacing w:after="0"/>
              <w:rPr>
                <w:sz w:val="20"/>
                <w:szCs w:val="20"/>
                <w:color w:val="auto"/>
              </w:rPr>
            </w:pPr>
            <w:r>
              <w:rPr>
                <w:rFonts w:ascii="Arial" w:cs="Arial" w:eastAsia="Arial" w:hAnsi="Arial"/>
                <w:sz w:val="16"/>
                <w:szCs w:val="16"/>
                <w:color w:val="auto"/>
              </w:rPr>
              <w:t>13,726</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1,625</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11.8 %</w:t>
            </w:r>
          </w:p>
        </w:tc>
      </w:tr>
      <w:tr>
        <w:trPr>
          <w:trHeight w:val="264"/>
        </w:trPr>
        <w:tc>
          <w:tcPr>
            <w:tcW w:w="3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manufactured products</w:t>
            </w:r>
          </w:p>
        </w:tc>
        <w:tc>
          <w:tcPr>
            <w:tcW w:w="36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rPr>
              <w:t>6,863</w:t>
            </w:r>
          </w:p>
        </w:tc>
        <w:tc>
          <w:tcPr>
            <w:tcW w:w="7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7,679</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(816)</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(10.6)%</w:t>
            </w:r>
          </w:p>
        </w:tc>
      </w:tr>
      <w:tr>
        <w:trPr>
          <w:trHeight w:val="237"/>
        </w:trPr>
        <w:tc>
          <w:tcPr>
            <w:tcW w:w="3040" w:type="dxa"/>
            <w:vAlign w:val="bottom"/>
            <w:gridSpan w:val="2"/>
          </w:tcPr>
          <w:p>
            <w:pPr>
              <w:ind w:left="40"/>
              <w:spacing w:after="0"/>
              <w:rPr>
                <w:sz w:val="20"/>
                <w:szCs w:val="20"/>
                <w:color w:val="auto"/>
              </w:rPr>
            </w:pPr>
            <w:r>
              <w:rPr>
                <w:rFonts w:ascii="Arial" w:cs="Arial" w:eastAsia="Arial" w:hAnsi="Arial"/>
                <w:sz w:val="16"/>
                <w:szCs w:val="16"/>
                <w:color w:val="auto"/>
              </w:rPr>
              <w:t>Total net revenues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599"/>
              <w:spacing w:after="0"/>
              <w:rPr>
                <w:sz w:val="20"/>
                <w:szCs w:val="20"/>
                <w:color w:val="auto"/>
              </w:rPr>
            </w:pPr>
            <w:r>
              <w:rPr>
                <w:rFonts w:ascii="Arial" w:cs="Arial" w:eastAsia="Arial" w:hAnsi="Arial"/>
                <w:sz w:val="16"/>
                <w:szCs w:val="16"/>
                <w:color w:val="auto"/>
              </w:rPr>
              <w:t>234,543</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99"/>
              <w:spacing w:after="0"/>
              <w:rPr>
                <w:sz w:val="20"/>
                <w:szCs w:val="20"/>
                <w:color w:val="auto"/>
              </w:rPr>
            </w:pPr>
            <w:r>
              <w:rPr>
                <w:rFonts w:ascii="Arial" w:cs="Arial" w:eastAsia="Arial" w:hAnsi="Arial"/>
                <w:sz w:val="16"/>
                <w:szCs w:val="16"/>
                <w:color w:val="auto"/>
              </w:rPr>
              <w:t>228,811</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5,732</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2.5 %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3810</wp:posOffset>
            </wp:positionV>
            <wp:extent cx="532574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25745" cy="26035"/>
                    </a:xfrm>
                    <a:prstGeom prst="rect">
                      <a:avLst/>
                    </a:prstGeom>
                    <a:noFill/>
                  </pic:spPr>
                </pic:pic>
              </a:graphicData>
            </a:graphic>
          </wp:anchor>
        </w:drawing>
      </w:r>
    </w:p>
    <w:p>
      <w:pPr>
        <w:ind w:left="260" w:hanging="238"/>
        <w:spacing w:after="0"/>
        <w:tabs>
          <w:tab w:leader="none" w:pos="2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Includes motorhome units, parts and services, and net motorhome lease revenue.</w:t>
      </w:r>
    </w:p>
    <w:p>
      <w:pPr>
        <w:ind w:left="260" w:hanging="238"/>
        <w:spacing w:after="0" w:line="199" w:lineRule="auto"/>
        <w:tabs>
          <w:tab w:leader="none" w:pos="2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Motorhome net revenues increased $4.9 million or 2.4% in the second quarter of Fiscal 2015 attributed primarily to a 2.4% increase in unit deliveries.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Motorhome ASP dropped slightly due to a shift from Class A products to Class B and C unit sales in the second quarter of Fiscal 2015.</w:t>
      </w:r>
    </w:p>
    <w:p>
      <w:pPr>
        <w:spacing w:after="0" w:line="194"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The increase in Towables revenues of $1.6 million or 11.8% was attributed to an increase in ASP of 7.7% and a 5.2% increase in unit deliveries as compared to the second quarter of Fiscal 2014.</w:t>
      </w:r>
    </w:p>
    <w:p>
      <w:pPr>
        <w:spacing w:after="0" w:line="169" w:lineRule="exact"/>
        <w:rPr>
          <w:sz w:val="20"/>
          <w:szCs w:val="20"/>
          <w:color w:val="auto"/>
        </w:rPr>
      </w:pPr>
    </w:p>
    <w:p>
      <w:pPr>
        <w:ind w:right="220"/>
        <w:spacing w:after="0" w:line="246" w:lineRule="auto"/>
        <w:rPr>
          <w:sz w:val="20"/>
          <w:szCs w:val="20"/>
          <w:color w:val="auto"/>
        </w:rPr>
      </w:pPr>
      <w:r>
        <w:rPr>
          <w:rFonts w:ascii="Arial" w:cs="Arial" w:eastAsia="Arial" w:hAnsi="Arial"/>
          <w:sz w:val="16"/>
          <w:szCs w:val="16"/>
          <w:color w:val="auto"/>
        </w:rPr>
        <w:t>Cost of goods sold was $210.3 million, or 89.7% of net revenues for the second quarter of Fiscal 2015 compared to $206.0 million, or 90.0% of net revenues for the same period a year ago due to the following:</w:t>
      </w:r>
    </w:p>
    <w:p>
      <w:pPr>
        <w:spacing w:after="0" w:line="1" w:lineRule="exact"/>
        <w:rPr>
          <w:sz w:val="20"/>
          <w:szCs w:val="20"/>
          <w:color w:val="auto"/>
        </w:rPr>
      </w:pPr>
    </w:p>
    <w:p>
      <w:pPr>
        <w:ind w:left="340" w:right="140" w:hanging="332"/>
        <w:spacing w:after="0" w:line="246"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Total variable costs (materials, direct labor, variable overhead, delivery expense and warranty), as a percent of net revenues, slightly decreased to 84.4% compared to 84.5%.</w:t>
      </w:r>
    </w:p>
    <w:p>
      <w:pPr>
        <w:ind w:left="340" w:hanging="332"/>
        <w:spacing w:after="0" w:line="246"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research and development-related costs decreased to 5.2% compared to 5.5% of net revenues, mostly a result of higher production levels which resulted in increased absorption of fixed costs.</w:t>
      </w: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 factors considered, gross profit increased to 10.3% from 10.0% of net revenues.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Selling expenses were $4.8 million and $4.5 million, or 2.1% and 2.0% of net revenues in the second quarter of Fiscal 2015 and Fiscal 2014, respectively.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Increases in the second quarter of Fiscal 2015 included advertising and product promotions as compared to the prior year.</w:t>
      </w:r>
    </w:p>
    <w:p>
      <w:pPr>
        <w:spacing w:after="0" w:line="167" w:lineRule="exact"/>
        <w:rPr>
          <w:sz w:val="20"/>
          <w:szCs w:val="20"/>
          <w:color w:val="auto"/>
        </w:rPr>
      </w:pPr>
    </w:p>
    <w:p>
      <w:pPr>
        <w:ind w:right="360"/>
        <w:spacing w:after="0" w:line="251" w:lineRule="auto"/>
        <w:rPr>
          <w:sz w:val="20"/>
          <w:szCs w:val="20"/>
          <w:color w:val="auto"/>
        </w:rPr>
      </w:pPr>
      <w:r>
        <w:rPr>
          <w:rFonts w:ascii="Arial" w:cs="Arial" w:eastAsia="Arial" w:hAnsi="Arial"/>
          <w:sz w:val="16"/>
          <w:szCs w:val="16"/>
          <w:color w:val="auto"/>
        </w:rPr>
        <w:t>General and administrative expenses were $7.5 million and $4.9 million, or 3.2% and 2.2% of net revenues in the second quarter of Fiscal 2015 and Fiscal 2014, respectively. The increase in the second quarter of Fiscal 2015 was primarily related to costs associated with ERP implementation and a strategic sourcing project which totaled $1.5 million. In addition, we incurred increased legal expenses of approximately $500,000 and increased equipment maintenance costs.</w:t>
      </w:r>
    </w:p>
    <w:p>
      <w:pPr>
        <w:sectPr>
          <w:pgSz w:w="11900" w:h="16838" w:orient="portrait"/>
          <w:cols w:equalWidth="0" w:num="1">
            <w:col w:w="11420"/>
          </w:cols>
          <w:pgMar w:left="240" w:top="118" w:right="2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18" w:right="239" w:bottom="1440" w:gutter="0" w:footer="0" w:header="0"/>
          <w:type w:val="continuous"/>
        </w:sectPr>
      </w:pPr>
    </w:p>
    <w:bookmarkStart w:id="19" w:name="page20"/>
    <w:bookmarkEnd w:id="1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During the second quarter of Fiscal 2014 we realized a gain of $629,000 on the sale of a leased warehouse facility.</w:t>
      </w:r>
    </w:p>
    <w:p>
      <w:pPr>
        <w:spacing w:after="0" w:line="248"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The overall effective income tax rate for the second quarter of Fiscal 2015 was 32.4% compared to the effective tax rate of 31.3% for the same period in Fiscal 2014. The increase in tax rate for the second quarter of Fiscal 2015 is primarily a result of the increased estimated state taxes, lower tax-free income and tax credits. The legislation for various applicable tax credits expired on December 31, 2014; therefore our projected benefits for these credits are limited to four months of our fiscal year.</w:t>
      </w:r>
    </w:p>
    <w:p>
      <w:pPr>
        <w:spacing w:after="0" w:line="149" w:lineRule="exact"/>
        <w:rPr>
          <w:sz w:val="20"/>
          <w:szCs w:val="20"/>
          <w:color w:val="auto"/>
        </w:rPr>
      </w:pPr>
    </w:p>
    <w:p>
      <w:pPr>
        <w:jc w:val="both"/>
        <w:ind w:right="240"/>
        <w:spacing w:after="0" w:line="253" w:lineRule="auto"/>
        <w:rPr>
          <w:sz w:val="20"/>
          <w:szCs w:val="20"/>
          <w:color w:val="auto"/>
        </w:rPr>
      </w:pPr>
      <w:r>
        <w:rPr>
          <w:rFonts w:ascii="Arial" w:cs="Arial" w:eastAsia="Arial" w:hAnsi="Arial"/>
          <w:sz w:val="16"/>
          <w:szCs w:val="16"/>
          <w:color w:val="auto"/>
        </w:rPr>
        <w:t>Net income and diluted income per share were $8.1 million and $0.30 per share, respectively, for the second quarter of Fiscal 2015. In the second quarter of Fiscal 2014, net income was $9.6 million and diluted income was $0.35 per share. The impact of stock repurchases in the last twelve months on diluted net income per share was an increase of $0.01 for the second quarter of Fiscal 2015. See Part II, Item 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Six Months of Fiscal 2015 Compared to the Comparable Six Months of Fiscal 2014</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key items included in the statements of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3"/>
          </w:tcPr>
          <w:p>
            <w:pPr>
              <w:ind w:left="52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198"/>
        </w:trPr>
        <w:tc>
          <w:tcPr>
            <w:tcW w:w="288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percent</w:t>
            </w:r>
          </w:p>
        </w:tc>
        <w:tc>
          <w:tcPr>
            <w:tcW w:w="120" w:type="dxa"/>
            <w:vAlign w:val="bottom"/>
          </w:tcPr>
          <w:p>
            <w:pPr>
              <w:spacing w:after="0"/>
              <w:rPr>
                <w:sz w:val="17"/>
                <w:szCs w:val="17"/>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rPr>
              <w:t>February 28,</w:t>
            </w:r>
          </w:p>
        </w:tc>
        <w:tc>
          <w:tcPr>
            <w:tcW w:w="1440" w:type="dxa"/>
            <w:vAlign w:val="bottom"/>
            <w:gridSpan w:val="2"/>
          </w:tcPr>
          <w:p>
            <w:pPr>
              <w:ind w:left="46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7"/>
                <w:szCs w:val="17"/>
                <w:color w:val="auto"/>
              </w:rPr>
            </w:pPr>
          </w:p>
        </w:tc>
        <w:tc>
          <w:tcPr>
            <w:tcW w:w="1280" w:type="dxa"/>
            <w:vAlign w:val="bottom"/>
          </w:tcPr>
          <w:p>
            <w:pPr>
              <w:jc w:val="right"/>
              <w:ind w:right="419"/>
              <w:spacing w:after="0"/>
              <w:rPr>
                <w:sz w:val="20"/>
                <w:szCs w:val="20"/>
                <w:color w:val="auto"/>
              </w:rPr>
            </w:pPr>
            <w:r>
              <w:rPr>
                <w:rFonts w:ascii="Arial" w:cs="Arial" w:eastAsia="Arial" w:hAnsi="Arial"/>
                <w:sz w:val="16"/>
                <w:szCs w:val="16"/>
                <w:b w:val="1"/>
                <w:bCs w:val="1"/>
                <w:color w:val="auto"/>
              </w:rPr>
              <w:t>March 1,</w:t>
            </w:r>
          </w:p>
        </w:tc>
        <w:tc>
          <w:tcPr>
            <w:tcW w:w="1500" w:type="dxa"/>
            <w:vAlign w:val="bottom"/>
            <w:gridSpan w:val="2"/>
          </w:tcPr>
          <w:p>
            <w:pPr>
              <w:ind w:left="50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7"/>
                <w:szCs w:val="17"/>
                <w:color w:val="auto"/>
              </w:rPr>
            </w:pPr>
          </w:p>
        </w:tc>
        <w:tc>
          <w:tcPr>
            <w:tcW w:w="1300" w:type="dxa"/>
            <w:vAlign w:val="bottom"/>
          </w:tcPr>
          <w:p>
            <w:pPr>
              <w:jc w:val="right"/>
              <w:ind w:right="399"/>
              <w:spacing w:after="0"/>
              <w:rPr>
                <w:sz w:val="20"/>
                <w:szCs w:val="20"/>
                <w:color w:val="auto"/>
              </w:rPr>
            </w:pPr>
            <w:r>
              <w:rPr>
                <w:rFonts w:ascii="Arial" w:cs="Arial" w:eastAsia="Arial" w:hAnsi="Arial"/>
                <w:sz w:val="16"/>
                <w:szCs w:val="16"/>
                <w:b w:val="1"/>
                <w:bCs w:val="1"/>
                <w:color w:val="auto"/>
              </w:rPr>
              <w:t>Increase</w:t>
            </w:r>
          </w:p>
        </w:tc>
        <w:tc>
          <w:tcPr>
            <w:tcW w:w="120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34"/>
        </w:trPr>
        <w:tc>
          <w:tcPr>
            <w:tcW w:w="27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and per share data)</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320" w:type="dxa"/>
            <w:vAlign w:val="bottom"/>
            <w:tcBorders>
              <w:bottom w:val="single" w:sz="8" w:color="auto"/>
            </w:tcBorders>
          </w:tcPr>
          <w:p>
            <w:pPr>
              <w:jc w:val="right"/>
              <w:ind w:right="15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2014</w:t>
            </w:r>
          </w:p>
        </w:tc>
        <w:tc>
          <w:tcPr>
            <w:tcW w:w="1400" w:type="dxa"/>
            <w:vAlign w:val="bottom"/>
            <w:tcBorders>
              <w:bottom w:val="single" w:sz="8" w:color="auto"/>
            </w:tcBorders>
          </w:tcPr>
          <w:p>
            <w:pPr>
              <w:jc w:val="right"/>
              <w:ind w:right="19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(Decrease)</w:t>
            </w:r>
          </w:p>
        </w:tc>
        <w:tc>
          <w:tcPr>
            <w:tcW w:w="12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458,946</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451,481</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7,465</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1.7 %</w:t>
            </w:r>
          </w:p>
        </w:tc>
      </w:tr>
      <w:tr>
        <w:trPr>
          <w:trHeight w:val="264"/>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410,302</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402,674</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89.2 %</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7,628</w:t>
            </w: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1.9 %</w:t>
            </w:r>
          </w:p>
        </w:tc>
      </w:tr>
      <w:tr>
        <w:trPr>
          <w:trHeight w:val="25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48,644</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48,807</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10.8 %</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(163)</w:t>
            </w: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(0.3)%</w:t>
            </w:r>
          </w:p>
        </w:tc>
      </w:tr>
      <w:tr>
        <w:trPr>
          <w:trHeight w:val="284"/>
        </w:trPr>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9,553</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8,822</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731</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8.3 %</w:t>
            </w:r>
          </w:p>
        </w:tc>
      </w:tr>
      <w:tr>
        <w:trPr>
          <w:trHeight w:val="260"/>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22"/>
                <w:szCs w:val="22"/>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12,701</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10,572</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239"/>
              <w:spacing w:after="0"/>
              <w:rPr>
                <w:sz w:val="20"/>
                <w:szCs w:val="20"/>
                <w:color w:val="auto"/>
              </w:rPr>
            </w:pPr>
            <w:r>
              <w:rPr>
                <w:rFonts w:ascii="Arial" w:cs="Arial" w:eastAsia="Arial" w:hAnsi="Arial"/>
                <w:sz w:val="16"/>
                <w:szCs w:val="16"/>
                <w:color w:val="auto"/>
              </w:rPr>
              <w:t>2,129</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20.1 %</w:t>
            </w:r>
          </w:p>
        </w:tc>
      </w:tr>
      <w:tr>
        <w:trPr>
          <w:trHeight w:val="273"/>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Gain on sale of real estate</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(629)</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629</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r>
      <w:tr>
        <w:trPr>
          <w:trHeight w:val="250"/>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Operating expenses</w:t>
            </w:r>
          </w:p>
        </w:tc>
        <w:tc>
          <w:tcPr>
            <w:tcW w:w="1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22,254</w:t>
            </w:r>
          </w:p>
        </w:tc>
        <w:tc>
          <w:tcPr>
            <w:tcW w:w="13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18,765</w:t>
            </w:r>
          </w:p>
        </w:tc>
        <w:tc>
          <w:tcPr>
            <w:tcW w:w="14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4.2 %</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3,489</w:t>
            </w:r>
          </w:p>
        </w:tc>
        <w:tc>
          <w:tcPr>
            <w:tcW w:w="12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18.6 %</w:t>
            </w:r>
          </w:p>
        </w:tc>
      </w:tr>
      <w:tr>
        <w:trPr>
          <w:trHeight w:val="284"/>
        </w:trPr>
        <w:tc>
          <w:tcPr>
            <w:tcW w:w="2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0"/>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120" w:type="dxa"/>
            <w:vAlign w:val="bottom"/>
          </w:tcPr>
          <w:p>
            <w:pPr>
              <w:spacing w:after="0"/>
              <w:rPr>
                <w:sz w:val="22"/>
                <w:szCs w:val="22"/>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26,390</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30,042</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6.7 %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(3,652)</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(12.2)%</w:t>
            </w:r>
          </w:p>
        </w:tc>
      </w:tr>
      <w:tr>
        <w:trPr>
          <w:trHeight w:val="273"/>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35</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17</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18</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105.9 %</w:t>
            </w:r>
          </w:p>
        </w:tc>
      </w:tr>
      <w:tr>
        <w:trPr>
          <w:trHeight w:val="247"/>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1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26,425</w:t>
            </w:r>
          </w:p>
        </w:tc>
        <w:tc>
          <w:tcPr>
            <w:tcW w:w="13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30,059</w:t>
            </w:r>
          </w:p>
        </w:tc>
        <w:tc>
          <w:tcPr>
            <w:tcW w:w="1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6.7 %</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(3,634)</w:t>
            </w:r>
          </w:p>
        </w:tc>
        <w:tc>
          <w:tcPr>
            <w:tcW w:w="12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(12.1)%</w:t>
            </w:r>
          </w:p>
        </w:tc>
      </w:tr>
      <w:tr>
        <w:trPr>
          <w:trHeight w:val="273"/>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taxes</w:t>
            </w:r>
          </w:p>
        </w:tc>
        <w:tc>
          <w:tcPr>
            <w:tcW w:w="1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8,434</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9,320</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(886)</w:t>
            </w: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(9.5)%</w:t>
            </w:r>
          </w:p>
        </w:tc>
      </w:tr>
      <w:tr>
        <w:trPr>
          <w:trHeight w:val="280"/>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17,991</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20,739</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4.6 %</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(2,748)</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(13.3)%</w:t>
            </w:r>
          </w:p>
        </w:tc>
      </w:tr>
      <w:tr>
        <w:trPr>
          <w:trHeight w:val="267"/>
        </w:trPr>
        <w:tc>
          <w:tcPr>
            <w:tcW w:w="2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0"/>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Diluted income per share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0.67</w:t>
            </w: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0.74</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(0.07)</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(9.5)%</w:t>
            </w:r>
          </w:p>
        </w:tc>
      </w:tr>
      <w:tr>
        <w:trPr>
          <w:trHeight w:val="28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Diluted average shares outstanding</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27,048</w:t>
            </w: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27,850</w:t>
            </w: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(802)</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w:t>
            </w:r>
          </w:p>
        </w:tc>
      </w:tr>
    </w:tbl>
    <w:p>
      <w:pPr>
        <w:spacing w:after="0" w:line="24" w:lineRule="exact"/>
        <w:rPr>
          <w:sz w:val="20"/>
          <w:szCs w:val="20"/>
          <w:color w:val="auto"/>
        </w:rPr>
      </w:pPr>
    </w:p>
    <w:p>
      <w:pPr>
        <w:ind w:left="160" w:hanging="152"/>
        <w:spacing w:after="0"/>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41"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4"/>
        </w:trPr>
        <w:tc>
          <w:tcPr>
            <w:tcW w:w="2880" w:type="dxa"/>
            <w:vAlign w:val="bottom"/>
            <w:gridSpan w:val="3"/>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446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60"/>
        </w:trPr>
        <w:tc>
          <w:tcPr>
            <w:tcW w:w="5720" w:type="dxa"/>
            <w:vAlign w:val="bottom"/>
            <w:gridSpan w:val="7"/>
          </w:tcPr>
          <w:p>
            <w:pPr>
              <w:spacing w:after="0"/>
              <w:rPr>
                <w:sz w:val="20"/>
                <w:szCs w:val="20"/>
                <w:color w:val="auto"/>
              </w:rPr>
            </w:pPr>
            <w:r>
              <w:rPr>
                <w:rFonts w:ascii="Arial" w:cs="Arial" w:eastAsia="Arial" w:hAnsi="Arial"/>
                <w:sz w:val="16"/>
                <w:szCs w:val="16"/>
                <w:color w:val="auto"/>
              </w:rPr>
              <w:t>Unit deliveries and ASP, net of discounts, consisted of the following:</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05"/>
        </w:trPr>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ind w:left="520"/>
              <w:spacing w:after="0"/>
              <w:rPr>
                <w:sz w:val="20"/>
                <w:szCs w:val="20"/>
                <w:color w:val="auto"/>
              </w:rPr>
            </w:pPr>
            <w:r>
              <w:rPr>
                <w:rFonts w:ascii="Arial" w:cs="Arial" w:eastAsia="Arial" w:hAnsi="Arial"/>
                <w:sz w:val="16"/>
                <w:szCs w:val="16"/>
                <w:b w:val="1"/>
                <w:bCs w:val="1"/>
                <w:color w:val="auto"/>
              </w:rPr>
              <w:t>Six Months Ended</w:t>
            </w: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259"/>
              <w:spacing w:after="0"/>
              <w:rPr>
                <w:sz w:val="20"/>
                <w:szCs w:val="20"/>
                <w:color w:val="auto"/>
              </w:rPr>
            </w:pPr>
            <w:r>
              <w:rPr>
                <w:rFonts w:ascii="Arial" w:cs="Arial" w:eastAsia="Arial" w:hAnsi="Arial"/>
                <w:sz w:val="16"/>
                <w:szCs w:val="16"/>
                <w:b w:val="1"/>
                <w:bCs w:val="1"/>
                <w:color w:val="auto"/>
              </w:rPr>
              <w:t>February 28,</w:t>
            </w:r>
          </w:p>
        </w:tc>
        <w:tc>
          <w:tcPr>
            <w:tcW w:w="1400" w:type="dxa"/>
            <w:vAlign w:val="bottom"/>
            <w:gridSpan w:val="2"/>
          </w:tcPr>
          <w:p>
            <w:pPr>
              <w:ind w:left="280"/>
              <w:spacing w:after="0"/>
              <w:rPr>
                <w:sz w:val="20"/>
                <w:szCs w:val="20"/>
                <w:color w:val="auto"/>
              </w:rPr>
            </w:pPr>
            <w:r>
              <w:rPr>
                <w:rFonts w:ascii="Arial" w:cs="Arial" w:eastAsia="Arial" w:hAnsi="Arial"/>
                <w:sz w:val="16"/>
                <w:szCs w:val="16"/>
                <w:b w:val="1"/>
                <w:bCs w:val="1"/>
                <w:color w:val="auto"/>
              </w:rPr>
              <w:t>Product</w:t>
            </w:r>
          </w:p>
        </w:tc>
        <w:tc>
          <w:tcPr>
            <w:tcW w:w="220" w:type="dxa"/>
            <w:vAlign w:val="bottom"/>
          </w:tcPr>
          <w:p>
            <w:pPr>
              <w:spacing w:after="0"/>
              <w:rPr>
                <w:sz w:val="17"/>
                <w:szCs w:val="17"/>
                <w:color w:val="auto"/>
              </w:rPr>
            </w:pPr>
          </w:p>
        </w:tc>
        <w:tc>
          <w:tcPr>
            <w:tcW w:w="1300" w:type="dxa"/>
            <w:vAlign w:val="bottom"/>
          </w:tcPr>
          <w:p>
            <w:pPr>
              <w:jc w:val="right"/>
              <w:ind w:right="459"/>
              <w:spacing w:after="0"/>
              <w:rPr>
                <w:sz w:val="20"/>
                <w:szCs w:val="20"/>
                <w:color w:val="auto"/>
              </w:rPr>
            </w:pPr>
            <w:r>
              <w:rPr>
                <w:rFonts w:ascii="Arial" w:cs="Arial" w:eastAsia="Arial" w:hAnsi="Arial"/>
                <w:sz w:val="16"/>
                <w:szCs w:val="16"/>
                <w:b w:val="1"/>
                <w:bCs w:val="1"/>
                <w:color w:val="auto"/>
              </w:rPr>
              <w:t>March 1,</w:t>
            </w:r>
          </w:p>
        </w:tc>
        <w:tc>
          <w:tcPr>
            <w:tcW w:w="138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240" w:type="dxa"/>
            <w:vAlign w:val="bottom"/>
          </w:tcPr>
          <w:p>
            <w:pPr>
              <w:spacing w:after="0"/>
              <w:rPr>
                <w:sz w:val="17"/>
                <w:szCs w:val="17"/>
                <w:color w:val="auto"/>
              </w:rPr>
            </w:pPr>
          </w:p>
        </w:tc>
        <w:tc>
          <w:tcPr>
            <w:tcW w:w="1320" w:type="dxa"/>
            <w:vAlign w:val="bottom"/>
          </w:tcPr>
          <w:p>
            <w:pPr>
              <w:jc w:val="right"/>
              <w:ind w:right="299"/>
              <w:spacing w:after="0"/>
              <w:rPr>
                <w:sz w:val="20"/>
                <w:szCs w:val="20"/>
                <w:color w:val="auto"/>
              </w:rPr>
            </w:pPr>
            <w:r>
              <w:rPr>
                <w:rFonts w:ascii="Arial" w:cs="Arial" w:eastAsia="Arial" w:hAnsi="Arial"/>
                <w:sz w:val="16"/>
                <w:szCs w:val="16"/>
                <w:b w:val="1"/>
                <w:bCs w:val="1"/>
                <w:color w:val="auto"/>
              </w:rPr>
              <w:t>(Decrease)</w:t>
            </w:r>
          </w:p>
        </w:tc>
        <w:tc>
          <w:tcPr>
            <w:tcW w:w="124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r>
      <w:tr>
        <w:trPr>
          <w:trHeight w:val="234"/>
        </w:trPr>
        <w:tc>
          <w:tcPr>
            <w:tcW w:w="27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units)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2015</w:t>
            </w:r>
          </w:p>
        </w:tc>
        <w:tc>
          <w:tcPr>
            <w:tcW w:w="1300" w:type="dxa"/>
            <w:vAlign w:val="bottom"/>
            <w:tcBorders>
              <w:bottom w:val="single" w:sz="8" w:color="auto"/>
            </w:tcBorders>
          </w:tcPr>
          <w:p>
            <w:pPr>
              <w:jc w:val="right"/>
              <w:ind w:right="319"/>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2014</w:t>
            </w:r>
          </w:p>
        </w:tc>
        <w:tc>
          <w:tcPr>
            <w:tcW w:w="1280" w:type="dxa"/>
            <w:vAlign w:val="bottom"/>
            <w:tcBorders>
              <w:bottom w:val="single" w:sz="8" w:color="auto"/>
            </w:tcBorders>
          </w:tcPr>
          <w:p>
            <w:pPr>
              <w:ind w:left="26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Increase</w:t>
            </w:r>
          </w:p>
        </w:tc>
        <w:tc>
          <w:tcPr>
            <w:tcW w:w="12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264"/>
        </w:trPr>
        <w:tc>
          <w:tcPr>
            <w:tcW w:w="28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60"/>
        </w:trPr>
        <w:tc>
          <w:tcPr>
            <w:tcW w:w="2880" w:type="dxa"/>
            <w:vAlign w:val="bottom"/>
            <w:gridSpan w:val="3"/>
          </w:tcPr>
          <w:p>
            <w:pPr>
              <w:ind w:left="180"/>
              <w:spacing w:after="0"/>
              <w:rPr>
                <w:sz w:val="20"/>
                <w:szCs w:val="20"/>
                <w:color w:val="auto"/>
              </w:rPr>
            </w:pPr>
            <w:r>
              <w:rPr>
                <w:rFonts w:ascii="Arial" w:cs="Arial" w:eastAsia="Arial" w:hAnsi="Arial"/>
                <w:sz w:val="16"/>
                <w:szCs w:val="16"/>
                <w:color w:val="auto"/>
              </w:rPr>
              <w:t>Class A gas</w:t>
            </w:r>
          </w:p>
        </w:tc>
        <w:tc>
          <w:tcPr>
            <w:tcW w:w="120" w:type="dxa"/>
            <w:vAlign w:val="bottom"/>
          </w:tcPr>
          <w:p>
            <w:pPr>
              <w:spacing w:after="0"/>
              <w:rPr>
                <w:sz w:val="22"/>
                <w:szCs w:val="22"/>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1,139</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1,299</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(160)</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(12.3)%</w:t>
            </w:r>
          </w:p>
        </w:tc>
      </w:tr>
      <w:tr>
        <w:trPr>
          <w:trHeight w:val="273"/>
        </w:trPr>
        <w:tc>
          <w:tcPr>
            <w:tcW w:w="288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Class A diesel</w:t>
            </w:r>
          </w:p>
        </w:tc>
        <w:tc>
          <w:tcPr>
            <w:tcW w:w="1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598</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853</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(255)</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(29.9)%</w:t>
            </w:r>
          </w:p>
        </w:tc>
      </w:tr>
      <w:tr>
        <w:trPr>
          <w:trHeight w:val="247"/>
        </w:trPr>
        <w:tc>
          <w:tcPr>
            <w:tcW w:w="2880" w:type="dxa"/>
            <w:vAlign w:val="bottom"/>
            <w:gridSpan w:val="3"/>
          </w:tcPr>
          <w:p>
            <w:pPr>
              <w:ind w:left="180"/>
              <w:spacing w:after="0"/>
              <w:rPr>
                <w:sz w:val="20"/>
                <w:szCs w:val="20"/>
                <w:color w:val="auto"/>
              </w:rPr>
            </w:pPr>
            <w:r>
              <w:rPr>
                <w:rFonts w:ascii="Arial" w:cs="Arial" w:eastAsia="Arial" w:hAnsi="Arial"/>
                <w:sz w:val="16"/>
                <w:szCs w:val="16"/>
                <w:color w:val="auto"/>
              </w:rPr>
              <w:t>Total Class A</w:t>
            </w:r>
          </w:p>
        </w:tc>
        <w:tc>
          <w:tcPr>
            <w:tcW w:w="120" w:type="dxa"/>
            <w:vAlign w:val="bottom"/>
          </w:tcPr>
          <w:p>
            <w:pPr>
              <w:spacing w:after="0"/>
              <w:rPr>
                <w:sz w:val="21"/>
                <w:szCs w:val="21"/>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1,737</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2,152</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(415)</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(19.3)%</w:t>
            </w:r>
          </w:p>
        </w:tc>
      </w:tr>
      <w:tr>
        <w:trPr>
          <w:trHeight w:val="280"/>
        </w:trPr>
        <w:tc>
          <w:tcPr>
            <w:tcW w:w="288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Class B</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465</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300</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165</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55.0 %</w:t>
            </w:r>
          </w:p>
        </w:tc>
      </w:tr>
      <w:tr>
        <w:trPr>
          <w:trHeight w:val="264"/>
        </w:trPr>
        <w:tc>
          <w:tcPr>
            <w:tcW w:w="2880" w:type="dxa"/>
            <w:vAlign w:val="bottom"/>
            <w:tcBorders>
              <w:bottom w:val="single" w:sz="8" w:color="CCEEFF"/>
            </w:tcBorders>
            <w:gridSpan w:val="3"/>
          </w:tcPr>
          <w:p>
            <w:pPr>
              <w:ind w:left="180"/>
              <w:spacing w:after="0"/>
              <w:rPr>
                <w:sz w:val="20"/>
                <w:szCs w:val="20"/>
                <w:color w:val="auto"/>
              </w:rPr>
            </w:pPr>
            <w:r>
              <w:rPr>
                <w:rFonts w:ascii="Arial" w:cs="Arial" w:eastAsia="Arial" w:hAnsi="Arial"/>
                <w:sz w:val="16"/>
                <w:szCs w:val="16"/>
                <w:color w:val="auto"/>
              </w:rPr>
              <w:t>Class C</w:t>
            </w: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1,933</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46.7%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1,608</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39.6%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325</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20.2 %</w:t>
            </w:r>
          </w:p>
        </w:tc>
      </w:tr>
      <w:tr>
        <w:trPr>
          <w:trHeight w:val="243"/>
        </w:trPr>
        <w:tc>
          <w:tcPr>
            <w:tcW w:w="28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 xml:space="preserve">Total motorhome deliveries </w:t>
            </w:r>
            <w:r>
              <w:rPr>
                <w:rFonts w:ascii="Arial" w:cs="Arial" w:eastAsia="Arial" w:hAnsi="Arial"/>
                <w:sz w:val="21"/>
                <w:szCs w:val="21"/>
                <w:color w:val="auto"/>
                <w:vertAlign w:val="superscript"/>
              </w:rPr>
              <w:t>(2)</w:t>
            </w: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4,135</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4,060</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75</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1.8 %</w:t>
            </w:r>
          </w:p>
        </w:tc>
      </w:tr>
      <w:tr>
        <w:trPr>
          <w:trHeight w:val="20"/>
        </w:trPr>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12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0"/>
        </w:trPr>
        <w:tc>
          <w:tcPr>
            <w:tcW w:w="288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ASP (in thousands)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99.3</w:t>
            </w: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100.5</w:t>
            </w: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(1.3)</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r>
      <w:tr>
        <w:trPr>
          <w:trHeight w:val="284"/>
        </w:trPr>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28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Towables:</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0"/>
        </w:trPr>
        <w:tc>
          <w:tcPr>
            <w:tcW w:w="2880" w:type="dxa"/>
            <w:vAlign w:val="bottom"/>
            <w:gridSpan w:val="3"/>
          </w:tcPr>
          <w:p>
            <w:pPr>
              <w:ind w:left="180"/>
              <w:spacing w:after="0"/>
              <w:rPr>
                <w:sz w:val="20"/>
                <w:szCs w:val="20"/>
                <w:color w:val="auto"/>
              </w:rPr>
            </w:pPr>
            <w:r>
              <w:rPr>
                <w:rFonts w:ascii="Arial" w:cs="Arial" w:eastAsia="Arial" w:hAnsi="Arial"/>
                <w:sz w:val="16"/>
                <w:szCs w:val="16"/>
                <w:color w:val="auto"/>
              </w:rPr>
              <w:t>Travel trailer</w:t>
            </w:r>
          </w:p>
        </w:tc>
        <w:tc>
          <w:tcPr>
            <w:tcW w:w="120" w:type="dxa"/>
            <w:vAlign w:val="bottom"/>
          </w:tcPr>
          <w:p>
            <w:pPr>
              <w:spacing w:after="0"/>
              <w:rPr>
                <w:sz w:val="22"/>
                <w:szCs w:val="22"/>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969</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84.2%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870</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82.2%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ind w:right="279"/>
              <w:spacing w:after="0"/>
              <w:rPr>
                <w:sz w:val="20"/>
                <w:szCs w:val="20"/>
                <w:color w:val="auto"/>
              </w:rPr>
            </w:pPr>
            <w:r>
              <w:rPr>
                <w:rFonts w:ascii="Arial" w:cs="Arial" w:eastAsia="Arial" w:hAnsi="Arial"/>
                <w:sz w:val="16"/>
                <w:szCs w:val="16"/>
                <w:color w:val="auto"/>
              </w:rPr>
              <w:t>99</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11.4 %</w:t>
            </w:r>
          </w:p>
        </w:tc>
      </w:tr>
      <w:tr>
        <w:trPr>
          <w:trHeight w:val="273"/>
        </w:trPr>
        <w:tc>
          <w:tcPr>
            <w:tcW w:w="288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Fifth wheel</w:t>
            </w:r>
          </w:p>
        </w:tc>
        <w:tc>
          <w:tcPr>
            <w:tcW w:w="1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182</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189</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(3.7)%</w:t>
            </w:r>
          </w:p>
        </w:tc>
      </w:tr>
      <w:tr>
        <w:trPr>
          <w:trHeight w:val="280"/>
        </w:trPr>
        <w:tc>
          <w:tcPr>
            <w:tcW w:w="2880" w:type="dxa"/>
            <w:vAlign w:val="bottom"/>
            <w:tcBorders>
              <w:bottom w:val="single" w:sz="8" w:color="CCEEFF"/>
            </w:tcBorders>
            <w:gridSpan w:val="3"/>
          </w:tcPr>
          <w:p>
            <w:pPr>
              <w:ind w:left="180"/>
              <w:spacing w:after="0"/>
              <w:rPr>
                <w:sz w:val="20"/>
                <w:szCs w:val="20"/>
                <w:color w:val="auto"/>
              </w:rPr>
            </w:pPr>
            <w:r>
              <w:rPr>
                <w:rFonts w:ascii="Arial" w:cs="Arial" w:eastAsia="Arial" w:hAnsi="Arial"/>
                <w:sz w:val="16"/>
                <w:szCs w:val="16"/>
                <w:color w:val="auto"/>
              </w:rPr>
              <w:t>Total towable deliveries</w:t>
            </w: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1,151</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1,059</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92</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8.7 %</w:t>
            </w:r>
          </w:p>
        </w:tc>
      </w:tr>
      <w:tr>
        <w:trPr>
          <w:trHeight w:val="267"/>
        </w:trPr>
        <w:tc>
          <w:tcPr>
            <w:tcW w:w="12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51"/>
        </w:trPr>
        <w:tc>
          <w:tcPr>
            <w:tcW w:w="2880" w:type="dxa"/>
            <w:vAlign w:val="bottom"/>
            <w:gridSpan w:val="3"/>
          </w:tcPr>
          <w:p>
            <w:pPr>
              <w:ind w:left="180"/>
              <w:spacing w:after="0"/>
              <w:rPr>
                <w:sz w:val="20"/>
                <w:szCs w:val="20"/>
                <w:color w:val="auto"/>
              </w:rPr>
            </w:pPr>
            <w:r>
              <w:rPr>
                <w:rFonts w:ascii="Arial" w:cs="Arial" w:eastAsia="Arial" w:hAnsi="Arial"/>
                <w:sz w:val="16"/>
                <w:szCs w:val="16"/>
                <w:color w:val="auto"/>
              </w:rPr>
              <w:t>ASP (in thousands)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25.4</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22.9</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79"/>
              <w:spacing w:after="0"/>
              <w:rPr>
                <w:sz w:val="20"/>
                <w:szCs w:val="20"/>
                <w:color w:val="auto"/>
              </w:rPr>
            </w:pPr>
            <w:r>
              <w:rPr>
                <w:rFonts w:ascii="Arial" w:cs="Arial" w:eastAsia="Arial" w:hAnsi="Arial"/>
                <w:sz w:val="16"/>
                <w:szCs w:val="16"/>
                <w:color w:val="auto"/>
              </w:rPr>
              <w:t>2.6</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11.2 %</w:t>
            </w:r>
          </w:p>
        </w:tc>
      </w:tr>
    </w:tbl>
    <w:p>
      <w:pPr>
        <w:ind w:left="160" w:hanging="152"/>
        <w:spacing w:after="0" w:line="227" w:lineRule="auto"/>
        <w:tabs>
          <w:tab w:leader="none" w:pos="1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4" w:lineRule="exact"/>
        <w:rPr>
          <w:rFonts w:ascii="Arial" w:cs="Arial" w:eastAsia="Arial" w:hAnsi="Arial"/>
          <w:sz w:val="18"/>
          <w:szCs w:val="18"/>
          <w:color w:val="auto"/>
          <w:vertAlign w:val="superscript"/>
        </w:rPr>
      </w:pPr>
    </w:p>
    <w:p>
      <w:pPr>
        <w:ind w:left="180" w:right="360" w:hanging="172"/>
        <w:spacing w:after="0" w:line="215" w:lineRule="auto"/>
        <w:tabs>
          <w:tab w:leader="none" w:pos="180" w:val="left"/>
        </w:tabs>
        <w:numPr>
          <w:ilvl w:val="0"/>
          <w:numId w:val="15"/>
        </w:numPr>
        <w:rPr>
          <w:rFonts w:ascii="Arial" w:cs="Arial" w:eastAsia="Arial" w:hAnsi="Arial"/>
          <w:sz w:val="21"/>
          <w:szCs w:val="21"/>
          <w:color w:val="auto"/>
          <w:vertAlign w:val="superscript"/>
        </w:rPr>
      </w:pPr>
      <w:r>
        <w:rPr>
          <w:rFonts w:ascii="Arial" w:cs="Arial" w:eastAsia="Arial" w:hAnsi="Arial"/>
          <w:sz w:val="14"/>
          <w:szCs w:val="14"/>
          <w:color w:val="auto"/>
        </w:rPr>
        <w:t>An additional 343 motorhomes were delivered in Fiscal 2014 but not included in wholesale deliveries as presented in the table above as the units are subject to repurchase option. See Note 5 to the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Net revenues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3"/>
          </w:tcPr>
          <w:p>
            <w:pPr>
              <w:ind w:left="40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198"/>
        </w:trPr>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February 28,</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March 1,</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419"/>
              <w:spacing w:after="0"/>
              <w:rPr>
                <w:sz w:val="20"/>
                <w:szCs w:val="20"/>
                <w:color w:val="auto"/>
              </w:rPr>
            </w:pPr>
            <w:r>
              <w:rPr>
                <w:rFonts w:ascii="Arial" w:cs="Arial" w:eastAsia="Arial" w:hAnsi="Arial"/>
                <w:sz w:val="16"/>
                <w:szCs w:val="16"/>
                <w:b w:val="1"/>
                <w:bCs w:val="1"/>
                <w:color w:val="auto"/>
              </w:rPr>
              <w:t>Increase</w:t>
            </w:r>
          </w:p>
        </w:tc>
        <w:tc>
          <w:tcPr>
            <w:tcW w:w="1260" w:type="dxa"/>
            <w:vAlign w:val="bottom"/>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28"/>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2014</w:t>
            </w:r>
          </w:p>
        </w:tc>
        <w:tc>
          <w:tcPr>
            <w:tcW w:w="86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(Decrease)</w:t>
            </w:r>
          </w:p>
        </w:tc>
        <w:tc>
          <w:tcPr>
            <w:tcW w:w="12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Change</w:t>
            </w:r>
          </w:p>
        </w:tc>
      </w:tr>
      <w:tr>
        <w:trPr>
          <w:trHeight w:val="257"/>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Motorhomes </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415,371</w:t>
            </w: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90.5%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411,791</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91.2%</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3,580</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0.9 %</w:t>
            </w:r>
          </w:p>
        </w:tc>
      </w:tr>
      <w:tr>
        <w:trPr>
          <w:trHeight w:val="270"/>
        </w:trPr>
        <w:tc>
          <w:tcPr>
            <w:tcW w:w="2840" w:type="dxa"/>
            <w:vAlign w:val="bottom"/>
            <w:gridSpan w:val="2"/>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1460" w:type="dxa"/>
            <w:vAlign w:val="bottom"/>
          </w:tcPr>
          <w:p>
            <w:pPr>
              <w:jc w:val="right"/>
              <w:ind w:right="579"/>
              <w:spacing w:after="0"/>
              <w:rPr>
                <w:sz w:val="20"/>
                <w:szCs w:val="20"/>
                <w:color w:val="auto"/>
              </w:rPr>
            </w:pPr>
            <w:r>
              <w:rPr>
                <w:rFonts w:ascii="Arial" w:cs="Arial" w:eastAsia="Arial" w:hAnsi="Arial"/>
                <w:sz w:val="16"/>
                <w:szCs w:val="16"/>
                <w:color w:val="auto"/>
              </w:rPr>
              <w:t>28,957</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jc w:val="right"/>
              <w:ind w:right="479"/>
              <w:spacing w:after="0"/>
              <w:rPr>
                <w:sz w:val="20"/>
                <w:szCs w:val="20"/>
                <w:color w:val="auto"/>
              </w:rPr>
            </w:pPr>
            <w:r>
              <w:rPr>
                <w:rFonts w:ascii="Arial" w:cs="Arial" w:eastAsia="Arial" w:hAnsi="Arial"/>
                <w:sz w:val="16"/>
                <w:szCs w:val="16"/>
                <w:color w:val="auto"/>
              </w:rPr>
              <w:t>24,257</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5.4%</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jc w:val="right"/>
              <w:ind w:right="259"/>
              <w:spacing w:after="0"/>
              <w:rPr>
                <w:sz w:val="20"/>
                <w:szCs w:val="20"/>
                <w:color w:val="auto"/>
              </w:rPr>
            </w:pPr>
            <w:r>
              <w:rPr>
                <w:rFonts w:ascii="Arial" w:cs="Arial" w:eastAsia="Arial" w:hAnsi="Arial"/>
                <w:sz w:val="16"/>
                <w:szCs w:val="16"/>
                <w:color w:val="auto"/>
              </w:rPr>
              <w:t>4,700</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19.4 %</w:t>
            </w:r>
          </w:p>
        </w:tc>
      </w:tr>
      <w:tr>
        <w:trPr>
          <w:trHeight w:val="264"/>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manufactured products</w:t>
            </w:r>
          </w:p>
        </w:tc>
        <w:tc>
          <w:tcPr>
            <w:tcW w:w="3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14,618</w:t>
            </w:r>
          </w:p>
        </w:tc>
        <w:tc>
          <w:tcPr>
            <w:tcW w:w="7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15,433</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w:t>
            </w:r>
          </w:p>
        </w:tc>
        <w:tc>
          <w:tcPr>
            <w:tcW w:w="2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(815)</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(5.3)%</w:t>
            </w:r>
          </w:p>
        </w:tc>
      </w:tr>
      <w:tr>
        <w:trPr>
          <w:trHeight w:val="237"/>
        </w:trPr>
        <w:tc>
          <w:tcPr>
            <w:tcW w:w="2840" w:type="dxa"/>
            <w:vAlign w:val="bottom"/>
            <w:gridSpan w:val="2"/>
          </w:tcPr>
          <w:p>
            <w:pPr>
              <w:ind w:left="40"/>
              <w:spacing w:after="0"/>
              <w:rPr>
                <w:sz w:val="20"/>
                <w:szCs w:val="20"/>
                <w:color w:val="auto"/>
              </w:rPr>
            </w:pPr>
            <w:r>
              <w:rPr>
                <w:rFonts w:ascii="Arial" w:cs="Arial" w:eastAsia="Arial" w:hAnsi="Arial"/>
                <w:sz w:val="16"/>
                <w:szCs w:val="16"/>
                <w:color w:val="auto"/>
              </w:rPr>
              <w:t>Total net revenues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579"/>
              <w:spacing w:after="0"/>
              <w:rPr>
                <w:sz w:val="20"/>
                <w:szCs w:val="20"/>
                <w:color w:val="auto"/>
              </w:rPr>
            </w:pPr>
            <w:r>
              <w:rPr>
                <w:rFonts w:ascii="Arial" w:cs="Arial" w:eastAsia="Arial" w:hAnsi="Arial"/>
                <w:sz w:val="16"/>
                <w:szCs w:val="16"/>
                <w:color w:val="auto"/>
              </w:rPr>
              <w:t>458,946</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79"/>
              <w:spacing w:after="0"/>
              <w:rPr>
                <w:sz w:val="20"/>
                <w:szCs w:val="20"/>
                <w:color w:val="auto"/>
              </w:rPr>
            </w:pPr>
            <w:r>
              <w:rPr>
                <w:rFonts w:ascii="Arial" w:cs="Arial" w:eastAsia="Arial" w:hAnsi="Arial"/>
                <w:sz w:val="16"/>
                <w:szCs w:val="16"/>
                <w:color w:val="auto"/>
              </w:rPr>
              <w:t>451,481</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2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59"/>
              <w:spacing w:after="0"/>
              <w:rPr>
                <w:sz w:val="20"/>
                <w:szCs w:val="20"/>
                <w:color w:val="auto"/>
              </w:rPr>
            </w:pPr>
            <w:r>
              <w:rPr>
                <w:rFonts w:ascii="Arial" w:cs="Arial" w:eastAsia="Arial" w:hAnsi="Arial"/>
                <w:sz w:val="16"/>
                <w:szCs w:val="16"/>
                <w:color w:val="auto"/>
              </w:rPr>
              <w:t>7,465</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3810</wp:posOffset>
            </wp:positionV>
            <wp:extent cx="531685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16855" cy="26035"/>
                    </a:xfrm>
                    <a:prstGeom prst="rect">
                      <a:avLst/>
                    </a:prstGeom>
                    <a:noFill/>
                  </pic:spPr>
                </pic:pic>
              </a:graphicData>
            </a:graphic>
          </wp:anchor>
        </w:drawing>
      </w:r>
    </w:p>
    <w:p>
      <w:pPr>
        <w:ind w:left="260" w:hanging="238"/>
        <w:spacing w:after="0"/>
        <w:tabs>
          <w:tab w:leader="none" w:pos="26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Includes motorhome units, parts and services.</w:t>
      </w:r>
    </w:p>
    <w:p>
      <w:pPr>
        <w:ind w:left="260" w:hanging="238"/>
        <w:spacing w:after="0" w:line="199" w:lineRule="auto"/>
        <w:tabs>
          <w:tab w:leader="none" w:pos="26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77"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increase in motorhome net revenues of $3.6 million or 0.9% was attributed primarily to a 1.8% increase in unit deliveries in the first six months of Fiscal 2015 as compared to the first six months of Fiscal 2014, partially offset by a decrease in motorhome ASP of 1.2% as compared to the first six months of Fiscal 2014. The decrease in ASP was primarily due to a lower percentage of class A gas and diesel unit sales in the first six months of Fiscal 2015.</w:t>
      </w:r>
    </w:p>
    <w:p>
      <w:pPr>
        <w:spacing w:after="0" w:line="174"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Towables revenues increased 19.4%, and were $29.0 million in the first six months of Fiscal 2015, compared to $24.3 million in the first six months of Fiscal 2014. The increase in revenues was a result of an 11.2% increase in ASP and an 8.7% increase in unit deliveries.</w:t>
      </w:r>
    </w:p>
    <w:p>
      <w:pPr>
        <w:spacing w:after="0" w:line="169" w:lineRule="exact"/>
        <w:rPr>
          <w:sz w:val="20"/>
          <w:szCs w:val="20"/>
          <w:color w:val="auto"/>
        </w:rPr>
      </w:pPr>
    </w:p>
    <w:p>
      <w:pPr>
        <w:ind w:right="220"/>
        <w:spacing w:after="0" w:line="244" w:lineRule="auto"/>
        <w:rPr>
          <w:sz w:val="20"/>
          <w:szCs w:val="20"/>
          <w:color w:val="auto"/>
        </w:rPr>
      </w:pPr>
      <w:r>
        <w:rPr>
          <w:rFonts w:ascii="Arial" w:cs="Arial" w:eastAsia="Arial" w:hAnsi="Arial"/>
          <w:sz w:val="16"/>
          <w:szCs w:val="16"/>
          <w:color w:val="auto"/>
        </w:rPr>
        <w:t>Cost of goods sold was $410.3 million, or 89.4% of net revenues for the first six months of Fiscal 2015 compared to $402.7 million, or 89.2% of net revenues for the first six months of Fiscal 2014 due to the following:</w:t>
      </w:r>
    </w:p>
    <w:p>
      <w:pPr>
        <w:spacing w:after="0" w:line="1" w:lineRule="exact"/>
        <w:rPr>
          <w:sz w:val="20"/>
          <w:szCs w:val="20"/>
          <w:color w:val="auto"/>
        </w:rPr>
      </w:pPr>
    </w:p>
    <w:p>
      <w:pPr>
        <w:ind w:left="340" w:right="60" w:hanging="332"/>
        <w:spacing w:after="0" w:line="262"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6"/>
          <w:szCs w:val="16"/>
          <w:color w:val="auto"/>
        </w:rPr>
        <w:t xml:space="preserve">Total variable costs (materials, direct labor, variable overhead, delivery expense and warranty), as a percent of net revenues, increased to 84.2% </w:t>
      </w:r>
      <w:r>
        <w:rPr>
          <w:rFonts w:ascii="Arial" w:cs="Arial" w:eastAsia="Arial" w:hAnsi="Arial"/>
          <w:sz w:val="18"/>
          <w:szCs w:val="18"/>
          <w:color w:val="auto"/>
        </w:rPr>
        <w:t>in</w:t>
      </w:r>
      <w:r>
        <w:rPr>
          <w:rFonts w:ascii="Arial" w:cs="Arial" w:eastAsia="Arial" w:hAnsi="Arial"/>
          <w:sz w:val="16"/>
          <w:szCs w:val="16"/>
          <w:color w:val="auto"/>
        </w:rPr>
        <w:t xml:space="preserve"> Fiscal 2015 compared to 83.8% in Fiscal 2014. The increase is primarily due to higher labor-related expenses in Fiscal 2015, notably workers' compensation.</w:t>
      </w:r>
    </w:p>
    <w:p>
      <w:pPr>
        <w:spacing w:after="0" w:line="21" w:lineRule="exact"/>
        <w:rPr>
          <w:rFonts w:ascii="Arial" w:cs="Arial" w:eastAsia="Arial" w:hAnsi="Arial"/>
          <w:sz w:val="18"/>
          <w:szCs w:val="18"/>
          <w:color w:val="auto"/>
        </w:rPr>
      </w:pPr>
    </w:p>
    <w:p>
      <w:pPr>
        <w:ind w:left="340" w:right="500" w:hanging="332"/>
        <w:spacing w:after="0" w:line="252"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6"/>
          <w:szCs w:val="16"/>
          <w:color w:val="auto"/>
        </w:rPr>
        <w:t>Fixed overhead (manufacturing support labor, depreciation and facility costs) and research and development-related costs decreased to 5.2% of net revenues compared to 5.3% for Fiscal 2014.</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6"/>
          <w:szCs w:val="16"/>
          <w:color w:val="auto"/>
        </w:rPr>
        <w:t>All factors considered, gross profit decreased to 10.6% from 10.8% of net revenues.</w:t>
      </w:r>
    </w:p>
    <w:p>
      <w:pPr>
        <w:spacing w:after="0" w:line="17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Selling expenses increased $731,000, or 2.1% from 2.0% of net revenues in the first six months of Fiscal 2015 and Fiscal 2014, respectively. The increase was primarily related to advertising and product promotions.</w:t>
      </w:r>
    </w:p>
    <w:p>
      <w:pPr>
        <w:spacing w:after="0" w:line="142"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General and administrative expenses were 2.8% and 2.3% of net revenues in the first six months of Fiscal 2015 and Fiscal 2014, respectively. General and administrative expenses increased $2.1 million, or 20.1% in the first six months of Fiscal 2015 compared</w:t>
      </w:r>
    </w:p>
    <w:p>
      <w:pPr>
        <w:sectPr>
          <w:pgSz w:w="11900" w:h="16838" w:orient="portrait"/>
          <w:cols w:equalWidth="0" w:num="1">
            <w:col w:w="11420"/>
          </w:cols>
          <w:pgMar w:left="240" w:top="118" w:right="23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18" w:right="239" w:bottom="1440" w:gutter="0" w:footer="0" w:header="0"/>
          <w:type w:val="continuous"/>
        </w:sectPr>
      </w:pPr>
    </w:p>
    <w:bookmarkStart w:id="21" w:name="page22"/>
    <w:bookmarkEnd w:id="2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to the same period in Fiscal 2014. The increase related to ERP implementation, a strategic sourcing project, legal and equipment maintenance costs.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During the second quarter of Fiscal 2014 we realized a gain of $629,000 on the sale of a leased warehouse facility.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Non-operating income was flat in the first six months of Fiscal 2015 compared to the same period in Fiscal 2014.</w:t>
      </w:r>
    </w:p>
    <w:p>
      <w:pPr>
        <w:spacing w:after="0" w:line="248"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overall effective income tax rate for the first six months of Fiscal 2015 was 31.9% compared to the effective income tax rate of 31.0% for the first six months of Fiscal 2014. The tax rate for the first six months of Fiscal 2015 is primarily a result of the lower level of pretax book income earned during Fiscal 2015. We also had a reduced level (in comparison to book income) of benefits recorded for tax credits and other tax planning initiatives in Fiscal 2015 in relation to the same period in Fiscal 2014. The legislation for various applicable tax credits expired on December 31, 2014; therefore our projected benefits for these credits are limited to four months of our fiscal year.</w:t>
      </w:r>
    </w:p>
    <w:p>
      <w:pPr>
        <w:spacing w:after="0" w:line="149"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Net income and diluted income per share were $18.0 million and $0.67 per share, respectively, for the first six months of Fiscal 2015. In the first six months of Fiscal 2014, net income was $20.7 million and diluted net income was $0.74 per share. The impact of stock repurchases in the last twelve months on diluted net income per share was an increase of $0.01 for the first six months of Fiscal 2015. See Part II, Item 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187"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Cash and cash equivalents decreased $49.9 million during the first six months of Fiscal 2015 and totaled $7.9 million as of February 28, 2015. Significant liquidity events that occurred during the first six months of Fiscal 2015 were:</w:t>
      </w:r>
    </w:p>
    <w:p>
      <w:pPr>
        <w:spacing w:after="0" w:line="142"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Increase in inventory of $37.6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Line of credit borrowings and repayments of $22.0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Generation of net income of $18.0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Increase in income tax receivable of $11.3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Increase in receivables and prepaid assets of $7.6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Stock repurchases of $6.1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Dividend payment of $4.9 million</w:t>
      </w:r>
    </w:p>
    <w:p>
      <w:pPr>
        <w:spacing w:after="0" w:line="19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As noted in Note 7, through our Amended Credit Agreement with GECC, we have the ability to borrow $35.0 million through a revolving credit facility based on our eligible inventory and certain receivables. In addition, the Amended Credit Agreement also includes a framework to expand the size of the facility up to $50.0 million, based on mutually agreeable terms at the time of the expansion.</w:t>
      </w:r>
    </w:p>
    <w:p>
      <w:pPr>
        <w:spacing w:after="0" w:line="228"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We filed a Registration Statement on Form S-3, which was declared effective by the SEC on May 9, 2013. Subject to market conditions, we have the ability to offer and sell up to $35.0 million of our common stock in one or more offerings pursuant to the Registration Statement. The Registration Statement will be available for use for three years from its effective date. We currently have no plans to offer and sell the common stock registered under the Registration Statement; however, it does provide another potential source of liquidity in addition to the alternatives already in place.</w:t>
      </w:r>
    </w:p>
    <w:p>
      <w:pPr>
        <w:spacing w:after="0" w:line="230"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Working capital at February 28, 2015 and August 30, 2014 was $175.9 million and $172.0 million, respectively, an increase of $3.9 million. We currently expect cash on hand, cash collected on receivables, funds generated from operations and the availability under a credit facility to be sufficient to cover both short-term and long-term operating requirements for Fiscal 2015. We anticipate capital expenditures in Fiscal 2015 of approximately $15 - $20 million, primarily for manufacturing equipment and facilities and IT upgrades. We are planning to purchase the currently leased Towables assembly facilities in Middlebury, Indiana for approximately $5.4 million which is included in the range previously noted. We believe we will close this transaction in April of 2015.</w:t>
      </w:r>
    </w:p>
    <w:p>
      <w:pPr>
        <w:spacing w:after="0" w:line="230"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We made share repurchases of $6.1 million in the first six months of Fiscal 2015. If we believe the common stock is trading at attractive levels and reflects a prudent use of our capital, subject to compliance with our agreement with GECC, we may purchase additional shares in the remainder of Fiscal 2015. At February 28, 2015 we have $7.4 million remaining on our board repurchase authorization. See Part II, Item 2 of this Form 10-Q.</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83"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Cash used by operating activities was $34.1 million for the six months ended February 28, 2015 compared to $29.5 million for the six months ended March 1, 2014. In Fiscal 2015 the combination of net income of $18.0 million and changes in non-cash charges (e.g., depreciation, LIFO, stock-based compensation, deferred income taxes) provided $28.4 million of operating cash. Changes in assets and liabilities (primarily an increase in inventories and receivables) used $62.4 million of operating cash. In the first six months of Fiscal 2014, the combination of net income of $20.7 million and changes in non-cash charges (e.g., depreciation, LIFO, stock-based compensation, deferred income taxes) provided $23.0 million of operating cash. Changes in assets and liabilities (primarily increases in receivables and inventories) used $52.5 million of operating cash.</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380"/>
          </w:cols>
          <w:pgMar w:left="240" w:top="141" w:right="27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64" w:lineRule="exact"/>
        <w:rPr>
          <w:sz w:val="20"/>
          <w:szCs w:val="20"/>
          <w:color w:val="auto"/>
        </w:rPr>
      </w:pPr>
    </w:p>
    <w:p>
      <w:pPr>
        <w:jc w:val="both"/>
        <w:ind w:right="380"/>
        <w:spacing w:after="0" w:line="253" w:lineRule="auto"/>
        <w:rPr>
          <w:sz w:val="20"/>
          <w:szCs w:val="20"/>
          <w:color w:val="auto"/>
        </w:rPr>
      </w:pPr>
      <w:r>
        <w:rPr>
          <w:rFonts w:ascii="Arial" w:cs="Arial" w:eastAsia="Arial" w:hAnsi="Arial"/>
          <w:sz w:val="16"/>
          <w:szCs w:val="16"/>
          <w:color w:val="auto"/>
        </w:rPr>
        <w:t>Cash used in investing activities of $4.8 million for the six months ended February 28, 2015 was due primarily to capital spending of $5.2 million. In the six months ended March 1, 2014, cash provided in investing activities of $865,000 was due primarily to proceeds from the sale of investments of $2.4 million, proceeds from the sale of property of $2.4 million partially offset by capital spending of $3.8 million.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83"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Cash used in financing activities of $11.0 million for the six months ended February 28, 2015 was primarily due to $6.1 million in repurchases of our stock and $4.9 million for the payment of dividends. We borrowed and repaid $22.0 million on our line of credit in the six months ended February 28, 2015. Cash used in financing activities of $19.4 million for the six months ended March 1, 2014 was primarily due to repurchases of our stock of $21.5 million partially offset by proceeds from the exercise of stock options of $2.1 million.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198"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 xml:space="preserve">We describe our significant accounting policies in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included in our Annual Report on Form 10-K for the fiscal year ended August 30, 2014. We discuss our critical accounting estimates in Item 7,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w:t>
      </w:r>
      <w:r>
        <w:rPr>
          <w:rFonts w:ascii="Arial" w:cs="Arial" w:eastAsia="Arial" w:hAnsi="Arial"/>
          <w:sz w:val="16"/>
          <w:szCs w:val="16"/>
          <w:color w:val="auto"/>
        </w:rPr>
        <w:t>, in our Annual Report on Form 10-K for the fiscal year ended August 30, 2014. We</w:t>
      </w:r>
      <w:r>
        <w:rPr>
          <w:rFonts w:ascii="Arial" w:cs="Arial" w:eastAsia="Arial" w:hAnsi="Arial"/>
          <w:sz w:val="16"/>
          <w:szCs w:val="16"/>
          <w:i w:val="1"/>
          <w:iCs w:val="1"/>
          <w:color w:val="auto"/>
        </w:rPr>
        <w:t xml:space="preserve"> </w:t>
      </w:r>
      <w:r>
        <w:rPr>
          <w:rFonts w:ascii="Arial" w:cs="Arial" w:eastAsia="Arial" w:hAnsi="Arial"/>
          <w:sz w:val="16"/>
          <w:szCs w:val="16"/>
          <w:color w:val="auto"/>
        </w:rPr>
        <w:t>refer to these disclosures for a detailed explanation of our significant accounting policies and critical accounting estimates. There has been no significant change in our significant accounting policies or critical accounting estimates since the end of Fiscal 2014.</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16"/>
          <w:szCs w:val="16"/>
          <w:color w:val="auto"/>
        </w:rPr>
        <w:t>Quantitative and Qualitative Disclosures About Market Risk</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21" w:lineRule="exact"/>
        <w:rPr>
          <w:sz w:val="20"/>
          <w:szCs w:val="20"/>
          <w:color w:val="auto"/>
        </w:rPr>
      </w:pPr>
    </w:p>
    <w:p>
      <w:pPr>
        <w:jc w:val="both"/>
        <w:ind w:right="220"/>
        <w:spacing w:after="0" w:line="246" w:lineRule="auto"/>
        <w:rPr>
          <w:sz w:val="20"/>
          <w:szCs w:val="20"/>
          <w:color w:val="auto"/>
        </w:rPr>
      </w:pPr>
      <w:r>
        <w:rPr>
          <w:rFonts w:ascii="Arial" w:cs="Arial" w:eastAsia="Arial" w:hAnsi="Arial"/>
          <w:sz w:val="16"/>
          <w:szCs w:val="16"/>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2"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Management necessarily applied its judgment in assessing the costs and benefits of such controls and procedures, which, by their nature, can provide only reasonable assurance regarding management's disclosure control objectives.</w:t>
      </w:r>
    </w:p>
    <w:p>
      <w:pPr>
        <w:spacing w:after="0" w:line="169"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We have carried out an evaluation, under the supervision and with the participation of our management, including our Chief Executive Officer and Chief Financial Officer, of the effectiveness of the design and operation of our disclosure controls and procedures, required by Exchange Act Rule 13a-15(b), as of the end of the period covered by this Report (the "Evaluation Date"). Based on this evaluation, the Chief Executive Officer and Chief Financial Officer have concluded that our disclosure controls and procedures were effective as of the Evaluation Date.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2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There were no changes in our internal control over financial reporting as defined in Exchange Act Rule 13a-15(f) that occurred during our last fiscal quarter that have materially affected, or are reasonably likely to materially affect, our internal control over financial reporting.</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color w:val="auto"/>
        </w:rPr>
        <w:t>Legal Proceedings</w:t>
      </w:r>
    </w:p>
    <w:p>
      <w:pPr>
        <w:spacing w:after="0" w:line="187" w:lineRule="exact"/>
        <w:rPr>
          <w:sz w:val="20"/>
          <w:szCs w:val="20"/>
          <w:color w:val="auto"/>
        </w:rPr>
      </w:pPr>
    </w:p>
    <w:p>
      <w:pPr>
        <w:jc w:val="both"/>
        <w:ind w:right="740"/>
        <w:spacing w:after="0" w:line="253" w:lineRule="auto"/>
        <w:rPr>
          <w:sz w:val="20"/>
          <w:szCs w:val="20"/>
          <w:color w:val="auto"/>
        </w:rPr>
      </w:pPr>
      <w:r>
        <w:rPr>
          <w:rFonts w:ascii="Arial" w:cs="Arial" w:eastAsia="Arial" w:hAnsi="Arial"/>
          <w:sz w:val="16"/>
          <w:szCs w:val="16"/>
          <w:color w:val="auto"/>
        </w:rPr>
        <w:t>We are involved in various legal proceedings which are ordinary litigation incidental to our business, some of which are covered in whole or in part by insurance. We believe,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1A. </w:t>
      </w:r>
      <w:r>
        <w:rPr>
          <w:rFonts w:ascii="Arial" w:cs="Arial" w:eastAsia="Arial" w:hAnsi="Arial"/>
          <w:sz w:val="16"/>
          <w:szCs w:val="16"/>
          <w:color w:val="auto"/>
        </w:rPr>
        <w:t>Risk Factors</w:t>
      </w:r>
    </w:p>
    <w:p>
      <w:pPr>
        <w:spacing w:after="0" w:line="214" w:lineRule="exact"/>
        <w:rPr>
          <w:sz w:val="20"/>
          <w:szCs w:val="20"/>
          <w:color w:val="auto"/>
        </w:rPr>
      </w:pPr>
    </w:p>
    <w:p>
      <w:pPr>
        <w:ind w:right="100"/>
        <w:spacing w:after="0" w:line="192" w:lineRule="exact"/>
        <w:rPr>
          <w:sz w:val="20"/>
          <w:szCs w:val="20"/>
          <w:color w:val="auto"/>
        </w:rPr>
      </w:pPr>
      <w:r>
        <w:rPr>
          <w:rFonts w:ascii="Arial" w:cs="Arial" w:eastAsia="Arial" w:hAnsi="Arial"/>
          <w:sz w:val="16"/>
          <w:szCs w:val="16"/>
          <w:color w:val="auto"/>
        </w:rPr>
        <w:t>There have been no material changes from the risk factors previously disclosed in Part I, Item 1A of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August 30, 2014.</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00"/>
          </w:cols>
          <w:pgMar w:left="240" w:top="141" w:right="25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Unregistered Sales of Equity Securities and Use of Proceeds</w:t>
      </w:r>
    </w:p>
    <w:p>
      <w:pPr>
        <w:spacing w:after="0" w:line="187"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On December 19, 2007, the Board of Directors authorized the repurchase of outstanding shares of our common stock, depending on market conditions, for an aggregate consideration of up to $60 million. There is no time restriction on this authorization. During the second quarter of Fiscal 2015, 9,478 shares were repurchased under the authorization, at an aggregate cost of $190,000. All of these shares were repurchased from employees who vested in Winnebago Industries shares during the second quarter of Fiscal 2015 and elected to pay their payroll tax via shares as opposed to cash. As of February 28, 2015, there was approximately $7.4 million remaining under this authorization.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Purchases of our common stock during each fiscal month of the second quarter of Fiscal 2015 were: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Number of Shares</w:t>
            </w:r>
          </w:p>
        </w:tc>
        <w:tc>
          <w:tcPr>
            <w:tcW w:w="2520" w:type="dxa"/>
            <w:vAlign w:val="bottom"/>
            <w:gridSpan w:val="2"/>
          </w:tcPr>
          <w:p>
            <w:pPr>
              <w:jc w:val="center"/>
              <w:spacing w:after="0"/>
              <w:rPr>
                <w:sz w:val="20"/>
                <w:szCs w:val="20"/>
                <w:color w:val="auto"/>
              </w:rPr>
            </w:pPr>
            <w:r>
              <w:rPr>
                <w:rFonts w:ascii="Arial" w:cs="Arial" w:eastAsia="Arial" w:hAnsi="Arial"/>
                <w:sz w:val="16"/>
                <w:szCs w:val="16"/>
                <w:b w:val="1"/>
                <w:bCs w:val="1"/>
                <w:color w:val="auto"/>
              </w:rPr>
              <w:t>Approximate Dollar Value</w:t>
            </w:r>
          </w:p>
        </w:tc>
      </w:tr>
      <w:tr>
        <w:trPr>
          <w:trHeight w:val="189"/>
        </w:trPr>
        <w:tc>
          <w:tcPr>
            <w:tcW w:w="3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Total Number</w:t>
            </w: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252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rPr>
              <w:t>of Shares That May Yet Be</w:t>
            </w:r>
          </w:p>
        </w:tc>
      </w:tr>
      <w:tr>
        <w:trPr>
          <w:trHeight w:val="189"/>
        </w:trPr>
        <w:tc>
          <w:tcPr>
            <w:tcW w:w="3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280" w:type="dxa"/>
            <w:vAlign w:val="bottom"/>
          </w:tcPr>
          <w:p>
            <w:pPr>
              <w:spacing w:after="0"/>
              <w:rPr>
                <w:sz w:val="16"/>
                <w:szCs w:val="16"/>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b w:val="1"/>
                <w:bCs w:val="1"/>
                <w:color w:val="auto"/>
              </w:rPr>
              <w:t>Average Price</w:t>
            </w: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Publicly Announced</w:t>
            </w:r>
          </w:p>
        </w:tc>
        <w:tc>
          <w:tcPr>
            <w:tcW w:w="380" w:type="dxa"/>
            <w:vAlign w:val="bottom"/>
          </w:tcPr>
          <w:p>
            <w:pPr>
              <w:spacing w:after="0"/>
              <w:rPr>
                <w:sz w:val="16"/>
                <w:szCs w:val="16"/>
                <w:color w:val="auto"/>
              </w:rPr>
            </w:pPr>
          </w:p>
        </w:tc>
        <w:tc>
          <w:tcPr>
            <w:tcW w:w="2140" w:type="dxa"/>
            <w:vAlign w:val="bottom"/>
          </w:tcPr>
          <w:p>
            <w:pPr>
              <w:jc w:val="center"/>
              <w:ind w:right="379"/>
              <w:spacing w:after="0"/>
              <w:rPr>
                <w:sz w:val="20"/>
                <w:szCs w:val="20"/>
                <w:color w:val="auto"/>
              </w:rPr>
            </w:pPr>
            <w:r>
              <w:rPr>
                <w:rFonts w:ascii="Arial" w:cs="Arial" w:eastAsia="Arial" w:hAnsi="Arial"/>
                <w:sz w:val="16"/>
                <w:szCs w:val="16"/>
                <w:b w:val="1"/>
                <w:bCs w:val="1"/>
                <w:color w:val="auto"/>
              </w:rPr>
              <w:t>Purchased Under the</w:t>
            </w:r>
          </w:p>
        </w:tc>
      </w:tr>
      <w:tr>
        <w:trPr>
          <w:trHeight w:val="228"/>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9"/>
              </w:rPr>
              <w:t>Paid per Share</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or Programs</w:t>
            </w:r>
          </w:p>
        </w:tc>
        <w:tc>
          <w:tcPr>
            <w:tcW w:w="3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b w:val="1"/>
                <w:bCs w:val="1"/>
                <w:color w:val="auto"/>
              </w:rPr>
              <w:t>Plans or Programs</w:t>
            </w:r>
          </w:p>
        </w:tc>
      </w:tr>
      <w:tr>
        <w:trPr>
          <w:trHeight w:val="27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11/30/14 - 01/03/15</w:t>
            </w:r>
          </w:p>
        </w:tc>
        <w:tc>
          <w:tcPr>
            <w:tcW w:w="1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7,632,000</w:t>
            </w:r>
          </w:p>
        </w:tc>
      </w:tr>
      <w:tr>
        <w:trPr>
          <w:trHeight w:val="260"/>
        </w:trPr>
        <w:tc>
          <w:tcPr>
            <w:tcW w:w="3100" w:type="dxa"/>
            <w:vAlign w:val="bottom"/>
          </w:tcPr>
          <w:p>
            <w:pPr>
              <w:ind w:left="40"/>
              <w:spacing w:after="0"/>
              <w:rPr>
                <w:sz w:val="20"/>
                <w:szCs w:val="20"/>
                <w:color w:val="auto"/>
              </w:rPr>
            </w:pPr>
            <w:r>
              <w:rPr>
                <w:rFonts w:ascii="Arial" w:cs="Arial" w:eastAsia="Arial" w:hAnsi="Arial"/>
                <w:sz w:val="16"/>
                <w:szCs w:val="16"/>
                <w:color w:val="auto"/>
              </w:rPr>
              <w:t>01/04/15 - 01/31/15</w:t>
            </w:r>
          </w:p>
        </w:tc>
        <w:tc>
          <w:tcPr>
            <w:tcW w:w="1900" w:type="dxa"/>
            <w:vAlign w:val="bottom"/>
          </w:tcPr>
          <w:p>
            <w:pPr>
              <w:jc w:val="right"/>
              <w:ind w:right="99"/>
              <w:spacing w:after="0"/>
              <w:rPr>
                <w:sz w:val="20"/>
                <w:szCs w:val="20"/>
                <w:color w:val="auto"/>
              </w:rPr>
            </w:pPr>
            <w:r>
              <w:rPr>
                <w:rFonts w:ascii="Arial" w:cs="Arial" w:eastAsia="Arial" w:hAnsi="Arial"/>
                <w:sz w:val="16"/>
                <w:szCs w:val="16"/>
                <w:color w:val="auto"/>
              </w:rPr>
              <w:t>9,478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20.05</w:t>
            </w:r>
          </w:p>
        </w:tc>
        <w:tc>
          <w:tcPr>
            <w:tcW w:w="2180" w:type="dxa"/>
            <w:vAlign w:val="bottom"/>
          </w:tcPr>
          <w:p>
            <w:pPr>
              <w:jc w:val="right"/>
              <w:ind w:right="119"/>
              <w:spacing w:after="0"/>
              <w:rPr>
                <w:sz w:val="20"/>
                <w:szCs w:val="20"/>
                <w:color w:val="auto"/>
              </w:rPr>
            </w:pPr>
            <w:r>
              <w:rPr>
                <w:rFonts w:ascii="Arial" w:cs="Arial" w:eastAsia="Arial" w:hAnsi="Arial"/>
                <w:sz w:val="16"/>
                <w:szCs w:val="16"/>
                <w:color w:val="auto"/>
              </w:rPr>
              <w:t>9,478</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359"/>
              <w:spacing w:after="0"/>
              <w:rPr>
                <w:sz w:val="20"/>
                <w:szCs w:val="20"/>
                <w:color w:val="auto"/>
              </w:rPr>
            </w:pPr>
            <w:r>
              <w:rPr>
                <w:rFonts w:ascii="Arial" w:cs="Arial" w:eastAsia="Arial" w:hAnsi="Arial"/>
                <w:sz w:val="16"/>
                <w:szCs w:val="16"/>
                <w:color w:val="auto"/>
              </w:rPr>
              <w:t>7,442,000</w:t>
            </w:r>
          </w:p>
        </w:tc>
      </w:tr>
      <w:tr>
        <w:trPr>
          <w:trHeight w:val="273"/>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02/01/15 - 02/28/15</w:t>
            </w:r>
          </w:p>
        </w:tc>
        <w:tc>
          <w:tcPr>
            <w:tcW w:w="1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7,442,000</w:t>
            </w:r>
          </w:p>
        </w:tc>
      </w:tr>
      <w:tr>
        <w:trPr>
          <w:trHeight w:val="267"/>
        </w:trPr>
        <w:tc>
          <w:tcPr>
            <w:tcW w:w="3100" w:type="dxa"/>
            <w:vAlign w:val="bottom"/>
          </w:tcPr>
          <w:p>
            <w:pPr>
              <w:ind w:left="40"/>
              <w:spacing w:after="0"/>
              <w:rPr>
                <w:sz w:val="20"/>
                <w:szCs w:val="20"/>
                <w:color w:val="auto"/>
              </w:rPr>
            </w:pPr>
            <w:r>
              <w:rPr>
                <w:rFonts w:ascii="Arial" w:cs="Arial" w:eastAsia="Arial" w:hAnsi="Arial"/>
                <w:sz w:val="16"/>
                <w:szCs w:val="16"/>
                <w:color w:val="auto"/>
              </w:rPr>
              <w:t>Total</w:t>
            </w:r>
          </w:p>
        </w:tc>
        <w:tc>
          <w:tcPr>
            <w:tcW w:w="1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9,478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20.05</w:t>
            </w:r>
          </w:p>
        </w:tc>
        <w:tc>
          <w:tcPr>
            <w:tcW w:w="2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9,478</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7,442,000</w:t>
            </w:r>
          </w:p>
        </w:tc>
      </w:tr>
      <w:tr>
        <w:trPr>
          <w:trHeight w:val="20"/>
        </w:trPr>
        <w:tc>
          <w:tcPr>
            <w:tcW w:w="3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Our Credit Agreement contains covenants that limit our ability, among other things, to pay certain cash dividends. See Note 7 to the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187"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color w:val="auto"/>
        </w:rPr>
        <w:t>Certification by the Chief Executive Officer pursuant to Section 302 of the Sarbanes-Oxley Act of 2002 dated March 27, 2015.</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6"/>
          <w:szCs w:val="16"/>
          <w:color w:val="auto"/>
        </w:rPr>
        <w:t>Certification by the Chief Financial Officer pursuant to Section 302 of the Sarbanes-Oxley Act of 2002 dated March 27, 2015.</w:t>
      </w:r>
    </w:p>
    <w:p>
      <w:pPr>
        <w:spacing w:after="0" w:line="167" w:lineRule="exact"/>
        <w:rPr>
          <w:sz w:val="20"/>
          <w:szCs w:val="20"/>
          <w:color w:val="auto"/>
        </w:rPr>
      </w:pPr>
    </w:p>
    <w:p>
      <w:pPr>
        <w:ind w:left="980" w:right="380" w:hanging="971"/>
        <w:spacing w:after="0" w:line="260" w:lineRule="auto"/>
        <w:tabs>
          <w:tab w:leader="none" w:pos="960" w:val="left"/>
        </w:tabs>
        <w:rPr>
          <w:sz w:val="20"/>
          <w:szCs w:val="20"/>
          <w:color w:val="auto"/>
        </w:rPr>
      </w:pPr>
      <w:r>
        <w:rPr>
          <w:rFonts w:ascii="Arial" w:cs="Arial" w:eastAsia="Arial" w:hAnsi="Arial"/>
          <w:sz w:val="16"/>
          <w:szCs w:val="16"/>
          <w:color w:val="auto"/>
        </w:rPr>
        <w:t>32.1</w:t>
      </w:r>
      <w:r>
        <w:rPr>
          <w:sz w:val="20"/>
          <w:szCs w:val="20"/>
          <w:color w:val="auto"/>
        </w:rPr>
        <w:tab/>
      </w:r>
      <w:r>
        <w:rPr>
          <w:rFonts w:ascii="Arial" w:cs="Arial" w:eastAsia="Arial" w:hAnsi="Arial"/>
          <w:sz w:val="16"/>
          <w:szCs w:val="16"/>
          <w:color w:val="auto"/>
        </w:rPr>
        <w:t>Certification by the Chief Executive Officer pursuant to Section 1350, as adopted pursuant to Section 906 of the Sarbanes-Oxley Act of 2002 dated March 27, 2015.</w:t>
      </w:r>
    </w:p>
    <w:p>
      <w:pPr>
        <w:spacing w:after="0" w:line="142" w:lineRule="exact"/>
        <w:rPr>
          <w:sz w:val="20"/>
          <w:szCs w:val="20"/>
          <w:color w:val="auto"/>
        </w:rPr>
      </w:pPr>
    </w:p>
    <w:p>
      <w:pPr>
        <w:ind w:left="980" w:right="440" w:hanging="971"/>
        <w:spacing w:after="0" w:line="260" w:lineRule="auto"/>
        <w:tabs>
          <w:tab w:leader="none" w:pos="960" w:val="left"/>
        </w:tabs>
        <w:rPr>
          <w:sz w:val="20"/>
          <w:szCs w:val="20"/>
          <w:color w:val="auto"/>
        </w:rPr>
      </w:pPr>
      <w:r>
        <w:rPr>
          <w:rFonts w:ascii="Arial" w:cs="Arial" w:eastAsia="Arial" w:hAnsi="Arial"/>
          <w:sz w:val="16"/>
          <w:szCs w:val="16"/>
          <w:color w:val="auto"/>
        </w:rPr>
        <w:t>32.2</w:t>
      </w:r>
      <w:r>
        <w:rPr>
          <w:sz w:val="20"/>
          <w:szCs w:val="20"/>
          <w:color w:val="auto"/>
        </w:rPr>
        <w:tab/>
      </w:r>
      <w:r>
        <w:rPr>
          <w:rFonts w:ascii="Arial" w:cs="Arial" w:eastAsia="Arial" w:hAnsi="Arial"/>
          <w:sz w:val="16"/>
          <w:szCs w:val="16"/>
          <w:color w:val="auto"/>
        </w:rPr>
        <w:t>Certification by the Chief Financial Officer pursuant to Section 1350, as adopted pursuant to Section 906 of the Sarbanes-Oxley Act of 2002 dated March 27, 2015.</w:t>
      </w:r>
    </w:p>
    <w:p>
      <w:pPr>
        <w:sectPr>
          <w:pgSz w:w="11900" w:h="16838" w:orient="portrait"/>
          <w:cols w:equalWidth="0" w:num="1">
            <w:col w:w="11420"/>
          </w:cols>
          <w:pgMar w:left="240" w:top="141" w:right="239" w:bottom="1440" w:gutter="0" w:footer="0" w:header="0"/>
        </w:sectPr>
      </w:pP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167" w:lineRule="exact"/>
        <w:rPr>
          <w:sz w:val="20"/>
          <w:szCs w:val="20"/>
          <w:color w:val="auto"/>
        </w:rPr>
      </w:pPr>
    </w:p>
    <w:p>
      <w:pPr>
        <w:sectPr>
          <w:pgSz w:w="11900" w:h="16838" w:orient="portrait"/>
          <w:cols w:equalWidth="0" w:num="2">
            <w:col w:w="660" w:space="320"/>
            <w:col w:w="10440"/>
          </w:cols>
          <w:pgMar w:left="240" w:top="141"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167" w:lineRule="exact"/>
        <w:rPr>
          <w:sz w:val="20"/>
          <w:szCs w:val="20"/>
          <w:color w:val="auto"/>
        </w:rPr>
      </w:pPr>
    </w:p>
    <w:p>
      <w:pPr>
        <w:sectPr>
          <w:pgSz w:w="11900" w:h="16838" w:orient="portrait"/>
          <w:cols w:equalWidth="0" w:num="2">
            <w:col w:w="720" w:space="260"/>
            <w:col w:w="10440"/>
          </w:cols>
          <w:pgMar w:left="240" w:top="141"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67" w:lineRule="exact"/>
        <w:rPr>
          <w:sz w:val="20"/>
          <w:szCs w:val="20"/>
          <w:color w:val="auto"/>
        </w:rPr>
      </w:pPr>
    </w:p>
    <w:p>
      <w:pPr>
        <w:sectPr>
          <w:pgSz w:w="11900" w:h="16838" w:orient="portrait"/>
          <w:cols w:equalWidth="0" w:num="2">
            <w:col w:w="700" w:space="280"/>
            <w:col w:w="10440"/>
          </w:cols>
          <w:pgMar w:left="240" w:top="141"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Definitions Linkbase Document</w:t>
      </w:r>
    </w:p>
    <w:p>
      <w:pPr>
        <w:spacing w:after="0" w:line="167" w:lineRule="exact"/>
        <w:rPr>
          <w:sz w:val="20"/>
          <w:szCs w:val="20"/>
          <w:color w:val="auto"/>
        </w:rPr>
      </w:pPr>
    </w:p>
    <w:p>
      <w:pPr>
        <w:sectPr>
          <w:pgSz w:w="11900" w:h="16838" w:orient="portrait"/>
          <w:cols w:equalWidth="0" w:num="2">
            <w:col w:w="720" w:space="260"/>
            <w:col w:w="10440"/>
          </w:cols>
          <w:pgMar w:left="240" w:top="141"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167" w:lineRule="exact"/>
        <w:rPr>
          <w:sz w:val="20"/>
          <w:szCs w:val="20"/>
          <w:color w:val="auto"/>
        </w:rPr>
      </w:pPr>
    </w:p>
    <w:p>
      <w:pPr>
        <w:sectPr>
          <w:pgSz w:w="11900" w:h="16838" w:orient="portrait"/>
          <w:cols w:equalWidth="0" w:num="2">
            <w:col w:w="700" w:space="280"/>
            <w:col w:w="10440"/>
          </w:cols>
          <w:pgMar w:left="240" w:top="141"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67" w:lineRule="exact"/>
        <w:rPr>
          <w:sz w:val="20"/>
          <w:szCs w:val="20"/>
          <w:color w:val="auto"/>
        </w:rPr>
      </w:pPr>
    </w:p>
    <w:p>
      <w:pPr>
        <w:sectPr>
          <w:pgSz w:w="11900" w:h="16838" w:orient="portrait"/>
          <w:cols w:equalWidth="0" w:num="2">
            <w:col w:w="720" w:space="260"/>
            <w:col w:w="10440"/>
          </w:cols>
          <w:pgMar w:left="240" w:top="141" w:right="239" w:bottom="1440" w:gutter="0" w:footer="0" w:header="0"/>
          <w:type w:val="continuous"/>
        </w:sectPr>
      </w:pPr>
    </w:p>
    <w:p>
      <w:pPr>
        <w:ind w:right="60"/>
        <w:spacing w:after="0" w:line="251" w:lineRule="auto"/>
        <w:rPr>
          <w:sz w:val="20"/>
          <w:szCs w:val="20"/>
          <w:color w:val="auto"/>
        </w:rPr>
      </w:pPr>
      <w:r>
        <w:rPr>
          <w:rFonts w:ascii="Arial" w:cs="Arial" w:eastAsia="Arial" w:hAnsi="Arial"/>
          <w:sz w:val="16"/>
          <w:szCs w:val="16"/>
          <w:color w:val="auto"/>
        </w:rPr>
        <w:t>*Attached as Exhibit 101 to this report are the following financial statements from our Quarterly Report on Form 10-Q for the quarter ended February 28, 2015 formatted in XBRL: (i) the Unaudited Consolidated Balance Sheets, (ii) the Unaudited Consolidated Statements of Operations and Comprehensive Income, (iii) the Unaudited Consolidated Statement of Cash Flows, and (iv) related notes to these financial statements. Such exhibits are deemed furnished and not filed pursuant to Rule 406T of Regulation S-T.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41" w:right="239" w:bottom="1440" w:gutter="0" w:footer="0" w:header="0"/>
          <w:type w:val="continuous"/>
        </w:sectPr>
      </w:pPr>
    </w:p>
    <w:bookmarkStart w:id="24" w:name="page25"/>
    <w:bookmarkEnd w:id="2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8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7560" w:type="dxa"/>
            <w:vAlign w:val="bottom"/>
            <w:gridSpan w:val="2"/>
          </w:tcPr>
          <w:p>
            <w:pPr>
              <w:ind w:left="1780"/>
              <w:spacing w:after="0"/>
              <w:rPr>
                <w:sz w:val="20"/>
                <w:szCs w:val="20"/>
                <w:color w:val="auto"/>
              </w:rPr>
            </w:pPr>
            <w:r>
              <w:rPr>
                <w:rFonts w:ascii="Arial" w:cs="Arial" w:eastAsia="Arial" w:hAnsi="Arial"/>
                <w:sz w:val="16"/>
                <w:szCs w:val="16"/>
                <w:color w:val="auto"/>
              </w:rPr>
              <w:t>WINNEBAGO INDUSTRIES, INC.</w:t>
            </w:r>
          </w:p>
        </w:tc>
      </w:tr>
      <w:tr>
        <w:trPr>
          <w:trHeight w:val="553"/>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3060" w:type="dxa"/>
            <w:vAlign w:val="bottom"/>
          </w:tcPr>
          <w:p>
            <w:pPr>
              <w:ind w:left="140"/>
              <w:spacing w:after="0"/>
              <w:rPr>
                <w:sz w:val="20"/>
                <w:szCs w:val="20"/>
                <w:color w:val="auto"/>
              </w:rPr>
            </w:pPr>
            <w:r>
              <w:rPr>
                <w:rFonts w:ascii="Arial" w:cs="Arial" w:eastAsia="Arial" w:hAnsi="Arial"/>
                <w:sz w:val="16"/>
                <w:szCs w:val="16"/>
                <w:color w:val="auto"/>
              </w:rPr>
              <w:t>March 27, 2015</w:t>
            </w:r>
          </w:p>
        </w:tc>
        <w:tc>
          <w:tcPr>
            <w:tcW w:w="7560" w:type="dxa"/>
            <w:vAlign w:val="bottom"/>
            <w:gridSpan w:val="2"/>
          </w:tcPr>
          <w:p>
            <w:pPr>
              <w:ind w:left="178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Randy J. Potts</w:t>
            </w:r>
          </w:p>
        </w:tc>
      </w:tr>
      <w:tr>
        <w:trPr>
          <w:trHeight w:val="237"/>
        </w:trPr>
        <w:tc>
          <w:tcPr>
            <w:tcW w:w="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Randy J. Potts</w:t>
            </w:r>
          </w:p>
        </w:tc>
      </w:tr>
      <w:tr>
        <w:trPr>
          <w:trHeight w:val="270"/>
        </w:trPr>
        <w:tc>
          <w:tcPr>
            <w:tcW w:w="54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Chief Executive Officer, President, Chairman of the Board</w:t>
            </w:r>
          </w:p>
        </w:tc>
      </w:tr>
      <w:tr>
        <w:trPr>
          <w:trHeight w:val="270"/>
        </w:trPr>
        <w:tc>
          <w:tcPr>
            <w:tcW w:w="54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(Principal Executive Officer)</w:t>
            </w:r>
          </w:p>
        </w:tc>
      </w:tr>
      <w:tr>
        <w:trPr>
          <w:trHeight w:val="553"/>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3060" w:type="dxa"/>
            <w:vAlign w:val="bottom"/>
          </w:tcPr>
          <w:p>
            <w:pPr>
              <w:ind w:left="140"/>
              <w:spacing w:after="0"/>
              <w:rPr>
                <w:sz w:val="20"/>
                <w:szCs w:val="20"/>
                <w:color w:val="auto"/>
              </w:rPr>
            </w:pPr>
            <w:r>
              <w:rPr>
                <w:rFonts w:ascii="Arial" w:cs="Arial" w:eastAsia="Arial" w:hAnsi="Arial"/>
                <w:sz w:val="16"/>
                <w:szCs w:val="16"/>
                <w:color w:val="auto"/>
              </w:rPr>
              <w:t>March 27, 2015</w:t>
            </w:r>
          </w:p>
        </w:tc>
        <w:tc>
          <w:tcPr>
            <w:tcW w:w="7560" w:type="dxa"/>
            <w:vAlign w:val="bottom"/>
            <w:gridSpan w:val="2"/>
          </w:tcPr>
          <w:p>
            <w:pPr>
              <w:ind w:left="178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Sarah N. Nielsen</w:t>
            </w:r>
          </w:p>
        </w:tc>
      </w:tr>
      <w:tr>
        <w:trPr>
          <w:trHeight w:val="237"/>
        </w:trPr>
        <w:tc>
          <w:tcPr>
            <w:tcW w:w="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Sarah N. Nielsen</w:t>
            </w:r>
          </w:p>
        </w:tc>
      </w:tr>
      <w:tr>
        <w:trPr>
          <w:trHeight w:val="270"/>
        </w:trPr>
        <w:tc>
          <w:tcPr>
            <w:tcW w:w="54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Vice President, Chief Financial Officer</w:t>
            </w:r>
          </w:p>
        </w:tc>
      </w:tr>
      <w:tr>
        <w:trPr>
          <w:trHeight w:val="270"/>
        </w:trPr>
        <w:tc>
          <w:tcPr>
            <w:tcW w:w="54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r>
      <w:tr>
        <w:trPr>
          <w:trHeight w:val="675"/>
        </w:trPr>
        <w:tc>
          <w:tcPr>
            <w:tcW w:w="5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23</w:t>
            </w:r>
          </w:p>
        </w:tc>
        <w:tc>
          <w:tcPr>
            <w:tcW w:w="5360" w:type="dxa"/>
            <w:vAlign w:val="bottom"/>
          </w:tcPr>
          <w:p>
            <w:pPr>
              <w:spacing w:after="0"/>
              <w:rPr>
                <w:sz w:val="24"/>
                <w:szCs w:val="24"/>
                <w:color w:val="auto"/>
              </w:rPr>
            </w:pPr>
          </w:p>
        </w:tc>
      </w:tr>
    </w:tbl>
    <w:p>
      <w:pPr>
        <w:sectPr>
          <w:pgSz w:w="11900" w:h="16838" w:orient="portrait"/>
          <w:cols w:equalWidth="0" w:num="1">
            <w:col w:w="11340"/>
          </w:cols>
          <w:pgMar w:left="240" w:top="141" w:right="31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Exhibit 31.1</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I, Randy J. Potts, Chief Executive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315" w:lineRule="exact"/>
        <w:rPr>
          <w:rFonts w:ascii="Arial" w:cs="Arial" w:eastAsia="Arial" w:hAnsi="Arial"/>
          <w:sz w:val="16"/>
          <w:szCs w:val="16"/>
          <w:color w:val="auto"/>
        </w:rPr>
      </w:pPr>
    </w:p>
    <w:p>
      <w:pPr>
        <w:ind w:left="340" w:right="60" w:hanging="332"/>
        <w:spacing w:after="0" w:line="260"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6"/>
          <w:szCs w:val="16"/>
          <w:color w:val="auto"/>
        </w:rPr>
      </w:pPr>
    </w:p>
    <w:p>
      <w:pPr>
        <w:ind w:left="340" w:right="120" w:hanging="332"/>
        <w:spacing w:after="0" w:line="260"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00" w:hanging="328"/>
        <w:spacing w:after="0" w:line="253" w:lineRule="auto"/>
        <w:tabs>
          <w:tab w:leader="none" w:pos="6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jc w:val="both"/>
        <w:ind w:left="660" w:right="920" w:hanging="328"/>
        <w:spacing w:after="0" w:line="260" w:lineRule="auto"/>
        <w:tabs>
          <w:tab w:leader="none" w:pos="6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ind w:left="660" w:right="120" w:hanging="328"/>
        <w:spacing w:after="0" w:line="253" w:lineRule="auto"/>
        <w:tabs>
          <w:tab w:leader="none" w:pos="6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second fiscal quarter in this case) that has materially affected, or is reasonably likely to materially affect, the Registrant's internal control over financial reporting; and</w:t>
      </w:r>
    </w:p>
    <w:p>
      <w:pPr>
        <w:spacing w:after="0" w:line="174" w:lineRule="exact"/>
        <w:rPr>
          <w:rFonts w:ascii="Arial" w:cs="Arial" w:eastAsia="Arial" w:hAnsi="Arial"/>
          <w:sz w:val="16"/>
          <w:szCs w:val="16"/>
          <w:color w:val="auto"/>
        </w:rPr>
      </w:pPr>
    </w:p>
    <w:p>
      <w:pPr>
        <w:ind w:left="340" w:right="620" w:hanging="332"/>
        <w:spacing w:after="0" w:line="260"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60" w:hanging="328"/>
        <w:spacing w:after="0" w:line="260" w:lineRule="auto"/>
        <w:tabs>
          <w:tab w:leader="none" w:pos="6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27, 2015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Randy J. Potts</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 President,</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Chairman of the Board</w:t>
      </w:r>
    </w:p>
    <w:p>
      <w:pPr>
        <w:sectPr>
          <w:pgSz w:w="11900" w:h="16838" w:orient="portrait"/>
          <w:cols w:equalWidth="0" w:num="1">
            <w:col w:w="11420"/>
          </w:cols>
          <w:pgMar w:left="240" w:top="630" w:right="2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I, Sarah N. Nielsen, Chief Financial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315" w:lineRule="exact"/>
        <w:rPr>
          <w:rFonts w:ascii="Arial" w:cs="Arial" w:eastAsia="Arial" w:hAnsi="Arial"/>
          <w:sz w:val="16"/>
          <w:szCs w:val="16"/>
          <w:color w:val="auto"/>
        </w:rPr>
      </w:pPr>
    </w:p>
    <w:p>
      <w:pPr>
        <w:ind w:left="340" w:right="60" w:hanging="332"/>
        <w:spacing w:after="0" w:line="260"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6"/>
          <w:szCs w:val="16"/>
          <w:color w:val="auto"/>
        </w:rPr>
      </w:pPr>
    </w:p>
    <w:p>
      <w:pPr>
        <w:ind w:left="340" w:right="120" w:hanging="332"/>
        <w:spacing w:after="0" w:line="260"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00" w:hanging="328"/>
        <w:spacing w:after="0" w:line="253"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jc w:val="both"/>
        <w:ind w:left="660" w:right="920" w:hanging="328"/>
        <w:spacing w:after="0" w:line="260"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ind w:left="660" w:right="120" w:hanging="328"/>
        <w:spacing w:after="0" w:line="253"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second fiscal quarter in this case) that has materially affected, or is reasonably likely to materially affect, the Registrant's internal control over financial reporting; and</w:t>
      </w:r>
    </w:p>
    <w:p>
      <w:pPr>
        <w:spacing w:after="0" w:line="174" w:lineRule="exact"/>
        <w:rPr>
          <w:rFonts w:ascii="Arial" w:cs="Arial" w:eastAsia="Arial" w:hAnsi="Arial"/>
          <w:sz w:val="16"/>
          <w:szCs w:val="16"/>
          <w:color w:val="auto"/>
        </w:rPr>
      </w:pPr>
    </w:p>
    <w:p>
      <w:pPr>
        <w:ind w:left="340" w:right="620" w:hanging="332"/>
        <w:spacing w:after="0" w:line="260"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60" w:hanging="328"/>
        <w:spacing w:after="0" w:line="260"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27, 2015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p>
      <w:pPr>
        <w:sectPr>
          <w:pgSz w:w="11900" w:h="16838" w:orient="portrait"/>
          <w:cols w:equalWidth="0" w:num="1">
            <w:col w:w="11420"/>
          </w:cols>
          <w:pgMar w:left="240" w:top="576"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connection with this Quarterly Report on Form 10-Q of Winnebago Industries, Inc. for the quarter ended February 28, 2015, I, Randy J. Potts, Chief Executive Officer and President of Winnebago Industries, Inc., certify that pursuant to 18 U.S.C. §1350 as adopted pursuant to §906 of the Sarbanes-Oxley Act of 2002, that:</w:t>
      </w:r>
    </w:p>
    <w:p>
      <w:pPr>
        <w:spacing w:after="0" w:line="174" w:lineRule="exact"/>
        <w:rPr>
          <w:sz w:val="20"/>
          <w:szCs w:val="20"/>
          <w:color w:val="auto"/>
        </w:rPr>
      </w:pPr>
    </w:p>
    <w:p>
      <w:pPr>
        <w:ind w:left="660" w:right="140" w:hanging="328"/>
        <w:spacing w:after="0" w:line="253"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fiscal quarter ended February 28, 2015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27, 2015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Randy J. Potts</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 President,</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Chairman of the Board</w:t>
      </w:r>
    </w:p>
    <w:p>
      <w:pPr>
        <w:sectPr>
          <w:pgSz w:w="11900" w:h="16838" w:orient="portrait"/>
          <w:cols w:equalWidth="0" w:num="1">
            <w:col w:w="11400"/>
          </w:cols>
          <w:pgMar w:left="240" w:top="630" w:right="25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201"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In connection with this Quarterly Report on Form 10-Q of Winnebago Industries, Inc. for the quarter ended February 28, 2015, I, Sarah N. Nielsen, Vice President, Chief Financial Officer of Winnebago Industries, Inc., certify that pursuant to 18 U.S.C. §1350 as adopted pursuant to §906 of the Sarbanes-Oxley Act of 2002, that:</w:t>
      </w:r>
    </w:p>
    <w:p>
      <w:pPr>
        <w:spacing w:after="0" w:line="174" w:lineRule="exact"/>
        <w:rPr>
          <w:sz w:val="20"/>
          <w:szCs w:val="20"/>
          <w:color w:val="auto"/>
        </w:rPr>
      </w:pPr>
    </w:p>
    <w:p>
      <w:pPr>
        <w:ind w:left="660" w:right="100" w:hanging="328"/>
        <w:spacing w:after="0" w:line="253"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fiscal quarter ended February 28, 2015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27, 2015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sectPr>
      <w:pgSz w:w="11900" w:h="16838" w:orient="portrait"/>
      <w:cols w:equalWidth="0" w:num="1">
        <w:col w:w="11360"/>
      </w:cols>
      <w:pgMar w:left="240" w:top="63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3"/>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2019-12-29T17:20:24Z</dcterms:created>
  <dcterms:modified xsi:type="dcterms:W3CDTF">2019-12-29T17:20:24Z</dcterms:modified>
</cp:coreProperties>
</file>