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57"/>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3937"/>
        <w:spacing w:after="0"/>
        <w:rPr>
          <w:sz w:val="20"/>
          <w:szCs w:val="20"/>
          <w:color w:val="auto"/>
        </w:rPr>
      </w:pPr>
      <w:r>
        <w:rPr>
          <w:rFonts w:ascii="Courier New" w:cs="Courier New" w:eastAsia="Courier New" w:hAnsi="Courier New"/>
          <w:sz w:val="16"/>
          <w:szCs w:val="16"/>
          <w:color w:val="auto"/>
        </w:rPr>
        <w:t>WASHINGTON, D.C. 20549</w:t>
      </w:r>
    </w:p>
    <w:p>
      <w:pPr>
        <w:spacing w:after="0" w:line="200" w:lineRule="exact"/>
        <w:rPr>
          <w:sz w:val="24"/>
          <w:szCs w:val="24"/>
          <w:color w:val="auto"/>
        </w:rPr>
      </w:pPr>
    </w:p>
    <w:p>
      <w:pPr>
        <w:spacing w:after="0" w:line="346" w:lineRule="exact"/>
        <w:rPr>
          <w:sz w:val="24"/>
          <w:szCs w:val="24"/>
          <w:color w:val="auto"/>
        </w:rPr>
      </w:pPr>
    </w:p>
    <w:p>
      <w:pPr>
        <w:ind w:left="3403"/>
        <w:spacing w:after="0"/>
        <w:rPr>
          <w:sz w:val="20"/>
          <w:szCs w:val="20"/>
          <w:color w:val="auto"/>
        </w:rPr>
      </w:pPr>
      <w:r>
        <w:rPr>
          <w:rFonts w:ascii="Courier New" w:cs="Courier New" w:eastAsia="Courier New" w:hAnsi="Courier New"/>
          <w:sz w:val="16"/>
          <w:szCs w:val="16"/>
          <w:color w:val="auto"/>
        </w:rPr>
        <w:t>FORM 10-Q</w:t>
      </w:r>
    </w:p>
    <w:p>
      <w:pPr>
        <w:spacing w:after="0" w:line="364"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(Mark One)</w:t>
      </w:r>
    </w:p>
    <w:p>
      <w:pPr>
        <w:spacing w:after="0" w:line="186" w:lineRule="exact"/>
        <w:rPr>
          <w:sz w:val="24"/>
          <w:szCs w:val="24"/>
          <w:color w:val="auto"/>
        </w:rPr>
      </w:pPr>
    </w:p>
    <w:p>
      <w:pPr>
        <w:ind w:left="763" w:right="4520" w:hanging="574"/>
        <w:spacing w:after="0" w:line="237" w:lineRule="auto"/>
        <w:tabs>
          <w:tab w:leader="none" w:pos="763"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 w:lineRule="exact"/>
        <w:rPr>
          <w:rFonts w:ascii="Courier New" w:cs="Courier New" w:eastAsia="Courier New" w:hAnsi="Courier New"/>
          <w:sz w:val="16"/>
          <w:szCs w:val="16"/>
          <w:color w:val="auto"/>
        </w:rPr>
      </w:pPr>
    </w:p>
    <w:p>
      <w:pPr>
        <w:ind w:left="183" w:hanging="183"/>
        <w:spacing w:after="0"/>
        <w:tabs>
          <w:tab w:leader="none" w:pos="18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3" w:lineRule="exact"/>
        <w:rPr>
          <w:sz w:val="24"/>
          <w:szCs w:val="24"/>
          <w:color w:val="auto"/>
        </w:rPr>
      </w:pPr>
    </w:p>
    <w:p>
      <w:pPr>
        <w:ind w:left="3"/>
        <w:spacing w:after="0"/>
        <w:tabs>
          <w:tab w:leader="none" w:pos="4323" w:val="left"/>
        </w:tabs>
        <w:rPr>
          <w:sz w:val="20"/>
          <w:szCs w:val="20"/>
          <w:color w:val="auto"/>
        </w:rPr>
      </w:pPr>
      <w:r>
        <w:rPr>
          <w:rFonts w:ascii="Courier New" w:cs="Courier New" w:eastAsia="Courier New" w:hAnsi="Courier New"/>
          <w:sz w:val="16"/>
          <w:szCs w:val="16"/>
          <w:color w:val="auto"/>
        </w:rPr>
        <w:t>For the quarterly period ended</w:t>
      </w:r>
      <w:r>
        <w:rPr>
          <w:sz w:val="20"/>
          <w:szCs w:val="20"/>
          <w:color w:val="auto"/>
        </w:rPr>
        <w:tab/>
      </w:r>
      <w:r>
        <w:rPr>
          <w:rFonts w:ascii="Courier New" w:cs="Courier New" w:eastAsia="Courier New" w:hAnsi="Courier New"/>
          <w:sz w:val="15"/>
          <w:szCs w:val="15"/>
          <w:color w:val="auto"/>
        </w:rPr>
        <w:t>June 1, 1996</w:t>
      </w:r>
    </w:p>
    <w:p>
      <w:pPr>
        <w:spacing w:after="0" w:line="364" w:lineRule="exact"/>
        <w:rPr>
          <w:sz w:val="24"/>
          <w:szCs w:val="24"/>
          <w:color w:val="auto"/>
        </w:rPr>
      </w:pPr>
    </w:p>
    <w:p>
      <w:pPr>
        <w:jc w:val="center"/>
        <w:ind w:right="3957"/>
        <w:spacing w:after="0"/>
        <w:rPr>
          <w:sz w:val="20"/>
          <w:szCs w:val="20"/>
          <w:color w:val="auto"/>
        </w:rPr>
      </w:pPr>
      <w:r>
        <w:rPr>
          <w:rFonts w:ascii="Courier New" w:cs="Courier New" w:eastAsia="Courier New" w:hAnsi="Courier New"/>
          <w:sz w:val="16"/>
          <w:szCs w:val="16"/>
          <w:color w:val="auto"/>
        </w:rPr>
        <w:t>OR</w:t>
      </w:r>
    </w:p>
    <w:p>
      <w:pPr>
        <w:spacing w:after="0" w:line="186" w:lineRule="exact"/>
        <w:rPr>
          <w:sz w:val="24"/>
          <w:szCs w:val="24"/>
          <w:color w:val="auto"/>
        </w:rPr>
      </w:pPr>
    </w:p>
    <w:p>
      <w:pPr>
        <w:ind w:left="763" w:right="4420"/>
        <w:spacing w:after="0" w:line="237" w:lineRule="auto"/>
        <w:rPr>
          <w:sz w:val="20"/>
          <w:szCs w:val="20"/>
          <w:color w:val="auto"/>
        </w:rPr>
      </w:pPr>
      <w:r>
        <w:rPr>
          <w:rFonts w:ascii="Courier New" w:cs="Courier New" w:eastAsia="Courier New" w:hAnsi="Courier New"/>
          <w:sz w:val="16"/>
          <w:szCs w:val="16"/>
          <w:color w:val="auto"/>
        </w:rPr>
        <w:t>TRANSITION REPORT PURSUANT TO SECTION 13 OR 15(d) OF THE SECURITIES EXCHANGE ACT OF 1934</w:t>
      </w:r>
    </w:p>
    <w:p>
      <w:pPr>
        <w:spacing w:after="0" w:line="2"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For the transition period from ____________________ to ____________________</w:t>
      </w:r>
    </w:p>
    <w:p>
      <w:pPr>
        <w:spacing w:after="0" w:line="190" w:lineRule="exact"/>
        <w:rPr>
          <w:sz w:val="24"/>
          <w:szCs w:val="24"/>
          <w:color w:val="auto"/>
        </w:rPr>
      </w:pPr>
    </w:p>
    <w:p>
      <w:pPr>
        <w:ind w:left="3"/>
        <w:spacing w:after="0"/>
        <w:tabs>
          <w:tab w:leader="none" w:pos="2243" w:val="left"/>
        </w:tabs>
        <w:rPr>
          <w:sz w:val="20"/>
          <w:szCs w:val="20"/>
          <w:color w:val="auto"/>
        </w:rPr>
      </w:pPr>
      <w:r>
        <w:rPr>
          <w:rFonts w:ascii="Courier New" w:cs="Courier New" w:eastAsia="Courier New" w:hAnsi="Courier New"/>
          <w:sz w:val="16"/>
          <w:szCs w:val="16"/>
          <w:color w:val="auto"/>
        </w:rPr>
        <w:t>Commission file number</w:t>
        <w:tab/>
        <w:t>1-6403</w:t>
      </w:r>
    </w:p>
    <w:p>
      <w:pPr>
        <w:spacing w:after="0" w:line="364" w:lineRule="exact"/>
        <w:rPr>
          <w:sz w:val="24"/>
          <w:szCs w:val="24"/>
          <w:color w:val="auto"/>
        </w:rPr>
      </w:pPr>
    </w:p>
    <w:p>
      <w:pPr>
        <w:jc w:val="center"/>
        <w:ind w:right="3937"/>
        <w:spacing w:after="0"/>
        <w:rPr>
          <w:sz w:val="20"/>
          <w:szCs w:val="20"/>
          <w:color w:val="auto"/>
        </w:rPr>
      </w:pPr>
      <w:r>
        <w:rPr>
          <w:rFonts w:ascii="Courier New" w:cs="Courier New" w:eastAsia="Courier New" w:hAnsi="Courier New"/>
          <w:sz w:val="16"/>
          <w:szCs w:val="16"/>
          <w:color w:val="auto"/>
        </w:rPr>
        <w:t>WINNEBAGO INDUSTRIES, INC.</w:t>
      </w:r>
    </w:p>
    <w:p>
      <w:pPr>
        <w:spacing w:after="0" w:line="183" w:lineRule="exact"/>
        <w:rPr>
          <w:sz w:val="24"/>
          <w:szCs w:val="24"/>
          <w:color w:val="auto"/>
        </w:rPr>
      </w:pPr>
    </w:p>
    <w:p>
      <w:pPr>
        <w:ind w:left="1223"/>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1523"/>
          </w:cols>
          <w:pgMar w:left="237" w:top="417" w:right="139" w:bottom="0" w:gutter="0" w:footer="0" w:header="0"/>
        </w:sectPr>
      </w:pPr>
    </w:p>
    <w:p>
      <w:pPr>
        <w:spacing w:after="0" w:line="183" w:lineRule="exact"/>
        <w:rPr>
          <w:sz w:val="24"/>
          <w:szCs w:val="24"/>
          <w:color w:val="auto"/>
        </w:rPr>
      </w:pPr>
    </w:p>
    <w:p>
      <w:pPr>
        <w:ind w:left="943"/>
        <w:spacing w:after="0"/>
        <w:rPr>
          <w:sz w:val="20"/>
          <w:szCs w:val="20"/>
          <w:color w:val="auto"/>
        </w:rPr>
      </w:pPr>
      <w:r>
        <w:rPr>
          <w:rFonts w:ascii="Courier New" w:cs="Courier New" w:eastAsia="Courier New" w:hAnsi="Courier New"/>
          <w:sz w:val="16"/>
          <w:szCs w:val="16"/>
          <w:color w:val="auto"/>
        </w:rPr>
        <w:t>IOWA</w:t>
      </w:r>
    </w:p>
    <w:p>
      <w:pPr>
        <w:spacing w:after="0" w:line="5" w:lineRule="exact"/>
        <w:rPr>
          <w:sz w:val="24"/>
          <w:szCs w:val="24"/>
          <w:color w:val="auto"/>
        </w:rPr>
      </w:pPr>
    </w:p>
    <w:p>
      <w:pPr>
        <w:ind w:left="3"/>
        <w:spacing w:after="0"/>
        <w:rPr>
          <w:sz w:val="20"/>
          <w:szCs w:val="20"/>
          <w:color w:val="auto"/>
        </w:rPr>
      </w:pPr>
      <w:r>
        <w:rPr>
          <w:rFonts w:ascii="Courier New" w:cs="Courier New" w:eastAsia="Courier New" w:hAnsi="Courier New"/>
          <w:sz w:val="15"/>
          <w:szCs w:val="15"/>
          <w:color w:val="auto"/>
        </w:rPr>
        <w:t>(State or other jurisdiction of</w:t>
      </w:r>
    </w:p>
    <w:p>
      <w:pPr>
        <w:spacing w:after="0" w:line="8"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42-0803978</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90" w:lineRule="exact"/>
        <w:rPr>
          <w:sz w:val="24"/>
          <w:szCs w:val="24"/>
          <w:color w:val="auto"/>
        </w:rPr>
      </w:pPr>
    </w:p>
    <w:p>
      <w:pPr>
        <w:sectPr>
          <w:pgSz w:w="11900" w:h="16838" w:orient="portrait"/>
          <w:cols w:equalWidth="0" w:num="2">
            <w:col w:w="4483" w:space="720"/>
            <w:col w:w="6320"/>
          </w:cols>
          <w:pgMar w:left="237" w:top="417" w:right="139" w:bottom="0" w:gutter="0" w:footer="0" w:header="0"/>
          <w:type w:val="continuous"/>
        </w:sectPr>
      </w:pPr>
    </w:p>
    <w:p>
      <w:pPr>
        <w:spacing w:after="0" w:line="3" w:lineRule="exact"/>
        <w:rPr>
          <w:sz w:val="24"/>
          <w:szCs w:val="24"/>
          <w:color w:val="auto"/>
        </w:rPr>
      </w:pPr>
    </w:p>
    <w:p>
      <w:pPr>
        <w:ind w:left="3" w:right="980"/>
        <w:spacing w:after="0" w:line="267" w:lineRule="auto"/>
        <w:rPr>
          <w:sz w:val="20"/>
          <w:szCs w:val="20"/>
          <w:color w:val="auto"/>
        </w:rPr>
      </w:pPr>
      <w:r>
        <w:rPr>
          <w:rFonts w:ascii="Courier New" w:cs="Courier New" w:eastAsia="Courier New" w:hAnsi="Courier New"/>
          <w:sz w:val="15"/>
          <w:szCs w:val="15"/>
          <w:color w:val="auto"/>
        </w:rPr>
        <w:t>P. O. Box 152, Forest City, Iowa (Address of principal executive offices)</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Courier New" w:cs="Courier New" w:eastAsia="Courier New" w:hAnsi="Courier New"/>
          <w:sz w:val="16"/>
          <w:szCs w:val="16"/>
          <w:color w:val="auto"/>
        </w:rPr>
        <w:t>50436</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90" w:lineRule="exact"/>
        <w:rPr>
          <w:sz w:val="24"/>
          <w:szCs w:val="24"/>
          <w:color w:val="auto"/>
        </w:rPr>
      </w:pPr>
    </w:p>
    <w:p>
      <w:pPr>
        <w:sectPr>
          <w:pgSz w:w="11900" w:h="16838" w:orient="portrait"/>
          <w:cols w:equalWidth="0" w:num="2">
            <w:col w:w="4763" w:space="720"/>
            <w:col w:w="6040"/>
          </w:cols>
          <w:pgMar w:left="237" w:top="417" w:right="139" w:bottom="0" w:gutter="0" w:footer="0" w:header="0"/>
          <w:type w:val="continuous"/>
        </w:sectPr>
      </w:pPr>
    </w:p>
    <w:p>
      <w:pPr>
        <w:ind w:left="3"/>
        <w:spacing w:after="0"/>
        <w:tabs>
          <w:tab w:leader="none" w:pos="4983" w:val="left"/>
        </w:tabs>
        <w:rPr>
          <w:sz w:val="20"/>
          <w:szCs w:val="20"/>
          <w:color w:val="auto"/>
        </w:rPr>
      </w:pPr>
      <w:r>
        <w:rPr>
          <w:rFonts w:ascii="Courier New" w:cs="Courier New" w:eastAsia="Courier New" w:hAnsi="Courier New"/>
          <w:sz w:val="16"/>
          <w:szCs w:val="16"/>
          <w:color w:val="auto"/>
        </w:rPr>
        <w:t>Registrant's telephone number, including area code:</w:t>
      </w:r>
      <w:r>
        <w:rPr>
          <w:sz w:val="20"/>
          <w:szCs w:val="20"/>
          <w:color w:val="auto"/>
        </w:rPr>
        <w:tab/>
      </w:r>
      <w:r>
        <w:rPr>
          <w:rFonts w:ascii="Courier New" w:cs="Courier New" w:eastAsia="Courier New" w:hAnsi="Courier New"/>
          <w:sz w:val="15"/>
          <w:szCs w:val="15"/>
          <w:color w:val="auto"/>
        </w:rPr>
        <w:t>(515) 582-3535</w:t>
      </w:r>
    </w:p>
    <w:p>
      <w:pPr>
        <w:spacing w:after="0" w:line="186" w:lineRule="exact"/>
        <w:rPr>
          <w:sz w:val="24"/>
          <w:szCs w:val="24"/>
          <w:color w:val="auto"/>
        </w:rPr>
      </w:pPr>
    </w:p>
    <w:p>
      <w:pPr>
        <w:ind w:left="3" w:right="3960"/>
        <w:spacing w:after="0" w:line="239"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__X__ No ____.</w:t>
      </w:r>
    </w:p>
    <w:p>
      <w:pPr>
        <w:spacing w:after="0" w:line="189" w:lineRule="exact"/>
        <w:rPr>
          <w:sz w:val="24"/>
          <w:szCs w:val="24"/>
          <w:color w:val="auto"/>
        </w:rPr>
      </w:pPr>
    </w:p>
    <w:p>
      <w:pPr>
        <w:ind w:left="3" w:right="4060"/>
        <w:spacing w:after="0" w:line="237" w:lineRule="auto"/>
        <w:rPr>
          <w:sz w:val="20"/>
          <w:szCs w:val="20"/>
          <w:color w:val="auto"/>
        </w:rPr>
      </w:pPr>
      <w:r>
        <w:rPr>
          <w:rFonts w:ascii="Courier New" w:cs="Courier New" w:eastAsia="Courier New" w:hAnsi="Courier New"/>
          <w:sz w:val="16"/>
          <w:szCs w:val="16"/>
          <w:color w:val="auto"/>
        </w:rPr>
        <w:t>There were 25,353,222 shares of $.50 par value common stock outstanding on July 10, 1996.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ind w:left="1803"/>
        <w:spacing w:after="0"/>
        <w:rPr>
          <w:sz w:val="20"/>
          <w:szCs w:val="20"/>
          <w:color w:val="auto"/>
        </w:rPr>
      </w:pPr>
      <w:r>
        <w:rPr>
          <w:rFonts w:ascii="Courier New" w:cs="Courier New" w:eastAsia="Courier New" w:hAnsi="Courier New"/>
          <w:sz w:val="16"/>
          <w:szCs w:val="16"/>
          <w:color w:val="auto"/>
        </w:rPr>
        <w:t>WINNEBAGO INDUSTRIES, INC. AND SUBSIDIARIES</w:t>
      </w:r>
    </w:p>
    <w:p>
      <w:pPr>
        <w:spacing w:after="0" w:line="183" w:lineRule="exact"/>
        <w:rPr>
          <w:sz w:val="24"/>
          <w:szCs w:val="24"/>
          <w:color w:val="auto"/>
        </w:rPr>
      </w:pPr>
    </w:p>
    <w:tbl>
      <w:tblPr>
        <w:tblLayout w:type="fixed"/>
        <w:tblInd w:w="283" w:type="dxa"/>
        <w:tblCellMar>
          <w:top w:w="0" w:type="dxa"/>
          <w:left w:w="0" w:type="dxa"/>
          <w:bottom w:w="0" w:type="dxa"/>
          <w:right w:w="0" w:type="dxa"/>
        </w:tblCellMar>
      </w:tblPr>
      <w:tr>
        <w:trPr>
          <w:trHeight w:val="181"/>
        </w:trPr>
        <w:tc>
          <w:tcPr>
            <w:tcW w:w="1000" w:type="dxa"/>
            <w:vAlign w:val="bottom"/>
          </w:tcPr>
          <w:p>
            <w:pPr>
              <w:spacing w:after="0"/>
              <w:rPr>
                <w:sz w:val="15"/>
                <w:szCs w:val="15"/>
                <w:color w:val="auto"/>
              </w:rPr>
            </w:pPr>
          </w:p>
        </w:tc>
        <w:tc>
          <w:tcPr>
            <w:tcW w:w="8080" w:type="dxa"/>
            <w:vAlign w:val="bottom"/>
          </w:tcPr>
          <w:p>
            <w:pPr>
              <w:ind w:left="1180"/>
              <w:spacing w:after="0"/>
              <w:rPr>
                <w:sz w:val="20"/>
                <w:szCs w:val="20"/>
                <w:color w:val="auto"/>
              </w:rPr>
            </w:pPr>
            <w:r>
              <w:rPr>
                <w:rFonts w:ascii="Courier New" w:cs="Courier New" w:eastAsia="Courier New" w:hAnsi="Courier New"/>
                <w:sz w:val="16"/>
                <w:szCs w:val="16"/>
                <w:color w:val="auto"/>
              </w:rPr>
              <w:t>INDEX TO REPORT ON FORM 10-Q</w:t>
            </w:r>
          </w:p>
        </w:tc>
        <w:tc>
          <w:tcPr>
            <w:tcW w:w="156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546"/>
        </w:trPr>
        <w:tc>
          <w:tcPr>
            <w:tcW w:w="100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w w:val="93"/>
              </w:rPr>
              <w:t>Number</w:t>
            </w:r>
          </w:p>
        </w:tc>
      </w:tr>
      <w:tr>
        <w:trPr>
          <w:trHeight w:val="364"/>
        </w:trPr>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PART I.</w:t>
            </w:r>
          </w:p>
        </w:tc>
        <w:tc>
          <w:tcPr>
            <w:tcW w:w="8080" w:type="dxa"/>
            <w:vAlign w:val="bottom"/>
          </w:tcPr>
          <w:p>
            <w:pPr>
              <w:ind w:left="240"/>
              <w:spacing w:after="0"/>
              <w:rPr>
                <w:sz w:val="20"/>
                <w:szCs w:val="20"/>
                <w:color w:val="auto"/>
              </w:rPr>
            </w:pPr>
            <w:r>
              <w:rPr>
                <w:rFonts w:ascii="Courier New" w:cs="Courier New" w:eastAsia="Courier New" w:hAnsi="Courier New"/>
                <w:sz w:val="16"/>
                <w:szCs w:val="16"/>
                <w:color w:val="auto"/>
              </w:rPr>
              <w:t>FINANCIAL INFORMATION:  (Interim period information unaudited)</w:t>
            </w: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64"/>
        </w:trPr>
        <w:tc>
          <w:tcPr>
            <w:tcW w:w="1000" w:type="dxa"/>
            <w:vAlign w:val="bottom"/>
          </w:tcPr>
          <w:p>
            <w:pPr>
              <w:spacing w:after="0"/>
              <w:rPr>
                <w:sz w:val="24"/>
                <w:szCs w:val="24"/>
                <w:color w:val="auto"/>
              </w:rPr>
            </w:pPr>
          </w:p>
        </w:tc>
        <w:tc>
          <w:tcPr>
            <w:tcW w:w="8080" w:type="dxa"/>
            <w:vAlign w:val="bottom"/>
          </w:tcPr>
          <w:p>
            <w:pPr>
              <w:ind w:left="240"/>
              <w:spacing w:after="0"/>
              <w:rPr>
                <w:sz w:val="20"/>
                <w:szCs w:val="20"/>
                <w:color w:val="auto"/>
              </w:rPr>
            </w:pPr>
            <w:r>
              <w:rPr>
                <w:rFonts w:ascii="Courier New" w:cs="Courier New" w:eastAsia="Courier New" w:hAnsi="Courier New"/>
                <w:sz w:val="16"/>
                <w:szCs w:val="16"/>
                <w:color w:val="auto"/>
              </w:rPr>
              <w:t>Consolidated Balance Sheets</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&amp; 2</w:t>
            </w:r>
          </w:p>
        </w:tc>
      </w:tr>
      <w:tr>
        <w:trPr>
          <w:trHeight w:val="364"/>
        </w:trPr>
        <w:tc>
          <w:tcPr>
            <w:tcW w:w="1000" w:type="dxa"/>
            <w:vAlign w:val="bottom"/>
          </w:tcPr>
          <w:p>
            <w:pPr>
              <w:spacing w:after="0"/>
              <w:rPr>
                <w:sz w:val="24"/>
                <w:szCs w:val="24"/>
                <w:color w:val="auto"/>
              </w:rPr>
            </w:pPr>
          </w:p>
        </w:tc>
        <w:tc>
          <w:tcPr>
            <w:tcW w:w="8080" w:type="dxa"/>
            <w:vAlign w:val="bottom"/>
          </w:tcPr>
          <w:p>
            <w:pPr>
              <w:ind w:left="240"/>
              <w:spacing w:after="0"/>
              <w:rPr>
                <w:sz w:val="20"/>
                <w:szCs w:val="20"/>
                <w:color w:val="auto"/>
              </w:rPr>
            </w:pPr>
            <w:r>
              <w:rPr>
                <w:rFonts w:ascii="Courier New" w:cs="Courier New" w:eastAsia="Courier New" w:hAnsi="Courier New"/>
                <w:sz w:val="16"/>
                <w:szCs w:val="16"/>
                <w:color w:val="auto"/>
              </w:rPr>
              <w:t>Unaudited Consolidated Statements of Operations</w:t>
            </w:r>
          </w:p>
        </w:tc>
        <w:tc>
          <w:tcPr>
            <w:tcW w:w="1560" w:type="dxa"/>
            <w:vAlign w:val="bottom"/>
          </w:tcPr>
          <w:p>
            <w:pPr>
              <w:spacing w:after="0"/>
              <w:rPr>
                <w:sz w:val="24"/>
                <w:szCs w:val="24"/>
                <w:color w:val="auto"/>
              </w:rPr>
            </w:pP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3</w:t>
            </w:r>
          </w:p>
        </w:tc>
      </w:tr>
      <w:tr>
        <w:trPr>
          <w:trHeight w:val="364"/>
        </w:trPr>
        <w:tc>
          <w:tcPr>
            <w:tcW w:w="1000" w:type="dxa"/>
            <w:vAlign w:val="bottom"/>
          </w:tcPr>
          <w:p>
            <w:pPr>
              <w:spacing w:after="0"/>
              <w:rPr>
                <w:sz w:val="24"/>
                <w:szCs w:val="24"/>
                <w:color w:val="auto"/>
              </w:rPr>
            </w:pPr>
          </w:p>
        </w:tc>
        <w:tc>
          <w:tcPr>
            <w:tcW w:w="8080" w:type="dxa"/>
            <w:vAlign w:val="bottom"/>
          </w:tcPr>
          <w:p>
            <w:pPr>
              <w:ind w:left="240"/>
              <w:spacing w:after="0"/>
              <w:rPr>
                <w:sz w:val="20"/>
                <w:szCs w:val="20"/>
                <w:color w:val="auto"/>
              </w:rPr>
            </w:pPr>
            <w:r>
              <w:rPr>
                <w:rFonts w:ascii="Courier New" w:cs="Courier New" w:eastAsia="Courier New" w:hAnsi="Courier New"/>
                <w:sz w:val="16"/>
                <w:szCs w:val="16"/>
                <w:color w:val="auto"/>
              </w:rPr>
              <w:t>Unaudited Consolidated Condensed Statements of Cash Flows</w:t>
            </w:r>
          </w:p>
        </w:tc>
        <w:tc>
          <w:tcPr>
            <w:tcW w:w="1560" w:type="dxa"/>
            <w:vAlign w:val="bottom"/>
          </w:tcPr>
          <w:p>
            <w:pPr>
              <w:spacing w:after="0"/>
              <w:rPr>
                <w:sz w:val="24"/>
                <w:szCs w:val="24"/>
                <w:color w:val="auto"/>
              </w:rPr>
            </w:pP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4</w:t>
            </w:r>
          </w:p>
        </w:tc>
      </w:tr>
      <w:tr>
        <w:trPr>
          <w:trHeight w:val="364"/>
        </w:trPr>
        <w:tc>
          <w:tcPr>
            <w:tcW w:w="1000" w:type="dxa"/>
            <w:vAlign w:val="bottom"/>
          </w:tcPr>
          <w:p>
            <w:pPr>
              <w:spacing w:after="0"/>
              <w:rPr>
                <w:sz w:val="24"/>
                <w:szCs w:val="24"/>
                <w:color w:val="auto"/>
              </w:rPr>
            </w:pPr>
          </w:p>
        </w:tc>
        <w:tc>
          <w:tcPr>
            <w:tcW w:w="8080" w:type="dxa"/>
            <w:vAlign w:val="bottom"/>
          </w:tcPr>
          <w:p>
            <w:pPr>
              <w:ind w:left="240"/>
              <w:spacing w:after="0"/>
              <w:rPr>
                <w:sz w:val="20"/>
                <w:szCs w:val="20"/>
                <w:color w:val="auto"/>
              </w:rPr>
            </w:pPr>
            <w:r>
              <w:rPr>
                <w:rFonts w:ascii="Courier New" w:cs="Courier New" w:eastAsia="Courier New" w:hAnsi="Courier New"/>
                <w:sz w:val="16"/>
                <w:szCs w:val="16"/>
                <w:color w:val="auto"/>
              </w:rPr>
              <w:t>Unaudited Condensed Notes to Consolidated Financial Statements</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&amp; 6</w:t>
            </w:r>
          </w:p>
        </w:tc>
      </w:tr>
      <w:tr>
        <w:trPr>
          <w:trHeight w:val="364"/>
        </w:trPr>
        <w:tc>
          <w:tcPr>
            <w:tcW w:w="1000" w:type="dxa"/>
            <w:vAlign w:val="bottom"/>
          </w:tcPr>
          <w:p>
            <w:pPr>
              <w:spacing w:after="0"/>
              <w:rPr>
                <w:sz w:val="24"/>
                <w:szCs w:val="24"/>
                <w:color w:val="auto"/>
              </w:rPr>
            </w:pPr>
          </w:p>
        </w:tc>
        <w:tc>
          <w:tcPr>
            <w:tcW w:w="8080" w:type="dxa"/>
            <w:vAlign w:val="bottom"/>
          </w:tcPr>
          <w:p>
            <w:pPr>
              <w:ind w:left="240"/>
              <w:spacing w:after="0"/>
              <w:rPr>
                <w:sz w:val="20"/>
                <w:szCs w:val="20"/>
                <w:color w:val="auto"/>
              </w:rPr>
            </w:pPr>
            <w:r>
              <w:rPr>
                <w:rFonts w:ascii="Courier New" w:cs="Courier New" w:eastAsia="Courier New" w:hAnsi="Courier New"/>
                <w:sz w:val="16"/>
                <w:szCs w:val="16"/>
                <w:color w:val="auto"/>
              </w:rPr>
              <w:t>Management's Discussion and Analysis of Financial Condition and Results</w:t>
            </w:r>
          </w:p>
        </w:tc>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82"/>
        </w:trPr>
        <w:tc>
          <w:tcPr>
            <w:tcW w:w="1000" w:type="dxa"/>
            <w:vAlign w:val="bottom"/>
          </w:tcPr>
          <w:p>
            <w:pPr>
              <w:spacing w:after="0"/>
              <w:rPr>
                <w:sz w:val="15"/>
                <w:szCs w:val="15"/>
                <w:color w:val="auto"/>
              </w:rPr>
            </w:pPr>
          </w:p>
        </w:tc>
        <w:tc>
          <w:tcPr>
            <w:tcW w:w="8080" w:type="dxa"/>
            <w:vAlign w:val="bottom"/>
          </w:tcPr>
          <w:p>
            <w:pPr>
              <w:ind w:left="520"/>
              <w:spacing w:after="0"/>
              <w:rPr>
                <w:sz w:val="20"/>
                <w:szCs w:val="20"/>
                <w:color w:val="auto"/>
              </w:rPr>
            </w:pPr>
            <w:r>
              <w:rPr>
                <w:rFonts w:ascii="Courier New" w:cs="Courier New" w:eastAsia="Courier New" w:hAnsi="Courier New"/>
                <w:sz w:val="16"/>
                <w:szCs w:val="16"/>
                <w:color w:val="auto"/>
              </w:rPr>
              <w:t>of Operations</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- 9</w:t>
            </w:r>
          </w:p>
        </w:tc>
      </w:tr>
      <w:tr>
        <w:trPr>
          <w:trHeight w:val="364"/>
        </w:trPr>
        <w:tc>
          <w:tcPr>
            <w:tcW w:w="10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6"/>
              </w:rPr>
              <w:t>PART II.</w:t>
            </w:r>
          </w:p>
        </w:tc>
        <w:tc>
          <w:tcPr>
            <w:tcW w:w="8080" w:type="dxa"/>
            <w:vAlign w:val="bottom"/>
          </w:tcPr>
          <w:p>
            <w:pPr>
              <w:ind w:left="240"/>
              <w:spacing w:after="0"/>
              <w:rPr>
                <w:sz w:val="20"/>
                <w:szCs w:val="20"/>
                <w:color w:val="auto"/>
              </w:rPr>
            </w:pPr>
            <w:r>
              <w:rPr>
                <w:rFonts w:ascii="Courier New" w:cs="Courier New" w:eastAsia="Courier New" w:hAnsi="Courier New"/>
                <w:sz w:val="16"/>
                <w:szCs w:val="16"/>
                <w:color w:val="auto"/>
              </w:rPr>
              <w:t>OTHER INFORMATION</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&amp; 11</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3"/>
        <w:spacing w:after="0"/>
        <w:rPr>
          <w:sz w:val="20"/>
          <w:szCs w:val="20"/>
          <w:color w:val="auto"/>
        </w:rPr>
      </w:pPr>
      <w:r>
        <w:rPr>
          <w:rFonts w:ascii="Courier New" w:cs="Courier New" w:eastAsia="Courier New" w:hAnsi="Courier New"/>
          <w:sz w:val="16"/>
          <w:szCs w:val="16"/>
          <w:color w:val="auto"/>
        </w:rPr>
        <w:t>Part I Financial Information</w:t>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ind w:right="77"/>
        <w:spacing w:after="0"/>
        <w:rPr>
          <w:sz w:val="20"/>
          <w:szCs w:val="20"/>
          <w:color w:val="auto"/>
        </w:rPr>
      </w:pPr>
      <w:r>
        <w:rPr>
          <w:rFonts w:ascii="Courier New" w:cs="Courier New" w:eastAsia="Courier New" w:hAnsi="Courier New"/>
          <w:sz w:val="16"/>
          <w:szCs w:val="16"/>
          <w:color w:val="auto"/>
        </w:rPr>
        <w:t>WINNEBAGO INDUSTRIES, INC. AND SUBSIDIARIES</w:t>
      </w:r>
    </w:p>
    <w:p>
      <w:pPr>
        <w:sectPr>
          <w:pgSz w:w="11900" w:h="16838" w:orient="portrait"/>
          <w:cols w:equalWidth="0" w:num="1">
            <w:col w:w="11523"/>
          </w:cols>
          <w:pgMar w:left="237" w:top="417" w:right="1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7620" w:type="dxa"/>
            <w:vAlign w:val="bottom"/>
            <w:gridSpan w:val="2"/>
          </w:tcPr>
          <w:p>
            <w:pPr>
              <w:jc w:val="right"/>
              <w:ind w:right="541"/>
              <w:spacing w:after="0"/>
              <w:rPr>
                <w:sz w:val="20"/>
                <w:szCs w:val="20"/>
                <w:color w:val="auto"/>
              </w:rPr>
            </w:pPr>
            <w:r>
              <w:rPr>
                <w:rFonts w:ascii="Courier New" w:cs="Courier New" w:eastAsia="Courier New" w:hAnsi="Courier New"/>
                <w:sz w:val="16"/>
                <w:szCs w:val="16"/>
                <w:color w:val="auto"/>
              </w:rPr>
              <w:t>CONSOLIDATED BALANCE SHEETS</w:t>
            </w:r>
          </w:p>
        </w:tc>
        <w:tc>
          <w:tcPr>
            <w:tcW w:w="1640" w:type="dxa"/>
            <w:vAlign w:val="bottom"/>
          </w:tcPr>
          <w:p>
            <w:pPr>
              <w:spacing w:after="0"/>
              <w:rPr>
                <w:sz w:val="15"/>
                <w:szCs w:val="15"/>
                <w:color w:val="auto"/>
              </w:rPr>
            </w:pPr>
          </w:p>
        </w:tc>
      </w:tr>
      <w:tr>
        <w:trPr>
          <w:trHeight w:val="364"/>
        </w:trPr>
        <w:tc>
          <w:tcPr>
            <w:tcW w:w="568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19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82"/>
        </w:trPr>
        <w:tc>
          <w:tcPr>
            <w:tcW w:w="5680" w:type="dxa"/>
            <w:vAlign w:val="bottom"/>
          </w:tcPr>
          <w:p>
            <w:pPr>
              <w:ind w:left="2560"/>
              <w:spacing w:after="0"/>
              <w:rPr>
                <w:sz w:val="20"/>
                <w:szCs w:val="20"/>
                <w:color w:val="auto"/>
              </w:rPr>
            </w:pPr>
            <w:r>
              <w:rPr>
                <w:rFonts w:ascii="Courier New" w:cs="Courier New" w:eastAsia="Courier New" w:hAnsi="Courier New"/>
                <w:sz w:val="16"/>
                <w:szCs w:val="16"/>
                <w:color w:val="auto"/>
              </w:rPr>
              <w:t>ASSETS</w:t>
            </w:r>
          </w:p>
        </w:tc>
        <w:tc>
          <w:tcPr>
            <w:tcW w:w="1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JUNE 1, 1996</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AUGUST 26, 1995</w:t>
            </w:r>
          </w:p>
        </w:tc>
      </w:tr>
      <w:tr>
        <w:trPr>
          <w:trHeight w:val="182"/>
        </w:trPr>
        <w:tc>
          <w:tcPr>
            <w:tcW w:w="5680" w:type="dxa"/>
            <w:vAlign w:val="bottom"/>
          </w:tcPr>
          <w:p>
            <w:pPr>
              <w:ind w:left="2560"/>
              <w:spacing w:after="0"/>
              <w:rPr>
                <w:sz w:val="20"/>
                <w:szCs w:val="20"/>
                <w:color w:val="auto"/>
              </w:rPr>
            </w:pPr>
            <w:r>
              <w:rPr>
                <w:rFonts w:ascii="Courier New" w:cs="Courier New" w:eastAsia="Courier New" w:hAnsi="Courier New"/>
                <w:sz w:val="16"/>
                <w:szCs w:val="16"/>
                <w:color w:val="auto"/>
              </w:rPr>
              <w:t>------</w:t>
            </w:r>
          </w:p>
        </w:tc>
        <w:tc>
          <w:tcPr>
            <w:tcW w:w="1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5680" w:type="dxa"/>
            <w:vAlign w:val="bottom"/>
          </w:tcPr>
          <w:p>
            <w:pPr>
              <w:spacing w:after="0"/>
              <w:rPr>
                <w:sz w:val="15"/>
                <w:szCs w:val="15"/>
                <w:color w:val="auto"/>
              </w:rPr>
            </w:pPr>
          </w:p>
        </w:tc>
        <w:tc>
          <w:tcPr>
            <w:tcW w:w="194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(Unaudited)</w:t>
            </w:r>
          </w:p>
        </w:tc>
        <w:tc>
          <w:tcPr>
            <w:tcW w:w="1640" w:type="dxa"/>
            <w:vAlign w:val="bottom"/>
          </w:tcPr>
          <w:p>
            <w:pPr>
              <w:spacing w:after="0"/>
              <w:rPr>
                <w:sz w:val="15"/>
                <w:szCs w:val="15"/>
                <w:color w:val="auto"/>
              </w:rPr>
            </w:pPr>
          </w:p>
        </w:tc>
      </w:tr>
      <w:tr>
        <w:trPr>
          <w:trHeight w:val="364"/>
        </w:trPr>
        <w:tc>
          <w:tcPr>
            <w:tcW w:w="56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9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4"/>
        </w:trPr>
        <w:tc>
          <w:tcPr>
            <w:tcW w:w="568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$ 14,675</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8,881</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Marketable securities</w:t>
            </w: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5,940</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2,144</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Receivables, less allowance for doubtful</w:t>
            </w:r>
          </w:p>
        </w:tc>
        <w:tc>
          <w:tcPr>
            <w:tcW w:w="19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82"/>
        </w:trPr>
        <w:tc>
          <w:tcPr>
            <w:tcW w:w="5680" w:type="dxa"/>
            <w:vAlign w:val="bottom"/>
          </w:tcPr>
          <w:p>
            <w:pPr>
              <w:ind w:left="280"/>
              <w:spacing w:after="0"/>
              <w:rPr>
                <w:sz w:val="20"/>
                <w:szCs w:val="20"/>
                <w:color w:val="auto"/>
              </w:rPr>
            </w:pPr>
            <w:r>
              <w:rPr>
                <w:rFonts w:ascii="Courier New" w:cs="Courier New" w:eastAsia="Courier New" w:hAnsi="Courier New"/>
                <w:sz w:val="16"/>
                <w:szCs w:val="16"/>
                <w:color w:val="auto"/>
              </w:rPr>
              <w:t>accounts ($957 and $1,184, respectively)</w:t>
            </w: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34,331</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37,807</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Dealer financing receivables less allowance</w:t>
            </w:r>
          </w:p>
        </w:tc>
        <w:tc>
          <w:tcPr>
            <w:tcW w:w="194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82"/>
        </w:trPr>
        <w:tc>
          <w:tcPr>
            <w:tcW w:w="5680" w:type="dxa"/>
            <w:vAlign w:val="bottom"/>
          </w:tcPr>
          <w:p>
            <w:pPr>
              <w:ind w:left="280"/>
              <w:spacing w:after="0"/>
              <w:rPr>
                <w:sz w:val="20"/>
                <w:szCs w:val="20"/>
                <w:color w:val="auto"/>
              </w:rPr>
            </w:pPr>
            <w:r>
              <w:rPr>
                <w:rFonts w:ascii="Courier New" w:cs="Courier New" w:eastAsia="Courier New" w:hAnsi="Courier New"/>
                <w:sz w:val="16"/>
                <w:szCs w:val="16"/>
                <w:color w:val="auto"/>
              </w:rPr>
              <w:t>for doubtful accounts ($281 and $255, respectively)</w:t>
            </w: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12,378</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9,345</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Inventories</w:t>
            </w: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55,829</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53,161</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Prepaid expenses</w:t>
            </w: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7,436</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3,342</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6,224</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6,224</w:t>
            </w:r>
          </w:p>
        </w:tc>
      </w:tr>
      <w:tr>
        <w:trPr>
          <w:trHeight w:val="182"/>
        </w:trPr>
        <w:tc>
          <w:tcPr>
            <w:tcW w:w="5680" w:type="dxa"/>
            <w:vAlign w:val="bottom"/>
          </w:tcPr>
          <w:p>
            <w:pPr>
              <w:spacing w:after="0"/>
              <w:rPr>
                <w:sz w:val="15"/>
                <w:szCs w:val="15"/>
                <w:color w:val="auto"/>
              </w:rPr>
            </w:pP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4"/>
        </w:trPr>
        <w:tc>
          <w:tcPr>
            <w:tcW w:w="5680" w:type="dxa"/>
            <w:vAlign w:val="bottom"/>
          </w:tcPr>
          <w:p>
            <w:pPr>
              <w:ind w:left="460"/>
              <w:spacing w:after="0"/>
              <w:rPr>
                <w:sz w:val="20"/>
                <w:szCs w:val="20"/>
                <w:color w:val="auto"/>
              </w:rPr>
            </w:pPr>
            <w:r>
              <w:rPr>
                <w:rFonts w:ascii="Courier New" w:cs="Courier New" w:eastAsia="Courier New" w:hAnsi="Courier New"/>
                <w:sz w:val="16"/>
                <w:szCs w:val="16"/>
                <w:color w:val="auto"/>
              </w:rPr>
              <w:t>Total current assets</w:t>
            </w: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136,813</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120,904</w:t>
            </w:r>
          </w:p>
        </w:tc>
      </w:tr>
      <w:tr>
        <w:trPr>
          <w:trHeight w:val="182"/>
        </w:trPr>
        <w:tc>
          <w:tcPr>
            <w:tcW w:w="5680" w:type="dxa"/>
            <w:vAlign w:val="bottom"/>
          </w:tcPr>
          <w:p>
            <w:pPr>
              <w:spacing w:after="0"/>
              <w:rPr>
                <w:sz w:val="15"/>
                <w:szCs w:val="15"/>
                <w:color w:val="auto"/>
              </w:rPr>
            </w:pP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4"/>
        </w:trPr>
        <w:tc>
          <w:tcPr>
            <w:tcW w:w="5680" w:type="dxa"/>
            <w:vAlign w:val="bottom"/>
          </w:tcPr>
          <w:p>
            <w:pPr>
              <w:spacing w:after="0"/>
              <w:rPr>
                <w:sz w:val="20"/>
                <w:szCs w:val="20"/>
                <w:color w:val="auto"/>
              </w:rPr>
            </w:pPr>
            <w:r>
              <w:rPr>
                <w:rFonts w:ascii="Courier New" w:cs="Courier New" w:eastAsia="Courier New" w:hAnsi="Courier New"/>
                <w:sz w:val="16"/>
                <w:szCs w:val="16"/>
                <w:color w:val="auto"/>
              </w:rPr>
              <w:t>PROPERTY AND EQUIPMENT, at cost</w:t>
            </w:r>
          </w:p>
        </w:tc>
        <w:tc>
          <w:tcPr>
            <w:tcW w:w="19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Land</w:t>
            </w: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1,500</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1,512</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Buildings</w:t>
            </w: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43,435</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43,014</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Machinery and equipment</w:t>
            </w: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80,706</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77,998</w:t>
            </w:r>
          </w:p>
        </w:tc>
      </w:tr>
      <w:tr>
        <w:trPr>
          <w:trHeight w:val="182"/>
        </w:trPr>
        <w:tc>
          <w:tcPr>
            <w:tcW w:w="5680" w:type="dxa"/>
            <w:vAlign w:val="bottom"/>
          </w:tcPr>
          <w:p>
            <w:pPr>
              <w:spacing w:after="0"/>
              <w:rPr>
                <w:sz w:val="20"/>
                <w:szCs w:val="20"/>
                <w:color w:val="auto"/>
              </w:rPr>
            </w:pPr>
            <w:r>
              <w:rPr>
                <w:rFonts w:ascii="Courier New" w:cs="Courier New" w:eastAsia="Courier New" w:hAnsi="Courier New"/>
                <w:sz w:val="16"/>
                <w:szCs w:val="16"/>
                <w:color w:val="auto"/>
              </w:rPr>
              <w:t>Transportation equipment</w:t>
            </w: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7,944</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7,965</w:t>
            </w:r>
          </w:p>
        </w:tc>
      </w:tr>
      <w:tr>
        <w:trPr>
          <w:trHeight w:val="182"/>
        </w:trPr>
        <w:tc>
          <w:tcPr>
            <w:tcW w:w="5680" w:type="dxa"/>
            <w:vAlign w:val="bottom"/>
          </w:tcPr>
          <w:p>
            <w:pPr>
              <w:spacing w:after="0"/>
              <w:rPr>
                <w:sz w:val="15"/>
                <w:szCs w:val="15"/>
                <w:color w:val="auto"/>
              </w:rPr>
            </w:pP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2"/>
        </w:trPr>
        <w:tc>
          <w:tcPr>
            <w:tcW w:w="5680" w:type="dxa"/>
            <w:vAlign w:val="bottom"/>
          </w:tcPr>
          <w:p>
            <w:pPr>
              <w:spacing w:after="0"/>
              <w:rPr>
                <w:sz w:val="15"/>
                <w:szCs w:val="15"/>
                <w:color w:val="auto"/>
              </w:rPr>
            </w:pP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133,585</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130,489</w:t>
            </w:r>
          </w:p>
        </w:tc>
      </w:tr>
      <w:tr>
        <w:trPr>
          <w:trHeight w:val="182"/>
        </w:trPr>
        <w:tc>
          <w:tcPr>
            <w:tcW w:w="5680" w:type="dxa"/>
            <w:vAlign w:val="bottom"/>
          </w:tcPr>
          <w:p>
            <w:pPr>
              <w:ind w:left="460"/>
              <w:spacing w:after="0"/>
              <w:rPr>
                <w:sz w:val="20"/>
                <w:szCs w:val="20"/>
                <w:color w:val="auto"/>
              </w:rPr>
            </w:pPr>
            <w:r>
              <w:rPr>
                <w:rFonts w:ascii="Courier New" w:cs="Courier New" w:eastAsia="Courier New" w:hAnsi="Courier New"/>
                <w:sz w:val="16"/>
                <w:szCs w:val="16"/>
                <w:color w:val="auto"/>
              </w:rPr>
              <w:t>Less accumulated depreciation</w:t>
            </w: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90,187</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87,511</w:t>
            </w:r>
          </w:p>
        </w:tc>
      </w:tr>
      <w:tr>
        <w:trPr>
          <w:trHeight w:val="182"/>
        </w:trPr>
        <w:tc>
          <w:tcPr>
            <w:tcW w:w="5680" w:type="dxa"/>
            <w:vAlign w:val="bottom"/>
          </w:tcPr>
          <w:p>
            <w:pPr>
              <w:spacing w:after="0"/>
              <w:rPr>
                <w:sz w:val="15"/>
                <w:szCs w:val="15"/>
                <w:color w:val="auto"/>
              </w:rPr>
            </w:pP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4"/>
        </w:trPr>
        <w:tc>
          <w:tcPr>
            <w:tcW w:w="5680" w:type="dxa"/>
            <w:vAlign w:val="bottom"/>
          </w:tcPr>
          <w:p>
            <w:pPr>
              <w:ind w:left="460"/>
              <w:spacing w:after="0"/>
              <w:rPr>
                <w:sz w:val="20"/>
                <w:szCs w:val="20"/>
                <w:color w:val="auto"/>
              </w:rPr>
            </w:pPr>
            <w:r>
              <w:rPr>
                <w:rFonts w:ascii="Courier New" w:cs="Courier New" w:eastAsia="Courier New" w:hAnsi="Courier New"/>
                <w:sz w:val="16"/>
                <w:szCs w:val="16"/>
                <w:color w:val="auto"/>
              </w:rPr>
              <w:t>Total property and equipment, net</w:t>
            </w: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43,398</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42,978</w:t>
            </w:r>
          </w:p>
        </w:tc>
      </w:tr>
      <w:tr>
        <w:trPr>
          <w:trHeight w:val="182"/>
        </w:trPr>
        <w:tc>
          <w:tcPr>
            <w:tcW w:w="5680" w:type="dxa"/>
            <w:vAlign w:val="bottom"/>
          </w:tcPr>
          <w:p>
            <w:pPr>
              <w:spacing w:after="0"/>
              <w:rPr>
                <w:sz w:val="15"/>
                <w:szCs w:val="15"/>
                <w:color w:val="auto"/>
              </w:rPr>
            </w:pP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4"/>
        </w:trPr>
        <w:tc>
          <w:tcPr>
            <w:tcW w:w="5680" w:type="dxa"/>
            <w:vAlign w:val="bottom"/>
          </w:tcPr>
          <w:p>
            <w:pPr>
              <w:spacing w:after="0"/>
              <w:rPr>
                <w:sz w:val="20"/>
                <w:szCs w:val="20"/>
                <w:color w:val="auto"/>
              </w:rPr>
            </w:pPr>
            <w:r>
              <w:rPr>
                <w:rFonts w:ascii="Courier New" w:cs="Courier New" w:eastAsia="Courier New" w:hAnsi="Courier New"/>
                <w:sz w:val="16"/>
                <w:szCs w:val="16"/>
                <w:color w:val="auto"/>
              </w:rPr>
              <w:t>LONG-TERM NOTES RECEIVABLE, less allowances</w:t>
            </w:r>
          </w:p>
        </w:tc>
        <w:tc>
          <w:tcPr>
            <w:tcW w:w="194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82"/>
        </w:trPr>
        <w:tc>
          <w:tcPr>
            <w:tcW w:w="5680" w:type="dxa"/>
            <w:vAlign w:val="bottom"/>
          </w:tcPr>
          <w:p>
            <w:pPr>
              <w:ind w:left="380"/>
              <w:spacing w:after="0"/>
              <w:rPr>
                <w:sz w:val="20"/>
                <w:szCs w:val="20"/>
                <w:color w:val="auto"/>
              </w:rPr>
            </w:pPr>
            <w:r>
              <w:rPr>
                <w:rFonts w:ascii="Courier New" w:cs="Courier New" w:eastAsia="Courier New" w:hAnsi="Courier New"/>
                <w:sz w:val="16"/>
                <w:szCs w:val="16"/>
                <w:color w:val="auto"/>
              </w:rPr>
              <w:t>($1,406 and $950, respectively)</w:t>
            </w: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3,422</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2,465</w:t>
            </w:r>
          </w:p>
        </w:tc>
      </w:tr>
      <w:tr>
        <w:trPr>
          <w:trHeight w:val="182"/>
        </w:trPr>
        <w:tc>
          <w:tcPr>
            <w:tcW w:w="5680" w:type="dxa"/>
            <w:vAlign w:val="bottom"/>
          </w:tcPr>
          <w:p>
            <w:pPr>
              <w:spacing w:after="0"/>
              <w:rPr>
                <w:sz w:val="15"/>
                <w:szCs w:val="15"/>
                <w:color w:val="auto"/>
              </w:rPr>
            </w:pP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4"/>
        </w:trPr>
        <w:tc>
          <w:tcPr>
            <w:tcW w:w="5680" w:type="dxa"/>
            <w:vAlign w:val="bottom"/>
          </w:tcPr>
          <w:p>
            <w:pPr>
              <w:spacing w:after="0"/>
              <w:rPr>
                <w:sz w:val="20"/>
                <w:szCs w:val="20"/>
                <w:color w:val="auto"/>
              </w:rPr>
            </w:pPr>
            <w:r>
              <w:rPr>
                <w:rFonts w:ascii="Courier New" w:cs="Courier New" w:eastAsia="Courier New" w:hAnsi="Courier New"/>
                <w:sz w:val="16"/>
                <w:szCs w:val="16"/>
                <w:color w:val="auto"/>
              </w:rPr>
              <w:t>INVESTMENT IN LIFE INSURANCE</w:t>
            </w: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16,885</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15,942</w:t>
            </w:r>
          </w:p>
        </w:tc>
      </w:tr>
      <w:tr>
        <w:trPr>
          <w:trHeight w:val="182"/>
        </w:trPr>
        <w:tc>
          <w:tcPr>
            <w:tcW w:w="5680" w:type="dxa"/>
            <w:vAlign w:val="bottom"/>
          </w:tcPr>
          <w:p>
            <w:pPr>
              <w:spacing w:after="0"/>
              <w:rPr>
                <w:sz w:val="15"/>
                <w:szCs w:val="15"/>
                <w:color w:val="auto"/>
              </w:rPr>
            </w:pP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4"/>
        </w:trPr>
        <w:tc>
          <w:tcPr>
            <w:tcW w:w="5680" w:type="dxa"/>
            <w:vAlign w:val="bottom"/>
          </w:tcPr>
          <w:p>
            <w:pPr>
              <w:spacing w:after="0"/>
              <w:rPr>
                <w:sz w:val="20"/>
                <w:szCs w:val="20"/>
                <w:color w:val="auto"/>
              </w:rPr>
            </w:pPr>
            <w:r>
              <w:rPr>
                <w:rFonts w:ascii="Courier New" w:cs="Courier New" w:eastAsia="Courier New" w:hAnsi="Courier New"/>
                <w:sz w:val="16"/>
                <w:szCs w:val="16"/>
                <w:color w:val="auto"/>
              </w:rPr>
              <w:t>DEFERRED INCOME TAXES, NET</w:t>
            </w: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14,107</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14,107</w:t>
            </w:r>
          </w:p>
        </w:tc>
      </w:tr>
      <w:tr>
        <w:trPr>
          <w:trHeight w:val="182"/>
        </w:trPr>
        <w:tc>
          <w:tcPr>
            <w:tcW w:w="5680" w:type="dxa"/>
            <w:vAlign w:val="bottom"/>
          </w:tcPr>
          <w:p>
            <w:pPr>
              <w:spacing w:after="0"/>
              <w:rPr>
                <w:sz w:val="15"/>
                <w:szCs w:val="15"/>
                <w:color w:val="auto"/>
              </w:rPr>
            </w:pP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4"/>
        </w:trPr>
        <w:tc>
          <w:tcPr>
            <w:tcW w:w="5680" w:type="dxa"/>
            <w:vAlign w:val="bottom"/>
          </w:tcPr>
          <w:p>
            <w:pPr>
              <w:spacing w:after="0"/>
              <w:rPr>
                <w:sz w:val="20"/>
                <w:szCs w:val="20"/>
                <w:color w:val="auto"/>
              </w:rPr>
            </w:pPr>
            <w:r>
              <w:rPr>
                <w:rFonts w:ascii="Courier New" w:cs="Courier New" w:eastAsia="Courier New" w:hAnsi="Courier New"/>
                <w:sz w:val="16"/>
                <w:szCs w:val="16"/>
                <w:color w:val="auto"/>
              </w:rPr>
              <w:t>INTANGIBLE AND OTHER ASSETS</w:t>
            </w: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14,439</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15,234</w:t>
            </w:r>
          </w:p>
        </w:tc>
      </w:tr>
      <w:tr>
        <w:trPr>
          <w:trHeight w:val="182"/>
        </w:trPr>
        <w:tc>
          <w:tcPr>
            <w:tcW w:w="5680" w:type="dxa"/>
            <w:vAlign w:val="bottom"/>
          </w:tcPr>
          <w:p>
            <w:pPr>
              <w:spacing w:after="0"/>
              <w:rPr>
                <w:sz w:val="15"/>
                <w:szCs w:val="15"/>
                <w:color w:val="auto"/>
              </w:rPr>
            </w:pP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364"/>
        </w:trPr>
        <w:tc>
          <w:tcPr>
            <w:tcW w:w="568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$229,064</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$211,630</w:t>
            </w:r>
          </w:p>
        </w:tc>
      </w:tr>
      <w:tr>
        <w:trPr>
          <w:trHeight w:val="182"/>
        </w:trPr>
        <w:tc>
          <w:tcPr>
            <w:tcW w:w="5680" w:type="dxa"/>
            <w:vAlign w:val="bottom"/>
          </w:tcPr>
          <w:p>
            <w:pPr>
              <w:spacing w:after="0"/>
              <w:rPr>
                <w:sz w:val="15"/>
                <w:szCs w:val="15"/>
                <w:color w:val="auto"/>
              </w:rPr>
            </w:pPr>
          </w:p>
        </w:tc>
        <w:tc>
          <w:tcPr>
            <w:tcW w:w="19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WINNEBAGO INDUSTRIES, INC. AND SUBSIDIARIES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CONSOLIDATED BALANCE SHEETS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30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20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64"/>
        </w:trPr>
        <w:tc>
          <w:tcPr>
            <w:tcW w:w="430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2080" w:type="dxa"/>
            <w:vAlign w:val="bottom"/>
          </w:tcPr>
          <w:p>
            <w:pPr>
              <w:ind w:left="700"/>
              <w:spacing w:after="0"/>
              <w:rPr>
                <w:sz w:val="20"/>
                <w:szCs w:val="20"/>
                <w:color w:val="auto"/>
              </w:rPr>
            </w:pPr>
            <w:r>
              <w:rPr>
                <w:rFonts w:ascii="Courier New" w:cs="Courier New" w:eastAsia="Courier New" w:hAnsi="Courier New"/>
                <w:sz w:val="16"/>
                <w:szCs w:val="16"/>
                <w:color w:val="auto"/>
              </w:rPr>
              <w:t>JUNE 1, 1996</w:t>
            </w:r>
          </w:p>
        </w:tc>
        <w:tc>
          <w:tcPr>
            <w:tcW w:w="16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9"/>
              </w:rPr>
              <w:t>AUGUST 26, 1995</w:t>
            </w:r>
          </w:p>
        </w:tc>
      </w:tr>
      <w:tr>
        <w:trPr>
          <w:trHeight w:val="182"/>
        </w:trPr>
        <w:tc>
          <w:tcPr>
            <w:tcW w:w="43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300" w:type="dxa"/>
            <w:vAlign w:val="bottom"/>
          </w:tcPr>
          <w:p>
            <w:pPr>
              <w:spacing w:after="0"/>
              <w:rPr>
                <w:sz w:val="15"/>
                <w:szCs w:val="15"/>
                <w:color w:val="auto"/>
              </w:rPr>
            </w:pPr>
          </w:p>
        </w:tc>
        <w:tc>
          <w:tcPr>
            <w:tcW w:w="2080" w:type="dxa"/>
            <w:vAlign w:val="bottom"/>
          </w:tcPr>
          <w:p>
            <w:pPr>
              <w:ind w:left="700"/>
              <w:spacing w:after="0"/>
              <w:rPr>
                <w:sz w:val="20"/>
                <w:szCs w:val="20"/>
                <w:color w:val="auto"/>
              </w:rPr>
            </w:pPr>
            <w:r>
              <w:rPr>
                <w:rFonts w:ascii="Courier New" w:cs="Courier New" w:eastAsia="Courier New" w:hAnsi="Courier New"/>
                <w:sz w:val="16"/>
                <w:szCs w:val="16"/>
                <w:color w:val="auto"/>
              </w:rPr>
              <w:t>(Unaudited)</w:t>
            </w:r>
          </w:p>
        </w:tc>
        <w:tc>
          <w:tcPr>
            <w:tcW w:w="1660" w:type="dxa"/>
            <w:vAlign w:val="bottom"/>
          </w:tcPr>
          <w:p>
            <w:pPr>
              <w:spacing w:after="0"/>
              <w:rPr>
                <w:sz w:val="15"/>
                <w:szCs w:val="15"/>
                <w:color w:val="auto"/>
              </w:rPr>
            </w:pPr>
          </w:p>
        </w:tc>
      </w:tr>
      <w:tr>
        <w:trPr>
          <w:trHeight w:val="364"/>
        </w:trPr>
        <w:tc>
          <w:tcPr>
            <w:tcW w:w="430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20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64"/>
        </w:trPr>
        <w:tc>
          <w:tcPr>
            <w:tcW w:w="4300" w:type="dxa"/>
            <w:vAlign w:val="bottom"/>
          </w:tcPr>
          <w:p>
            <w:pPr>
              <w:spacing w:after="0"/>
              <w:rPr>
                <w:sz w:val="20"/>
                <w:szCs w:val="20"/>
                <w:color w:val="auto"/>
              </w:rPr>
            </w:pPr>
            <w:r>
              <w:rPr>
                <w:rFonts w:ascii="Courier New" w:cs="Courier New" w:eastAsia="Courier New" w:hAnsi="Courier New"/>
                <w:sz w:val="16"/>
                <w:szCs w:val="16"/>
                <w:color w:val="auto"/>
              </w:rPr>
              <w:t>Current maturities of long-term debt</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4,246</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  3,564</w:t>
            </w:r>
          </w:p>
        </w:tc>
      </w:tr>
      <w:tr>
        <w:trPr>
          <w:trHeight w:val="182"/>
        </w:trPr>
        <w:tc>
          <w:tcPr>
            <w:tcW w:w="4300" w:type="dxa"/>
            <w:vAlign w:val="bottom"/>
          </w:tcPr>
          <w:p>
            <w:pPr>
              <w:spacing w:after="0"/>
              <w:rPr>
                <w:sz w:val="20"/>
                <w:szCs w:val="20"/>
                <w:color w:val="auto"/>
              </w:rPr>
            </w:pPr>
            <w:r>
              <w:rPr>
                <w:rFonts w:ascii="Courier New" w:cs="Courier New" w:eastAsia="Courier New" w:hAnsi="Courier New"/>
                <w:sz w:val="16"/>
                <w:szCs w:val="16"/>
                <w:color w:val="auto"/>
              </w:rPr>
              <w:t>Notes payable</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4,215</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4,000</w:t>
            </w:r>
          </w:p>
        </w:tc>
      </w:tr>
      <w:tr>
        <w:trPr>
          <w:trHeight w:val="182"/>
        </w:trPr>
        <w:tc>
          <w:tcPr>
            <w:tcW w:w="4300" w:type="dxa"/>
            <w:vAlign w:val="bottom"/>
          </w:tcPr>
          <w:p>
            <w:pPr>
              <w:spacing w:after="0"/>
              <w:rPr>
                <w:sz w:val="20"/>
                <w:szCs w:val="20"/>
                <w:color w:val="auto"/>
              </w:rPr>
            </w:pPr>
            <w:r>
              <w:rPr>
                <w:rFonts w:ascii="Courier New" w:cs="Courier New" w:eastAsia="Courier New" w:hAnsi="Courier New"/>
                <w:sz w:val="16"/>
                <w:szCs w:val="16"/>
                <w:color w:val="auto"/>
              </w:rPr>
              <w:t>Dividend payable</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2,535</w:t>
            </w:r>
          </w:p>
        </w:tc>
        <w:tc>
          <w:tcPr>
            <w:tcW w:w="16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r>
      <w:tr>
        <w:trPr>
          <w:trHeight w:val="182"/>
        </w:trPr>
        <w:tc>
          <w:tcPr>
            <w:tcW w:w="4300" w:type="dxa"/>
            <w:vAlign w:val="bottom"/>
          </w:tcPr>
          <w:p>
            <w:pPr>
              <w:spacing w:after="0"/>
              <w:rPr>
                <w:sz w:val="20"/>
                <w:szCs w:val="20"/>
                <w:color w:val="auto"/>
              </w:rPr>
            </w:pPr>
            <w:r>
              <w:rPr>
                <w:rFonts w:ascii="Courier New" w:cs="Courier New" w:eastAsia="Courier New" w:hAnsi="Courier New"/>
                <w:sz w:val="16"/>
                <w:szCs w:val="16"/>
                <w:color w:val="auto"/>
              </w:rPr>
              <w:t>Accounts payable, trade</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21,451</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22,581</w:t>
            </w:r>
          </w:p>
        </w:tc>
      </w:tr>
      <w:tr>
        <w:trPr>
          <w:trHeight w:val="182"/>
        </w:trPr>
        <w:tc>
          <w:tcPr>
            <w:tcW w:w="4300" w:type="dxa"/>
            <w:vAlign w:val="bottom"/>
          </w:tcPr>
          <w:p>
            <w:pPr>
              <w:spacing w:after="0"/>
              <w:rPr>
                <w:sz w:val="20"/>
                <w:szCs w:val="20"/>
                <w:color w:val="auto"/>
              </w:rPr>
            </w:pPr>
            <w:r>
              <w:rPr>
                <w:rFonts w:ascii="Courier New" w:cs="Courier New" w:eastAsia="Courier New" w:hAnsi="Courier New"/>
                <w:sz w:val="16"/>
                <w:szCs w:val="16"/>
                <w:color w:val="auto"/>
              </w:rPr>
              <w:t>Income tax payable</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5,164</w:t>
            </w:r>
          </w:p>
        </w:tc>
        <w:tc>
          <w:tcPr>
            <w:tcW w:w="166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w:t>
            </w:r>
          </w:p>
        </w:tc>
      </w:tr>
      <w:tr>
        <w:trPr>
          <w:trHeight w:val="182"/>
        </w:trPr>
        <w:tc>
          <w:tcPr>
            <w:tcW w:w="4300" w:type="dxa"/>
            <w:vAlign w:val="bottom"/>
          </w:tcPr>
          <w:p>
            <w:pPr>
              <w:spacing w:after="0"/>
              <w:rPr>
                <w:sz w:val="20"/>
                <w:szCs w:val="20"/>
                <w:color w:val="auto"/>
              </w:rPr>
            </w:pPr>
            <w:r>
              <w:rPr>
                <w:rFonts w:ascii="Courier New" w:cs="Courier New" w:eastAsia="Courier New" w:hAnsi="Courier New"/>
                <w:sz w:val="16"/>
                <w:szCs w:val="16"/>
                <w:color w:val="auto"/>
              </w:rPr>
              <w:t>Accrued expenses:</w:t>
            </w:r>
          </w:p>
        </w:tc>
        <w:tc>
          <w:tcPr>
            <w:tcW w:w="208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182"/>
        </w:trPr>
        <w:tc>
          <w:tcPr>
            <w:tcW w:w="4300" w:type="dxa"/>
            <w:vAlign w:val="bottom"/>
          </w:tcPr>
          <w:p>
            <w:pPr>
              <w:ind w:left="460"/>
              <w:spacing w:after="0"/>
              <w:rPr>
                <w:sz w:val="20"/>
                <w:szCs w:val="20"/>
                <w:color w:val="auto"/>
              </w:rPr>
            </w:pPr>
            <w:r>
              <w:rPr>
                <w:rFonts w:ascii="Courier New" w:cs="Courier New" w:eastAsia="Courier New" w:hAnsi="Courier New"/>
                <w:sz w:val="16"/>
                <w:szCs w:val="16"/>
                <w:color w:val="auto"/>
              </w:rPr>
              <w:t>Insurance</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6,329</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4,620</w:t>
            </w:r>
          </w:p>
        </w:tc>
      </w:tr>
      <w:tr>
        <w:trPr>
          <w:trHeight w:val="182"/>
        </w:trPr>
        <w:tc>
          <w:tcPr>
            <w:tcW w:w="4300" w:type="dxa"/>
            <w:vAlign w:val="bottom"/>
          </w:tcPr>
          <w:p>
            <w:pPr>
              <w:ind w:left="460"/>
              <w:spacing w:after="0"/>
              <w:rPr>
                <w:sz w:val="20"/>
                <w:szCs w:val="20"/>
                <w:color w:val="auto"/>
              </w:rPr>
            </w:pPr>
            <w:r>
              <w:rPr>
                <w:rFonts w:ascii="Courier New" w:cs="Courier New" w:eastAsia="Courier New" w:hAnsi="Courier New"/>
                <w:sz w:val="16"/>
                <w:szCs w:val="16"/>
                <w:color w:val="auto"/>
              </w:rPr>
              <w:t>Product warranties</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3,593</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3,184</w:t>
            </w:r>
          </w:p>
        </w:tc>
      </w:tr>
      <w:tr>
        <w:trPr>
          <w:trHeight w:val="182"/>
        </w:trPr>
        <w:tc>
          <w:tcPr>
            <w:tcW w:w="4300" w:type="dxa"/>
            <w:vAlign w:val="bottom"/>
          </w:tcPr>
          <w:p>
            <w:pPr>
              <w:ind w:left="460"/>
              <w:spacing w:after="0"/>
              <w:rPr>
                <w:sz w:val="20"/>
                <w:szCs w:val="20"/>
                <w:color w:val="auto"/>
              </w:rPr>
            </w:pPr>
            <w:r>
              <w:rPr>
                <w:rFonts w:ascii="Courier New" w:cs="Courier New" w:eastAsia="Courier New" w:hAnsi="Courier New"/>
                <w:sz w:val="16"/>
                <w:szCs w:val="16"/>
                <w:color w:val="auto"/>
              </w:rPr>
              <w:t>Vacation liability</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3,704</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3,287</w:t>
            </w:r>
          </w:p>
        </w:tc>
      </w:tr>
      <w:tr>
        <w:trPr>
          <w:trHeight w:val="182"/>
        </w:trPr>
        <w:tc>
          <w:tcPr>
            <w:tcW w:w="4300" w:type="dxa"/>
            <w:vAlign w:val="bottom"/>
          </w:tcPr>
          <w:p>
            <w:pPr>
              <w:ind w:left="460"/>
              <w:spacing w:after="0"/>
              <w:rPr>
                <w:sz w:val="20"/>
                <w:szCs w:val="20"/>
                <w:color w:val="auto"/>
              </w:rPr>
            </w:pPr>
            <w:r>
              <w:rPr>
                <w:rFonts w:ascii="Courier New" w:cs="Courier New" w:eastAsia="Courier New" w:hAnsi="Courier New"/>
                <w:sz w:val="16"/>
                <w:szCs w:val="16"/>
                <w:color w:val="auto"/>
              </w:rPr>
              <w:t>Promotional</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5,637</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1,916</w:t>
            </w:r>
          </w:p>
        </w:tc>
      </w:tr>
      <w:tr>
        <w:trPr>
          <w:trHeight w:val="182"/>
        </w:trPr>
        <w:tc>
          <w:tcPr>
            <w:tcW w:w="4300" w:type="dxa"/>
            <w:vAlign w:val="bottom"/>
          </w:tcPr>
          <w:p>
            <w:pPr>
              <w:ind w:left="460"/>
              <w:spacing w:after="0"/>
              <w:rPr>
                <w:sz w:val="20"/>
                <w:szCs w:val="20"/>
                <w:color w:val="auto"/>
              </w:rPr>
            </w:pPr>
            <w:r>
              <w:rPr>
                <w:rFonts w:ascii="Courier New" w:cs="Courier New" w:eastAsia="Courier New" w:hAnsi="Courier New"/>
                <w:sz w:val="16"/>
                <w:szCs w:val="16"/>
                <w:color w:val="auto"/>
              </w:rPr>
              <w:t>Other</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8,708</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8,058</w:t>
            </w:r>
          </w:p>
        </w:tc>
      </w:tr>
      <w:tr>
        <w:trPr>
          <w:trHeight w:val="182"/>
        </w:trPr>
        <w:tc>
          <w:tcPr>
            <w:tcW w:w="4300" w:type="dxa"/>
            <w:vAlign w:val="bottom"/>
          </w:tcPr>
          <w:p>
            <w:pPr>
              <w:spacing w:after="0"/>
              <w:rPr>
                <w:sz w:val="15"/>
                <w:szCs w:val="15"/>
                <w:color w:val="auto"/>
              </w:rPr>
            </w:pP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364"/>
        </w:trPr>
        <w:tc>
          <w:tcPr>
            <w:tcW w:w="4300" w:type="dxa"/>
            <w:vAlign w:val="bottom"/>
          </w:tcPr>
          <w:p>
            <w:pPr>
              <w:ind w:left="760"/>
              <w:spacing w:after="0"/>
              <w:rPr>
                <w:sz w:val="20"/>
                <w:szCs w:val="20"/>
                <w:color w:val="auto"/>
              </w:rPr>
            </w:pPr>
            <w:r>
              <w:rPr>
                <w:rFonts w:ascii="Courier New" w:cs="Courier New" w:eastAsia="Courier New" w:hAnsi="Courier New"/>
                <w:sz w:val="16"/>
                <w:szCs w:val="16"/>
                <w:color w:val="auto"/>
              </w:rPr>
              <w:t>Total current liabilities</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65,582</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51,210</w:t>
            </w:r>
          </w:p>
        </w:tc>
      </w:tr>
      <w:tr>
        <w:trPr>
          <w:trHeight w:val="182"/>
        </w:trPr>
        <w:tc>
          <w:tcPr>
            <w:tcW w:w="4300" w:type="dxa"/>
            <w:vAlign w:val="bottom"/>
          </w:tcPr>
          <w:p>
            <w:pPr>
              <w:spacing w:after="0"/>
              <w:rPr>
                <w:sz w:val="15"/>
                <w:szCs w:val="15"/>
                <w:color w:val="auto"/>
              </w:rPr>
            </w:pP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r>
        <w:trPr>
          <w:trHeight w:val="364"/>
        </w:trPr>
        <w:tc>
          <w:tcPr>
            <w:tcW w:w="4300" w:type="dxa"/>
            <w:vAlign w:val="bottom"/>
          </w:tcPr>
          <w:p>
            <w:pPr>
              <w:spacing w:after="0"/>
              <w:rPr>
                <w:sz w:val="20"/>
                <w:szCs w:val="20"/>
                <w:color w:val="auto"/>
              </w:rPr>
            </w:pPr>
            <w:r>
              <w:rPr>
                <w:rFonts w:ascii="Courier New" w:cs="Courier New" w:eastAsia="Courier New" w:hAnsi="Courier New"/>
                <w:sz w:val="16"/>
                <w:szCs w:val="16"/>
                <w:color w:val="auto"/>
              </w:rPr>
              <w:t>LONG-TERM DEBT AND OBLIGATIONS</w:t>
            </w:r>
          </w:p>
        </w:tc>
        <w:tc>
          <w:tcPr>
            <w:tcW w:w="20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82"/>
        </w:trPr>
        <w:tc>
          <w:tcPr>
            <w:tcW w:w="4300" w:type="dxa"/>
            <w:vAlign w:val="bottom"/>
          </w:tcPr>
          <w:p>
            <w:pPr>
              <w:ind w:left="280"/>
              <w:spacing w:after="0"/>
              <w:rPr>
                <w:sz w:val="20"/>
                <w:szCs w:val="20"/>
                <w:color w:val="auto"/>
              </w:rPr>
            </w:pPr>
            <w:r>
              <w:rPr>
                <w:rFonts w:ascii="Courier New" w:cs="Courier New" w:eastAsia="Courier New" w:hAnsi="Courier New"/>
                <w:sz w:val="16"/>
                <w:szCs w:val="16"/>
                <w:color w:val="auto"/>
              </w:rPr>
              <w:t>UNDER CAPITAL LEASES</w:t>
            </w: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10,046</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12,678</w:t>
            </w:r>
          </w:p>
        </w:tc>
      </w:tr>
      <w:tr>
        <w:trPr>
          <w:trHeight w:val="182"/>
        </w:trPr>
        <w:tc>
          <w:tcPr>
            <w:tcW w:w="4300" w:type="dxa"/>
            <w:vAlign w:val="bottom"/>
          </w:tcPr>
          <w:p>
            <w:pPr>
              <w:spacing w:after="0"/>
              <w:rPr>
                <w:sz w:val="15"/>
                <w:szCs w:val="15"/>
                <w:color w:val="auto"/>
              </w:rPr>
            </w:pPr>
          </w:p>
        </w:tc>
        <w:tc>
          <w:tcPr>
            <w:tcW w:w="20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219"/>
          </w:cols>
          <w:pgMar w:left="240" w:top="138" w:right="1440" w:bottom="0" w:gutter="0" w:footer="0" w:header="0"/>
        </w:sectPr>
      </w:pPr>
    </w:p>
    <w:bookmarkStart w:id="2" w:name="page3"/>
    <w:bookmarkEnd w:id="2"/>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960" w:type="dxa"/>
            <w:vAlign w:val="bottom"/>
          </w:tcPr>
          <w:p>
            <w:pPr>
              <w:spacing w:after="0"/>
              <w:rPr>
                <w:sz w:val="20"/>
                <w:szCs w:val="20"/>
                <w:color w:val="auto"/>
              </w:rPr>
            </w:pPr>
            <w:r>
              <w:rPr>
                <w:rFonts w:ascii="Courier New" w:cs="Courier New" w:eastAsia="Courier New" w:hAnsi="Courier New"/>
                <w:sz w:val="16"/>
                <w:szCs w:val="16"/>
                <w:color w:val="auto"/>
              </w:rPr>
              <w:t>POSTRETIREMENT BENEFITS OTHER THAN PENSIONS</w:t>
            </w: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47,683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45,223</w:t>
            </w:r>
          </w:p>
        </w:tc>
      </w:tr>
      <w:tr>
        <w:trPr>
          <w:trHeight w:val="182"/>
        </w:trPr>
        <w:tc>
          <w:tcPr>
            <w:tcW w:w="4960" w:type="dxa"/>
            <w:vAlign w:val="bottom"/>
          </w:tcPr>
          <w:p>
            <w:pPr>
              <w:spacing w:after="0"/>
              <w:rPr>
                <w:sz w:val="15"/>
                <w:szCs w:val="15"/>
                <w:color w:val="auto"/>
              </w:rPr>
            </w:pP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MINORITY INTEREST IN CONSOLIDATED SUBSIDIARY</w:t>
            </w: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2,188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2,071</w:t>
            </w:r>
          </w:p>
        </w:tc>
      </w:tr>
      <w:tr>
        <w:trPr>
          <w:trHeight w:val="182"/>
        </w:trPr>
        <w:tc>
          <w:tcPr>
            <w:tcW w:w="4960" w:type="dxa"/>
            <w:vAlign w:val="bottom"/>
          </w:tcPr>
          <w:p>
            <w:pPr>
              <w:spacing w:after="0"/>
              <w:rPr>
                <w:sz w:val="15"/>
                <w:szCs w:val="15"/>
                <w:color w:val="auto"/>
              </w:rPr>
            </w:pP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Capital stock, common, par value $.50; authorized</w:t>
            </w:r>
          </w:p>
        </w:tc>
        <w:tc>
          <w:tcPr>
            <w:tcW w:w="14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2"/>
        </w:trPr>
        <w:tc>
          <w:tcPr>
            <w:tcW w:w="4960" w:type="dxa"/>
            <w:vAlign w:val="bottom"/>
          </w:tcPr>
          <w:p>
            <w:pPr>
              <w:ind w:left="280"/>
              <w:spacing w:after="0"/>
              <w:rPr>
                <w:sz w:val="20"/>
                <w:szCs w:val="20"/>
                <w:color w:val="auto"/>
              </w:rPr>
            </w:pPr>
            <w:r>
              <w:rPr>
                <w:rFonts w:ascii="Courier New" w:cs="Courier New" w:eastAsia="Courier New" w:hAnsi="Courier New"/>
                <w:sz w:val="16"/>
                <w:szCs w:val="16"/>
                <w:color w:val="auto"/>
              </w:rPr>
              <w:t>60,000,000 shares</w:t>
            </w: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12,920</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12,915</w:t>
            </w: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Additional paid-in capital</w:t>
            </w: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23,723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23,658</w:t>
            </w: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Reinvested earnings</w:t>
            </w: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72,475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69,440</w:t>
            </w:r>
          </w:p>
        </w:tc>
      </w:tr>
      <w:tr>
        <w:trPr>
          <w:trHeight w:val="182"/>
        </w:trPr>
        <w:tc>
          <w:tcPr>
            <w:tcW w:w="4960" w:type="dxa"/>
            <w:vAlign w:val="bottom"/>
          </w:tcPr>
          <w:p>
            <w:pPr>
              <w:spacing w:after="0"/>
              <w:rPr>
                <w:sz w:val="15"/>
                <w:szCs w:val="15"/>
                <w:color w:val="auto"/>
              </w:rPr>
            </w:pP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4960" w:type="dxa"/>
            <w:vAlign w:val="bottom"/>
          </w:tcPr>
          <w:p>
            <w:pPr>
              <w:spacing w:after="0"/>
              <w:rPr>
                <w:sz w:val="15"/>
                <w:szCs w:val="15"/>
                <w:color w:val="auto"/>
              </w:rPr>
            </w:pP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109,118</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106,013</w:t>
            </w:r>
          </w:p>
        </w:tc>
      </w:tr>
      <w:tr>
        <w:trPr>
          <w:trHeight w:val="182"/>
        </w:trPr>
        <w:tc>
          <w:tcPr>
            <w:tcW w:w="4960" w:type="dxa"/>
            <w:vAlign w:val="bottom"/>
          </w:tcPr>
          <w:p>
            <w:pPr>
              <w:spacing w:after="0"/>
              <w:rPr>
                <w:sz w:val="20"/>
                <w:szCs w:val="20"/>
                <w:color w:val="auto"/>
              </w:rPr>
            </w:pPr>
            <w:r>
              <w:rPr>
                <w:rFonts w:ascii="Courier New" w:cs="Courier New" w:eastAsia="Courier New" w:hAnsi="Courier New"/>
                <w:sz w:val="16"/>
                <w:szCs w:val="16"/>
                <w:color w:val="auto"/>
              </w:rPr>
              <w:t>Less treasury stock, at cost</w:t>
            </w: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5,553</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5,565</w:t>
            </w:r>
          </w:p>
        </w:tc>
      </w:tr>
      <w:tr>
        <w:trPr>
          <w:trHeight w:val="182"/>
        </w:trPr>
        <w:tc>
          <w:tcPr>
            <w:tcW w:w="4960" w:type="dxa"/>
            <w:vAlign w:val="bottom"/>
          </w:tcPr>
          <w:p>
            <w:pPr>
              <w:spacing w:after="0"/>
              <w:rPr>
                <w:sz w:val="15"/>
                <w:szCs w:val="15"/>
                <w:color w:val="auto"/>
              </w:rPr>
            </w:pP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Total stockholders' equity</w:t>
            </w: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103,565</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100,448</w:t>
            </w:r>
          </w:p>
        </w:tc>
      </w:tr>
      <w:tr>
        <w:trPr>
          <w:trHeight w:val="182"/>
        </w:trPr>
        <w:tc>
          <w:tcPr>
            <w:tcW w:w="4960" w:type="dxa"/>
            <w:vAlign w:val="bottom"/>
          </w:tcPr>
          <w:p>
            <w:pPr>
              <w:spacing w:after="0"/>
              <w:rPr>
                <w:sz w:val="15"/>
                <w:szCs w:val="15"/>
                <w:color w:val="auto"/>
              </w:rPr>
            </w:pP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4960" w:type="dxa"/>
            <w:vAlign w:val="bottom"/>
          </w:tcPr>
          <w:p>
            <w:pPr>
              <w:spacing w:after="0"/>
              <w:rPr>
                <w:sz w:val="20"/>
                <w:szCs w:val="20"/>
                <w:color w:val="auto"/>
              </w:rPr>
            </w:pPr>
            <w:r>
              <w:rPr>
                <w:rFonts w:ascii="Courier New" w:cs="Courier New" w:eastAsia="Courier New" w:hAnsi="Courier New"/>
                <w:sz w:val="16"/>
                <w:szCs w:val="16"/>
                <w:color w:val="auto"/>
              </w:rPr>
              <w:t>TOTAL LIABILITIES AND STOCKHOLDERS' EQUITY</w:t>
            </w: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$229,064</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$211,630</w:t>
            </w:r>
          </w:p>
        </w:tc>
      </w:tr>
      <w:tr>
        <w:trPr>
          <w:trHeight w:val="182"/>
        </w:trPr>
        <w:tc>
          <w:tcPr>
            <w:tcW w:w="4960" w:type="dxa"/>
            <w:vAlign w:val="bottom"/>
          </w:tcPr>
          <w:p>
            <w:pPr>
              <w:spacing w:after="0"/>
              <w:rPr>
                <w:sz w:val="15"/>
                <w:szCs w:val="15"/>
                <w:color w:val="auto"/>
              </w:rPr>
            </w:pPr>
          </w:p>
        </w:tc>
        <w:tc>
          <w:tcPr>
            <w:tcW w:w="142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WINNEBAGO INDUSTRIES, INC. AND SUBSIDIARIES</w:t>
      </w:r>
    </w:p>
    <w:p>
      <w:pPr>
        <w:spacing w:after="0" w:line="1"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UNAUDITED CONSOLIDATED STATEMENTS OF OPERATIONS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THOUSANDS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3"/>
          </w:tcPr>
          <w:p>
            <w:pPr>
              <w:jc w:val="right"/>
              <w:ind w:right="161"/>
              <w:spacing w:after="0"/>
              <w:rPr>
                <w:sz w:val="20"/>
                <w:szCs w:val="20"/>
                <w:color w:val="auto"/>
              </w:rPr>
            </w:pPr>
            <w:r>
              <w:rPr>
                <w:rFonts w:ascii="Courier New" w:cs="Courier New" w:eastAsia="Courier New" w:hAnsi="Courier New"/>
                <w:sz w:val="16"/>
                <w:szCs w:val="16"/>
                <w:color w:val="auto"/>
              </w:rPr>
              <w:t>THIRTEEN WEEKS ENDED</w:t>
            </w:r>
          </w:p>
        </w:tc>
        <w:tc>
          <w:tcPr>
            <w:tcW w:w="28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FORTY/THIRTY-NINE WEEKS ENDED</w:t>
            </w:r>
          </w:p>
        </w:tc>
      </w:tr>
      <w:tr>
        <w:trPr>
          <w:trHeight w:val="182"/>
        </w:trPr>
        <w:tc>
          <w:tcPr>
            <w:tcW w:w="3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2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w:t>
            </w:r>
          </w:p>
        </w:tc>
        <w:tc>
          <w:tcPr>
            <w:tcW w:w="2880" w:type="dxa"/>
            <w:vAlign w:val="bottom"/>
            <w:gridSpan w:val="4"/>
          </w:tcPr>
          <w:p>
            <w:pPr>
              <w:jc w:val="center"/>
              <w:ind w:left="61"/>
              <w:spacing w:after="0"/>
              <w:rPr>
                <w:sz w:val="20"/>
                <w:szCs w:val="20"/>
                <w:color w:val="auto"/>
              </w:rPr>
            </w:pPr>
            <w:r>
              <w:rPr>
                <w:rFonts w:ascii="Courier New" w:cs="Courier New" w:eastAsia="Courier New" w:hAnsi="Courier New"/>
                <w:sz w:val="16"/>
                <w:szCs w:val="16"/>
                <w:color w:val="auto"/>
                <w:w w:val="98"/>
              </w:rPr>
              <w:t>-----------------------------</w:t>
            </w:r>
          </w:p>
        </w:tc>
      </w:tr>
      <w:tr>
        <w:trPr>
          <w:trHeight w:val="182"/>
        </w:trPr>
        <w:tc>
          <w:tcPr>
            <w:tcW w:w="3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June 1,</w:t>
            </w:r>
          </w:p>
        </w:tc>
        <w:tc>
          <w:tcPr>
            <w:tcW w:w="28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May 27,</w:t>
            </w:r>
          </w:p>
        </w:tc>
        <w:tc>
          <w:tcPr>
            <w:tcW w:w="340" w:type="dxa"/>
            <w:vAlign w:val="bottom"/>
          </w:tcPr>
          <w:p>
            <w:pPr>
              <w:spacing w:after="0"/>
              <w:rPr>
                <w:sz w:val="15"/>
                <w:szCs w:val="15"/>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w w:val="95"/>
              </w:rPr>
              <w:t>June 1,</w:t>
            </w:r>
          </w:p>
        </w:tc>
        <w:tc>
          <w:tcPr>
            <w:tcW w:w="280" w:type="dxa"/>
            <w:vAlign w:val="bottom"/>
          </w:tcPr>
          <w:p>
            <w:pPr>
              <w:spacing w:after="0"/>
              <w:rPr>
                <w:sz w:val="15"/>
                <w:szCs w:val="15"/>
                <w:color w:val="auto"/>
              </w:rPr>
            </w:pPr>
          </w:p>
        </w:tc>
        <w:tc>
          <w:tcPr>
            <w:tcW w:w="1320" w:type="dxa"/>
            <w:vAlign w:val="bottom"/>
          </w:tcPr>
          <w:p>
            <w:pPr>
              <w:jc w:val="right"/>
              <w:ind w:right="581"/>
              <w:spacing w:after="0"/>
              <w:rPr>
                <w:sz w:val="20"/>
                <w:szCs w:val="20"/>
                <w:color w:val="auto"/>
              </w:rPr>
            </w:pPr>
            <w:r>
              <w:rPr>
                <w:rFonts w:ascii="Courier New" w:cs="Courier New" w:eastAsia="Courier New" w:hAnsi="Courier New"/>
                <w:sz w:val="16"/>
                <w:szCs w:val="16"/>
                <w:color w:val="auto"/>
                <w:w w:val="95"/>
              </w:rPr>
              <w:t>May 27,</w:t>
            </w:r>
          </w:p>
        </w:tc>
      </w:tr>
      <w:tr>
        <w:trPr>
          <w:trHeight w:val="182"/>
        </w:trPr>
        <w:tc>
          <w:tcPr>
            <w:tcW w:w="3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6"/>
                <w:szCs w:val="16"/>
                <w:color w:val="auto"/>
              </w:rPr>
              <w:t>1996</w:t>
            </w:r>
          </w:p>
        </w:tc>
        <w:tc>
          <w:tcPr>
            <w:tcW w:w="28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1995</w:t>
            </w:r>
          </w:p>
        </w:tc>
        <w:tc>
          <w:tcPr>
            <w:tcW w:w="340" w:type="dxa"/>
            <w:vAlign w:val="bottom"/>
          </w:tcPr>
          <w:p>
            <w:pPr>
              <w:spacing w:after="0"/>
              <w:rPr>
                <w:sz w:val="15"/>
                <w:szCs w:val="15"/>
                <w:color w:val="auto"/>
              </w:rPr>
            </w:pPr>
          </w:p>
        </w:tc>
        <w:tc>
          <w:tcPr>
            <w:tcW w:w="9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1996</w:t>
            </w:r>
          </w:p>
        </w:tc>
        <w:tc>
          <w:tcPr>
            <w:tcW w:w="280" w:type="dxa"/>
            <w:vAlign w:val="bottom"/>
          </w:tcPr>
          <w:p>
            <w:pPr>
              <w:spacing w:after="0"/>
              <w:rPr>
                <w:sz w:val="15"/>
                <w:szCs w:val="15"/>
                <w:color w:val="auto"/>
              </w:rPr>
            </w:pPr>
          </w:p>
        </w:tc>
        <w:tc>
          <w:tcPr>
            <w:tcW w:w="1320" w:type="dxa"/>
            <w:vAlign w:val="bottom"/>
          </w:tcPr>
          <w:p>
            <w:pPr>
              <w:jc w:val="right"/>
              <w:ind w:right="76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312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364"/>
        </w:trPr>
        <w:tc>
          <w:tcPr>
            <w:tcW w:w="31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2"/>
        </w:trPr>
        <w:tc>
          <w:tcPr>
            <w:tcW w:w="3120" w:type="dxa"/>
            <w:vAlign w:val="bottom"/>
          </w:tcPr>
          <w:p>
            <w:pPr>
              <w:ind w:left="180"/>
              <w:spacing w:after="0"/>
              <w:rPr>
                <w:sz w:val="20"/>
                <w:szCs w:val="20"/>
                <w:color w:val="auto"/>
              </w:rPr>
            </w:pPr>
            <w:r>
              <w:rPr>
                <w:rFonts w:ascii="Courier New" w:cs="Courier New" w:eastAsia="Courier New" w:hAnsi="Courier New"/>
                <w:sz w:val="16"/>
                <w:szCs w:val="16"/>
                <w:color w:val="auto"/>
              </w:rPr>
              <w:t>Manufactured products</w:t>
            </w: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$ 144,038</w:t>
            </w: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$ 118,338</w:t>
            </w: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$ 363,203</w:t>
            </w:r>
          </w:p>
        </w:tc>
        <w:tc>
          <w:tcPr>
            <w:tcW w:w="16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$ 354,066</w:t>
            </w:r>
          </w:p>
        </w:tc>
      </w:tr>
      <w:tr>
        <w:trPr>
          <w:trHeight w:val="182"/>
        </w:trPr>
        <w:tc>
          <w:tcPr>
            <w:tcW w:w="3120" w:type="dxa"/>
            <w:vAlign w:val="bottom"/>
          </w:tcPr>
          <w:p>
            <w:pPr>
              <w:ind w:left="180"/>
              <w:spacing w:after="0"/>
              <w:rPr>
                <w:sz w:val="20"/>
                <w:szCs w:val="20"/>
                <w:color w:val="auto"/>
              </w:rPr>
            </w:pPr>
            <w:r>
              <w:rPr>
                <w:rFonts w:ascii="Courier New" w:cs="Courier New" w:eastAsia="Courier New" w:hAnsi="Courier New"/>
                <w:sz w:val="16"/>
                <w:szCs w:val="16"/>
                <w:color w:val="auto"/>
              </w:rPr>
              <w:t>Services</w:t>
            </w:r>
          </w:p>
        </w:tc>
        <w:tc>
          <w:tcPr>
            <w:tcW w:w="2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7,459</w:t>
            </w:r>
          </w:p>
        </w:tc>
        <w:tc>
          <w:tcPr>
            <w:tcW w:w="2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6,755</w:t>
            </w:r>
          </w:p>
        </w:tc>
        <w:tc>
          <w:tcPr>
            <w:tcW w:w="3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23,874</w:t>
            </w:r>
          </w:p>
        </w:tc>
        <w:tc>
          <w:tcPr>
            <w:tcW w:w="28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17,234</w:t>
            </w:r>
          </w:p>
        </w:tc>
      </w:tr>
      <w:tr>
        <w:trPr>
          <w:trHeight w:val="182"/>
        </w:trPr>
        <w:tc>
          <w:tcPr>
            <w:tcW w:w="312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182"/>
        </w:trPr>
        <w:tc>
          <w:tcPr>
            <w:tcW w:w="3120" w:type="dxa"/>
            <w:vAlign w:val="bottom"/>
          </w:tcPr>
          <w:p>
            <w:pPr>
              <w:ind w:left="460"/>
              <w:spacing w:after="0"/>
              <w:rPr>
                <w:sz w:val="20"/>
                <w:szCs w:val="20"/>
                <w:color w:val="auto"/>
              </w:rPr>
            </w:pPr>
            <w:r>
              <w:rPr>
                <w:rFonts w:ascii="Courier New" w:cs="Courier New" w:eastAsia="Courier New" w:hAnsi="Courier New"/>
                <w:sz w:val="16"/>
                <w:szCs w:val="16"/>
                <w:color w:val="auto"/>
              </w:rPr>
              <w:t>Total net revenues</w:t>
            </w:r>
          </w:p>
        </w:tc>
        <w:tc>
          <w:tcPr>
            <w:tcW w:w="2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151,497</w:t>
            </w:r>
          </w:p>
        </w:tc>
        <w:tc>
          <w:tcPr>
            <w:tcW w:w="2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125,093</w:t>
            </w:r>
          </w:p>
        </w:tc>
        <w:tc>
          <w:tcPr>
            <w:tcW w:w="3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387,077</w:t>
            </w:r>
          </w:p>
        </w:tc>
        <w:tc>
          <w:tcPr>
            <w:tcW w:w="28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371,300</w:t>
            </w:r>
          </w:p>
        </w:tc>
      </w:tr>
      <w:tr>
        <w:trPr>
          <w:trHeight w:val="182"/>
        </w:trPr>
        <w:tc>
          <w:tcPr>
            <w:tcW w:w="312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364"/>
        </w:trPr>
        <w:tc>
          <w:tcPr>
            <w:tcW w:w="3120" w:type="dxa"/>
            <w:vAlign w:val="bottom"/>
          </w:tcPr>
          <w:p>
            <w:pPr>
              <w:spacing w:after="0"/>
              <w:rPr>
                <w:sz w:val="20"/>
                <w:szCs w:val="20"/>
                <w:color w:val="auto"/>
              </w:rPr>
            </w:pPr>
            <w:r>
              <w:rPr>
                <w:rFonts w:ascii="Courier New" w:cs="Courier New" w:eastAsia="Courier New" w:hAnsi="Courier New"/>
                <w:sz w:val="16"/>
                <w:szCs w:val="16"/>
                <w:color w:val="auto"/>
              </w:rPr>
              <w:t>Costs and Expenses:</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2"/>
        </w:trPr>
        <w:tc>
          <w:tcPr>
            <w:tcW w:w="3120" w:type="dxa"/>
            <w:vAlign w:val="bottom"/>
          </w:tcPr>
          <w:p>
            <w:pPr>
              <w:ind w:left="180"/>
              <w:spacing w:after="0"/>
              <w:rPr>
                <w:sz w:val="20"/>
                <w:szCs w:val="20"/>
                <w:color w:val="auto"/>
              </w:rPr>
            </w:pPr>
            <w:r>
              <w:rPr>
                <w:rFonts w:ascii="Courier New" w:cs="Courier New" w:eastAsia="Courier New" w:hAnsi="Courier New"/>
                <w:sz w:val="16"/>
                <w:szCs w:val="16"/>
                <w:color w:val="auto"/>
              </w:rPr>
              <w:t>Cost of manufactured products</w:t>
            </w:r>
          </w:p>
        </w:tc>
        <w:tc>
          <w:tcPr>
            <w:tcW w:w="2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124,171</w:t>
            </w:r>
          </w:p>
        </w:tc>
        <w:tc>
          <w:tcPr>
            <w:tcW w:w="2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101,304</w:t>
            </w:r>
          </w:p>
        </w:tc>
        <w:tc>
          <w:tcPr>
            <w:tcW w:w="3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314,576</w:t>
            </w:r>
          </w:p>
        </w:tc>
        <w:tc>
          <w:tcPr>
            <w:tcW w:w="28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303,619</w:t>
            </w:r>
          </w:p>
        </w:tc>
      </w:tr>
      <w:tr>
        <w:trPr>
          <w:trHeight w:val="182"/>
        </w:trPr>
        <w:tc>
          <w:tcPr>
            <w:tcW w:w="3120" w:type="dxa"/>
            <w:vAlign w:val="bottom"/>
          </w:tcPr>
          <w:p>
            <w:pPr>
              <w:ind w:left="180"/>
              <w:spacing w:after="0"/>
              <w:rPr>
                <w:sz w:val="20"/>
                <w:szCs w:val="20"/>
                <w:color w:val="auto"/>
              </w:rPr>
            </w:pPr>
            <w:r>
              <w:rPr>
                <w:rFonts w:ascii="Courier New" w:cs="Courier New" w:eastAsia="Courier New" w:hAnsi="Courier New"/>
                <w:sz w:val="16"/>
                <w:szCs w:val="16"/>
                <w:color w:val="auto"/>
              </w:rPr>
              <w:t>Cost of services</w:t>
            </w:r>
          </w:p>
        </w:tc>
        <w:tc>
          <w:tcPr>
            <w:tcW w:w="2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4,275</w:t>
            </w:r>
          </w:p>
        </w:tc>
        <w:tc>
          <w:tcPr>
            <w:tcW w:w="2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3,980</w:t>
            </w:r>
          </w:p>
        </w:tc>
        <w:tc>
          <w:tcPr>
            <w:tcW w:w="3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13,888</w:t>
            </w:r>
          </w:p>
        </w:tc>
        <w:tc>
          <w:tcPr>
            <w:tcW w:w="28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10,176</w:t>
            </w:r>
          </w:p>
        </w:tc>
      </w:tr>
      <w:tr>
        <w:trPr>
          <w:trHeight w:val="182"/>
        </w:trPr>
        <w:tc>
          <w:tcPr>
            <w:tcW w:w="3120" w:type="dxa"/>
            <w:vAlign w:val="bottom"/>
          </w:tcPr>
          <w:p>
            <w:pPr>
              <w:ind w:left="180"/>
              <w:spacing w:after="0"/>
              <w:rPr>
                <w:sz w:val="20"/>
                <w:szCs w:val="20"/>
                <w:color w:val="auto"/>
              </w:rPr>
            </w:pPr>
            <w:r>
              <w:rPr>
                <w:rFonts w:ascii="Courier New" w:cs="Courier New" w:eastAsia="Courier New" w:hAnsi="Courier New"/>
                <w:sz w:val="16"/>
                <w:szCs w:val="16"/>
                <w:color w:val="auto"/>
              </w:rPr>
              <w:t>Selling and delivery</w:t>
            </w:r>
          </w:p>
        </w:tc>
        <w:tc>
          <w:tcPr>
            <w:tcW w:w="2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6,711</w:t>
            </w:r>
          </w:p>
        </w:tc>
        <w:tc>
          <w:tcPr>
            <w:tcW w:w="2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7,265</w:t>
            </w:r>
          </w:p>
        </w:tc>
        <w:tc>
          <w:tcPr>
            <w:tcW w:w="3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19,015</w:t>
            </w:r>
          </w:p>
        </w:tc>
        <w:tc>
          <w:tcPr>
            <w:tcW w:w="28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19,937</w:t>
            </w:r>
          </w:p>
        </w:tc>
      </w:tr>
      <w:tr>
        <w:trPr>
          <w:trHeight w:val="182"/>
        </w:trPr>
        <w:tc>
          <w:tcPr>
            <w:tcW w:w="3120" w:type="dxa"/>
            <w:vAlign w:val="bottom"/>
          </w:tcPr>
          <w:p>
            <w:pPr>
              <w:ind w:left="180"/>
              <w:spacing w:after="0"/>
              <w:rPr>
                <w:sz w:val="20"/>
                <w:szCs w:val="20"/>
                <w:color w:val="auto"/>
              </w:rPr>
            </w:pPr>
            <w:r>
              <w:rPr>
                <w:rFonts w:ascii="Courier New" w:cs="Courier New" w:eastAsia="Courier New" w:hAnsi="Courier New"/>
                <w:sz w:val="16"/>
                <w:szCs w:val="16"/>
                <w:color w:val="auto"/>
              </w:rPr>
              <w:t>General and administrative</w:t>
            </w:r>
          </w:p>
        </w:tc>
        <w:tc>
          <w:tcPr>
            <w:tcW w:w="2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8,561</w:t>
            </w:r>
          </w:p>
        </w:tc>
        <w:tc>
          <w:tcPr>
            <w:tcW w:w="2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6,423</w:t>
            </w:r>
          </w:p>
        </w:tc>
        <w:tc>
          <w:tcPr>
            <w:tcW w:w="3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23,838</w:t>
            </w:r>
          </w:p>
        </w:tc>
        <w:tc>
          <w:tcPr>
            <w:tcW w:w="28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18,577</w:t>
            </w:r>
          </w:p>
        </w:tc>
      </w:tr>
      <w:tr>
        <w:trPr>
          <w:trHeight w:val="182"/>
        </w:trPr>
        <w:tc>
          <w:tcPr>
            <w:tcW w:w="312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182"/>
        </w:trPr>
        <w:tc>
          <w:tcPr>
            <w:tcW w:w="3120" w:type="dxa"/>
            <w:vAlign w:val="bottom"/>
          </w:tcPr>
          <w:p>
            <w:pPr>
              <w:ind w:left="460"/>
              <w:spacing w:after="0"/>
              <w:rPr>
                <w:sz w:val="20"/>
                <w:szCs w:val="20"/>
                <w:color w:val="auto"/>
              </w:rPr>
            </w:pPr>
            <w:r>
              <w:rPr>
                <w:rFonts w:ascii="Courier New" w:cs="Courier New" w:eastAsia="Courier New" w:hAnsi="Courier New"/>
                <w:sz w:val="16"/>
                <w:szCs w:val="16"/>
                <w:color w:val="auto"/>
              </w:rPr>
              <w:t>Total costs and expenses</w:t>
            </w:r>
          </w:p>
        </w:tc>
        <w:tc>
          <w:tcPr>
            <w:tcW w:w="2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143,718</w:t>
            </w:r>
          </w:p>
        </w:tc>
        <w:tc>
          <w:tcPr>
            <w:tcW w:w="2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118,972</w:t>
            </w:r>
          </w:p>
        </w:tc>
        <w:tc>
          <w:tcPr>
            <w:tcW w:w="3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371,317</w:t>
            </w:r>
          </w:p>
        </w:tc>
        <w:tc>
          <w:tcPr>
            <w:tcW w:w="28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352,309</w:t>
            </w:r>
          </w:p>
        </w:tc>
      </w:tr>
      <w:tr>
        <w:trPr>
          <w:trHeight w:val="182"/>
        </w:trPr>
        <w:tc>
          <w:tcPr>
            <w:tcW w:w="312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364"/>
        </w:trPr>
        <w:tc>
          <w:tcPr>
            <w:tcW w:w="3120" w:type="dxa"/>
            <w:vAlign w:val="bottom"/>
          </w:tcPr>
          <w:p>
            <w:pPr>
              <w:spacing w:after="0"/>
              <w:rPr>
                <w:sz w:val="20"/>
                <w:szCs w:val="20"/>
                <w:color w:val="auto"/>
              </w:rPr>
            </w:pPr>
            <w:r>
              <w:rPr>
                <w:rFonts w:ascii="Courier New" w:cs="Courier New" w:eastAsia="Courier New" w:hAnsi="Courier New"/>
                <w:sz w:val="16"/>
                <w:szCs w:val="16"/>
                <w:color w:val="auto"/>
              </w:rPr>
              <w:t>Operating income</w:t>
            </w:r>
          </w:p>
        </w:tc>
        <w:tc>
          <w:tcPr>
            <w:tcW w:w="280" w:type="dxa"/>
            <w:vAlign w:val="bottom"/>
          </w:tcPr>
          <w:p>
            <w:pPr>
              <w:spacing w:after="0"/>
              <w:rPr>
                <w:sz w:val="24"/>
                <w:szCs w:val="24"/>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7,779</w:t>
            </w:r>
          </w:p>
        </w:tc>
        <w:tc>
          <w:tcPr>
            <w:tcW w:w="280" w:type="dxa"/>
            <w:vAlign w:val="bottom"/>
          </w:tcPr>
          <w:p>
            <w:pPr>
              <w:spacing w:after="0"/>
              <w:rPr>
                <w:sz w:val="24"/>
                <w:szCs w:val="24"/>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6,121</w:t>
            </w:r>
          </w:p>
        </w:tc>
        <w:tc>
          <w:tcPr>
            <w:tcW w:w="340" w:type="dxa"/>
            <w:vAlign w:val="bottom"/>
          </w:tcPr>
          <w:p>
            <w:pPr>
              <w:spacing w:after="0"/>
              <w:rPr>
                <w:sz w:val="24"/>
                <w:szCs w:val="24"/>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15,760</w:t>
            </w:r>
          </w:p>
        </w:tc>
        <w:tc>
          <w:tcPr>
            <w:tcW w:w="280" w:type="dxa"/>
            <w:vAlign w:val="bottom"/>
          </w:tcPr>
          <w:p>
            <w:pPr>
              <w:spacing w:after="0"/>
              <w:rPr>
                <w:sz w:val="24"/>
                <w:szCs w:val="24"/>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18,991</w:t>
            </w:r>
          </w:p>
        </w:tc>
      </w:tr>
      <w:tr>
        <w:trPr>
          <w:trHeight w:val="364"/>
        </w:trPr>
        <w:tc>
          <w:tcPr>
            <w:tcW w:w="3120" w:type="dxa"/>
            <w:vAlign w:val="bottom"/>
          </w:tcPr>
          <w:p>
            <w:pPr>
              <w:spacing w:after="0"/>
              <w:rPr>
                <w:sz w:val="20"/>
                <w:szCs w:val="20"/>
                <w:color w:val="auto"/>
              </w:rPr>
            </w:pPr>
            <w:r>
              <w:rPr>
                <w:rFonts w:ascii="Courier New" w:cs="Courier New" w:eastAsia="Courier New" w:hAnsi="Courier New"/>
                <w:sz w:val="16"/>
                <w:szCs w:val="16"/>
                <w:color w:val="auto"/>
              </w:rPr>
              <w:t>Financial (expense) income</w:t>
            </w:r>
          </w:p>
        </w:tc>
        <w:tc>
          <w:tcPr>
            <w:tcW w:w="280" w:type="dxa"/>
            <w:vAlign w:val="bottom"/>
          </w:tcPr>
          <w:p>
            <w:pPr>
              <w:spacing w:after="0"/>
              <w:rPr>
                <w:sz w:val="24"/>
                <w:szCs w:val="24"/>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(38)</w:t>
            </w:r>
          </w:p>
        </w:tc>
        <w:tc>
          <w:tcPr>
            <w:tcW w:w="280" w:type="dxa"/>
            <w:vAlign w:val="bottom"/>
          </w:tcPr>
          <w:p>
            <w:pPr>
              <w:spacing w:after="0"/>
              <w:rPr>
                <w:sz w:val="24"/>
                <w:szCs w:val="24"/>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457</w:t>
            </w:r>
          </w:p>
        </w:tc>
        <w:tc>
          <w:tcPr>
            <w:tcW w:w="340" w:type="dxa"/>
            <w:vAlign w:val="bottom"/>
          </w:tcPr>
          <w:p>
            <w:pPr>
              <w:spacing w:after="0"/>
              <w:rPr>
                <w:sz w:val="24"/>
                <w:szCs w:val="24"/>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43</w:t>
            </w:r>
          </w:p>
        </w:tc>
        <w:tc>
          <w:tcPr>
            <w:tcW w:w="280" w:type="dxa"/>
            <w:vAlign w:val="bottom"/>
          </w:tcPr>
          <w:p>
            <w:pPr>
              <w:spacing w:after="0"/>
              <w:rPr>
                <w:sz w:val="24"/>
                <w:szCs w:val="24"/>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1,281</w:t>
            </w:r>
          </w:p>
        </w:tc>
      </w:tr>
      <w:tr>
        <w:trPr>
          <w:trHeight w:val="182"/>
        </w:trPr>
        <w:tc>
          <w:tcPr>
            <w:tcW w:w="312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364"/>
        </w:trPr>
        <w:tc>
          <w:tcPr>
            <w:tcW w:w="3120" w:type="dxa"/>
            <w:vAlign w:val="bottom"/>
          </w:tcPr>
          <w:p>
            <w:pPr>
              <w:spacing w:after="0"/>
              <w:rPr>
                <w:sz w:val="20"/>
                <w:szCs w:val="20"/>
                <w:color w:val="auto"/>
              </w:rPr>
            </w:pPr>
            <w:r>
              <w:rPr>
                <w:rFonts w:ascii="Courier New" w:cs="Courier New" w:eastAsia="Courier New" w:hAnsi="Courier New"/>
                <w:sz w:val="16"/>
                <w:szCs w:val="16"/>
                <w:color w:val="auto"/>
              </w:rPr>
              <w:t>Income before taxes</w:t>
            </w:r>
          </w:p>
        </w:tc>
        <w:tc>
          <w:tcPr>
            <w:tcW w:w="280" w:type="dxa"/>
            <w:vAlign w:val="bottom"/>
          </w:tcPr>
          <w:p>
            <w:pPr>
              <w:spacing w:after="0"/>
              <w:rPr>
                <w:sz w:val="24"/>
                <w:szCs w:val="24"/>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7,741</w:t>
            </w:r>
          </w:p>
        </w:tc>
        <w:tc>
          <w:tcPr>
            <w:tcW w:w="280" w:type="dxa"/>
            <w:vAlign w:val="bottom"/>
          </w:tcPr>
          <w:p>
            <w:pPr>
              <w:spacing w:after="0"/>
              <w:rPr>
                <w:sz w:val="24"/>
                <w:szCs w:val="24"/>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6,578</w:t>
            </w:r>
          </w:p>
        </w:tc>
        <w:tc>
          <w:tcPr>
            <w:tcW w:w="340" w:type="dxa"/>
            <w:vAlign w:val="bottom"/>
          </w:tcPr>
          <w:p>
            <w:pPr>
              <w:spacing w:after="0"/>
              <w:rPr>
                <w:sz w:val="24"/>
                <w:szCs w:val="24"/>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15,803</w:t>
            </w:r>
          </w:p>
        </w:tc>
        <w:tc>
          <w:tcPr>
            <w:tcW w:w="280" w:type="dxa"/>
            <w:vAlign w:val="bottom"/>
          </w:tcPr>
          <w:p>
            <w:pPr>
              <w:spacing w:after="0"/>
              <w:rPr>
                <w:sz w:val="24"/>
                <w:szCs w:val="24"/>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20,272</w:t>
            </w:r>
          </w:p>
        </w:tc>
      </w:tr>
      <w:tr>
        <w:trPr>
          <w:trHeight w:val="364"/>
        </w:trPr>
        <w:tc>
          <w:tcPr>
            <w:tcW w:w="3120" w:type="dxa"/>
            <w:vAlign w:val="bottom"/>
          </w:tcPr>
          <w:p>
            <w:pPr>
              <w:spacing w:after="0"/>
              <w:rPr>
                <w:sz w:val="20"/>
                <w:szCs w:val="20"/>
                <w:color w:val="auto"/>
              </w:rPr>
            </w:pPr>
            <w:r>
              <w:rPr>
                <w:rFonts w:ascii="Courier New" w:cs="Courier New" w:eastAsia="Courier New" w:hAnsi="Courier New"/>
                <w:sz w:val="16"/>
                <w:szCs w:val="16"/>
                <w:color w:val="auto"/>
              </w:rPr>
              <w:t>Provision (credit) for taxes</w:t>
            </w:r>
          </w:p>
        </w:tc>
        <w:tc>
          <w:tcPr>
            <w:tcW w:w="280" w:type="dxa"/>
            <w:vAlign w:val="bottom"/>
          </w:tcPr>
          <w:p>
            <w:pPr>
              <w:spacing w:after="0"/>
              <w:rPr>
                <w:sz w:val="24"/>
                <w:szCs w:val="24"/>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2,330</w:t>
            </w:r>
          </w:p>
        </w:tc>
        <w:tc>
          <w:tcPr>
            <w:tcW w:w="280" w:type="dxa"/>
            <w:vAlign w:val="bottom"/>
          </w:tcPr>
          <w:p>
            <w:pPr>
              <w:spacing w:after="0"/>
              <w:rPr>
                <w:sz w:val="24"/>
                <w:szCs w:val="24"/>
                <w:color w:val="auto"/>
              </w:rPr>
            </w:pPr>
          </w:p>
        </w:tc>
        <w:tc>
          <w:tcPr>
            <w:tcW w:w="9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24"/>
                <w:szCs w:val="24"/>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5,164</w:t>
            </w:r>
          </w:p>
        </w:tc>
        <w:tc>
          <w:tcPr>
            <w:tcW w:w="280" w:type="dxa"/>
            <w:vAlign w:val="bottom"/>
          </w:tcPr>
          <w:p>
            <w:pPr>
              <w:spacing w:after="0"/>
              <w:rPr>
                <w:sz w:val="24"/>
                <w:szCs w:val="24"/>
                <w:color w:val="auto"/>
              </w:rPr>
            </w:pPr>
          </w:p>
        </w:tc>
        <w:tc>
          <w:tcPr>
            <w:tcW w:w="13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(6,000)</w:t>
            </w:r>
          </w:p>
        </w:tc>
      </w:tr>
      <w:tr>
        <w:trPr>
          <w:trHeight w:val="182"/>
        </w:trPr>
        <w:tc>
          <w:tcPr>
            <w:tcW w:w="312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364"/>
        </w:trPr>
        <w:tc>
          <w:tcPr>
            <w:tcW w:w="31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5,411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6,578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10,639</w:t>
            </w:r>
          </w:p>
        </w:tc>
        <w:tc>
          <w:tcPr>
            <w:tcW w:w="28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26,272</w:t>
            </w:r>
          </w:p>
        </w:tc>
      </w:tr>
      <w:tr>
        <w:trPr>
          <w:trHeight w:val="182"/>
        </w:trPr>
        <w:tc>
          <w:tcPr>
            <w:tcW w:w="312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546"/>
        </w:trPr>
        <w:tc>
          <w:tcPr>
            <w:tcW w:w="3120" w:type="dxa"/>
            <w:vAlign w:val="bottom"/>
          </w:tcPr>
          <w:p>
            <w:pPr>
              <w:spacing w:after="0"/>
              <w:rPr>
                <w:sz w:val="20"/>
                <w:szCs w:val="20"/>
                <w:color w:val="auto"/>
              </w:rPr>
            </w:pPr>
            <w:r>
              <w:rPr>
                <w:rFonts w:ascii="Courier New" w:cs="Courier New" w:eastAsia="Courier New" w:hAnsi="Courier New"/>
                <w:sz w:val="16"/>
                <w:szCs w:val="16"/>
                <w:color w:val="auto"/>
              </w:rPr>
              <w:t>Net income per common share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.42</w:t>
            </w:r>
          </w:p>
        </w:tc>
        <w:tc>
          <w:tcPr>
            <w:tcW w:w="28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82"/>
              </w:rPr>
              <w:t>$</w:t>
            </w: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1.04</w:t>
            </w:r>
          </w:p>
        </w:tc>
      </w:tr>
      <w:tr>
        <w:trPr>
          <w:trHeight w:val="182"/>
        </w:trPr>
        <w:tc>
          <w:tcPr>
            <w:tcW w:w="312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r>
      <w:tr>
        <w:trPr>
          <w:trHeight w:val="364"/>
        </w:trPr>
        <w:tc>
          <w:tcPr>
            <w:tcW w:w="3120" w:type="dxa"/>
            <w:vAlign w:val="bottom"/>
          </w:tcPr>
          <w:p>
            <w:pPr>
              <w:spacing w:after="0"/>
              <w:rPr>
                <w:sz w:val="20"/>
                <w:szCs w:val="20"/>
                <w:color w:val="auto"/>
              </w:rPr>
            </w:pPr>
            <w:r>
              <w:rPr>
                <w:rFonts w:ascii="Courier New" w:cs="Courier New" w:eastAsia="Courier New" w:hAnsi="Courier New"/>
                <w:sz w:val="16"/>
                <w:szCs w:val="16"/>
                <w:color w:val="auto"/>
              </w:rPr>
              <w:t>Weighted average number of</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2"/>
        </w:trPr>
        <w:tc>
          <w:tcPr>
            <w:tcW w:w="3120" w:type="dxa"/>
            <w:vAlign w:val="bottom"/>
          </w:tcPr>
          <w:p>
            <w:pPr>
              <w:ind w:left="180"/>
              <w:spacing w:after="0"/>
              <w:rPr>
                <w:sz w:val="20"/>
                <w:szCs w:val="20"/>
                <w:color w:val="auto"/>
              </w:rPr>
            </w:pPr>
            <w:r>
              <w:rPr>
                <w:rFonts w:ascii="Courier New" w:cs="Courier New" w:eastAsia="Courier New" w:hAnsi="Courier New"/>
                <w:sz w:val="16"/>
                <w:szCs w:val="16"/>
                <w:color w:val="auto"/>
              </w:rPr>
              <w:t>shares of common stock</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82"/>
        </w:trPr>
        <w:tc>
          <w:tcPr>
            <w:tcW w:w="3120" w:type="dxa"/>
            <w:vAlign w:val="bottom"/>
          </w:tcPr>
          <w:p>
            <w:pPr>
              <w:ind w:left="180"/>
              <w:spacing w:after="0"/>
              <w:rPr>
                <w:sz w:val="20"/>
                <w:szCs w:val="20"/>
                <w:color w:val="auto"/>
              </w:rPr>
            </w:pPr>
            <w:r>
              <w:rPr>
                <w:rFonts w:ascii="Courier New" w:cs="Courier New" w:eastAsia="Courier New" w:hAnsi="Courier New"/>
                <w:sz w:val="16"/>
                <w:szCs w:val="16"/>
                <w:color w:val="auto"/>
              </w:rPr>
              <w:t>outstanding</w:t>
            </w:r>
          </w:p>
        </w:tc>
        <w:tc>
          <w:tcPr>
            <w:tcW w:w="280" w:type="dxa"/>
            <w:vAlign w:val="bottom"/>
          </w:tcPr>
          <w:p>
            <w:pPr>
              <w:spacing w:after="0"/>
              <w:rPr>
                <w:sz w:val="15"/>
                <w:szCs w:val="15"/>
                <w:color w:val="auto"/>
              </w:rPr>
            </w:pP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25,352</w:t>
            </w:r>
          </w:p>
        </w:tc>
        <w:tc>
          <w:tcPr>
            <w:tcW w:w="28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25,317</w:t>
            </w:r>
          </w:p>
        </w:tc>
        <w:tc>
          <w:tcPr>
            <w:tcW w:w="340" w:type="dxa"/>
            <w:vAlign w:val="bottom"/>
          </w:tcPr>
          <w:p>
            <w:pPr>
              <w:spacing w:after="0"/>
              <w:rPr>
                <w:sz w:val="15"/>
                <w:szCs w:val="15"/>
                <w:color w:val="auto"/>
              </w:rPr>
            </w:pPr>
          </w:p>
        </w:tc>
        <w:tc>
          <w:tcPr>
            <w:tcW w:w="9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25,348</w:t>
            </w:r>
          </w:p>
        </w:tc>
        <w:tc>
          <w:tcPr>
            <w:tcW w:w="280" w:type="dxa"/>
            <w:vAlign w:val="bottom"/>
          </w:tcPr>
          <w:p>
            <w:pPr>
              <w:spacing w:after="0"/>
              <w:rPr>
                <w:sz w:val="15"/>
                <w:szCs w:val="15"/>
                <w:color w:val="auto"/>
              </w:rPr>
            </w:pPr>
          </w:p>
        </w:tc>
        <w:tc>
          <w:tcPr>
            <w:tcW w:w="13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25,268</w:t>
            </w:r>
          </w:p>
        </w:tc>
      </w:tr>
      <w:tr>
        <w:trPr>
          <w:trHeight w:val="182"/>
        </w:trPr>
        <w:tc>
          <w:tcPr>
            <w:tcW w:w="3120" w:type="dxa"/>
            <w:vAlign w:val="bottom"/>
          </w:tcPr>
          <w:p>
            <w:pPr>
              <w:spacing w:after="0"/>
              <w:rPr>
                <w:sz w:val="15"/>
                <w:szCs w:val="15"/>
                <w:color w:val="auto"/>
              </w:rPr>
            </w:pPr>
          </w:p>
        </w:tc>
        <w:tc>
          <w:tcPr>
            <w:tcW w:w="13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60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Unaudited Condensed Notes to Consolidated Financial Statements.</w:t>
      </w:r>
    </w:p>
    <w:p>
      <w:pPr>
        <w:sectPr>
          <w:pgSz w:w="11900" w:h="16881" w:orient="portrait"/>
          <w:cols w:equalWidth="0" w:num="1">
            <w:col w:w="10219"/>
          </w:cols>
          <w:pgMar w:left="240" w:top="13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WINNEBAGO INDUSTRIES, INC. AND SUBSIDIARIES</w:t>
      </w:r>
    </w:p>
    <w:p>
      <w:pPr>
        <w:spacing w:after="0" w:line="5"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5"/>
          <w:szCs w:val="15"/>
          <w:color w:val="auto"/>
        </w:rPr>
        <w:t>UNAUDITED CONSOLIDATED CONDENSED STATEMENTS OF CASH FLOWS</w:t>
      </w:r>
    </w:p>
    <w:p>
      <w:pPr>
        <w:sectPr>
          <w:pgSz w:w="11900" w:h="16881" w:orient="portrait"/>
          <w:cols w:equalWidth="0" w:num="1">
            <w:col w:w="10219"/>
          </w:cols>
          <w:pgMar w:left="240" w:top="138" w:right="1440" w:bottom="0" w:gutter="0" w:footer="0" w:header="0"/>
          <w:type w:val="continuous"/>
        </w:sectPr>
      </w:pPr>
    </w:p>
    <w:bookmarkStart w:id="3" w:name="page4"/>
    <w:bookmarkEnd w:id="3"/>
    <w:tbl>
      <w:tblPr>
        <w:tblLayout w:type="fixed"/>
        <w:tblInd w:w="3" w:type="dxa"/>
        <w:tblCellMar>
          <w:top w:w="0" w:type="dxa"/>
          <w:left w:w="0" w:type="dxa"/>
          <w:bottom w:w="0" w:type="dxa"/>
          <w:right w:w="0" w:type="dxa"/>
        </w:tblCellMar>
      </w:tblPr>
      <w:tr>
        <w:trPr>
          <w:trHeight w:val="181"/>
        </w:trPr>
        <w:tc>
          <w:tcPr>
            <w:tcW w:w="6340" w:type="dxa"/>
            <w:vAlign w:val="bottom"/>
          </w:tcPr>
          <w:p>
            <w:pPr>
              <w:spacing w:after="0"/>
              <w:rPr>
                <w:sz w:val="20"/>
                <w:szCs w:val="20"/>
                <w:color w:val="auto"/>
              </w:rPr>
            </w:pPr>
            <w:r>
              <w:rPr>
                <w:rFonts w:ascii="Courier New" w:cs="Courier New" w:eastAsia="Courier New" w:hAnsi="Courier New"/>
                <w:sz w:val="16"/>
                <w:szCs w:val="16"/>
                <w:color w:val="auto"/>
              </w:rPr>
              <w:t>Dollars in thousands</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FORTY</w:t>
            </w:r>
          </w:p>
        </w:tc>
        <w:tc>
          <w:tcPr>
            <w:tcW w:w="1220" w:type="dxa"/>
            <w:vAlign w:val="bottom"/>
          </w:tcPr>
          <w:p>
            <w:pPr>
              <w:ind w:left="80"/>
              <w:spacing w:after="0"/>
              <w:rPr>
                <w:sz w:val="20"/>
                <w:szCs w:val="20"/>
                <w:color w:val="auto"/>
              </w:rPr>
            </w:pPr>
            <w:r>
              <w:rPr>
                <w:rFonts w:ascii="Courier New" w:cs="Courier New" w:eastAsia="Courier New" w:hAnsi="Courier New"/>
                <w:sz w:val="16"/>
                <w:szCs w:val="16"/>
                <w:color w:val="auto"/>
              </w:rPr>
              <w:t>THIRTY-NINE</w:t>
            </w:r>
          </w:p>
        </w:tc>
      </w:tr>
      <w:tr>
        <w:trPr>
          <w:trHeight w:val="182"/>
        </w:trPr>
        <w:tc>
          <w:tcPr>
            <w:tcW w:w="6340" w:type="dxa"/>
            <w:vAlign w:val="bottom"/>
          </w:tcPr>
          <w:p>
            <w:pPr>
              <w:spacing w:after="0"/>
              <w:rPr>
                <w:sz w:val="15"/>
                <w:szCs w:val="15"/>
                <w:color w:val="auto"/>
              </w:rPr>
            </w:pPr>
          </w:p>
        </w:tc>
        <w:tc>
          <w:tcPr>
            <w:tcW w:w="264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WEEKS ENDED</w:t>
            </w:r>
          </w:p>
        </w:tc>
      </w:tr>
      <w:tr>
        <w:trPr>
          <w:trHeight w:val="182"/>
        </w:trPr>
        <w:tc>
          <w:tcPr>
            <w:tcW w:w="6340" w:type="dxa"/>
            <w:vAlign w:val="bottom"/>
          </w:tcPr>
          <w:p>
            <w:pPr>
              <w:spacing w:after="0"/>
              <w:rPr>
                <w:sz w:val="15"/>
                <w:szCs w:val="15"/>
                <w:color w:val="auto"/>
              </w:rPr>
            </w:pPr>
          </w:p>
        </w:tc>
        <w:tc>
          <w:tcPr>
            <w:tcW w:w="26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6340" w:type="dxa"/>
            <w:vAlign w:val="bottom"/>
          </w:tcPr>
          <w:p>
            <w:pPr>
              <w:spacing w:after="0"/>
              <w:rPr>
                <w:sz w:val="15"/>
                <w:szCs w:val="15"/>
                <w:color w:val="auto"/>
              </w:rPr>
            </w:pP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June 1, 1996</w:t>
            </w:r>
          </w:p>
        </w:tc>
        <w:tc>
          <w:tcPr>
            <w:tcW w:w="1220" w:type="dxa"/>
            <w:vAlign w:val="bottom"/>
          </w:tcPr>
          <w:p>
            <w:pPr>
              <w:ind w:left="80"/>
              <w:spacing w:after="0"/>
              <w:rPr>
                <w:sz w:val="20"/>
                <w:szCs w:val="20"/>
                <w:color w:val="auto"/>
              </w:rPr>
            </w:pPr>
            <w:r>
              <w:rPr>
                <w:rFonts w:ascii="Courier New" w:cs="Courier New" w:eastAsia="Courier New" w:hAnsi="Courier New"/>
                <w:sz w:val="16"/>
                <w:szCs w:val="16"/>
                <w:color w:val="auto"/>
                <w:w w:val="97"/>
              </w:rPr>
              <w:t>May 27, 1995</w:t>
            </w:r>
          </w:p>
        </w:tc>
      </w:tr>
      <w:tr>
        <w:trPr>
          <w:trHeight w:val="182"/>
        </w:trPr>
        <w:tc>
          <w:tcPr>
            <w:tcW w:w="6340" w:type="dxa"/>
            <w:vAlign w:val="bottom"/>
          </w:tcPr>
          <w:p>
            <w:pPr>
              <w:spacing w:after="0"/>
              <w:rPr>
                <w:sz w:val="15"/>
                <w:szCs w:val="15"/>
                <w:color w:val="auto"/>
              </w:rPr>
            </w:pPr>
          </w:p>
        </w:tc>
        <w:tc>
          <w:tcPr>
            <w:tcW w:w="14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4"/>
        </w:trPr>
        <w:tc>
          <w:tcPr>
            <w:tcW w:w="634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2"/>
        </w:trPr>
        <w:tc>
          <w:tcPr>
            <w:tcW w:w="6340" w:type="dxa"/>
            <w:vAlign w:val="bottom"/>
          </w:tcPr>
          <w:p>
            <w:pPr>
              <w:ind w:left="180"/>
              <w:spacing w:after="0"/>
              <w:rPr>
                <w:sz w:val="20"/>
                <w:szCs w:val="20"/>
                <w:color w:val="auto"/>
              </w:rPr>
            </w:pPr>
            <w:r>
              <w:rPr>
                <w:rFonts w:ascii="Courier New" w:cs="Courier New" w:eastAsia="Courier New" w:hAnsi="Courier New"/>
                <w:sz w:val="16"/>
                <w:szCs w:val="16"/>
                <w:color w:val="auto"/>
              </w:rPr>
              <w:t>Net income</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$ 10,639</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$ 26,272</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Adjustments to reconcile net income</w:t>
            </w: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to net cash from operating activities:</w:t>
            </w: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6340" w:type="dxa"/>
            <w:vAlign w:val="bottom"/>
          </w:tcPr>
          <w:p>
            <w:pPr>
              <w:ind w:left="180"/>
              <w:spacing w:after="0"/>
              <w:rPr>
                <w:sz w:val="20"/>
                <w:szCs w:val="20"/>
                <w:color w:val="auto"/>
              </w:rPr>
            </w:pPr>
            <w:r>
              <w:rPr>
                <w:rFonts w:ascii="Courier New" w:cs="Courier New" w:eastAsia="Courier New" w:hAnsi="Courier New"/>
                <w:sz w:val="16"/>
                <w:szCs w:val="16"/>
                <w:color w:val="auto"/>
              </w:rPr>
              <w:t>Depreciation and amortization</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7,173</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6,166</w:t>
            </w:r>
          </w:p>
        </w:tc>
      </w:tr>
      <w:tr>
        <w:trPr>
          <w:trHeight w:val="182"/>
        </w:trPr>
        <w:tc>
          <w:tcPr>
            <w:tcW w:w="6340" w:type="dxa"/>
            <w:vAlign w:val="bottom"/>
          </w:tcPr>
          <w:p>
            <w:pPr>
              <w:ind w:left="180"/>
              <w:spacing w:after="0"/>
              <w:rPr>
                <w:sz w:val="20"/>
                <w:szCs w:val="20"/>
                <w:color w:val="auto"/>
              </w:rPr>
            </w:pPr>
            <w:r>
              <w:rPr>
                <w:rFonts w:ascii="Courier New" w:cs="Courier New" w:eastAsia="Courier New" w:hAnsi="Courier New"/>
                <w:sz w:val="16"/>
                <w:szCs w:val="16"/>
                <w:color w:val="auto"/>
              </w:rPr>
              <w:t>Deferred income taxes</w:t>
            </w:r>
          </w:p>
        </w:tc>
        <w:tc>
          <w:tcPr>
            <w:tcW w:w="14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(6,000)</w:t>
            </w:r>
          </w:p>
        </w:tc>
      </w:tr>
      <w:tr>
        <w:trPr>
          <w:trHeight w:val="182"/>
        </w:trPr>
        <w:tc>
          <w:tcPr>
            <w:tcW w:w="6340" w:type="dxa"/>
            <w:vAlign w:val="bottom"/>
          </w:tcPr>
          <w:p>
            <w:pPr>
              <w:ind w:left="180"/>
              <w:spacing w:after="0"/>
              <w:rPr>
                <w:sz w:val="20"/>
                <w:szCs w:val="20"/>
                <w:color w:val="auto"/>
              </w:rPr>
            </w:pPr>
            <w:r>
              <w:rPr>
                <w:rFonts w:ascii="Courier New" w:cs="Courier New" w:eastAsia="Courier New" w:hAnsi="Courier New"/>
                <w:sz w:val="16"/>
                <w:szCs w:val="16"/>
                <w:color w:val="auto"/>
              </w:rPr>
              <w:t>Realized and unrealized gains on investments, net</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(381)</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(355)</w:t>
            </w:r>
          </w:p>
        </w:tc>
      </w:tr>
      <w:tr>
        <w:trPr>
          <w:trHeight w:val="182"/>
        </w:trPr>
        <w:tc>
          <w:tcPr>
            <w:tcW w:w="6340" w:type="dxa"/>
            <w:vAlign w:val="bottom"/>
          </w:tcPr>
          <w:p>
            <w:pPr>
              <w:ind w:left="180"/>
              <w:spacing w:after="0"/>
              <w:rPr>
                <w:sz w:val="20"/>
                <w:szCs w:val="20"/>
                <w:color w:val="auto"/>
              </w:rPr>
            </w:pPr>
            <w:r>
              <w:rPr>
                <w:rFonts w:ascii="Courier New" w:cs="Courier New" w:eastAsia="Courier New" w:hAnsi="Courier New"/>
                <w:sz w:val="16"/>
                <w:szCs w:val="16"/>
                <w:color w:val="auto"/>
              </w:rPr>
              <w:t>Investments in trading securities</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(10,157)</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(3,135)</w:t>
            </w:r>
          </w:p>
        </w:tc>
      </w:tr>
      <w:tr>
        <w:trPr>
          <w:trHeight w:val="182"/>
        </w:trPr>
        <w:tc>
          <w:tcPr>
            <w:tcW w:w="6340" w:type="dxa"/>
            <w:vAlign w:val="bottom"/>
          </w:tcPr>
          <w:p>
            <w:pPr>
              <w:ind w:left="180"/>
              <w:spacing w:after="0"/>
              <w:rPr>
                <w:sz w:val="20"/>
                <w:szCs w:val="20"/>
                <w:color w:val="auto"/>
              </w:rPr>
            </w:pPr>
            <w:r>
              <w:rPr>
                <w:rFonts w:ascii="Courier New" w:cs="Courier New" w:eastAsia="Courier New" w:hAnsi="Courier New"/>
                <w:sz w:val="16"/>
                <w:szCs w:val="16"/>
                <w:color w:val="auto"/>
              </w:rPr>
              <w:t>Proceeds from the sale of trading securities</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6,742</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4,168</w:t>
            </w:r>
          </w:p>
        </w:tc>
      </w:tr>
      <w:tr>
        <w:trPr>
          <w:trHeight w:val="182"/>
        </w:trPr>
        <w:tc>
          <w:tcPr>
            <w:tcW w:w="6340" w:type="dxa"/>
            <w:vAlign w:val="bottom"/>
          </w:tcPr>
          <w:p>
            <w:pPr>
              <w:ind w:left="180"/>
              <w:spacing w:after="0"/>
              <w:rPr>
                <w:sz w:val="20"/>
                <w:szCs w:val="20"/>
                <w:color w:val="auto"/>
              </w:rPr>
            </w:pPr>
            <w:r>
              <w:rPr>
                <w:rFonts w:ascii="Courier New" w:cs="Courier New" w:eastAsia="Courier New" w:hAnsi="Courier New"/>
                <w:sz w:val="16"/>
                <w:szCs w:val="16"/>
                <w:color w:val="auto"/>
              </w:rPr>
              <w:t>Minority shareholders' portion of consolidated</w:t>
            </w: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subsidiary's net income</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117</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w:t>
            </w:r>
          </w:p>
        </w:tc>
      </w:tr>
      <w:tr>
        <w:trPr>
          <w:trHeight w:val="182"/>
        </w:trPr>
        <w:tc>
          <w:tcPr>
            <w:tcW w:w="634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216</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819</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Change in assets and liabilities:</w:t>
            </w: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6340" w:type="dxa"/>
            <w:vAlign w:val="bottom"/>
          </w:tcPr>
          <w:p>
            <w:pPr>
              <w:ind w:left="180"/>
              <w:spacing w:after="0"/>
              <w:rPr>
                <w:sz w:val="20"/>
                <w:szCs w:val="20"/>
                <w:color w:val="auto"/>
              </w:rPr>
            </w:pPr>
            <w:r>
              <w:rPr>
                <w:rFonts w:ascii="Courier New" w:cs="Courier New" w:eastAsia="Courier New" w:hAnsi="Courier New"/>
                <w:sz w:val="16"/>
                <w:szCs w:val="16"/>
                <w:color w:val="auto"/>
              </w:rPr>
              <w:t>Decrease in accounts receivable</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2,939</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1,267</w:t>
            </w:r>
          </w:p>
        </w:tc>
      </w:tr>
      <w:tr>
        <w:trPr>
          <w:trHeight w:val="182"/>
        </w:trPr>
        <w:tc>
          <w:tcPr>
            <w:tcW w:w="6340" w:type="dxa"/>
            <w:vAlign w:val="bottom"/>
          </w:tcPr>
          <w:p>
            <w:pPr>
              <w:ind w:left="180"/>
              <w:spacing w:after="0"/>
              <w:rPr>
                <w:sz w:val="20"/>
                <w:szCs w:val="20"/>
                <w:color w:val="auto"/>
              </w:rPr>
            </w:pPr>
            <w:r>
              <w:rPr>
                <w:rFonts w:ascii="Courier New" w:cs="Courier New" w:eastAsia="Courier New" w:hAnsi="Courier New"/>
                <w:sz w:val="16"/>
                <w:szCs w:val="16"/>
                <w:color w:val="auto"/>
              </w:rPr>
              <w:t>Increase in inventories</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(2,308)</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(12,939)</w:t>
            </w:r>
          </w:p>
        </w:tc>
      </w:tr>
      <w:tr>
        <w:trPr>
          <w:trHeight w:val="182"/>
        </w:trPr>
        <w:tc>
          <w:tcPr>
            <w:tcW w:w="6340" w:type="dxa"/>
            <w:vAlign w:val="bottom"/>
          </w:tcPr>
          <w:p>
            <w:pPr>
              <w:ind w:left="180"/>
              <w:spacing w:after="0"/>
              <w:rPr>
                <w:sz w:val="20"/>
                <w:szCs w:val="20"/>
                <w:color w:val="auto"/>
              </w:rPr>
            </w:pPr>
            <w:r>
              <w:rPr>
                <w:rFonts w:ascii="Courier New" w:cs="Courier New" w:eastAsia="Courier New" w:hAnsi="Courier New"/>
                <w:sz w:val="16"/>
                <w:szCs w:val="16"/>
                <w:color w:val="auto"/>
              </w:rPr>
              <w:t>Increase in accounts payable and accrued expenses</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5,582</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1,222</w:t>
            </w:r>
          </w:p>
        </w:tc>
      </w:tr>
      <w:tr>
        <w:trPr>
          <w:trHeight w:val="182"/>
        </w:trPr>
        <w:tc>
          <w:tcPr>
            <w:tcW w:w="6340" w:type="dxa"/>
            <w:vAlign w:val="bottom"/>
          </w:tcPr>
          <w:p>
            <w:pPr>
              <w:ind w:left="180"/>
              <w:spacing w:after="0"/>
              <w:rPr>
                <w:sz w:val="20"/>
                <w:szCs w:val="20"/>
                <w:color w:val="auto"/>
              </w:rPr>
            </w:pPr>
            <w:r>
              <w:rPr>
                <w:rFonts w:ascii="Courier New" w:cs="Courier New" w:eastAsia="Courier New" w:hAnsi="Courier New"/>
                <w:sz w:val="16"/>
                <w:szCs w:val="16"/>
                <w:color w:val="auto"/>
              </w:rPr>
              <w:t>Increase in postretirement benefits</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2,460</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1,421</w:t>
            </w:r>
          </w:p>
        </w:tc>
      </w:tr>
      <w:tr>
        <w:trPr>
          <w:trHeight w:val="182"/>
        </w:trPr>
        <w:tc>
          <w:tcPr>
            <w:tcW w:w="634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1,479</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(6,443)</w:t>
            </w:r>
          </w:p>
        </w:tc>
      </w:tr>
      <w:tr>
        <w:trPr>
          <w:trHeight w:val="182"/>
        </w:trPr>
        <w:tc>
          <w:tcPr>
            <w:tcW w:w="6340" w:type="dxa"/>
            <w:vAlign w:val="bottom"/>
          </w:tcPr>
          <w:p>
            <w:pPr>
              <w:spacing w:after="0"/>
              <w:rPr>
                <w:sz w:val="15"/>
                <w:szCs w:val="15"/>
                <w:color w:val="auto"/>
              </w:rPr>
            </w:pP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Net cash provided by operating activities</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24,501</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12,501</w:t>
            </w:r>
          </w:p>
        </w:tc>
      </w:tr>
      <w:tr>
        <w:trPr>
          <w:trHeight w:val="182"/>
        </w:trPr>
        <w:tc>
          <w:tcPr>
            <w:tcW w:w="6340" w:type="dxa"/>
            <w:vAlign w:val="bottom"/>
          </w:tcPr>
          <w:p>
            <w:pPr>
              <w:spacing w:after="0"/>
              <w:rPr>
                <w:sz w:val="15"/>
                <w:szCs w:val="15"/>
                <w:color w:val="auto"/>
              </w:rPr>
            </w:pP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6340" w:type="dxa"/>
            <w:vAlign w:val="bottom"/>
          </w:tcPr>
          <w:p>
            <w:pPr>
              <w:spacing w:after="0"/>
              <w:rPr>
                <w:sz w:val="20"/>
                <w:szCs w:val="20"/>
                <w:color w:val="auto"/>
              </w:rPr>
            </w:pPr>
            <w:r>
              <w:rPr>
                <w:rFonts w:ascii="Courier New" w:cs="Courier New" w:eastAsia="Courier New" w:hAnsi="Courier New"/>
                <w:sz w:val="16"/>
                <w:szCs w:val="16"/>
                <w:color w:val="auto"/>
              </w:rPr>
              <w:t>Cash flows used by investing activities:</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2"/>
        </w:trPr>
        <w:tc>
          <w:tcPr>
            <w:tcW w:w="6340" w:type="dxa"/>
            <w:vAlign w:val="bottom"/>
          </w:tcPr>
          <w:p>
            <w:pPr>
              <w:ind w:left="180"/>
              <w:spacing w:after="0"/>
              <w:rPr>
                <w:sz w:val="20"/>
                <w:szCs w:val="20"/>
                <w:color w:val="auto"/>
              </w:rPr>
            </w:pPr>
            <w:r>
              <w:rPr>
                <w:rFonts w:ascii="Courier New" w:cs="Courier New" w:eastAsia="Courier New" w:hAnsi="Courier New"/>
                <w:sz w:val="16"/>
                <w:szCs w:val="16"/>
                <w:color w:val="auto"/>
              </w:rPr>
              <w:t>Purchases of property and equipment</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(6,693)</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(8,216)</w:t>
            </w:r>
          </w:p>
        </w:tc>
      </w:tr>
      <w:tr>
        <w:trPr>
          <w:trHeight w:val="182"/>
        </w:trPr>
        <w:tc>
          <w:tcPr>
            <w:tcW w:w="6340" w:type="dxa"/>
            <w:vAlign w:val="bottom"/>
          </w:tcPr>
          <w:p>
            <w:pPr>
              <w:ind w:left="180"/>
              <w:spacing w:after="0"/>
              <w:rPr>
                <w:sz w:val="20"/>
                <w:szCs w:val="20"/>
                <w:color w:val="auto"/>
              </w:rPr>
            </w:pPr>
            <w:r>
              <w:rPr>
                <w:rFonts w:ascii="Courier New" w:cs="Courier New" w:eastAsia="Courier New" w:hAnsi="Courier New"/>
                <w:sz w:val="16"/>
                <w:szCs w:val="16"/>
                <w:color w:val="auto"/>
              </w:rPr>
              <w:t>Investments in dealer receivables</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(32,822)</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(25,607)</w:t>
            </w:r>
          </w:p>
        </w:tc>
      </w:tr>
      <w:tr>
        <w:trPr>
          <w:trHeight w:val="182"/>
        </w:trPr>
        <w:tc>
          <w:tcPr>
            <w:tcW w:w="6340" w:type="dxa"/>
            <w:vAlign w:val="bottom"/>
          </w:tcPr>
          <w:p>
            <w:pPr>
              <w:ind w:left="180"/>
              <w:spacing w:after="0"/>
              <w:rPr>
                <w:sz w:val="20"/>
                <w:szCs w:val="20"/>
                <w:color w:val="auto"/>
              </w:rPr>
            </w:pPr>
            <w:r>
              <w:rPr>
                <w:rFonts w:ascii="Courier New" w:cs="Courier New" w:eastAsia="Courier New" w:hAnsi="Courier New"/>
                <w:sz w:val="16"/>
                <w:szCs w:val="16"/>
                <w:color w:val="auto"/>
              </w:rPr>
              <w:t>Collections of dealer receivables</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29,775</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25,474</w:t>
            </w:r>
          </w:p>
        </w:tc>
      </w:tr>
      <w:tr>
        <w:trPr>
          <w:trHeight w:val="182"/>
        </w:trPr>
        <w:tc>
          <w:tcPr>
            <w:tcW w:w="634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(2,030)</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(8,860)</w:t>
            </w:r>
          </w:p>
        </w:tc>
      </w:tr>
      <w:tr>
        <w:trPr>
          <w:trHeight w:val="182"/>
        </w:trPr>
        <w:tc>
          <w:tcPr>
            <w:tcW w:w="6340" w:type="dxa"/>
            <w:vAlign w:val="bottom"/>
          </w:tcPr>
          <w:p>
            <w:pPr>
              <w:spacing w:after="0"/>
              <w:rPr>
                <w:sz w:val="15"/>
                <w:szCs w:val="15"/>
                <w:color w:val="auto"/>
              </w:rPr>
            </w:pP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Net cash used by investing activities</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(11,770)</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(17,209)</w:t>
            </w:r>
          </w:p>
        </w:tc>
      </w:tr>
      <w:tr>
        <w:trPr>
          <w:trHeight w:val="182"/>
        </w:trPr>
        <w:tc>
          <w:tcPr>
            <w:tcW w:w="6340" w:type="dxa"/>
            <w:vAlign w:val="bottom"/>
          </w:tcPr>
          <w:p>
            <w:pPr>
              <w:spacing w:after="0"/>
              <w:rPr>
                <w:sz w:val="15"/>
                <w:szCs w:val="15"/>
                <w:color w:val="auto"/>
              </w:rPr>
            </w:pP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6340" w:type="dxa"/>
            <w:vAlign w:val="bottom"/>
          </w:tcPr>
          <w:p>
            <w:pPr>
              <w:spacing w:after="0"/>
              <w:rPr>
                <w:sz w:val="20"/>
                <w:szCs w:val="20"/>
                <w:color w:val="auto"/>
              </w:rPr>
            </w:pPr>
            <w:r>
              <w:rPr>
                <w:rFonts w:ascii="Courier New" w:cs="Courier New" w:eastAsia="Courier New" w:hAnsi="Courier New"/>
                <w:sz w:val="16"/>
                <w:szCs w:val="16"/>
                <w:color w:val="auto"/>
              </w:rPr>
              <w:t>Cash flows used by financing activities and capital transactions:</w:t>
            </w: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2"/>
        </w:trPr>
        <w:tc>
          <w:tcPr>
            <w:tcW w:w="6340" w:type="dxa"/>
            <w:vAlign w:val="bottom"/>
          </w:tcPr>
          <w:p>
            <w:pPr>
              <w:ind w:left="180"/>
              <w:spacing w:after="0"/>
              <w:rPr>
                <w:sz w:val="20"/>
                <w:szCs w:val="20"/>
                <w:color w:val="auto"/>
              </w:rPr>
            </w:pPr>
            <w:r>
              <w:rPr>
                <w:rFonts w:ascii="Courier New" w:cs="Courier New" w:eastAsia="Courier New" w:hAnsi="Courier New"/>
                <w:sz w:val="16"/>
                <w:szCs w:val="16"/>
                <w:color w:val="auto"/>
              </w:rPr>
              <w:t>Payments of long-term debt and capital leases</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(3,128)</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(1,399)</w:t>
            </w:r>
          </w:p>
        </w:tc>
      </w:tr>
      <w:tr>
        <w:trPr>
          <w:trHeight w:val="182"/>
        </w:trPr>
        <w:tc>
          <w:tcPr>
            <w:tcW w:w="6340" w:type="dxa"/>
            <w:vAlign w:val="bottom"/>
          </w:tcPr>
          <w:p>
            <w:pPr>
              <w:ind w:left="180"/>
              <w:spacing w:after="0"/>
              <w:rPr>
                <w:sz w:val="20"/>
                <w:szCs w:val="20"/>
                <w:color w:val="auto"/>
              </w:rPr>
            </w:pPr>
            <w:r>
              <w:rPr>
                <w:rFonts w:ascii="Courier New" w:cs="Courier New" w:eastAsia="Courier New" w:hAnsi="Courier New"/>
                <w:sz w:val="16"/>
                <w:szCs w:val="16"/>
                <w:color w:val="auto"/>
              </w:rPr>
              <w:t>Payments of cash dividends</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(5,070)</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(5,052)</w:t>
            </w:r>
          </w:p>
        </w:tc>
      </w:tr>
      <w:tr>
        <w:trPr>
          <w:trHeight w:val="182"/>
        </w:trPr>
        <w:tc>
          <w:tcPr>
            <w:tcW w:w="6340" w:type="dxa"/>
            <w:vAlign w:val="bottom"/>
          </w:tcPr>
          <w:p>
            <w:pPr>
              <w:ind w:left="180"/>
              <w:spacing w:after="0"/>
              <w:rPr>
                <w:sz w:val="20"/>
                <w:szCs w:val="20"/>
                <w:color w:val="auto"/>
              </w:rPr>
            </w:pPr>
            <w:r>
              <w:rPr>
                <w:rFonts w:ascii="Courier New" w:cs="Courier New" w:eastAsia="Courier New" w:hAnsi="Courier New"/>
                <w:sz w:val="16"/>
                <w:szCs w:val="16"/>
                <w:color w:val="auto"/>
              </w:rPr>
              <w:t>Proceeds from issuance of long-term debt</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1,000</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11,879</w:t>
            </w:r>
          </w:p>
        </w:tc>
      </w:tr>
      <w:tr>
        <w:trPr>
          <w:trHeight w:val="182"/>
        </w:trPr>
        <w:tc>
          <w:tcPr>
            <w:tcW w:w="634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261</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551</w:t>
            </w:r>
          </w:p>
        </w:tc>
      </w:tr>
      <w:tr>
        <w:trPr>
          <w:trHeight w:val="182"/>
        </w:trPr>
        <w:tc>
          <w:tcPr>
            <w:tcW w:w="6340" w:type="dxa"/>
            <w:vAlign w:val="bottom"/>
          </w:tcPr>
          <w:p>
            <w:pPr>
              <w:spacing w:after="0"/>
              <w:rPr>
                <w:sz w:val="15"/>
                <w:szCs w:val="15"/>
                <w:color w:val="auto"/>
              </w:rPr>
            </w:pP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Net cash (used) provided by financing activities and</w:t>
            </w:r>
          </w:p>
        </w:tc>
        <w:tc>
          <w:tcPr>
            <w:tcW w:w="14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2"/>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capital transactions</w:t>
            </w:r>
          </w:p>
        </w:tc>
        <w:tc>
          <w:tcPr>
            <w:tcW w:w="142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(6,937)</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5,979</w:t>
            </w:r>
          </w:p>
        </w:tc>
      </w:tr>
      <w:tr>
        <w:trPr>
          <w:trHeight w:val="182"/>
        </w:trPr>
        <w:tc>
          <w:tcPr>
            <w:tcW w:w="6340" w:type="dxa"/>
            <w:vAlign w:val="bottom"/>
          </w:tcPr>
          <w:p>
            <w:pPr>
              <w:spacing w:after="0"/>
              <w:rPr>
                <w:sz w:val="15"/>
                <w:szCs w:val="15"/>
                <w:color w:val="auto"/>
              </w:rPr>
            </w:pP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Net increase in cash and cash equivalents</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5,794</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1,271</w:t>
            </w:r>
          </w:p>
        </w:tc>
      </w:tr>
      <w:tr>
        <w:trPr>
          <w:trHeight w:val="364"/>
        </w:trPr>
        <w:tc>
          <w:tcPr>
            <w:tcW w:w="6340" w:type="dxa"/>
            <w:vAlign w:val="bottom"/>
          </w:tcPr>
          <w:p>
            <w:pPr>
              <w:spacing w:after="0"/>
              <w:rPr>
                <w:sz w:val="20"/>
                <w:szCs w:val="20"/>
                <w:color w:val="auto"/>
              </w:rPr>
            </w:pPr>
            <w:r>
              <w:rPr>
                <w:rFonts w:ascii="Courier New" w:cs="Courier New" w:eastAsia="Courier New" w:hAnsi="Courier New"/>
                <w:sz w:val="16"/>
                <w:szCs w:val="16"/>
                <w:color w:val="auto"/>
              </w:rPr>
              <w:t>Cash and cash equivalents - beginning of period</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8,881</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847</w:t>
            </w:r>
          </w:p>
        </w:tc>
      </w:tr>
      <w:tr>
        <w:trPr>
          <w:trHeight w:val="182"/>
        </w:trPr>
        <w:tc>
          <w:tcPr>
            <w:tcW w:w="6340" w:type="dxa"/>
            <w:vAlign w:val="bottom"/>
          </w:tcPr>
          <w:p>
            <w:pPr>
              <w:spacing w:after="0"/>
              <w:rPr>
                <w:sz w:val="15"/>
                <w:szCs w:val="15"/>
                <w:color w:val="auto"/>
              </w:rPr>
            </w:pP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r>
        <w:trPr>
          <w:trHeight w:val="364"/>
        </w:trPr>
        <w:tc>
          <w:tcPr>
            <w:tcW w:w="6340" w:type="dxa"/>
            <w:vAlign w:val="bottom"/>
          </w:tcPr>
          <w:p>
            <w:pPr>
              <w:spacing w:after="0"/>
              <w:rPr>
                <w:sz w:val="20"/>
                <w:szCs w:val="20"/>
                <w:color w:val="auto"/>
              </w:rPr>
            </w:pPr>
            <w:r>
              <w:rPr>
                <w:rFonts w:ascii="Courier New" w:cs="Courier New" w:eastAsia="Courier New" w:hAnsi="Courier New"/>
                <w:sz w:val="16"/>
                <w:szCs w:val="16"/>
                <w:color w:val="auto"/>
              </w:rPr>
              <w:t>Cash and cash equivalents - end of period</w:t>
            </w: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$ 14,675</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2,118</w:t>
            </w:r>
          </w:p>
        </w:tc>
      </w:tr>
      <w:tr>
        <w:trPr>
          <w:trHeight w:val="182"/>
        </w:trPr>
        <w:tc>
          <w:tcPr>
            <w:tcW w:w="6340" w:type="dxa"/>
            <w:vAlign w:val="bottom"/>
          </w:tcPr>
          <w:p>
            <w:pPr>
              <w:spacing w:after="0"/>
              <w:rPr>
                <w:sz w:val="15"/>
                <w:szCs w:val="15"/>
                <w:color w:val="auto"/>
              </w:rPr>
            </w:pPr>
          </w:p>
        </w:tc>
        <w:tc>
          <w:tcPr>
            <w:tcW w:w="14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r>
    </w:tbl>
    <w:p>
      <w:pPr>
        <w:spacing w:after="0" w:line="364"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SEE UNAUDITED CONDENSED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WINNEBAGO INDUSTRIES, INC. AND SUBSIDIARIES</w:t>
      </w:r>
    </w:p>
    <w:p>
      <w:pPr>
        <w:spacing w:after="0" w:line="1"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UNAUDITED CONDENSED NOTES TO CONSOLIDATED FINANCIAL STATEMENTS</w:t>
      </w:r>
    </w:p>
    <w:p>
      <w:pPr>
        <w:spacing w:after="0" w:line="186" w:lineRule="exact"/>
        <w:rPr>
          <w:sz w:val="20"/>
          <w:szCs w:val="20"/>
          <w:color w:val="auto"/>
        </w:rPr>
      </w:pPr>
    </w:p>
    <w:p>
      <w:pPr>
        <w:ind w:left="663" w:right="2839" w:hanging="663"/>
        <w:spacing w:after="0" w:line="258" w:lineRule="auto"/>
        <w:tabs>
          <w:tab w:leader="none" w:pos="66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opinion of management, the accompanying unaudited consolidated condensed financial statements contain all adjustments, consisting of normal recurring accruals, necessary to present fairly the consolidated financial position as of June 1, 1996, the consolidated results of operations for the 40 and 13 weeks ended June 1, 1996 and the 39 and 13 weeks ended May 27, 1995, and the consolidated cash flows for the 40 weeks ended June 1, 1996 and the 39 weeks ended May 27, 1995.</w:t>
      </w:r>
    </w:p>
    <w:p>
      <w:pPr>
        <w:spacing w:after="0" w:line="176" w:lineRule="exact"/>
        <w:rPr>
          <w:rFonts w:ascii="Courier New" w:cs="Courier New" w:eastAsia="Courier New" w:hAnsi="Courier New"/>
          <w:sz w:val="15"/>
          <w:szCs w:val="15"/>
          <w:color w:val="auto"/>
        </w:rPr>
      </w:pPr>
    </w:p>
    <w:p>
      <w:pPr>
        <w:ind w:left="663" w:right="2839" w:hanging="663"/>
        <w:spacing w:after="0" w:line="239" w:lineRule="auto"/>
        <w:tabs>
          <w:tab w:leader="none" w:pos="66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results of operations for the 40 weeks ended June 1, 1996, are not necessarily indicative of the results to be expected for the full year. Service revenues, in the Consolidated Statements of Operations, consist of revenues generated by Cycle-Sat, Inc. (Cycle-Sat) and Winnebago Acceptance Corporation (WAC), subsidiaries of the Company.</w:t>
      </w:r>
    </w:p>
    <w:p>
      <w:pPr>
        <w:spacing w:after="0" w:line="188" w:lineRule="exact"/>
        <w:rPr>
          <w:rFonts w:ascii="Courier New" w:cs="Courier New" w:eastAsia="Courier New" w:hAnsi="Courier New"/>
          <w:sz w:val="16"/>
          <w:szCs w:val="16"/>
          <w:color w:val="auto"/>
        </w:rPr>
      </w:pPr>
    </w:p>
    <w:p>
      <w:pPr>
        <w:ind w:left="663" w:right="2759" w:hanging="663"/>
        <w:spacing w:after="0" w:line="238" w:lineRule="auto"/>
        <w:tabs>
          <w:tab w:leader="none" w:pos="66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are valued at the lower of cost or market, with cost being determined under the last-in, first-out (LIFO) method and market defined as net realizable value.</w:t>
      </w:r>
    </w:p>
    <w:p>
      <w:pPr>
        <w:spacing w:after="0" w:line="184"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Inventories are composed of the following (dollars in thousands):</w:t>
      </w:r>
    </w:p>
    <w:p>
      <w:pPr>
        <w:spacing w:after="0" w:line="183" w:lineRule="exact"/>
        <w:rPr>
          <w:sz w:val="20"/>
          <w:szCs w:val="20"/>
          <w:color w:val="auto"/>
        </w:rPr>
      </w:pPr>
    </w:p>
    <w:tbl>
      <w:tblPr>
        <w:tblLayout w:type="fixed"/>
        <w:tblInd w:w="843" w:type="dxa"/>
        <w:tblCellMar>
          <w:top w:w="0" w:type="dxa"/>
          <w:left w:w="0" w:type="dxa"/>
          <w:bottom w:w="0" w:type="dxa"/>
          <w:right w:w="0" w:type="dxa"/>
        </w:tblCellMar>
      </w:tblPr>
      <w:tr>
        <w:trPr>
          <w:trHeight w:val="181"/>
        </w:trPr>
        <w:tc>
          <w:tcPr>
            <w:tcW w:w="2080" w:type="dxa"/>
            <w:vAlign w:val="bottom"/>
          </w:tcPr>
          <w:p>
            <w:pPr>
              <w:spacing w:after="0"/>
              <w:rPr>
                <w:sz w:val="15"/>
                <w:szCs w:val="15"/>
                <w:color w:val="auto"/>
              </w:rPr>
            </w:pP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June 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August 26,</w:t>
            </w:r>
          </w:p>
        </w:tc>
      </w:tr>
      <w:tr>
        <w:trPr>
          <w:trHeight w:val="182"/>
        </w:trPr>
        <w:tc>
          <w:tcPr>
            <w:tcW w:w="2080" w:type="dxa"/>
            <w:vAlign w:val="bottom"/>
          </w:tcPr>
          <w:p>
            <w:pPr>
              <w:spacing w:after="0"/>
              <w:rPr>
                <w:sz w:val="15"/>
                <w:szCs w:val="15"/>
                <w:color w:val="auto"/>
              </w:rPr>
            </w:pPr>
          </w:p>
        </w:tc>
        <w:tc>
          <w:tcPr>
            <w:tcW w:w="9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1996</w:t>
            </w:r>
          </w:p>
        </w:tc>
        <w:tc>
          <w:tcPr>
            <w:tcW w:w="10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1995</w:t>
            </w:r>
          </w:p>
        </w:tc>
      </w:tr>
      <w:tr>
        <w:trPr>
          <w:trHeight w:val="182"/>
        </w:trPr>
        <w:tc>
          <w:tcPr>
            <w:tcW w:w="2080" w:type="dxa"/>
            <w:vAlign w:val="bottom"/>
          </w:tcPr>
          <w:p>
            <w:pPr>
              <w:spacing w:after="0"/>
              <w:rPr>
                <w:sz w:val="15"/>
                <w:szCs w:val="15"/>
                <w:color w:val="auto"/>
              </w:rPr>
            </w:pP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364"/>
        </w:trPr>
        <w:tc>
          <w:tcPr>
            <w:tcW w:w="2080" w:type="dxa"/>
            <w:vAlign w:val="bottom"/>
          </w:tcPr>
          <w:p>
            <w:pPr>
              <w:spacing w:after="0"/>
              <w:rPr>
                <w:sz w:val="20"/>
                <w:szCs w:val="20"/>
                <w:color w:val="auto"/>
              </w:rPr>
            </w:pPr>
            <w:r>
              <w:rPr>
                <w:rFonts w:ascii="Courier New" w:cs="Courier New" w:eastAsia="Courier New" w:hAnsi="Courier New"/>
                <w:sz w:val="16"/>
                <w:szCs w:val="16"/>
                <w:color w:val="auto"/>
              </w:rPr>
              <w:t>Finished Goods .....</w:t>
            </w: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$20,741</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$19,855</w:t>
            </w:r>
          </w:p>
        </w:tc>
      </w:tr>
    </w:tbl>
    <w:p>
      <w:pPr>
        <w:sectPr>
          <w:pgSz w:w="11900" w:h="16838" w:orient="portrait"/>
          <w:cols w:equalWidth="0" w:num="1">
            <w:col w:w="10222"/>
          </w:cols>
          <w:pgMar w:left="237" w:top="501" w:right="1440" w:bottom="0" w:gutter="0" w:footer="0" w:header="0"/>
        </w:sectPr>
      </w:pPr>
    </w:p>
    <w:bookmarkStart w:id="4" w:name="page5"/>
    <w:bookmarkEnd w:id="4"/>
    <w:p>
      <w:pPr>
        <w:spacing w:after="0" w:line="48" w:lineRule="exact"/>
        <w:rPr>
          <w:sz w:val="20"/>
          <w:szCs w:val="20"/>
          <w:color w:val="auto"/>
        </w:rPr>
      </w:pPr>
    </w:p>
    <w:tbl>
      <w:tblPr>
        <w:tblLayout w:type="fixed"/>
        <w:tblInd w:w="843" w:type="dxa"/>
        <w:tblCellMar>
          <w:top w:w="0" w:type="dxa"/>
          <w:left w:w="0" w:type="dxa"/>
          <w:bottom w:w="0" w:type="dxa"/>
          <w:right w:w="0" w:type="dxa"/>
        </w:tblCellMar>
      </w:tblPr>
      <w:tr>
        <w:trPr>
          <w:trHeight w:val="181"/>
        </w:trPr>
        <w:tc>
          <w:tcPr>
            <w:tcW w:w="2080" w:type="dxa"/>
            <w:vAlign w:val="bottom"/>
          </w:tcPr>
          <w:p>
            <w:pPr>
              <w:spacing w:after="0"/>
              <w:rPr>
                <w:sz w:val="20"/>
                <w:szCs w:val="20"/>
                <w:color w:val="auto"/>
              </w:rPr>
            </w:pPr>
            <w:r>
              <w:rPr>
                <w:rFonts w:ascii="Courier New" w:cs="Courier New" w:eastAsia="Courier New" w:hAnsi="Courier New"/>
                <w:sz w:val="16"/>
                <w:szCs w:val="16"/>
                <w:color w:val="auto"/>
              </w:rPr>
              <w:t>Work In Process ....</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15,008</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14,223</w:t>
            </w:r>
          </w:p>
        </w:tc>
      </w:tr>
      <w:tr>
        <w:trPr>
          <w:trHeight w:val="364"/>
        </w:trPr>
        <w:tc>
          <w:tcPr>
            <w:tcW w:w="2080" w:type="dxa"/>
            <w:vAlign w:val="bottom"/>
          </w:tcPr>
          <w:p>
            <w:pPr>
              <w:spacing w:after="0"/>
              <w:rPr>
                <w:sz w:val="20"/>
                <w:szCs w:val="20"/>
                <w:color w:val="auto"/>
              </w:rPr>
            </w:pPr>
            <w:r>
              <w:rPr>
                <w:rFonts w:ascii="Courier New" w:cs="Courier New" w:eastAsia="Courier New" w:hAnsi="Courier New"/>
                <w:sz w:val="16"/>
                <w:szCs w:val="16"/>
                <w:color w:val="auto"/>
              </w:rPr>
              <w:t>Raw Materials ......</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36,446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34,704</w:t>
            </w:r>
          </w:p>
        </w:tc>
      </w:tr>
      <w:tr>
        <w:trPr>
          <w:trHeight w:val="182"/>
        </w:trPr>
        <w:tc>
          <w:tcPr>
            <w:tcW w:w="20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0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72,195</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68,782</w:t>
            </w:r>
          </w:p>
        </w:tc>
      </w:tr>
      <w:tr>
        <w:trPr>
          <w:trHeight w:val="182"/>
        </w:trPr>
        <w:tc>
          <w:tcPr>
            <w:tcW w:w="2080" w:type="dxa"/>
            <w:vAlign w:val="bottom"/>
          </w:tcPr>
          <w:p>
            <w:pPr>
              <w:spacing w:after="0"/>
              <w:rPr>
                <w:sz w:val="20"/>
                <w:szCs w:val="20"/>
                <w:color w:val="auto"/>
              </w:rPr>
            </w:pPr>
            <w:r>
              <w:rPr>
                <w:rFonts w:ascii="Courier New" w:cs="Courier New" w:eastAsia="Courier New" w:hAnsi="Courier New"/>
                <w:sz w:val="16"/>
                <w:szCs w:val="16"/>
                <w:color w:val="auto"/>
              </w:rPr>
              <w:t>LIFO Reserve .......</w:t>
            </w: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16,366</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15,621</w:t>
            </w:r>
          </w:p>
        </w:tc>
      </w:tr>
      <w:tr>
        <w:trPr>
          <w:trHeight w:val="182"/>
        </w:trPr>
        <w:tc>
          <w:tcPr>
            <w:tcW w:w="20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2"/>
        </w:trPr>
        <w:tc>
          <w:tcPr>
            <w:tcW w:w="20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$55,829</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$53,161</w:t>
            </w:r>
          </w:p>
        </w:tc>
      </w:tr>
      <w:tr>
        <w:trPr>
          <w:trHeight w:val="182"/>
        </w:trPr>
        <w:tc>
          <w:tcPr>
            <w:tcW w:w="2080" w:type="dxa"/>
            <w:vAlign w:val="bottom"/>
          </w:tcPr>
          <w:p>
            <w:pPr>
              <w:spacing w:after="0"/>
              <w:rPr>
                <w:sz w:val="15"/>
                <w:szCs w:val="15"/>
                <w:color w:val="auto"/>
              </w:rPr>
            </w:pPr>
          </w:p>
        </w:tc>
        <w:tc>
          <w:tcPr>
            <w:tcW w:w="10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ind w:left="663" w:right="2759" w:hanging="663"/>
        <w:spacing w:after="0" w:line="267" w:lineRule="auto"/>
        <w:tabs>
          <w:tab w:leader="none" w:pos="66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Since March 1992, the Company has had a financing and security agreement with NationsCredit Corporation (NationsCredit) a NationsBank Company.</w:t>
      </w:r>
    </w:p>
    <w:p>
      <w:pPr>
        <w:spacing w:after="0" w:line="167" w:lineRule="exact"/>
        <w:rPr>
          <w:rFonts w:ascii="Courier New" w:cs="Courier New" w:eastAsia="Courier New" w:hAnsi="Courier New"/>
          <w:sz w:val="15"/>
          <w:szCs w:val="15"/>
          <w:color w:val="auto"/>
        </w:rPr>
      </w:pPr>
    </w:p>
    <w:p>
      <w:pPr>
        <w:ind w:left="663" w:right="2659"/>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Terms of the agreement limit borrowings to the lesser of $30,000,000 or 75 percent of eligible inventory (fully manufactured recreation vehicles and motor home chassis and related components). Borrowings are secured by the Company's receivables and inventory. Borrowings pursuant to the agreement bear interest at the prime rate, as defined in the agreement, plus 50 basis points. The line of credit is available through March 31, 1997, and continues during successive one-year periods unless either party provides at least 90-days notice prior to the end of the one-year period to the other party that they wish to terminate the line of credit. The agreement also contains certain covenants including maintenance of minimum net worth, working capital and current ratio. As of June 1, 1996, the Company was in compliance with these covenants. There were no outstanding borrowings under the line of credit at June 1, 1996 or August 26, 1995.</w:t>
      </w:r>
    </w:p>
    <w:p>
      <w:pPr>
        <w:spacing w:after="0" w:line="190" w:lineRule="exact"/>
        <w:rPr>
          <w:rFonts w:ascii="Courier New" w:cs="Courier New" w:eastAsia="Courier New" w:hAnsi="Courier New"/>
          <w:sz w:val="15"/>
          <w:szCs w:val="15"/>
          <w:color w:val="auto"/>
        </w:rPr>
      </w:pPr>
    </w:p>
    <w:p>
      <w:pPr>
        <w:ind w:left="663" w:right="2759"/>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The Company and Cycle-Sat maintain a line of credit with Firstar Bank Cedar Rapids (Firstar). Terms of the agreement limit the amount advanced to the lesser of $4,500,000 or the sum of 80 percent of Cycle-Sat's eligible accounts receivable and 50 percent of its inventory. Borrowings pursuant to the agreement bear interest at the 90-day LIBOR rate, plus 150 basis points (7.4 percent per annum at June 1, 1996 and August 26, 1995). The agreement contains certain restrictive covenants. Borrowings under the line of credit are secured by Cycle-Sat's accounts receivable and inventories and have been guaranteed by the Company. The line of credit expires January 31, 1997. The outstanding balance under the line of credit was $4,215,000 at June 1, 1996 and $4,000,000 at August 26, 1995. As of June 1, 1996, Cycle-Sat had exceeded the available borrowing limit by $356,000 which constitutes an event of default under the agreement.</w:t>
      </w:r>
    </w:p>
    <w:p>
      <w:pPr>
        <w:spacing w:after="0" w:line="190" w:lineRule="exact"/>
        <w:rPr>
          <w:rFonts w:ascii="Courier New" w:cs="Courier New" w:eastAsia="Courier New" w:hAnsi="Courier New"/>
          <w:sz w:val="15"/>
          <w:szCs w:val="15"/>
          <w:color w:val="auto"/>
        </w:rPr>
      </w:pPr>
    </w:p>
    <w:p>
      <w:pPr>
        <w:ind w:left="663" w:right="2659" w:hanging="663"/>
        <w:spacing w:after="0"/>
        <w:tabs>
          <w:tab w:leader="none" w:pos="6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customary practice for companies in the recreation vehicle industry to enter into repurchase agreements with lending institutions which have provided wholesale floor plan financing to dealers. The Company's agreements provide for the repurchase of its products from the financing institution in the event of repossession upon a dealer's default. The Company was contingently liable for approximately $142,270,000 and $120,487,000 under repurchase agreements with lending institutions as of June 1, 1996, and August 26, 1995, respectively. Included in these contingent liabilities are approximately $34,672,000 and $37,616,000, respectively, of certain dealer receivables subject to recourse agreements with NationsCredit and John Deere Credit, Inc.</w:t>
      </w:r>
    </w:p>
    <w:p>
      <w:pPr>
        <w:spacing w:after="0" w:line="188" w:lineRule="exact"/>
        <w:rPr>
          <w:rFonts w:ascii="Courier New" w:cs="Courier New" w:eastAsia="Courier New" w:hAnsi="Courier New"/>
          <w:sz w:val="16"/>
          <w:szCs w:val="16"/>
          <w:color w:val="auto"/>
        </w:rPr>
      </w:pPr>
    </w:p>
    <w:p>
      <w:pPr>
        <w:ind w:left="663" w:right="2839" w:hanging="663"/>
        <w:spacing w:after="0" w:line="237" w:lineRule="auto"/>
        <w:tabs>
          <w:tab w:leader="none" w:pos="6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40 weeks ended June 1, 1996 and the 39 weeks ended May 27, 1995 the Company paid cash for the following (dollars in thousands):</w:t>
      </w:r>
    </w:p>
    <w:p>
      <w:pPr>
        <w:sectPr>
          <w:pgSz w:w="11900" w:h="16886" w:orient="portrait"/>
          <w:cols w:equalWidth="0" w:num="1">
            <w:col w:w="10222"/>
          </w:cols>
          <w:pgMar w:left="237" w:top="13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3"/>
        <w:spacing w:after="0"/>
        <w:rPr>
          <w:sz w:val="20"/>
          <w:szCs w:val="20"/>
          <w:color w:val="auto"/>
        </w:rPr>
      </w:pPr>
      <w:r>
        <w:rPr>
          <w:rFonts w:ascii="Courier New" w:cs="Courier New" w:eastAsia="Courier New" w:hAnsi="Courier New"/>
          <w:sz w:val="16"/>
          <w:szCs w:val="16"/>
          <w:color w:val="auto"/>
        </w:rPr>
        <w:t>Interest</w:t>
      </w:r>
    </w:p>
    <w:p>
      <w:pPr>
        <w:spacing w:after="0" w:line="5" w:lineRule="exact"/>
        <w:rPr>
          <w:sz w:val="20"/>
          <w:szCs w:val="20"/>
          <w:color w:val="auto"/>
        </w:rPr>
      </w:pPr>
    </w:p>
    <w:p>
      <w:pPr>
        <w:ind w:left="663"/>
        <w:spacing w:after="0"/>
        <w:rPr>
          <w:sz w:val="20"/>
          <w:szCs w:val="20"/>
          <w:color w:val="auto"/>
        </w:rPr>
      </w:pPr>
      <w:r>
        <w:rPr>
          <w:rFonts w:ascii="Courier New" w:cs="Courier New" w:eastAsia="Courier New" w:hAnsi="Courier New"/>
          <w:sz w:val="15"/>
          <w:szCs w:val="15"/>
          <w:color w:val="auto"/>
        </w:rPr>
        <w:t>Income Taxes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Forty</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Weeks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June 1,</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1996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180"/>
        <w:spacing w:after="0"/>
        <w:tabs>
          <w:tab w:leader="none" w:pos="112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1,511</w:t>
      </w:r>
    </w:p>
    <w:p>
      <w:pPr>
        <w:spacing w:after="0" w:line="1"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3,335</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Thirty-Nine</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Weeks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May 27,</w:t>
      </w:r>
    </w:p>
    <w:p>
      <w:pPr>
        <w:spacing w:after="0" w:line="1"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1995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8" w:lineRule="exact"/>
        <w:rPr>
          <w:sz w:val="20"/>
          <w:szCs w:val="20"/>
          <w:color w:val="auto"/>
        </w:rPr>
      </w:pPr>
    </w:p>
    <w:p>
      <w:pPr>
        <w:ind w:left="80"/>
        <w:spacing w:after="0"/>
        <w:tabs>
          <w:tab w:leader="none" w:pos="12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1,023</w:t>
      </w:r>
    </w:p>
    <w:p>
      <w:pPr>
        <w:spacing w:after="0" w:line="1"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6,989</w:t>
      </w:r>
    </w:p>
    <w:p>
      <w:pPr>
        <w:spacing w:after="0" w:line="186" w:lineRule="exact"/>
        <w:rPr>
          <w:sz w:val="20"/>
          <w:szCs w:val="20"/>
          <w:color w:val="auto"/>
        </w:rPr>
      </w:pPr>
    </w:p>
    <w:p>
      <w:pPr>
        <w:sectPr>
          <w:pgSz w:w="11900" w:h="16886" w:orient="portrait"/>
          <w:cols w:equalWidth="0" w:num="3">
            <w:col w:w="1803" w:space="660"/>
            <w:col w:w="1700" w:space="480"/>
            <w:col w:w="5579"/>
          </w:cols>
          <w:pgMar w:left="237" w:top="138" w:right="1440" w:bottom="0" w:gutter="0" w:footer="0" w:header="0"/>
          <w:type w:val="continuous"/>
        </w:sectPr>
      </w:pPr>
    </w:p>
    <w:p>
      <w:pPr>
        <w:ind w:left="663" w:right="2839" w:hanging="663"/>
        <w:spacing w:after="0" w:line="262" w:lineRule="auto"/>
        <w:tabs>
          <w:tab w:leader="none" w:pos="663"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June 1, 1996, Postretirement Health Care and Deferred Compensation Benefits included postretirement benefits related to health care and other benefits of $26,499,000 and deferred compensation of $21,184,000.</w:t>
      </w:r>
    </w:p>
    <w:p>
      <w:pPr>
        <w:spacing w:after="0" w:line="167" w:lineRule="exact"/>
        <w:rPr>
          <w:rFonts w:ascii="Courier New" w:cs="Courier New" w:eastAsia="Courier New" w:hAnsi="Courier New"/>
          <w:sz w:val="15"/>
          <w:szCs w:val="15"/>
          <w:color w:val="auto"/>
        </w:rPr>
      </w:pPr>
    </w:p>
    <w:p>
      <w:pPr>
        <w:ind w:left="66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Net postretirement benefit cost for the 13 and 40 weeks ended June 1,</w:t>
      </w:r>
    </w:p>
    <w:p>
      <w:pPr>
        <w:ind w:left="663"/>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1996 consisted of the following components:</w:t>
      </w:r>
    </w:p>
    <w:p>
      <w:pPr>
        <w:spacing w:after="0" w:line="183" w:lineRule="exact"/>
        <w:rPr>
          <w:sz w:val="20"/>
          <w:szCs w:val="20"/>
          <w:color w:val="auto"/>
        </w:rPr>
      </w:pPr>
    </w:p>
    <w:tbl>
      <w:tblPr>
        <w:tblLayout w:type="fixed"/>
        <w:tblInd w:w="843" w:type="dxa"/>
        <w:tblCellMar>
          <w:top w:w="0" w:type="dxa"/>
          <w:left w:w="0" w:type="dxa"/>
          <w:bottom w:w="0" w:type="dxa"/>
          <w:right w:w="0" w:type="dxa"/>
        </w:tblCellMar>
      </w:tblPr>
      <w:tr>
        <w:trPr>
          <w:trHeight w:val="181"/>
        </w:trPr>
        <w:tc>
          <w:tcPr>
            <w:tcW w:w="332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Thirteen</w:t>
            </w: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Forty</w:t>
            </w:r>
          </w:p>
        </w:tc>
      </w:tr>
      <w:tr>
        <w:trPr>
          <w:trHeight w:val="182"/>
        </w:trPr>
        <w:tc>
          <w:tcPr>
            <w:tcW w:w="3320" w:type="dxa"/>
            <w:vAlign w:val="bottom"/>
          </w:tcPr>
          <w:p>
            <w:pPr>
              <w:spacing w:after="0"/>
              <w:rPr>
                <w:sz w:val="15"/>
                <w:szCs w:val="15"/>
                <w:color w:val="auto"/>
              </w:rPr>
            </w:pPr>
          </w:p>
        </w:tc>
        <w:tc>
          <w:tcPr>
            <w:tcW w:w="12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Weeks</w:t>
            </w: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Weeks</w:t>
            </w:r>
          </w:p>
        </w:tc>
      </w:tr>
      <w:tr>
        <w:trPr>
          <w:trHeight w:val="182"/>
        </w:trPr>
        <w:tc>
          <w:tcPr>
            <w:tcW w:w="3320" w:type="dxa"/>
            <w:vAlign w:val="bottom"/>
          </w:tcPr>
          <w:p>
            <w:pPr>
              <w:spacing w:after="0"/>
              <w:rPr>
                <w:sz w:val="15"/>
                <w:szCs w:val="15"/>
                <w:color w:val="auto"/>
              </w:rPr>
            </w:pPr>
          </w:p>
        </w:tc>
        <w:tc>
          <w:tcPr>
            <w:tcW w:w="12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r>
      <w:tr>
        <w:trPr>
          <w:trHeight w:val="182"/>
        </w:trPr>
        <w:tc>
          <w:tcPr>
            <w:tcW w:w="3320" w:type="dxa"/>
            <w:vAlign w:val="bottom"/>
          </w:tcPr>
          <w:p>
            <w:pPr>
              <w:spacing w:after="0"/>
              <w:rPr>
                <w:sz w:val="20"/>
                <w:szCs w:val="20"/>
                <w:color w:val="auto"/>
              </w:rPr>
            </w:pPr>
            <w:r>
              <w:rPr>
                <w:rFonts w:ascii="Courier New" w:cs="Courier New" w:eastAsia="Courier New" w:hAnsi="Courier New"/>
                <w:sz w:val="16"/>
                <w:szCs w:val="16"/>
                <w:color w:val="auto"/>
              </w:rPr>
              <w:t>Service cost - benefits earned</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2"/>
        </w:trPr>
        <w:tc>
          <w:tcPr>
            <w:tcW w:w="3320" w:type="dxa"/>
            <w:vAlign w:val="bottom"/>
          </w:tcPr>
          <w:p>
            <w:pPr>
              <w:ind w:left="100"/>
              <w:spacing w:after="0"/>
              <w:rPr>
                <w:sz w:val="20"/>
                <w:szCs w:val="20"/>
                <w:color w:val="auto"/>
              </w:rPr>
            </w:pPr>
            <w:r>
              <w:rPr>
                <w:rFonts w:ascii="Courier New" w:cs="Courier New" w:eastAsia="Courier New" w:hAnsi="Courier New"/>
                <w:sz w:val="16"/>
                <w:szCs w:val="16"/>
                <w:color w:val="auto"/>
              </w:rPr>
              <w:t>during the period</w:t>
            </w:r>
          </w:p>
        </w:tc>
        <w:tc>
          <w:tcPr>
            <w:tcW w:w="5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366</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$ 1,125</w:t>
            </w:r>
          </w:p>
        </w:tc>
      </w:tr>
      <w:tr>
        <w:trPr>
          <w:trHeight w:val="182"/>
        </w:trPr>
        <w:tc>
          <w:tcPr>
            <w:tcW w:w="3320" w:type="dxa"/>
            <w:vAlign w:val="bottom"/>
          </w:tcPr>
          <w:p>
            <w:pPr>
              <w:spacing w:after="0"/>
              <w:rPr>
                <w:sz w:val="20"/>
                <w:szCs w:val="20"/>
                <w:color w:val="auto"/>
              </w:rPr>
            </w:pPr>
            <w:r>
              <w:rPr>
                <w:rFonts w:ascii="Courier New" w:cs="Courier New" w:eastAsia="Courier New" w:hAnsi="Courier New"/>
                <w:sz w:val="16"/>
                <w:szCs w:val="16"/>
                <w:color w:val="auto"/>
              </w:rPr>
              <w:t>Interest cost on accumulated</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2"/>
        </w:trPr>
        <w:tc>
          <w:tcPr>
            <w:tcW w:w="3320" w:type="dxa"/>
            <w:vAlign w:val="bottom"/>
          </w:tcPr>
          <w:p>
            <w:pPr>
              <w:ind w:left="100"/>
              <w:spacing w:after="0"/>
              <w:rPr>
                <w:sz w:val="20"/>
                <w:szCs w:val="20"/>
                <w:color w:val="auto"/>
              </w:rPr>
            </w:pPr>
            <w:r>
              <w:rPr>
                <w:rFonts w:ascii="Courier New" w:cs="Courier New" w:eastAsia="Courier New" w:hAnsi="Courier New"/>
                <w:sz w:val="16"/>
                <w:szCs w:val="16"/>
                <w:color w:val="auto"/>
              </w:rPr>
              <w:t>postretirement benefit obligation</w:t>
            </w:r>
          </w:p>
        </w:tc>
        <w:tc>
          <w:tcPr>
            <w:tcW w:w="520" w:type="dxa"/>
            <w:vAlign w:val="bottom"/>
          </w:tcPr>
          <w:p>
            <w:pPr>
              <w:spacing w:after="0"/>
              <w:rPr>
                <w:sz w:val="15"/>
                <w:szCs w:val="15"/>
                <w:color w:val="auto"/>
              </w:rPr>
            </w:pP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380</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1,166</w:t>
            </w:r>
          </w:p>
        </w:tc>
      </w:tr>
      <w:tr>
        <w:trPr>
          <w:trHeight w:val="182"/>
        </w:trPr>
        <w:tc>
          <w:tcPr>
            <w:tcW w:w="3320" w:type="dxa"/>
            <w:vAlign w:val="bottom"/>
          </w:tcPr>
          <w:p>
            <w:pPr>
              <w:spacing w:after="0"/>
              <w:rPr>
                <w:sz w:val="20"/>
                <w:szCs w:val="20"/>
                <w:color w:val="auto"/>
              </w:rPr>
            </w:pPr>
            <w:r>
              <w:rPr>
                <w:rFonts w:ascii="Courier New" w:cs="Courier New" w:eastAsia="Courier New" w:hAnsi="Courier New"/>
                <w:sz w:val="16"/>
                <w:szCs w:val="16"/>
                <w:color w:val="auto"/>
              </w:rPr>
              <w:t>Amortization of (gain)/loss</w:t>
            </w:r>
          </w:p>
        </w:tc>
        <w:tc>
          <w:tcPr>
            <w:tcW w:w="520" w:type="dxa"/>
            <w:vAlign w:val="bottom"/>
          </w:tcPr>
          <w:p>
            <w:pPr>
              <w:spacing w:after="0"/>
              <w:rPr>
                <w:sz w:val="15"/>
                <w:szCs w:val="15"/>
                <w:color w:val="auto"/>
              </w:rPr>
            </w:pPr>
          </w:p>
        </w:tc>
        <w:tc>
          <w:tcPr>
            <w:tcW w:w="7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(93)</w:t>
            </w:r>
          </w:p>
        </w:tc>
      </w:tr>
      <w:tr>
        <w:trPr>
          <w:trHeight w:val="182"/>
        </w:trPr>
        <w:tc>
          <w:tcPr>
            <w:tcW w:w="332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2"/>
        </w:trPr>
        <w:tc>
          <w:tcPr>
            <w:tcW w:w="3320" w:type="dxa"/>
            <w:vAlign w:val="bottom"/>
          </w:tcPr>
          <w:p>
            <w:pPr>
              <w:spacing w:after="0"/>
              <w:rPr>
                <w:sz w:val="15"/>
                <w:szCs w:val="15"/>
                <w:color w:val="auto"/>
              </w:rPr>
            </w:pPr>
          </w:p>
        </w:tc>
        <w:tc>
          <w:tcPr>
            <w:tcW w:w="52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716</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$ 2,198</w:t>
            </w:r>
          </w:p>
        </w:tc>
      </w:tr>
      <w:tr>
        <w:trPr>
          <w:trHeight w:val="182"/>
        </w:trPr>
        <w:tc>
          <w:tcPr>
            <w:tcW w:w="3320" w:type="dxa"/>
            <w:vAlign w:val="bottom"/>
          </w:tcPr>
          <w:p>
            <w:pPr>
              <w:spacing w:after="0"/>
              <w:rPr>
                <w:sz w:val="15"/>
                <w:szCs w:val="15"/>
                <w:color w:val="auto"/>
              </w:rPr>
            </w:pPr>
          </w:p>
        </w:tc>
        <w:tc>
          <w:tcPr>
            <w:tcW w:w="1220" w:type="dxa"/>
            <w:vAlign w:val="bottom"/>
            <w:gridSpan w:val="2"/>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186" w:lineRule="exact"/>
        <w:rPr>
          <w:sz w:val="20"/>
          <w:szCs w:val="20"/>
          <w:color w:val="auto"/>
        </w:rPr>
      </w:pPr>
    </w:p>
    <w:p>
      <w:pPr>
        <w:ind w:left="663" w:right="2659" w:hanging="663"/>
        <w:spacing w:after="0" w:line="239" w:lineRule="auto"/>
        <w:tabs>
          <w:tab w:leader="none" w:pos="663"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guaranteed certain debt obligations of an unaffiliated party totaling $4,500,000. The unaffiliated party is currently experiencing financial difficulties. The Company, at this time, is unable to reasonably estimate the loss, if any, it will incur with respect to this contingency.</w:t>
      </w:r>
    </w:p>
    <w:p>
      <w:pPr>
        <w:sectPr>
          <w:pgSz w:w="11900" w:h="16886" w:orient="portrait"/>
          <w:cols w:equalWidth="0" w:num="1">
            <w:col w:w="10222"/>
          </w:cols>
          <w:pgMar w:left="237" w:top="138" w:right="1440" w:bottom="0" w:gutter="0" w:footer="0" w:header="0"/>
          <w:type w:val="continuous"/>
        </w:sectPr>
      </w:pPr>
    </w:p>
    <w:bookmarkStart w:id="5" w:name="page6"/>
    <w:bookmarkEnd w:id="5"/>
    <w:p>
      <w:pPr>
        <w:spacing w:after="0" w:line="63"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MANAGEMENT'S DISCUSSION AND ANALYSIS OF FINANCIAL CONDITION</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6"/>
          <w:szCs w:val="16"/>
          <w:color w:val="auto"/>
        </w:rPr>
        <w:t>AND RESULTS OF OPERATIONS</w:t>
      </w: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Thirteen Weeks Ended June 1, 1996 Compared to Thirteen Weeks Ended May 27, 1995</w:t>
      </w:r>
    </w:p>
    <w:p>
      <w:pPr>
        <w:spacing w:after="0" w:line="194"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Net revenues of manufactured products for the 13 weeks ended June 1, 1996 increased $25,700,000 or 21.7 percent from the 13 weeks ended May 27, 1995. Motor home shipments increased by 382 units or 16.8 percent during the 13 weeks ended June 1, 1996 when compared to the third quarter of fiscal 1995. In the Company's opinion, the Company's strong results for the third fiscal quarter of 1996 is a direct result of the quality of its products. The Company is cautiously optimistic about the remainder of fiscal 1996.</w:t>
      </w:r>
    </w:p>
    <w:p>
      <w:pPr>
        <w:spacing w:after="0" w:line="192" w:lineRule="exact"/>
        <w:rPr>
          <w:sz w:val="20"/>
          <w:szCs w:val="20"/>
          <w:color w:val="auto"/>
        </w:rPr>
      </w:pPr>
    </w:p>
    <w:p>
      <w:pPr>
        <w:ind w:right="2759"/>
        <w:spacing w:after="0" w:line="259" w:lineRule="auto"/>
        <w:rPr>
          <w:sz w:val="20"/>
          <w:szCs w:val="20"/>
          <w:color w:val="auto"/>
        </w:rPr>
      </w:pPr>
      <w:r>
        <w:rPr>
          <w:rFonts w:ascii="Courier New" w:cs="Courier New" w:eastAsia="Courier New" w:hAnsi="Courier New"/>
          <w:sz w:val="15"/>
          <w:szCs w:val="15"/>
          <w:color w:val="auto"/>
        </w:rPr>
        <w:t>Service revenues for the 13 weeks ended June 1, 1996 increased $704,000 or 10.4 percent from the comparable period of fiscal 1995. Cycle-Sat recorded revenues of $7,134,000, an increase of $699,000 or 10.9 percent primarily due to increased revenues generated through the acquisition by Cycle-Sat of the TFI division of MPO Videotronics (TFI) during the third quarter of fiscal 1995.</w:t>
      </w:r>
    </w:p>
    <w:p>
      <w:pPr>
        <w:spacing w:after="0" w:line="174" w:lineRule="exact"/>
        <w:rPr>
          <w:sz w:val="20"/>
          <w:szCs w:val="20"/>
          <w:color w:val="auto"/>
        </w:rPr>
      </w:pPr>
    </w:p>
    <w:p>
      <w:pPr>
        <w:ind w:right="2939"/>
        <w:spacing w:after="0" w:line="260" w:lineRule="auto"/>
        <w:rPr>
          <w:sz w:val="20"/>
          <w:szCs w:val="20"/>
          <w:color w:val="auto"/>
        </w:rPr>
      </w:pPr>
      <w:r>
        <w:rPr>
          <w:rFonts w:ascii="Courier New" w:cs="Courier New" w:eastAsia="Courier New" w:hAnsi="Courier New"/>
          <w:sz w:val="15"/>
          <w:szCs w:val="15"/>
          <w:color w:val="auto"/>
        </w:rPr>
        <w:t>Cost of manufactured products, as a percent of manufactured product revenues, was 86.2 percent for the 13 weeks ended June 1, 1996 compared to 85.6 percent for the 13 weeks ended May 27, 1995. This percentage increase was primarily caused by lower margins realized by the Company on its manufactured products.</w:t>
      </w:r>
    </w:p>
    <w:p>
      <w:pPr>
        <w:spacing w:after="0" w:line="173" w:lineRule="exact"/>
        <w:rPr>
          <w:sz w:val="20"/>
          <w:szCs w:val="20"/>
          <w:color w:val="auto"/>
        </w:rPr>
      </w:pPr>
    </w:p>
    <w:p>
      <w:pPr>
        <w:ind w:right="2839"/>
        <w:spacing w:after="0" w:line="239" w:lineRule="auto"/>
        <w:rPr>
          <w:sz w:val="20"/>
          <w:szCs w:val="20"/>
          <w:color w:val="auto"/>
        </w:rPr>
      </w:pPr>
      <w:r>
        <w:rPr>
          <w:rFonts w:ascii="Courier New" w:cs="Courier New" w:eastAsia="Courier New" w:hAnsi="Courier New"/>
          <w:sz w:val="16"/>
          <w:szCs w:val="16"/>
          <w:color w:val="auto"/>
        </w:rPr>
        <w:t>Cost of services, as a percent of service revenues, decreased during the third quarter of fiscal 1996 to 57.3 percent from 58.9 percent during the third quarter of fiscal 1995. This percentage decrease is attributed to the increase in Cycle-Sat's revenues and the fixed costs of its operations remaining relatively constant.</w:t>
      </w:r>
    </w:p>
    <w:p>
      <w:pPr>
        <w:spacing w:after="0" w:line="189"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Selling and delivery expenses decreased by $554,000 to $6,711,000 comparing the 13 weeks ended June 1, 1996 to the 13 weeks ended May 27, 1995 and decreased as a percentage of net revenues to 4.4 percent from 5.8 percent. The decreases in dollars and percentage primarily reflects decreases in the Company's promotional and advertising costs.</w:t>
      </w:r>
    </w:p>
    <w:p>
      <w:pPr>
        <w:spacing w:after="0" w:line="189"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General and administrative expenses increased by $2,138,000 to $8,561,000 comparing the 13 weeks ended June 1, 1996 to the 13 weeks ended May 27, 1995 and increased as a percentage of net revenues to 5.7 percent from 5.1 percent. The increases in dollars and percentage primarily reflect increases in the Company's provisions for its retirement programs and bad debts reserves and by increased spending by Cycle-Sat.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had net financial expense of $38,000 for the third quarter of fiscal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compared to net financial income of $457,000 for the comparable quarter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fiscal 1995. During the 13 weeks ended June 1, 1996, the Company recorded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realized and unrealized gains in its marketable securities portfolio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$232,000, foreign currency translation losses of $153,000 and $117,000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expense. During the 13 weeks ended May 27, 1995, the Company recorded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$74,000 of realized and unrealized gains in its marketable securities portfolio,</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$616,000 of foreign currency translation gains, and interest expense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$233,000.</w:t>
      </w:r>
    </w:p>
    <w:p>
      <w:pPr>
        <w:spacing w:after="0" w:line="186" w:lineRule="exact"/>
        <w:rPr>
          <w:sz w:val="20"/>
          <w:szCs w:val="20"/>
          <w:color w:val="auto"/>
        </w:rPr>
      </w:pPr>
    </w:p>
    <w:p>
      <w:pPr>
        <w:ind w:right="2939"/>
        <w:spacing w:after="0" w:line="239" w:lineRule="auto"/>
        <w:rPr>
          <w:sz w:val="20"/>
          <w:szCs w:val="20"/>
          <w:color w:val="auto"/>
        </w:rPr>
      </w:pPr>
      <w:r>
        <w:rPr>
          <w:rFonts w:ascii="Courier New" w:cs="Courier New" w:eastAsia="Courier New" w:hAnsi="Courier New"/>
          <w:sz w:val="16"/>
          <w:szCs w:val="16"/>
          <w:color w:val="auto"/>
        </w:rPr>
        <w:t>For the 13 weeks ended June 1, 1996, the Company reported net income of $5,411,000 or $.21 per share which consisted primarily of income from manufactured products operations of $5,156,000 ($.20 per share) and from Cycle-Sat operations of $11,000. For the 13 weeks ended May 27, 1995, the Company reported net income of $6,578,000 or $.26 per share which consisted primarily of income from manufactured products operations of $6,056,000 ($.24 per share) and income from Cycle-Sat operations of $58,000.</w:t>
      </w:r>
    </w:p>
    <w:p>
      <w:pPr>
        <w:spacing w:after="0" w:line="192" w:lineRule="exact"/>
        <w:rPr>
          <w:sz w:val="20"/>
          <w:szCs w:val="20"/>
          <w:color w:val="auto"/>
        </w:rPr>
      </w:pPr>
    </w:p>
    <w:p>
      <w:pPr>
        <w:ind w:right="2759"/>
        <w:spacing w:after="0" w:line="239" w:lineRule="auto"/>
        <w:rPr>
          <w:sz w:val="20"/>
          <w:szCs w:val="20"/>
          <w:color w:val="auto"/>
        </w:rPr>
      </w:pPr>
      <w:r>
        <w:rPr>
          <w:rFonts w:ascii="Courier New" w:cs="Courier New" w:eastAsia="Courier New" w:hAnsi="Courier New"/>
          <w:sz w:val="16"/>
          <w:szCs w:val="16"/>
          <w:color w:val="auto"/>
        </w:rPr>
        <w:t>Due to the trend of earnings Winnebago Industries has realized the past three years, the Company has fully reflected the benefit of prior tax losses that had existed. The 13 weeks ended June 1, 1996 reflect the impact of income tax expense of $2,330,000 compared with $0 income tax expense for the comparable period of fiscal 1995.</w:t>
      </w: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Forty Weeks Ended June 1, 1996 Compared to Thirty-Nine Weeks Ended May 27, 1995</w:t>
      </w:r>
    </w:p>
    <w:p>
      <w:pPr>
        <w:spacing w:after="0" w:line="194" w:lineRule="exact"/>
        <w:rPr>
          <w:sz w:val="20"/>
          <w:szCs w:val="20"/>
          <w:color w:val="auto"/>
        </w:rPr>
      </w:pPr>
    </w:p>
    <w:p>
      <w:pPr>
        <w:ind w:right="2659"/>
        <w:spacing w:after="0"/>
        <w:rPr>
          <w:sz w:val="20"/>
          <w:szCs w:val="20"/>
          <w:color w:val="auto"/>
        </w:rPr>
      </w:pPr>
      <w:r>
        <w:rPr>
          <w:rFonts w:ascii="Courier New" w:cs="Courier New" w:eastAsia="Courier New" w:hAnsi="Courier New"/>
          <w:sz w:val="16"/>
          <w:szCs w:val="16"/>
          <w:color w:val="auto"/>
        </w:rPr>
        <w:t>Net revenues of manufactured products for the 40 weeks ended June 1, 1996 increased $9,137,000 or 2.6 percent from the 39 weeks ended May 27, 1995. Motor home shipments decreased by 227 units or 3.3 percent during the 40 weeks ended June 1, 1996 when compared to the 39 weeks ended May 27, 1995. The increase in the Company's revenues is attributed to the strong quarter the Company had during the third quarter of fiscal 1996. Even though the third quarter of fiscal 1996 showed an increase in revenues, the year-to-date unit sales were down when compared to last year due to a product mix change more heavily weighed to more expensive units with a slide-out feature.</w:t>
      </w:r>
    </w:p>
    <w:p>
      <w:pPr>
        <w:spacing w:after="0" w:line="188" w:lineRule="exact"/>
        <w:rPr>
          <w:sz w:val="20"/>
          <w:szCs w:val="20"/>
          <w:color w:val="auto"/>
        </w:rPr>
      </w:pPr>
    </w:p>
    <w:p>
      <w:pPr>
        <w:ind w:right="2839"/>
        <w:spacing w:after="0" w:line="260" w:lineRule="auto"/>
        <w:rPr>
          <w:sz w:val="20"/>
          <w:szCs w:val="20"/>
          <w:color w:val="auto"/>
        </w:rPr>
      </w:pPr>
      <w:r>
        <w:rPr>
          <w:rFonts w:ascii="Courier New" w:cs="Courier New" w:eastAsia="Courier New" w:hAnsi="Courier New"/>
          <w:sz w:val="15"/>
          <w:szCs w:val="15"/>
          <w:color w:val="auto"/>
        </w:rPr>
        <w:t>Service revenues for the 40 weeks ended June 1, 1996 increased $6,640,000 or 38.5 percent from the 39 weeks ended May 27, 1995. Cycle-Sat recorded revenues of $22,818,000, an increase of $6,510,000, or 39.9 percent, primarily due to increased revenues as a result of the acquisition by Cycle-Sat of TFI.</w:t>
      </w:r>
    </w:p>
    <w:p>
      <w:pPr>
        <w:sectPr>
          <w:pgSz w:w="11900" w:h="16902" w:orient="portrait"/>
          <w:cols w:equalWidth="0" w:num="1">
            <w:col w:w="10219"/>
          </w:cols>
          <w:pgMar w:left="240" w:top="683" w:right="1440" w:bottom="0" w:gutter="0" w:footer="0" w:header="0"/>
        </w:sectPr>
      </w:pPr>
    </w:p>
    <w:bookmarkStart w:id="6" w:name="page7"/>
    <w:bookmarkEnd w:id="6"/>
    <w:p>
      <w:pPr>
        <w:ind w:right="2939"/>
        <w:spacing w:after="0" w:line="239" w:lineRule="auto"/>
        <w:rPr>
          <w:sz w:val="20"/>
          <w:szCs w:val="20"/>
          <w:color w:val="auto"/>
        </w:rPr>
      </w:pPr>
      <w:r>
        <w:rPr>
          <w:rFonts w:ascii="Courier New" w:cs="Courier New" w:eastAsia="Courier New" w:hAnsi="Courier New"/>
          <w:sz w:val="16"/>
          <w:szCs w:val="16"/>
          <w:color w:val="auto"/>
        </w:rPr>
        <w:t>Cost of manufactured products, as a percent of manufactured product revenues, was 86.6 percent for the 40 weeks ended June 1, 1996 compared to 85.8 percent for the 39 weeks ended May 27, 1995. This percentage increase was primarily caused by lower motor home production volume.</w:t>
      </w:r>
    </w:p>
    <w:p>
      <w:pPr>
        <w:spacing w:after="0" w:line="187"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Cost of services, as a percent of service revenues, decreased to 58.2 percent from 59.0 percent when comparing the 40 weeks ended June 1, 1996 to the 39 weeks ended May 27, 1995. This percentage decrease is attributed to the increase in Cycle-Sat's sales while its fixed costs remained constant.</w:t>
      </w:r>
    </w:p>
    <w:p>
      <w:pPr>
        <w:spacing w:after="0" w:line="187"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Selling and delivery expenses decreased by $922,000 to $19,015,000 comparing the 40 weeks ended June 1, 1996 to the 39 weeks ended May 27, 1995 and decreased as a percentage of net revenues to 4.9 percent from 5.4 percent. The decreases in dollars and percentage primarily reflects decreases in the Company's promotional and advertising costs and net delivery expenses.</w:t>
      </w:r>
    </w:p>
    <w:p>
      <w:pPr>
        <w:spacing w:after="0" w:line="189"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General and administrative expenses increased by $5,261,000 to $23,838,000 comparing the 40 weeks ended June 1, 1996 to the 39 weeks ended May 27, 1995 and increased as a percentage of net revenues to 6.2 percent from 5.0 percent. The increases in dollars and percentage were caused primarily by increases in the Company's provisions for its retirement programs, provisions for product liability expenses and increases in Cycle-Sat's spending.</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had net financial income of $43,000 for the 40-week period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 1996 compared to net financial income of $1,281,000 for the nine months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May 27, 1995. During the 40 weeks ended June 1, 1996, the Company recorded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realized and unrealized gains in its marketable securities portfolio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$381,000, interest expense of $262,000 and foreign currency translation losses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$76,000. During the 39 weeks ended May 27, 1995, the Company recorded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realized and unrealized gains in its marketable securities portfolio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$355,000, interest expense of $3,000, and foreign currency translation gains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$929,000.</w:t>
      </w:r>
    </w:p>
    <w:p>
      <w:pPr>
        <w:spacing w:after="0" w:line="186" w:lineRule="exact"/>
        <w:rPr>
          <w:sz w:val="20"/>
          <w:szCs w:val="20"/>
          <w:color w:val="auto"/>
        </w:rPr>
      </w:pPr>
    </w:p>
    <w:p>
      <w:pPr>
        <w:ind w:right="2939"/>
        <w:spacing w:after="0" w:line="258" w:lineRule="auto"/>
        <w:rPr>
          <w:sz w:val="20"/>
          <w:szCs w:val="20"/>
          <w:color w:val="auto"/>
        </w:rPr>
      </w:pPr>
      <w:r>
        <w:rPr>
          <w:rFonts w:ascii="Courier New" w:cs="Courier New" w:eastAsia="Courier New" w:hAnsi="Courier New"/>
          <w:sz w:val="15"/>
          <w:szCs w:val="15"/>
          <w:color w:val="auto"/>
        </w:rPr>
        <w:t>For the 40 weeks ended June 1, 1996, the Company reported net income of $10,639,000 or $.42 per share which consisted primarily of income from manufactured products operations of $9,498,000 ($.37 per share) and from Cycle-Sat operations of $233,000 ($.01 per share). For the 39 weeks ended May 27, 1995, the Company reported net income of $26,272,000 or $1.04 per share which consisted primarily of income from manufactured products operations of $18,719,000 ($.74 per share), $6,000,000 ($.24 per share) credit for income taxes and income of $195,000 ($.01 per share) from Cycle-Sat operations.</w:t>
      </w:r>
    </w:p>
    <w:p>
      <w:pPr>
        <w:spacing w:after="0" w:line="176"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6"/>
          <w:szCs w:val="16"/>
          <w:color w:val="auto"/>
        </w:rPr>
        <w:t>The results of the 40 weeks ended June 1, 1996 reflect the impact of income tax expense of $5,164,000, compared with a $6,000,000 credit for income taxes for the 39 weeks ended May 27, 1995.</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FINANCIAL CONDITION</w:t>
      </w:r>
    </w:p>
    <w:p>
      <w:pPr>
        <w:spacing w:after="0" w:line="186" w:lineRule="exact"/>
        <w:rPr>
          <w:sz w:val="20"/>
          <w:szCs w:val="20"/>
          <w:color w:val="auto"/>
        </w:rPr>
      </w:pPr>
    </w:p>
    <w:p>
      <w:pPr>
        <w:ind w:right="3039"/>
        <w:spacing w:after="0" w:line="238" w:lineRule="auto"/>
        <w:rPr>
          <w:sz w:val="20"/>
          <w:szCs w:val="20"/>
          <w:color w:val="auto"/>
        </w:rPr>
      </w:pPr>
      <w:r>
        <w:rPr>
          <w:rFonts w:ascii="Courier New" w:cs="Courier New" w:eastAsia="Courier New" w:hAnsi="Courier New"/>
          <w:sz w:val="16"/>
          <w:szCs w:val="16"/>
          <w:color w:val="auto"/>
        </w:rPr>
        <w:t>The Company meets its working capital and capital equipment requirements and cash requirements of subsidiaries with funds generated internally and funds borrowed under agreements with financial institutions.</w:t>
      </w:r>
    </w:p>
    <w:p>
      <w:pPr>
        <w:spacing w:after="0" w:line="188"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At June 1, 1996, working capital was $71,231,000, an increase of $1,537,000 from the amount at August 26, 1995. The Company's principal sources and uses of cash during the 40 weeks ended June 1, 1996 are set forth in the unaudited consolidated condensed statement of cash flows for that period</w:t>
      </w:r>
    </w:p>
    <w:p>
      <w:pPr>
        <w:spacing w:after="0" w:line="187" w:lineRule="exact"/>
        <w:rPr>
          <w:sz w:val="20"/>
          <w:szCs w:val="20"/>
          <w:color w:val="auto"/>
        </w:rPr>
      </w:pPr>
    </w:p>
    <w:p>
      <w:pPr>
        <w:ind w:right="2659"/>
        <w:spacing w:after="0" w:line="239" w:lineRule="auto"/>
        <w:rPr>
          <w:sz w:val="20"/>
          <w:szCs w:val="20"/>
          <w:color w:val="auto"/>
        </w:rPr>
      </w:pPr>
      <w:r>
        <w:rPr>
          <w:rFonts w:ascii="Courier New" w:cs="Courier New" w:eastAsia="Courier New" w:hAnsi="Courier New"/>
          <w:sz w:val="16"/>
          <w:szCs w:val="16"/>
          <w:color w:val="auto"/>
        </w:rPr>
        <w:t>Principal known demands at June 1, 1996 on the Company's liquid assets for the remainder of fiscal 1996 include approximately $1,850,000 of capital expenditures (primarily equipment replacements) for manufactured product operations and approximately $1,300,000 of capital expenditures for an Uplink Encoding System for the Digital Cypher Transmission System which will be used by Cycle-Sat.</w:t>
      </w:r>
    </w:p>
    <w:p>
      <w:pPr>
        <w:spacing w:after="0" w:line="190" w:lineRule="exact"/>
        <w:rPr>
          <w:sz w:val="20"/>
          <w:szCs w:val="20"/>
          <w:color w:val="auto"/>
        </w:rPr>
      </w:pPr>
    </w:p>
    <w:p>
      <w:pPr>
        <w:ind w:right="2759"/>
        <w:spacing w:after="0" w:line="238" w:lineRule="auto"/>
        <w:rPr>
          <w:sz w:val="20"/>
          <w:szCs w:val="20"/>
          <w:color w:val="auto"/>
        </w:rPr>
      </w:pPr>
      <w:r>
        <w:rPr>
          <w:rFonts w:ascii="Courier New" w:cs="Courier New" w:eastAsia="Courier New" w:hAnsi="Courier New"/>
          <w:sz w:val="16"/>
          <w:szCs w:val="16"/>
          <w:color w:val="auto"/>
        </w:rPr>
        <w:t>Management currently expects its cash on hand, funds from operations and borrowings available under existing credit facilities to be sufficient to cover both short-term and long-term operating requirements.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5"/>
          <w:szCs w:val="15"/>
          <w:color w:val="auto"/>
        </w:rPr>
        <w:t>Other Information</w:t>
      </w:r>
    </w:p>
    <w:p>
      <w:pPr>
        <w:spacing w:after="0" w:line="183"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3" w:lineRule="exact"/>
        <w:rPr>
          <w:sz w:val="20"/>
          <w:szCs w:val="20"/>
          <w:color w:val="auto"/>
        </w:rPr>
      </w:pPr>
    </w:p>
    <w:p>
      <w:pPr>
        <w:ind w:left="1700" w:hanging="663"/>
        <w:spacing w:after="0"/>
        <w:tabs>
          <w:tab w:leader="none" w:pos="17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exhibits are being filed as a part of this report.</w:t>
      </w:r>
    </w:p>
    <w:p>
      <w:pPr>
        <w:spacing w:after="0" w:line="186" w:lineRule="exact"/>
        <w:rPr>
          <w:rFonts w:ascii="Courier New" w:cs="Courier New" w:eastAsia="Courier New" w:hAnsi="Courier New"/>
          <w:sz w:val="16"/>
          <w:szCs w:val="16"/>
          <w:color w:val="auto"/>
        </w:rPr>
      </w:pPr>
    </w:p>
    <w:p>
      <w:pPr>
        <w:ind w:left="1700" w:right="2939" w:hanging="663"/>
        <w:spacing w:after="0" w:line="237" w:lineRule="auto"/>
        <w:tabs>
          <w:tab w:leader="none" w:pos="17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did not file any reports on Form 8-K during the period covered by this report.</w:t>
      </w:r>
    </w:p>
    <w:p>
      <w:pPr>
        <w:spacing w:after="0" w:line="366"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SIGNATURES</w:t>
      </w:r>
    </w:p>
    <w:p>
      <w:pPr>
        <w:spacing w:after="0" w:line="368" w:lineRule="exact"/>
        <w:rPr>
          <w:sz w:val="20"/>
          <w:szCs w:val="20"/>
          <w:color w:val="auto"/>
        </w:rPr>
      </w:pPr>
    </w:p>
    <w:p>
      <w:pPr>
        <w:jc w:val="both"/>
        <w:ind w:right="3419"/>
        <w:spacing w:after="0" w:line="238"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323" w:right="1440" w:bottom="0" w:gutter="0" w:footer="0" w:header="0"/>
        </w:sectPr>
      </w:pPr>
    </w:p>
    <w:bookmarkStart w:id="7" w:name="page8"/>
    <w:bookmarkEnd w:id="7"/>
    <w:p>
      <w:pPr>
        <w:ind w:left="3880"/>
        <w:spacing w:after="0"/>
        <w:rPr>
          <w:sz w:val="20"/>
          <w:szCs w:val="20"/>
          <w:color w:val="auto"/>
        </w:rPr>
      </w:pPr>
      <w:r>
        <w:rPr>
          <w:rFonts w:ascii="Courier New" w:cs="Courier New" w:eastAsia="Courier New" w:hAnsi="Courier New"/>
          <w:sz w:val="15"/>
          <w:szCs w:val="15"/>
          <w:color w:val="auto"/>
        </w:rPr>
        <w:t>WINNEBAGO INDUSTRIES, INC.</w:t>
      </w:r>
    </w:p>
    <w:p>
      <w:pPr>
        <w:spacing w:after="0" w:line="8"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10,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Fred G. Dohrmann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Fred G. Dohrmann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ectPr>
          <w:pgSz w:w="11900" w:h="16838" w:orient="portrait"/>
          <w:cols w:equalWidth="0" w:num="3">
            <w:col w:w="380" w:space="180"/>
            <w:col w:w="2600" w:space="720"/>
            <w:col w:w="6339"/>
          </w:cols>
          <w:pgMar w:left="240" w:top="142" w:right="1440" w:bottom="1440" w:gutter="0" w:footer="0" w:header="0"/>
          <w:type w:val="continuous"/>
        </w:sect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July 10, 1996</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Ed F. Barker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Ed F. Barker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Controller and Chief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Officer</w:t>
      </w:r>
    </w:p>
    <w:p>
      <w:pPr>
        <w:sectPr>
          <w:pgSz w:w="11900" w:h="16838" w:orient="portrait"/>
          <w:cols w:equalWidth="0" w:num="3">
            <w:col w:w="380" w:space="180"/>
            <w:col w:w="2600" w:space="720"/>
            <w:col w:w="6339"/>
          </w:cols>
          <w:pgMar w:left="240" w:top="142" w:right="1440" w:bottom="144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5</w:t>
      </w:r>
    </w:p>
    <w:p>
      <w:pPr>
        <w:spacing w:after="0" w:line="36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3-MOS</w:t>
      </w:r>
    </w:p>
    <w:p>
      <w:pPr>
        <w:spacing w:after="0" w:line="1"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AUG-31-1996</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JUN-01-1996</w:t>
      </w:r>
    </w:p>
    <w:p>
      <w:pPr>
        <w:spacing w:after="0" w:line="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14,675</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5,940</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47,947</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1,238</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55,829</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136,813</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133,585</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90,187</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229,064</w:t>
      </w:r>
    </w:p>
    <w:p>
      <w:pPr>
        <w:spacing w:after="0" w:line="1"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65,582</w:t>
      </w:r>
    </w:p>
    <w:p>
      <w:pPr>
        <w:spacing w:after="0" w:line="1"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12,920</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90,645</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229,064</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151,497</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151,497</w:t>
      </w:r>
    </w:p>
    <w:p>
      <w:pPr>
        <w:spacing w:after="0" w:line="1"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6"/>
          <w:szCs w:val="16"/>
          <w:color w:val="auto"/>
        </w:rPr>
        <w:t>128,446</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128,446</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15,272</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38</w:t>
      </w:r>
    </w:p>
    <w:p>
      <w:pPr>
        <w:spacing w:after="0" w:line="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7,741</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2,330</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5,411</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5,411</w:t>
      </w:r>
    </w:p>
    <w:p>
      <w:pPr>
        <w:spacing w:after="0" w:line="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6"/>
          <w:szCs w:val="16"/>
          <w:color w:val="auto"/>
        </w:rPr>
        <w:t>.21</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0</w:t>
      </w:r>
    </w:p>
    <w:sectPr>
      <w:pgSz w:w="11900" w:h="16838" w:orient="portrait"/>
      <w:cols w:equalWidth="0" w:num="1">
        <w:col w:w="10119"/>
      </w:cols>
      <w:pgMar w:left="340" w:top="8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X"/>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4"/>
    </w:lvl>
  </w:abstractNum>
  <w:abstractNum w:abstractNumId="3">
    <w:nsid w:val="46E87CCD"/>
    <w:multiLevelType w:val="hybridMultilevel"/>
    <w:lvl w:ilvl="0">
      <w:lvlJc w:val="left"/>
      <w:lvlText w:val="%1."/>
      <w:numFmt w:val="decimal"/>
      <w:start w:val="7"/>
    </w:lvl>
  </w:abstractNum>
  <w:abstractNum w:abstractNumId="4">
    <w:nsid w:val="3D1B58BA"/>
    <w:multiLevelType w:val="hybridMultilevel"/>
    <w:lvl w:ilvl="0">
      <w:lvlJc w:val="left"/>
      <w:lvlText w:val="%1."/>
      <w:numFmt w:val="decimal"/>
      <w:start w:val="8"/>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2019-12-13T08:12:15Z</dcterms:created>
  <dcterms:modified xsi:type="dcterms:W3CDTF">2019-12-13T08:12:15Z</dcterms:modified>
</cp:coreProperties>
</file>