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Folkers Scott C</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06/01/2012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0000FF"/>
              </w:rPr>
              <w:t>FOREST</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IA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50436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8"/>
                <w:szCs w:val="18"/>
                <w:color w:val="0000FF"/>
              </w:rPr>
              <w:t>CITY</w:t>
            </w: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66"/>
        <w:spacing w:after="0"/>
        <w:rPr>
          <w:sz w:val="20"/>
          <w:szCs w:val="20"/>
          <w:color w:val="auto"/>
        </w:rPr>
      </w:pPr>
      <w:r>
        <w:rPr>
          <w:rFonts w:ascii="Times New Roman" w:cs="Times New Roman" w:eastAsia="Times New Roman" w:hAnsi="Times New Roman"/>
          <w:sz w:val="18"/>
          <w:szCs w:val="18"/>
          <w:color w:val="0000FF"/>
        </w:rPr>
        <w:t>VP-General Counsel &amp; Secretary</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Times New Roman" w:cs="Times New Roman" w:eastAsia="Times New Roman" w:hAnsi="Times New Roman"/>
                <w:sz w:val="18"/>
                <w:szCs w:val="18"/>
                <w:color w:val="0000FF"/>
              </w:rPr>
              <w:t>1,316</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vMerge w:val="continue"/>
          </w:tcPr>
          <w:p>
            <w:pPr>
              <w:spacing w:after="0"/>
              <w:rPr>
                <w:sz w:val="16"/>
                <w:szCs w:val="16"/>
                <w:color w:val="auto"/>
              </w:rPr>
            </w:pP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 of 1,500 restricted stock awards on March 23, 2011 under the Winnebago Industries, Inc. 2004 Incentive Compensation Plan, which plan is qualified under Rule 16b-3. Under this plan, the restricted stock awards vest in annual increments of one-third beginning March 23, 2012. The first 500 shares of this award vested March 23, 2012 and reporting person elected to have 184 of the 500 shares withheld to cover the tax obligation incurred at the time of vesting, thus retaining 316 shares of the award. The remaining 1,000 shares of the award will vest in two annual increments of 500 shares each on March 23, 2013 and March 23, 2014, respectively.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 Scott C. Folkers</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06/05/2012</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1472"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2019-12-16T08:06:32Z</dcterms:created>
  <dcterms:modified xsi:type="dcterms:W3CDTF">2019-12-16T08:06:32Z</dcterms:modified>
</cp:coreProperties>
</file>