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0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3300"/>
        <w:spacing w:after="0"/>
        <w:rPr>
          <w:sz w:val="20"/>
          <w:szCs w:val="20"/>
          <w:color w:val="auto"/>
        </w:rPr>
      </w:pPr>
      <w:r>
        <w:rPr>
          <w:rFonts w:ascii="Arial" w:cs="Arial" w:eastAsia="Arial" w:hAnsi="Arial"/>
          <w:sz w:val="22"/>
          <w:szCs w:val="22"/>
          <w:b w:val="1"/>
          <w:bCs w:val="1"/>
          <w:color w:val="auto"/>
        </w:rPr>
        <w:t>SECURITIES AND EXCHANGE COMMISSION</w:t>
      </w:r>
    </w:p>
    <w:p>
      <w:pPr>
        <w:ind w:left="3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30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20, 2003</w:t>
      </w:r>
    </w:p>
    <w:p>
      <w:pPr>
        <w:spacing w:after="0" w:line="212" w:lineRule="exact"/>
        <w:rPr>
          <w:sz w:val="24"/>
          <w:szCs w:val="24"/>
          <w:color w:val="auto"/>
        </w:rPr>
      </w:pPr>
    </w:p>
    <w:p>
      <w:pPr>
        <w:jc w:val="center"/>
        <w:ind w:right="330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1679575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7"/>
              </w:rPr>
              <w:t>IOWA</w:t>
            </w:r>
          </w:p>
        </w:tc>
        <w:tc>
          <w:tcPr>
            <w:tcW w:w="26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10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(State of Incorporation)</w:t>
            </w:r>
          </w:p>
        </w:tc>
        <w:tc>
          <w:tcPr>
            <w:tcW w:w="2640" w:type="dxa"/>
            <w:vAlign w:val="bottom"/>
            <w:gridSpan w:val="3"/>
          </w:tcPr>
          <w:p>
            <w:pPr>
              <w:jc w:val="center"/>
              <w:ind w:left="5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31"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330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330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312" w:lineRule="exact"/>
        <w:rPr>
          <w:sz w:val="24"/>
          <w:szCs w:val="24"/>
          <w:color w:val="auto"/>
        </w:rPr>
      </w:pPr>
    </w:p>
    <w:p>
      <w:pPr>
        <w:ind w:firstLine="351"/>
        <w:spacing w:after="0" w:line="286" w:lineRule="auto"/>
        <w:rPr>
          <w:sz w:val="20"/>
          <w:szCs w:val="20"/>
          <w:color w:val="auto"/>
        </w:rPr>
      </w:pPr>
      <w:r>
        <w:rPr>
          <w:rFonts w:ascii="Arial" w:cs="Arial" w:eastAsia="Arial" w:hAnsi="Arial"/>
          <w:sz w:val="16"/>
          <w:szCs w:val="16"/>
          <w:color w:val="auto"/>
        </w:rPr>
        <w:t>On October 20, 2003, pursuant to an authorization of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the Company agreed to repurchase 1,450,000 shares of its common stock from 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HCP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which has a 34.9 percent membership interest in HCP, and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which has a 65.1 percent membership interest in HCP. John V. Hanson, a director of the Company, Mary Jo Boman, the wife of Gerald E. Boman, a director of the company, Paul D. Hanson and Bessemer Trust Company, N.A. act as co-trustees under the QTIP Trust. Mrs. Luise V. Hanson, who passed away on October 19, 2003, is trustee of the Revocable Trust. Mrs. Hanson is also a controlling person of the Company. Mrs. Hanson is the mother of John V. Hanson, Mary Jo Boman and Paul D. Hanson and the mother-in-law of Gerald E. Boman. The shares were repurchased for an aggregate purchase price of $63,979,075 ($44.1235 per share), plus interest in the approximate amount of $102,000. The agreement to repurchase the shares provides that the purchase price per share is at a 15 percent discount to the closing price on the New York Stock Exchange of $51.91 on October 17, 2003. The Company will utilize its cash on hand and cash becoming available from maturing fixed income securities to pay the purchase price of the stock in three installments (with the final installment to be paid in December 2003) with interest at the rate of 2 percent per annum on the outstanding balance.</w:t>
      </w:r>
    </w:p>
    <w:p>
      <w:pPr>
        <w:spacing w:after="0" w:line="178" w:lineRule="exact"/>
        <w:rPr>
          <w:sz w:val="24"/>
          <w:szCs w:val="24"/>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is filing herewith a press release issued on October 20, 2003, as Exhibit 99.1 which is included herein. The press release was issued to report the stock repurchase from HCP following the death of Mrs. Luise V. Hanson.</w:t>
      </w:r>
    </w:p>
    <w:p>
      <w:pPr>
        <w:spacing w:after="0" w:line="248"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4"/>
          <w:szCs w:val="14"/>
          <w:color w:val="auto"/>
        </w:rPr>
        <w:t>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Dated: October 21, 2003</w:t>
      </w:r>
    </w:p>
    <w:p>
      <w:pPr>
        <w:spacing w:after="0" w:line="202" w:lineRule="exact"/>
        <w:rPr>
          <w:sz w:val="24"/>
          <w:szCs w:val="24"/>
          <w:color w:val="auto"/>
        </w:rPr>
      </w:pPr>
    </w:p>
    <w:tbl>
      <w:tblPr>
        <w:tblLayout w:type="fixed"/>
        <w:tblInd w:w="49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28"/>
        </w:trPr>
        <w:tc>
          <w:tcPr>
            <w:tcW w:w="2780" w:type="dxa"/>
            <w:vAlign w:val="bottom"/>
            <w:gridSpan w:val="3"/>
          </w:tcPr>
          <w:p>
            <w:pPr>
              <w:spacing w:after="0"/>
              <w:rPr>
                <w:sz w:val="20"/>
                <w:szCs w:val="20"/>
                <w:color w:val="auto"/>
              </w:rPr>
            </w:pPr>
            <w:r>
              <w:rPr>
                <w:rFonts w:ascii="Arial" w:cs="Arial" w:eastAsia="Arial" w:hAnsi="Arial"/>
                <w:sz w:val="18"/>
                <w:szCs w:val="18"/>
                <w:color w:val="auto"/>
              </w:rPr>
              <w:t>Name: Bruce D. Hertzke</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76" w:right="239" w:bottom="483"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317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60325</wp:posOffset>
            </wp:positionV>
            <wp:extent cx="523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88"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20,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199"/>
      </w:cols>
      <w:pgMar w:left="26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2019-12-13T08:12:57Z</dcterms:created>
  <dcterms:modified xsi:type="dcterms:W3CDTF">2019-12-13T08:12:57Z</dcterms:modified>
</cp:coreProperties>
</file>