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disability, or a "change in the effective control of the Company" as defined in the Plan pursuant to an election made by reporting person on 3/31/2015.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2019-12-05T18:07:47Z</dcterms:created>
  <dcterms:modified xsi:type="dcterms:W3CDTF">2019-12-05T18:07:47Z</dcterms:modified>
</cp:coreProperties>
</file>