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October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8"/>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6"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48"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On October 22, 2025, Winnebago Industries, Inc. issued a press release to report financial results for the fourth quarter and full year of Fiscal 2025 ended August 30, 2025. A copy of the press release is attached as Exhibit 99.1 and is incorporated by reference herein.</w:t>
      </w:r>
    </w:p>
    <w:p>
      <w:pPr>
        <w:spacing w:after="0" w:line="16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fourth quarter and full year of Fiscal 2025.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99"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9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October 22, 2025</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234"/>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24"/>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245" w:lineRule="exact"/>
        <w:rPr>
          <w:sz w:val="20"/>
          <w:szCs w:val="20"/>
          <w:color w:val="auto"/>
        </w:rPr>
      </w:pPr>
    </w:p>
    <w:p>
      <w:pPr>
        <w:ind w:left="20"/>
        <w:spacing w:after="0"/>
        <w:tabs>
          <w:tab w:leader="none" w:pos="720" w:val="left"/>
          <w:tab w:leader="none" w:pos="4160" w:val="left"/>
          <w:tab w:leader="none" w:pos="4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22,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948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Financial Officer and Senior Vice President</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20"/>
          </w:cols>
          <w:pgMar w:left="320" w:top="8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REPORTS FOURTH QUARTER AND FULL YEAR FISCAL 2025 RESULTS</w:t>
      </w:r>
    </w:p>
    <w:p>
      <w:pPr>
        <w:spacing w:after="0" w:line="293" w:lineRule="exact"/>
        <w:rPr>
          <w:sz w:val="20"/>
          <w:szCs w:val="20"/>
          <w:color w:val="auto"/>
        </w:rPr>
      </w:pPr>
    </w:p>
    <w:p>
      <w:pPr>
        <w:jc w:val="center"/>
        <w:ind w:left="640"/>
        <w:spacing w:after="0"/>
        <w:rPr>
          <w:sz w:val="20"/>
          <w:szCs w:val="20"/>
          <w:color w:val="auto"/>
        </w:rPr>
      </w:pPr>
      <w:r>
        <w:rPr>
          <w:rFonts w:ascii="Arial" w:cs="Arial" w:eastAsia="Arial" w:hAnsi="Arial"/>
          <w:sz w:val="16"/>
          <w:szCs w:val="16"/>
          <w:b w:val="1"/>
          <w:bCs w:val="1"/>
          <w:color w:val="auto"/>
        </w:rPr>
        <w:t>-- Favorable Product Mix and Targeted Price Increases Drive Solid Top-Line Growth in Q4 --</w:t>
      </w:r>
    </w:p>
    <w:p>
      <w:pPr>
        <w:spacing w:after="0" w:line="208" w:lineRule="exact"/>
        <w:rPr>
          <w:sz w:val="20"/>
          <w:szCs w:val="20"/>
          <w:color w:val="auto"/>
        </w:rPr>
      </w:pPr>
    </w:p>
    <w:p>
      <w:pPr>
        <w:jc w:val="center"/>
        <w:ind w:left="640"/>
        <w:spacing w:after="0"/>
        <w:rPr>
          <w:sz w:val="20"/>
          <w:szCs w:val="20"/>
          <w:color w:val="auto"/>
        </w:rPr>
      </w:pPr>
      <w:r>
        <w:rPr>
          <w:rFonts w:ascii="Arial" w:cs="Arial" w:eastAsia="Arial" w:hAnsi="Arial"/>
          <w:sz w:val="16"/>
          <w:szCs w:val="16"/>
          <w:b w:val="1"/>
          <w:bCs w:val="1"/>
          <w:color w:val="auto"/>
        </w:rPr>
        <w:t>-- Efficiency Actions Contributed to Q4 Operating Cash Flow of $181.4 Million --</w:t>
      </w:r>
    </w:p>
    <w:p>
      <w:pPr>
        <w:spacing w:after="0" w:line="208" w:lineRule="exact"/>
        <w:rPr>
          <w:sz w:val="20"/>
          <w:szCs w:val="20"/>
          <w:color w:val="auto"/>
        </w:rPr>
      </w:pPr>
    </w:p>
    <w:p>
      <w:pPr>
        <w:jc w:val="center"/>
        <w:ind w:left="640"/>
        <w:spacing w:after="0"/>
        <w:rPr>
          <w:sz w:val="20"/>
          <w:szCs w:val="20"/>
          <w:color w:val="auto"/>
        </w:rPr>
      </w:pPr>
      <w:r>
        <w:rPr>
          <w:rFonts w:ascii="Arial" w:cs="Arial" w:eastAsia="Arial" w:hAnsi="Arial"/>
          <w:sz w:val="16"/>
          <w:szCs w:val="16"/>
          <w:b w:val="1"/>
          <w:bCs w:val="1"/>
          <w:color w:val="auto"/>
        </w:rPr>
        <w:t>-- Balance Sheet Strength Fortified as Leverage Ratio Improves --</w:t>
      </w:r>
    </w:p>
    <w:p>
      <w:pPr>
        <w:spacing w:after="0" w:line="197"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 Barletta Continues Share Expansion in U.S. Aluminum Pontoon Segment</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p>
      <w:pPr>
        <w:spacing w:after="0" w:line="147" w:lineRule="exact"/>
        <w:rPr>
          <w:sz w:val="20"/>
          <w:szCs w:val="20"/>
          <w:color w:val="auto"/>
        </w:rPr>
      </w:pPr>
    </w:p>
    <w:p>
      <w:pPr>
        <w:jc w:val="center"/>
        <w:ind w:left="640"/>
        <w:spacing w:after="0"/>
        <w:rPr>
          <w:sz w:val="20"/>
          <w:szCs w:val="20"/>
          <w:color w:val="auto"/>
        </w:rPr>
      </w:pPr>
      <w:r>
        <w:rPr>
          <w:rFonts w:ascii="Arial" w:cs="Arial" w:eastAsia="Arial" w:hAnsi="Arial"/>
          <w:sz w:val="16"/>
          <w:szCs w:val="16"/>
          <w:b w:val="1"/>
          <w:bCs w:val="1"/>
          <w:color w:val="auto"/>
        </w:rPr>
        <w:t>-- Grand Design RV and Newmar Expand Share in Key Motorhome Segments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p>
      <w:pPr>
        <w:spacing w:after="0" w:line="150"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 Company Issues Fiscal 2026 Financial Guidance --</w:t>
      </w:r>
    </w:p>
    <w:p>
      <w:pPr>
        <w:spacing w:after="0" w:line="316" w:lineRule="exact"/>
        <w:rPr>
          <w:sz w:val="20"/>
          <w:szCs w:val="20"/>
          <w:color w:val="auto"/>
        </w:rPr>
      </w:pPr>
    </w:p>
    <w:p>
      <w:pPr>
        <w:ind w:right="520"/>
        <w:spacing w:after="0" w:line="409" w:lineRule="auto"/>
        <w:rPr>
          <w:sz w:val="20"/>
          <w:szCs w:val="20"/>
          <w:color w:val="auto"/>
        </w:rPr>
      </w:pPr>
      <w:r>
        <w:rPr>
          <w:rFonts w:ascii="Arial" w:cs="Arial" w:eastAsia="Arial" w:hAnsi="Arial"/>
          <w:sz w:val="16"/>
          <w:szCs w:val="16"/>
          <w:color w:val="auto"/>
        </w:rPr>
        <w:t>EDEN PRAIRIE, MINNESOTA, October 22, 2025 -- Winnebago Industries, Inc. (NYSE: WGO), a leading outdoor lifestyle product manufacturer, today reported financial results for the Company's fourth quarter and full year Fiscal 2025.</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Fiscal 2025 Financial Summary</w:t>
      </w:r>
    </w:p>
    <w:p>
      <w:pPr>
        <w:spacing w:after="0" w:line="10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revenues of $777.3 million, an increase of 7.8% from the fourth quarter of Fiscal 2024</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profit of $99.2 million, representing 12.8% gross margin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income of $13.7 million, or $0.49 per diluted share; adjusted earnings per diluted share of $0.71, up 153.6% year-over-year</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EBITDA of $38.2 million, up 33.1% year-over-year</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cash flow from operations of $181.4 million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leverage ratio improves to 3.1x at quarter-end</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Year Fiscal 2025 Financial Summary</w:t>
      </w:r>
    </w:p>
    <w:p>
      <w:pPr>
        <w:spacing w:after="0" w:line="1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Net revenues of $2,798.2 million, a decrease of 5.9% from Fiscal 2024</w:t>
      </w:r>
    </w:p>
    <w:p>
      <w:pPr>
        <w:spacing w:after="0" w:line="99" w:lineRule="exact"/>
        <w:rPr>
          <w:rFonts w:ascii="Arial" w:cs="Arial" w:eastAsia="Arial" w:hAnsi="Arial"/>
          <w:sz w:val="16"/>
          <w:szCs w:val="16"/>
          <w:b w:val="1"/>
          <w:bCs w:val="1"/>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profit of $365.1 million, representing 13.0% gross margin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of $25.7 million, or $0.91 per diluted share; adjusted earnings per diluted share of $1.67</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of $121.9 million, representing 4.4% adjusted EBITDA margin</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cash flow from operations of $128.9 million</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Commentary</w:t>
      </w:r>
    </w:p>
    <w:p>
      <w:pPr>
        <w:spacing w:after="0" w:line="248" w:lineRule="exact"/>
        <w:rPr>
          <w:sz w:val="20"/>
          <w:szCs w:val="20"/>
          <w:color w:val="auto"/>
        </w:rPr>
      </w:pPr>
    </w:p>
    <w:p>
      <w:pPr>
        <w:ind w:right="40"/>
        <w:spacing w:after="0" w:line="375" w:lineRule="auto"/>
        <w:rPr>
          <w:sz w:val="20"/>
          <w:szCs w:val="20"/>
          <w:color w:val="auto"/>
        </w:rPr>
      </w:pPr>
      <w:r>
        <w:rPr>
          <w:rFonts w:ascii="Arial" w:cs="Arial" w:eastAsia="Arial" w:hAnsi="Arial"/>
          <w:sz w:val="16"/>
          <w:szCs w:val="16"/>
          <w:color w:val="auto"/>
        </w:rPr>
        <w:t>“I am proud of our team’s efforts in delivering solid overall results in the fourth quarter, especially given the challenging operating environment,” said Michael Happe, President and Chief Executive Officer of Winnebago Industries. “We drove stronger revenue, improved profitability, gained share in key segments and delivered solid operating cash flow and an improved leverage position. Our performance clearly reflects the advantages of a diversified product portfolio, as strong momentum across our brands and product lines helped offset the operating margin pressure stemming from the ongoing turnaround of our Winnebago-branded businesses, which is proceeding positively."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jc w:val="both"/>
        <w:ind w:right="180"/>
        <w:spacing w:after="0" w:line="380" w:lineRule="auto"/>
        <w:rPr>
          <w:sz w:val="20"/>
          <w:szCs w:val="20"/>
          <w:color w:val="auto"/>
        </w:rPr>
      </w:pPr>
      <w:r>
        <w:rPr>
          <w:rFonts w:ascii="Arial" w:cs="Arial" w:eastAsia="Arial" w:hAnsi="Arial"/>
          <w:sz w:val="16"/>
          <w:szCs w:val="16"/>
          <w:color w:val="auto"/>
        </w:rPr>
        <w:t>“While industry conditions continue to reflect higher competitive discounts and allowances, we remain disciplined in how we manage production schedules and inventory levels,” Happe said. “Our focus on aligning our shipments with retail demand has positioned us well to support our dealer partners, maintain inventory health, and keep our brands strong in the eyes of consumers.</w:t>
      </w:r>
    </w:p>
    <w:p>
      <w:pPr>
        <w:spacing w:after="0" w:line="112" w:lineRule="exact"/>
        <w:rPr>
          <w:sz w:val="20"/>
          <w:szCs w:val="20"/>
          <w:color w:val="auto"/>
        </w:rPr>
      </w:pPr>
    </w:p>
    <w:p>
      <w:pPr>
        <w:spacing w:after="0" w:line="383" w:lineRule="auto"/>
        <w:rPr>
          <w:sz w:val="20"/>
          <w:szCs w:val="20"/>
          <w:color w:val="auto"/>
        </w:rPr>
      </w:pPr>
      <w:r>
        <w:rPr>
          <w:rFonts w:ascii="Arial" w:cs="Arial" w:eastAsia="Arial" w:hAnsi="Arial"/>
          <w:sz w:val="16"/>
          <w:szCs w:val="16"/>
          <w:color w:val="auto"/>
        </w:rPr>
        <w:t>“We were delighted with the enthusiasm at September’s RV Open House, where we debuted a range of exciting new products across our three RV brands. We also showcased the tremendous progress being made via the refreshed Winnebago-branded RV lineup and the ongoing rollout of our Grand Design motorized strategy. The positive feedback from our dealers and the interest in our newest models showcase the hard work our product teams are putting into innovating for today’s outdoor recreation customers.”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Fourth Quarter Fiscal 2025 Results</w:t>
      </w:r>
    </w:p>
    <w:p>
      <w:pPr>
        <w:spacing w:after="0" w:line="248" w:lineRule="exact"/>
        <w:rPr>
          <w:sz w:val="20"/>
          <w:szCs w:val="20"/>
          <w:color w:val="auto"/>
        </w:rPr>
      </w:pPr>
    </w:p>
    <w:p>
      <w:pPr>
        <w:spacing w:after="0" w:line="409" w:lineRule="auto"/>
        <w:rPr>
          <w:sz w:val="20"/>
          <w:szCs w:val="20"/>
          <w:color w:val="auto"/>
        </w:rPr>
      </w:pPr>
      <w:r>
        <w:rPr>
          <w:rFonts w:ascii="Arial" w:cs="Arial" w:eastAsia="Arial" w:hAnsi="Arial"/>
          <w:sz w:val="16"/>
          <w:szCs w:val="16"/>
          <w:color w:val="auto"/>
        </w:rPr>
        <w:t>Net revenues were $777.3 million, an increase of 7.8% compared to $720.9 million in the fourth quarter of Fiscal 2024, primarily due to favorable product mix and targeted price increases, partially offset by higher discounts and allowances.</w:t>
      </w:r>
    </w:p>
    <w:p>
      <w:pPr>
        <w:spacing w:after="0" w:line="75" w:lineRule="exact"/>
        <w:rPr>
          <w:sz w:val="20"/>
          <w:szCs w:val="20"/>
          <w:color w:val="auto"/>
        </w:rPr>
      </w:pPr>
    </w:p>
    <w:p>
      <w:pPr>
        <w:jc w:val="both"/>
        <w:ind w:right="220"/>
        <w:spacing w:after="0" w:line="389" w:lineRule="auto"/>
        <w:rPr>
          <w:sz w:val="20"/>
          <w:szCs w:val="20"/>
          <w:color w:val="auto"/>
        </w:rPr>
      </w:pPr>
      <w:r>
        <w:rPr>
          <w:rFonts w:ascii="Arial" w:cs="Arial" w:eastAsia="Arial" w:hAnsi="Arial"/>
          <w:sz w:val="16"/>
          <w:szCs w:val="16"/>
          <w:color w:val="auto"/>
        </w:rPr>
        <w:t>Gross profit was $99.2 million, an increase of 5.2% compared to $94.2 million in the fourth quarter of Fiscal 2024. Gross profit margin decreased 30 basis points in the quarter to 12.8%, primarily due to costs associated with the transformation of the Winnebago-branded businesses, partially offset by targeted price increases.</w:t>
      </w:r>
    </w:p>
    <w:p>
      <w:pPr>
        <w:spacing w:after="0" w:line="91" w:lineRule="exact"/>
        <w:rPr>
          <w:sz w:val="20"/>
          <w:szCs w:val="20"/>
          <w:color w:val="auto"/>
        </w:rPr>
      </w:pPr>
    </w:p>
    <w:p>
      <w:pPr>
        <w:ind w:right="100"/>
        <w:spacing w:after="0" w:line="383" w:lineRule="auto"/>
        <w:rPr>
          <w:sz w:val="20"/>
          <w:szCs w:val="20"/>
          <w:color w:val="auto"/>
        </w:rPr>
      </w:pPr>
      <w:r>
        <w:rPr>
          <w:rFonts w:ascii="Arial" w:cs="Arial" w:eastAsia="Arial" w:hAnsi="Arial"/>
          <w:sz w:val="16"/>
          <w:szCs w:val="16"/>
          <w:color w:val="auto"/>
        </w:rPr>
        <w:t>Operating expenses were $79.1 million, a decrease of 29.5% compared to $112.0 million in the fourth quarter of Fiscal 2024, primarily due to prior year goodwill impairment and cost reduction initiatives in Fiscal 2025, which more than offset Winnebago Industries' investments in its Grand Design motorhome business. As a percentage of net revenues, selling, general, and administrative expenses decreased by 100 basis points to 9.5% in the fourth quarter of Fiscal 2025 from 10.5% of net revenues in the fourth quarter of Fiscal 2024.</w:t>
      </w:r>
    </w:p>
    <w:p>
      <w:pPr>
        <w:spacing w:after="0" w:line="95" w:lineRule="exact"/>
        <w:rPr>
          <w:sz w:val="20"/>
          <w:szCs w:val="20"/>
          <w:color w:val="auto"/>
        </w:rPr>
      </w:pPr>
    </w:p>
    <w:p>
      <w:pPr>
        <w:jc w:val="both"/>
        <w:spacing w:after="0" w:line="409" w:lineRule="auto"/>
        <w:rPr>
          <w:sz w:val="20"/>
          <w:szCs w:val="20"/>
          <w:color w:val="auto"/>
        </w:rPr>
      </w:pPr>
      <w:r>
        <w:rPr>
          <w:rFonts w:ascii="Arial" w:cs="Arial" w:eastAsia="Arial" w:hAnsi="Arial"/>
          <w:sz w:val="16"/>
          <w:szCs w:val="16"/>
          <w:color w:val="auto"/>
        </w:rPr>
        <w:t>Operating income was $20.1 million compared to an operating loss of $17.8 million in the fourth quarter of Fiscal 2024, which included a previously disclosed $30.3 million goodwill impairment charge.</w:t>
      </w:r>
    </w:p>
    <w:p>
      <w:pPr>
        <w:spacing w:after="0" w:line="88" w:lineRule="exact"/>
        <w:rPr>
          <w:sz w:val="20"/>
          <w:szCs w:val="20"/>
          <w:color w:val="auto"/>
        </w:rPr>
      </w:pPr>
    </w:p>
    <w:p>
      <w:pPr>
        <w:jc w:val="both"/>
        <w:spacing w:after="0" w:line="389" w:lineRule="auto"/>
        <w:rPr>
          <w:sz w:val="20"/>
          <w:szCs w:val="20"/>
          <w:color w:val="auto"/>
        </w:rPr>
      </w:pPr>
      <w:r>
        <w:rPr>
          <w:rFonts w:ascii="Arial" w:cs="Arial" w:eastAsia="Arial" w:hAnsi="Arial"/>
          <w:sz w:val="16"/>
          <w:szCs w:val="16"/>
          <w:color w:val="auto"/>
        </w:rPr>
        <w:t>Net income was $13.7 million, compared to a net loss of $29.1 million in the fourth quarter of Fiscal 2024. Reported net income per diluted share was $0.49, compared to a reported net loss per diluted share of $1.01 in the fourth quarter of Fiscal 2024. Adjusted earnings per diluted share was $0.71, an increase of 153.6% compared to adjusted earnings per diluted share of $0.28 in the fourth quarter of Fiscal 2024.</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$38.2 million, an increase of 33.1%, compared to $28.7 million in the fourth quarter of Fiscal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Year Fiscal 2025 Results</w:t>
      </w:r>
    </w:p>
    <w:p>
      <w:pPr>
        <w:spacing w:after="0" w:line="235" w:lineRule="exact"/>
        <w:rPr>
          <w:sz w:val="20"/>
          <w:szCs w:val="20"/>
          <w:color w:val="auto"/>
        </w:rPr>
      </w:pPr>
    </w:p>
    <w:p>
      <w:pPr>
        <w:ind w:right="400"/>
        <w:spacing w:after="0" w:line="409" w:lineRule="auto"/>
        <w:rPr>
          <w:sz w:val="20"/>
          <w:szCs w:val="20"/>
          <w:color w:val="auto"/>
        </w:rPr>
      </w:pPr>
      <w:r>
        <w:rPr>
          <w:rFonts w:ascii="Arial" w:cs="Arial" w:eastAsia="Arial" w:hAnsi="Arial"/>
          <w:sz w:val="16"/>
          <w:szCs w:val="16"/>
          <w:color w:val="auto"/>
        </w:rPr>
        <w:t>Net revenues were $2.8 billion, a decrease of 5.9% compared to $3.0 billion in Fiscal 2024, primarily due to a reduction in average selling price per unit related to product mix and lower unit volume, partially offset by targeted price increases.</w:t>
      </w:r>
    </w:p>
    <w:p>
      <w:pPr>
        <w:spacing w:after="0" w:line="88" w:lineRule="exact"/>
        <w:rPr>
          <w:sz w:val="20"/>
          <w:szCs w:val="20"/>
          <w:color w:val="auto"/>
        </w:rPr>
      </w:pPr>
    </w:p>
    <w:p>
      <w:pPr>
        <w:ind w:right="120"/>
        <w:spacing w:after="0" w:line="409" w:lineRule="auto"/>
        <w:rPr>
          <w:sz w:val="20"/>
          <w:szCs w:val="20"/>
          <w:color w:val="auto"/>
        </w:rPr>
      </w:pPr>
      <w:r>
        <w:rPr>
          <w:rFonts w:ascii="Arial" w:cs="Arial" w:eastAsia="Arial" w:hAnsi="Arial"/>
          <w:sz w:val="16"/>
          <w:szCs w:val="16"/>
          <w:color w:val="auto"/>
        </w:rPr>
        <w:t>Gross profit was $365.1 million, a decrease of 15.8% compared to $433.5 million in Fiscal 2024. Gross profit margin decreased 160 basis points year-over-year to 13.0% primarily due to deleverage and slightly higher warranty experience.</w:t>
      </w:r>
    </w:p>
    <w:p>
      <w:pPr>
        <w:spacing w:after="0" w:line="75" w:lineRule="exact"/>
        <w:rPr>
          <w:sz w:val="20"/>
          <w:szCs w:val="20"/>
          <w:color w:val="auto"/>
        </w:rPr>
      </w:pPr>
    </w:p>
    <w:p>
      <w:pPr>
        <w:jc w:val="both"/>
        <w:ind w:right="200"/>
        <w:spacing w:after="0" w:line="389" w:lineRule="auto"/>
        <w:rPr>
          <w:sz w:val="20"/>
          <w:szCs w:val="20"/>
          <w:color w:val="auto"/>
        </w:rPr>
      </w:pPr>
      <w:r>
        <w:rPr>
          <w:rFonts w:ascii="Arial" w:cs="Arial" w:eastAsia="Arial" w:hAnsi="Arial"/>
          <w:sz w:val="16"/>
          <w:szCs w:val="16"/>
          <w:color w:val="auto"/>
        </w:rPr>
        <w:t>Operating expenses were $307.9 million, compared to $333.3 million in Fiscal 2024. The decrease was primarily due to the prior year goodwill impairment and cost reduction initiatives in the current year, partially offset by investments to support the growth of the Grand Design motorhome and Barletta marine businesses.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was $57.2 million, a decrease of 42.9% compared to $100.2 million in Fiscal 2024.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084" w:right="359" w:bottom="1440" w:gutter="0" w:footer="0" w:header="0"/>
        </w:sectPr>
      </w:pPr>
    </w:p>
    <w:bookmarkStart w:id="5" w:name="page6"/>
    <w:bookmarkEnd w:id="5"/>
    <w:p>
      <w:pPr>
        <w:jc w:val="both"/>
        <w:ind w:right="500"/>
        <w:spacing w:after="0" w:line="380" w:lineRule="auto"/>
        <w:rPr>
          <w:sz w:val="20"/>
          <w:szCs w:val="20"/>
          <w:color w:val="auto"/>
        </w:rPr>
      </w:pPr>
      <w:r>
        <w:rPr>
          <w:rFonts w:ascii="Arial" w:cs="Arial" w:eastAsia="Arial" w:hAnsi="Arial"/>
          <w:sz w:val="16"/>
          <w:szCs w:val="16"/>
          <w:color w:val="auto"/>
        </w:rPr>
        <w:t>Net income was $25.7 million, compared to net income of $13.0 million in Fiscal 2024. Reported earnings per diluted share was $0.91, an increase of 106.8% compared to reported earnings per diluted share of $0.44 in Fiscal 2024. Adjusted earnings per diluted share was $1.67, a decrease of 50.9% compared to adjusted earnings per diluted share of $3.40 in Fiscal 2024.</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$121.9 million, a decrease of 36.0%, compared to $190.6 million in Fiscal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80" w:type="dxa"/>
            <w:vAlign w:val="bottom"/>
            <w:gridSpan w:val="2"/>
          </w:tcPr>
          <w:p>
            <w:pPr>
              <w:spacing w:after="0"/>
              <w:rPr>
                <w:sz w:val="20"/>
                <w:szCs w:val="20"/>
                <w:color w:val="auto"/>
              </w:rPr>
            </w:pPr>
            <w:r>
              <w:rPr>
                <w:rFonts w:ascii="Arial" w:cs="Arial" w:eastAsia="Arial" w:hAnsi="Arial"/>
                <w:sz w:val="16"/>
                <w:szCs w:val="16"/>
                <w:b w:val="1"/>
                <w:bCs w:val="1"/>
                <w:color w:val="auto"/>
              </w:rPr>
              <w:t>Fourth Quarter and Fiscal 2025 Segments Summary</w:t>
            </w: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45"/>
        </w:trPr>
        <w:tc>
          <w:tcPr>
            <w:tcW w:w="4680" w:type="dxa"/>
            <w:vAlign w:val="bottom"/>
            <w:gridSpan w:val="2"/>
          </w:tcPr>
          <w:p>
            <w:pPr>
              <w:spacing w:after="0"/>
              <w:rPr>
                <w:sz w:val="20"/>
                <w:szCs w:val="20"/>
                <w:color w:val="auto"/>
              </w:rPr>
            </w:pPr>
            <w:r>
              <w:rPr>
                <w:rFonts w:ascii="Arial" w:cs="Arial" w:eastAsia="Arial" w:hAnsi="Arial"/>
                <w:sz w:val="16"/>
                <w:szCs w:val="16"/>
                <w:color w:val="auto"/>
              </w:rPr>
              <w:t>Towable RV</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4"/>
        </w:trPr>
        <w:tc>
          <w:tcPr>
            <w:tcW w:w="86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2120" w:type="dxa"/>
            <w:vAlign w:val="bottom"/>
            <w:tcBorders>
              <w:bottom w:val="single" w:sz="8" w:color="auto"/>
            </w:tcBorders>
          </w:tcPr>
          <w:p>
            <w:pPr>
              <w:spacing w:after="0"/>
              <w:rPr>
                <w:sz w:val="24"/>
                <w:szCs w:val="24"/>
                <w:color w:val="auto"/>
              </w:rPr>
            </w:pPr>
          </w:p>
        </w:tc>
      </w:tr>
      <w:tr>
        <w:trPr>
          <w:trHeight w:val="210"/>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30, 2025</w:t>
            </w:r>
          </w:p>
        </w:tc>
        <w:tc>
          <w:tcPr>
            <w:tcW w:w="18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August 31, 2024</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306.3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317.0</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38.3 %</w:t>
            </w:r>
          </w:p>
        </w:tc>
      </w:tr>
      <w:tr>
        <w:trPr>
          <w:trHeight w:val="217"/>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 bps</w:t>
            </w:r>
          </w:p>
        </w:tc>
      </w:tr>
    </w:tbl>
    <w:p>
      <w:pPr>
        <w:spacing w:after="0" w:line="75" w:lineRule="exact"/>
        <w:rPr>
          <w:sz w:val="20"/>
          <w:szCs w:val="20"/>
          <w:color w:val="auto"/>
        </w:rPr>
      </w:pPr>
    </w:p>
    <w:p>
      <w:pPr>
        <w:ind w:left="280" w:hanging="272"/>
        <w:spacing w:after="0"/>
        <w:tabs>
          <w:tab w:leader="none" w:pos="2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196" w:lineRule="exact"/>
        <w:rPr>
          <w:rFonts w:ascii="Arial" w:cs="Arial" w:eastAsia="Arial" w:hAnsi="Arial"/>
          <w:sz w:val="21"/>
          <w:szCs w:val="21"/>
          <w:color w:val="auto"/>
          <w:vertAlign w:val="superscript"/>
        </w:rPr>
      </w:pPr>
    </w:p>
    <w:p>
      <w:pPr>
        <w:ind w:left="660" w:right="180" w:hanging="328"/>
        <w:spacing w:after="0" w:line="40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Net revenues decreased primarily due to a shift in product mix towards lower price-point models and lower unit volume, partially offset by targeted price increases.</w:t>
      </w:r>
    </w:p>
    <w:p>
      <w:pPr>
        <w:spacing w:after="0" w:line="74" w:lineRule="exact"/>
        <w:rPr>
          <w:rFonts w:ascii="Arial" w:cs="Arial" w:eastAsia="Arial" w:hAnsi="Arial"/>
          <w:sz w:val="16"/>
          <w:szCs w:val="16"/>
          <w:color w:val="auto"/>
        </w:rPr>
      </w:pPr>
    </w:p>
    <w:p>
      <w:pPr>
        <w:ind w:left="660" w:right="380" w:hanging="328"/>
        <w:spacing w:after="0" w:line="40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Operating income margin increased primarily due to targeted price increases and transformation efforts resulting in operating efficiencies in the Winnebago towables business, partially offset by higher warranty experience and deleverage.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120" w:type="dxa"/>
            <w:vAlign w:val="bottom"/>
            <w:tcBorders>
              <w:bottom w:val="single" w:sz="8" w:color="auto"/>
            </w:tcBorders>
          </w:tcPr>
          <w:p>
            <w:pPr>
              <w:spacing w:after="0"/>
              <w:rPr>
                <w:sz w:val="18"/>
                <w:szCs w:val="18"/>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30, 2025</w:t>
            </w:r>
          </w:p>
        </w:tc>
        <w:tc>
          <w:tcPr>
            <w:tcW w:w="26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August 31, 2024</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1,220.2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1,318.8</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139"/>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17"/>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 bps</w:t>
            </w:r>
          </w:p>
        </w:tc>
      </w:tr>
    </w:tbl>
    <w:p>
      <w:pPr>
        <w:spacing w:after="0" w:line="7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196" w:lineRule="exact"/>
        <w:rPr>
          <w:rFonts w:ascii="Arial" w:cs="Arial" w:eastAsia="Arial" w:hAnsi="Arial"/>
          <w:sz w:val="21"/>
          <w:szCs w:val="21"/>
          <w:color w:val="auto"/>
          <w:vertAlign w:val="superscript"/>
        </w:rPr>
      </w:pPr>
    </w:p>
    <w:p>
      <w:pPr>
        <w:ind w:left="660" w:right="260" w:hanging="328"/>
        <w:spacing w:after="0" w:line="409"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Net revenues decreased primarily due to a shift in product mix toward lower price-point models and lower unit volume, partially offset by targeted price increases.</w:t>
      </w:r>
    </w:p>
    <w:p>
      <w:pPr>
        <w:spacing w:after="0" w:line="88"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Operating income margin decreased primarily due to deleverage, including that associated with product mix, and higher warranty experience.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08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4680" w:type="dxa"/>
            <w:vAlign w:val="bottom"/>
            <w:gridSpan w:val="2"/>
          </w:tcPr>
          <w:p>
            <w:pPr>
              <w:spacing w:after="0"/>
              <w:rPr>
                <w:sz w:val="20"/>
                <w:szCs w:val="20"/>
                <w:color w:val="auto"/>
              </w:rPr>
            </w:pPr>
            <w:r>
              <w:rPr>
                <w:rFonts w:ascii="Arial" w:cs="Arial" w:eastAsia="Arial" w:hAnsi="Arial"/>
                <w:sz w:val="16"/>
                <w:szCs w:val="16"/>
                <w:color w:val="auto"/>
              </w:rPr>
              <w:t>Motorhome RV</w:t>
            </w:r>
          </w:p>
        </w:tc>
        <w:tc>
          <w:tcPr>
            <w:tcW w:w="2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04"/>
        </w:trPr>
        <w:tc>
          <w:tcPr>
            <w:tcW w:w="110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2120" w:type="dxa"/>
            <w:vAlign w:val="bottom"/>
            <w:tcBorders>
              <w:bottom w:val="single" w:sz="8" w:color="auto"/>
            </w:tcBorders>
          </w:tcPr>
          <w:p>
            <w:pPr>
              <w:spacing w:after="0"/>
              <w:rPr>
                <w:sz w:val="24"/>
                <w:szCs w:val="24"/>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30, 2025</w:t>
            </w:r>
          </w:p>
        </w:tc>
        <w:tc>
          <w:tcPr>
            <w:tcW w:w="18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August 31, 2024</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361.2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308.0</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17.3 %</w:t>
            </w:r>
          </w:p>
        </w:tc>
      </w:tr>
      <w:tr>
        <w:trPr>
          <w:trHeight w:val="215"/>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20" w:type="dxa"/>
            <w:vAlign w:val="bottom"/>
          </w:tcPr>
          <w:p>
            <w:pPr>
              <w:ind w:left="13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4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ind w:left="1340"/>
              <w:spacing w:after="0"/>
              <w:rPr>
                <w:sz w:val="20"/>
                <w:szCs w:val="20"/>
                <w:color w:val="auto"/>
              </w:rPr>
            </w:pPr>
            <w:r>
              <w:rPr>
                <w:rFonts w:ascii="Arial" w:cs="Arial" w:eastAsia="Arial" w:hAnsi="Arial"/>
                <w:sz w:val="16"/>
                <w:szCs w:val="16"/>
                <w:color w:val="auto"/>
                <w:w w:val="97"/>
              </w:rPr>
              <w:t>(0.1)%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 bps</w:t>
            </w:r>
          </w:p>
        </w:tc>
      </w:tr>
    </w:tbl>
    <w:p>
      <w:pPr>
        <w:spacing w:after="0" w:line="126" w:lineRule="exact"/>
        <w:rPr>
          <w:sz w:val="20"/>
          <w:szCs w:val="20"/>
          <w:color w:val="auto"/>
        </w:rPr>
      </w:pPr>
    </w:p>
    <w:p>
      <w:pPr>
        <w:ind w:right="2880" w:firstLine="8"/>
        <w:spacing w:after="0" w:line="320" w:lineRule="auto"/>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 xml:space="preserve">Amounts are calculated based on unrounded numbers and therefore may not recalculate using the rounded numbers provided.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39" w:lineRule="exact"/>
        <w:rPr>
          <w:rFonts w:ascii="Arial" w:cs="Arial" w:eastAsia="Arial" w:hAnsi="Arial"/>
          <w:sz w:val="21"/>
          <w:szCs w:val="21"/>
          <w:color w:val="auto"/>
          <w:vertAlign w:val="superscript"/>
        </w:rPr>
      </w:pPr>
    </w:p>
    <w:p>
      <w:pPr>
        <w:ind w:left="640" w:hanging="308"/>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Net revenues increased primarily due to higher unit volume and favorable product mix, partially offset by higher discounts and allowances.</w:t>
      </w:r>
    </w:p>
    <w:p>
      <w:pPr>
        <w:spacing w:after="0" w:line="99" w:lineRule="exact"/>
        <w:rPr>
          <w:rFonts w:ascii="Arial" w:cs="Arial" w:eastAsia="Arial" w:hAnsi="Arial"/>
          <w:sz w:val="16"/>
          <w:szCs w:val="16"/>
          <w:color w:val="auto"/>
        </w:rPr>
      </w:pPr>
    </w:p>
    <w:p>
      <w:pPr>
        <w:ind w:left="660" w:right="220" w:hanging="328"/>
        <w:spacing w:after="0" w:line="409" w:lineRule="auto"/>
        <w:tabs>
          <w:tab w:leader="none" w:pos="649" w:val="left"/>
        </w:tabs>
        <w:numPr>
          <w:ilvl w:val="1"/>
          <w:numId w:val="6"/>
        </w:numPr>
        <w:rPr>
          <w:rFonts w:ascii="Arial" w:cs="Arial" w:eastAsia="Arial" w:hAnsi="Arial"/>
          <w:sz w:val="16"/>
          <w:szCs w:val="16"/>
          <w:color w:val="auto"/>
        </w:rPr>
      </w:pPr>
      <w:r>
        <w:rPr>
          <w:rFonts w:ascii="Arial" w:cs="Arial" w:eastAsia="Arial" w:hAnsi="Arial"/>
          <w:sz w:val="16"/>
          <w:szCs w:val="16"/>
          <w:color w:val="auto"/>
        </w:rPr>
        <w:t>Operating income margin decreased primarily due to costs associated with the transformation of the Winnebago motorhome business and higher discounts and allowances, partially offset by leverage and lower warranty expense.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120" w:type="dxa"/>
            <w:vAlign w:val="bottom"/>
            <w:tcBorders>
              <w:bottom w:val="single" w:sz="8" w:color="auto"/>
            </w:tcBorders>
          </w:tcPr>
          <w:p>
            <w:pPr>
              <w:spacing w:after="0"/>
              <w:rPr>
                <w:sz w:val="18"/>
                <w:szCs w:val="18"/>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30, 2025</w:t>
            </w:r>
          </w:p>
        </w:tc>
        <w:tc>
          <w:tcPr>
            <w:tcW w:w="26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August 31, 2024</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1,159.7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1,279.8</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Pr>
          <w:p>
            <w:pPr>
              <w:ind w:left="136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139"/>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ind w:left="1360"/>
              <w:spacing w:after="0"/>
              <w:rPr>
                <w:sz w:val="20"/>
                <w:szCs w:val="20"/>
                <w:color w:val="auto"/>
              </w:rPr>
            </w:pPr>
            <w:r>
              <w:rPr>
                <w:rFonts w:ascii="Arial" w:cs="Arial" w:eastAsia="Arial" w:hAnsi="Arial"/>
                <w:sz w:val="16"/>
                <w:szCs w:val="16"/>
                <w:color w:val="auto"/>
                <w:w w:val="97"/>
              </w:rPr>
              <w:t>(0.6)%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(470) bps</w:t>
            </w:r>
          </w:p>
        </w:tc>
      </w:tr>
    </w:tbl>
    <w:p>
      <w:pPr>
        <w:spacing w:after="0" w:line="126" w:lineRule="exact"/>
        <w:rPr>
          <w:sz w:val="20"/>
          <w:szCs w:val="20"/>
          <w:color w:val="auto"/>
        </w:rPr>
      </w:pPr>
    </w:p>
    <w:p>
      <w:pPr>
        <w:ind w:right="2880" w:firstLine="8"/>
        <w:spacing w:after="0" w:line="320" w:lineRule="auto"/>
        <w:tabs>
          <w:tab w:leader="none" w:pos="2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 xml:space="preserve">Amounts are calculated based on unrounded numbers and therefore may not recalculate using the rounded numbers provided.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39" w:lineRule="exact"/>
        <w:rPr>
          <w:rFonts w:ascii="Arial" w:cs="Arial" w:eastAsia="Arial" w:hAnsi="Arial"/>
          <w:sz w:val="21"/>
          <w:szCs w:val="21"/>
          <w:color w:val="auto"/>
          <w:vertAlign w:val="superscript"/>
        </w:rPr>
      </w:pPr>
    </w:p>
    <w:p>
      <w:pPr>
        <w:ind w:left="660" w:right="220" w:hanging="328"/>
        <w:spacing w:after="0" w:line="409" w:lineRule="auto"/>
        <w:tabs>
          <w:tab w:leader="none" w:pos="649" w:val="left"/>
        </w:tabs>
        <w:numPr>
          <w:ilvl w:val="1"/>
          <w:numId w:val="7"/>
        </w:numPr>
        <w:rPr>
          <w:rFonts w:ascii="Arial" w:cs="Arial" w:eastAsia="Arial" w:hAnsi="Arial"/>
          <w:sz w:val="16"/>
          <w:szCs w:val="16"/>
          <w:color w:val="auto"/>
        </w:rPr>
      </w:pPr>
      <w:r>
        <w:rPr>
          <w:rFonts w:ascii="Arial" w:cs="Arial" w:eastAsia="Arial" w:hAnsi="Arial"/>
          <w:sz w:val="16"/>
          <w:szCs w:val="16"/>
          <w:color w:val="auto"/>
        </w:rPr>
        <w:t>Net revenues decreased primarily due to lower unit volume and higher discounts and allowances related to the Winnebago motorhome business, partially offset by the introduction of the Grand Design motorhome business and product mix.</w:t>
      </w:r>
    </w:p>
    <w:p>
      <w:pPr>
        <w:spacing w:after="0" w:line="88" w:lineRule="exact"/>
        <w:rPr>
          <w:rFonts w:ascii="Arial" w:cs="Arial" w:eastAsia="Arial" w:hAnsi="Arial"/>
          <w:sz w:val="16"/>
          <w:szCs w:val="16"/>
          <w:color w:val="auto"/>
        </w:rPr>
      </w:pPr>
    </w:p>
    <w:p>
      <w:pPr>
        <w:ind w:left="660" w:right="420" w:hanging="328"/>
        <w:spacing w:after="0" w:line="409" w:lineRule="auto"/>
        <w:tabs>
          <w:tab w:leader="none" w:pos="649" w:val="left"/>
        </w:tabs>
        <w:numPr>
          <w:ilvl w:val="1"/>
          <w:numId w:val="7"/>
        </w:numPr>
        <w:rPr>
          <w:rFonts w:ascii="Arial" w:cs="Arial" w:eastAsia="Arial" w:hAnsi="Arial"/>
          <w:sz w:val="16"/>
          <w:szCs w:val="16"/>
          <w:color w:val="auto"/>
        </w:rPr>
      </w:pPr>
      <w:r>
        <w:rPr>
          <w:rFonts w:ascii="Arial" w:cs="Arial" w:eastAsia="Arial" w:hAnsi="Arial"/>
          <w:sz w:val="16"/>
          <w:szCs w:val="16"/>
          <w:color w:val="auto"/>
        </w:rPr>
        <w:t>Operating income margin decreased primarily due to higher discounts and allowances and volume deleverage associated with the Winnebago motorhome business.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gridSpan w:val="2"/>
          </w:tcPr>
          <w:p>
            <w:pPr>
              <w:spacing w:after="0"/>
              <w:rPr>
                <w:sz w:val="20"/>
                <w:szCs w:val="20"/>
                <w:color w:val="auto"/>
              </w:rPr>
            </w:pPr>
            <w:r>
              <w:rPr>
                <w:rFonts w:ascii="Arial" w:cs="Arial" w:eastAsia="Arial" w:hAnsi="Arial"/>
                <w:sz w:val="16"/>
                <w:szCs w:val="16"/>
                <w:color w:val="auto"/>
              </w:rPr>
              <w:t>Marine</w:t>
            </w:r>
          </w:p>
        </w:tc>
        <w:tc>
          <w:tcPr>
            <w:tcW w:w="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Three Months Ended</w:t>
            </w:r>
          </w:p>
        </w:tc>
        <w:tc>
          <w:tcPr>
            <w:tcW w:w="2140" w:type="dxa"/>
            <w:vAlign w:val="bottom"/>
            <w:tcBorders>
              <w:bottom w:val="single" w:sz="8" w:color="auto"/>
            </w:tcBorders>
          </w:tcPr>
          <w:p>
            <w:pPr>
              <w:spacing w:after="0"/>
              <w:rPr>
                <w:sz w:val="24"/>
                <w:szCs w:val="24"/>
                <w:color w:val="auto"/>
              </w:rPr>
            </w:pPr>
          </w:p>
        </w:tc>
      </w:tr>
      <w:tr>
        <w:trPr>
          <w:trHeight w:val="210"/>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30, 2025</w:t>
            </w:r>
          </w:p>
        </w:tc>
        <w:tc>
          <w:tcPr>
            <w:tcW w:w="18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August 31, 2024</w:t>
            </w:r>
          </w:p>
        </w:tc>
        <w:tc>
          <w:tcPr>
            <w:tcW w:w="214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80.5</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r>
      <w:tr>
        <w:trPr>
          <w:trHeight w:val="215"/>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Pr>
          <w:p>
            <w:pPr>
              <w:ind w:left="1360"/>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ind w:left="1360"/>
              <w:spacing w:after="0"/>
              <w:rPr>
                <w:sz w:val="20"/>
                <w:szCs w:val="20"/>
                <w:color w:val="auto"/>
              </w:rPr>
            </w:pPr>
            <w:r>
              <w:rPr>
                <w:rFonts w:ascii="Arial" w:cs="Arial" w:eastAsia="Arial" w:hAnsi="Arial"/>
                <w:sz w:val="16"/>
                <w:szCs w:val="16"/>
                <w:color w:val="auto"/>
                <w:w w:val="99"/>
              </w:rPr>
              <w:t>(33.7)%</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4,080 bps</w:t>
            </w:r>
          </w:p>
        </w:tc>
      </w:tr>
    </w:tbl>
    <w:p>
      <w:pPr>
        <w:spacing w:after="0" w:line="126" w:lineRule="exact"/>
        <w:rPr>
          <w:sz w:val="20"/>
          <w:szCs w:val="20"/>
          <w:color w:val="auto"/>
        </w:rPr>
      </w:pPr>
    </w:p>
    <w:p>
      <w:pPr>
        <w:ind w:right="2880" w:firstLine="8"/>
        <w:spacing w:after="0" w:line="320" w:lineRule="auto"/>
        <w:tabs>
          <w:tab w:leader="none" w:pos="2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 xml:space="preserve">Amounts are calculated based on unrounded numbers and therefore may not recalculate using the rounded numbers provided.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53" w:lineRule="exact"/>
        <w:rPr>
          <w:rFonts w:ascii="Arial" w:cs="Arial" w:eastAsia="Arial" w:hAnsi="Arial"/>
          <w:sz w:val="21"/>
          <w:szCs w:val="21"/>
          <w:color w:val="auto"/>
          <w:vertAlign w:val="superscript"/>
        </w:rPr>
      </w:pPr>
    </w:p>
    <w:p>
      <w:pPr>
        <w:ind w:left="640" w:hanging="308"/>
        <w:spacing w:after="0"/>
        <w:tabs>
          <w:tab w:leader="none" w:pos="640" w:val="left"/>
        </w:tabs>
        <w:numPr>
          <w:ilvl w:val="1"/>
          <w:numId w:val="8"/>
        </w:numPr>
        <w:rPr>
          <w:rFonts w:ascii="Arial" w:cs="Arial" w:eastAsia="Arial" w:hAnsi="Arial"/>
          <w:sz w:val="16"/>
          <w:szCs w:val="16"/>
          <w:color w:val="auto"/>
        </w:rPr>
      </w:pPr>
      <w:r>
        <w:rPr>
          <w:rFonts w:ascii="Arial" w:cs="Arial" w:eastAsia="Arial" w:hAnsi="Arial"/>
          <w:sz w:val="16"/>
          <w:szCs w:val="16"/>
          <w:color w:val="auto"/>
        </w:rPr>
        <w:t>Net revenues increased primarily due to higher unit volume and targeted price increases.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1"/>
          <w:numId w:val="8"/>
        </w:numPr>
        <w:rPr>
          <w:rFonts w:ascii="Arial" w:cs="Arial" w:eastAsia="Arial" w:hAnsi="Arial"/>
          <w:sz w:val="16"/>
          <w:szCs w:val="16"/>
          <w:color w:val="auto"/>
        </w:rPr>
      </w:pPr>
      <w:r>
        <w:rPr>
          <w:rFonts w:ascii="Arial" w:cs="Arial" w:eastAsia="Arial" w:hAnsi="Arial"/>
          <w:sz w:val="16"/>
          <w:szCs w:val="16"/>
          <w:color w:val="auto"/>
        </w:rPr>
        <w:t>Operating income margin increased primarily due to prior year goodwill impairment, leverage, and targeted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2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7"/>
        </w:trPr>
        <w:tc>
          <w:tcPr>
            <w:tcW w:w="4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120" w:type="dxa"/>
            <w:vAlign w:val="bottom"/>
            <w:tcBorders>
              <w:bottom w:val="single" w:sz="8" w:color="auto"/>
            </w:tcBorders>
          </w:tcPr>
          <w:p>
            <w:pPr>
              <w:spacing w:after="0"/>
              <w:rPr>
                <w:sz w:val="18"/>
                <w:szCs w:val="18"/>
                <w:color w:val="auto"/>
              </w:rPr>
            </w:pPr>
          </w:p>
        </w:tc>
      </w:tr>
      <w:tr>
        <w:trPr>
          <w:trHeight w:val="210"/>
        </w:trPr>
        <w:tc>
          <w:tcPr>
            <w:tcW w:w="468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b w:val="1"/>
                <w:bCs w:val="1"/>
                <w:color w:val="auto"/>
              </w:rPr>
              <w:t>August 30, 2025</w:t>
            </w:r>
          </w:p>
        </w:tc>
        <w:tc>
          <w:tcPr>
            <w:tcW w:w="26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August 31, 2024</w:t>
            </w:r>
          </w:p>
        </w:tc>
        <w:tc>
          <w:tcPr>
            <w:tcW w:w="2120" w:type="dxa"/>
            <w:vAlign w:val="bottom"/>
          </w:tcPr>
          <w:p>
            <w:pPr>
              <w:jc w:val="right"/>
              <w:ind w:right="61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367.8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325.5</w:t>
            </w: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1,170 bps</w:t>
            </w:r>
          </w:p>
        </w:tc>
      </w:tr>
    </w:tbl>
    <w:p>
      <w:pPr>
        <w:spacing w:after="0" w:line="126" w:lineRule="exact"/>
        <w:rPr>
          <w:sz w:val="20"/>
          <w:szCs w:val="20"/>
          <w:color w:val="auto"/>
        </w:rPr>
      </w:pPr>
    </w:p>
    <w:p>
      <w:pPr>
        <w:ind w:right="2880" w:firstLine="8"/>
        <w:spacing w:after="0" w:line="320" w:lineRule="auto"/>
        <w:tabs>
          <w:tab w:leader="none" w:pos="2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 xml:space="preserve">Amounts are calculated based on unrounded numbers and therefore may not recalculate using the rounded numbers provided.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39" w:lineRule="exact"/>
        <w:rPr>
          <w:rFonts w:ascii="Arial" w:cs="Arial" w:eastAsia="Arial" w:hAnsi="Arial"/>
          <w:sz w:val="21"/>
          <w:szCs w:val="21"/>
          <w:color w:val="auto"/>
          <w:vertAlign w:val="superscript"/>
        </w:rPr>
      </w:pPr>
    </w:p>
    <w:p>
      <w:pPr>
        <w:ind w:left="640" w:hanging="308"/>
        <w:spacing w:after="0"/>
        <w:tabs>
          <w:tab w:leader="none" w:pos="640" w:val="left"/>
        </w:tabs>
        <w:numPr>
          <w:ilvl w:val="1"/>
          <w:numId w:val="9"/>
        </w:numPr>
        <w:rPr>
          <w:rFonts w:ascii="Arial" w:cs="Arial" w:eastAsia="Arial" w:hAnsi="Arial"/>
          <w:sz w:val="16"/>
          <w:szCs w:val="16"/>
          <w:color w:val="auto"/>
        </w:rPr>
      </w:pPr>
      <w:r>
        <w:rPr>
          <w:rFonts w:ascii="Arial" w:cs="Arial" w:eastAsia="Arial" w:hAnsi="Arial"/>
          <w:sz w:val="16"/>
          <w:szCs w:val="16"/>
          <w:color w:val="auto"/>
        </w:rPr>
        <w:t>Net revenues increased primarily due to higher unit volume and targeted price increases, partially offset by product mix.</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1"/>
          <w:numId w:val="9"/>
        </w:numPr>
        <w:rPr>
          <w:rFonts w:ascii="Arial" w:cs="Arial" w:eastAsia="Arial" w:hAnsi="Arial"/>
          <w:sz w:val="16"/>
          <w:szCs w:val="16"/>
          <w:color w:val="auto"/>
        </w:rPr>
      </w:pPr>
      <w:r>
        <w:rPr>
          <w:rFonts w:ascii="Arial" w:cs="Arial" w:eastAsia="Arial" w:hAnsi="Arial"/>
          <w:sz w:val="16"/>
          <w:szCs w:val="16"/>
          <w:color w:val="auto"/>
        </w:rPr>
        <w:t>Operating income margin increased due to prior year goodwill impairment, targeted price increases, and volume leverage.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Cash Flow</w:t>
      </w:r>
    </w:p>
    <w:p>
      <w:pPr>
        <w:spacing w:after="0" w:line="100" w:lineRule="exact"/>
        <w:rPr>
          <w:sz w:val="20"/>
          <w:szCs w:val="20"/>
          <w:color w:val="auto"/>
        </w:rPr>
      </w:pPr>
    </w:p>
    <w:p>
      <w:pPr>
        <w:ind w:right="40"/>
        <w:spacing w:after="0" w:line="375" w:lineRule="auto"/>
        <w:rPr>
          <w:sz w:val="20"/>
          <w:szCs w:val="20"/>
          <w:color w:val="auto"/>
        </w:rPr>
      </w:pPr>
      <w:r>
        <w:rPr>
          <w:rFonts w:ascii="Arial" w:cs="Arial" w:eastAsia="Arial" w:hAnsi="Arial"/>
          <w:sz w:val="16"/>
          <w:szCs w:val="16"/>
          <w:color w:val="auto"/>
        </w:rPr>
        <w:t>At the end of the fourth quarter of Fiscal 2025, cash and cash equivalents totaled $174.0 million compared to $10.5 million at the end of the Fiscal 2025 third quarter and $330.9 million at the end of Fiscal 2024. Total outstanding debt was $540.5 million, which included $550.0 million of debt, net of issuance costs of $9.5 million. Working capital improved to $465.1 million, reflecting disciplined balance sheet management and stronger operating efficiency. Cash flow provided by operations was $181.4 million in the Fiscal 2025 fourth quarter. The Company's net leverage ratio improved to 3.1x at the end of the Fiscal 2025 fourth quarter compared to 4.8x at the end of the Fiscal 2025 third quarter.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Cash Dividend and Share Repurchases</w:t>
      </w:r>
    </w:p>
    <w:p>
      <w:pPr>
        <w:spacing w:after="0" w:line="100" w:lineRule="exact"/>
        <w:rPr>
          <w:sz w:val="20"/>
          <w:szCs w:val="20"/>
          <w:color w:val="auto"/>
        </w:rPr>
      </w:pPr>
    </w:p>
    <w:p>
      <w:pPr>
        <w:ind w:right="40"/>
        <w:spacing w:after="0" w:line="409" w:lineRule="auto"/>
        <w:rPr>
          <w:sz w:val="20"/>
          <w:szCs w:val="20"/>
          <w:color w:val="auto"/>
        </w:rPr>
      </w:pPr>
      <w:r>
        <w:rPr>
          <w:rFonts w:ascii="Arial" w:cs="Arial" w:eastAsia="Arial" w:hAnsi="Arial"/>
          <w:sz w:val="16"/>
          <w:szCs w:val="16"/>
          <w:color w:val="auto"/>
        </w:rPr>
        <w:t>On August 14, 2025, the Company’s Board of Directors approved a 3% increase in the quarterly cash dividend of $0.35 per share. The dividend was paid on September 24, 2025, to common stockholders of record at the close of business on September 10, 2025.</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Outlook and Financial Guidance</w:t>
      </w:r>
    </w:p>
    <w:p>
      <w:pPr>
        <w:spacing w:after="0" w:line="100" w:lineRule="exact"/>
        <w:rPr>
          <w:sz w:val="20"/>
          <w:szCs w:val="20"/>
          <w:color w:val="auto"/>
        </w:rPr>
      </w:pPr>
    </w:p>
    <w:p>
      <w:pPr>
        <w:ind w:right="80"/>
        <w:spacing w:after="0" w:line="352" w:lineRule="auto"/>
        <w:rPr>
          <w:sz w:val="20"/>
          <w:szCs w:val="20"/>
          <w:color w:val="auto"/>
        </w:rPr>
      </w:pPr>
      <w:r>
        <w:rPr>
          <w:rFonts w:ascii="Arial" w:cs="Arial" w:eastAsia="Arial" w:hAnsi="Arial"/>
          <w:sz w:val="16"/>
          <w:szCs w:val="16"/>
          <w:color w:val="auto"/>
        </w:rPr>
        <w:t>For calendar year 2025, Winnebago Industries anticipates total North American RV wholesale shipments in the range of 320,000 to 340,000 units. For calendar year 2026, the Company anticipates total North American RV wholesale shipments in the range of 315,000 to 345,000 units. Based on this outlook and the current business environment, the Company expects Fiscal 2026 consolidated net revenues in the range of $2.75 billion to $2.95 billion, reported earnings per diluted share of $1.25 to $1.95</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adjusted earnings per diluted share of $2.00 to $2.70</w:t>
      </w:r>
      <w:r>
        <w:rPr>
          <w:rFonts w:ascii="Arial" w:cs="Arial" w:eastAsia="Arial" w:hAnsi="Arial"/>
          <w:sz w:val="21"/>
          <w:szCs w:val="21"/>
          <w:color w:val="auto"/>
          <w:vertAlign w:val="superscript"/>
        </w:rPr>
        <w:t>(2)</w:t>
      </w:r>
      <w:r>
        <w:rPr>
          <w:rFonts w:ascii="Arial" w:cs="Arial" w:eastAsia="Arial" w:hAnsi="Arial"/>
          <w:sz w:val="16"/>
          <w:szCs w:val="16"/>
          <w:color w:val="auto"/>
        </w:rPr>
        <w:t>. The Company’s outlook takes into account prevailing trends in the RV sector, including the current tariff structure and rates, competitive dynamics, shifts in consumer preferences, and key macroeconomic factors that may influence overall demand.</w:t>
      </w:r>
    </w:p>
    <w:p>
      <w:pPr>
        <w:spacing w:after="0" w:line="119" w:lineRule="exact"/>
        <w:rPr>
          <w:sz w:val="20"/>
          <w:szCs w:val="20"/>
          <w:color w:val="auto"/>
        </w:rPr>
      </w:pPr>
    </w:p>
    <w:p>
      <w:pPr>
        <w:ind w:right="160"/>
        <w:spacing w:after="0" w:line="383" w:lineRule="auto"/>
        <w:rPr>
          <w:sz w:val="20"/>
          <w:szCs w:val="20"/>
          <w:color w:val="auto"/>
        </w:rPr>
      </w:pPr>
      <w:r>
        <w:rPr>
          <w:rFonts w:ascii="Arial" w:cs="Arial" w:eastAsia="Arial" w:hAnsi="Arial"/>
          <w:sz w:val="16"/>
          <w:szCs w:val="16"/>
          <w:color w:val="auto"/>
        </w:rPr>
        <w:t>"Winnebago Industries enters fiscal 2026 from a position of strength, driven by robust new product momentum, disciplined inventory management, and a clear pathway for driving profitable revenue across the portfolio." Happe said, "Although a full return to mid-cycle demand across the industry will take time, we are confident that the decisive actions underway will strengthen margins, enhance operational efficiency, and create long-term value for our shareholders."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Q4 FY 2025 Conference Call</w:t>
      </w:r>
    </w:p>
    <w:p>
      <w:pPr>
        <w:spacing w:after="0" w:line="100" w:lineRule="exact"/>
        <w:rPr>
          <w:sz w:val="20"/>
          <w:szCs w:val="20"/>
          <w:color w:val="auto"/>
        </w:rPr>
      </w:pPr>
    </w:p>
    <w:p>
      <w:pPr>
        <w:ind w:right="380"/>
        <w:spacing w:after="0" w:line="377" w:lineRule="auto"/>
        <w:rPr>
          <w:sz w:val="20"/>
          <w:szCs w:val="20"/>
          <w:color w:val="auto"/>
        </w:rPr>
      </w:pPr>
      <w:r>
        <w:rPr>
          <w:rFonts w:ascii="Arial" w:cs="Arial" w:eastAsia="Arial" w:hAnsi="Arial"/>
          <w:sz w:val="16"/>
          <w:szCs w:val="16"/>
          <w:color w:val="auto"/>
        </w:rPr>
        <w:t>Winnebago Industries, Inc. will discuss fourth quarter and full year Fiscal 2025 earnings results during a conference call scheduled for 9:00 a.m. Central Time today. Members of the news media, investors and the general public are invited to access a live broadcast of the conference call and view the accompanying presentation slides via the Investor Relations page of the Company's website at http://investor.wgo.net. The event will be archived and available for replay for the next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93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ind w:right="20"/>
        <w:spacing w:after="0" w:line="370"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the business outlook and financial guidance for Fiscal 2026. Investors are cautioned that forward-looking statements are inherently uncertain and involve potential risks and uncertainties.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and product recalls;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matters, and our ability to meet our commitments; impairment of goodwill and trade names; risks related to our 2030 Convertible Notes and Senior Secured Notes, including our ability to satisfy our obligations under these notes; and changes in recommendations or a withdrawal of coverage by third party securities analysts.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We caution that the foregoing list of important factors is not complete.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00FF"/>
        </w:rPr>
        <w:t>ir@winnebagoind.com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00FF"/>
        </w:rPr>
        <w:t>media@winnebagoind.com</w:t>
      </w:r>
    </w:p>
    <w:p>
      <w:pPr>
        <w:spacing w:after="0" w:line="3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1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Footnotes to News Release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22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Source: Statistical Surveys Inc. for the trailing 12 months ended 8/31/2025 and 8/31/2024.</w:t>
      </w:r>
    </w:p>
    <w:p>
      <w:pPr>
        <w:spacing w:after="0" w:line="44" w:lineRule="exact"/>
        <w:rPr>
          <w:rFonts w:ascii="Arial" w:cs="Arial" w:eastAsia="Arial" w:hAnsi="Arial"/>
          <w:sz w:val="21"/>
          <w:szCs w:val="21"/>
          <w:color w:val="auto"/>
          <w:vertAlign w:val="superscript"/>
        </w:rPr>
      </w:pPr>
    </w:p>
    <w:p>
      <w:pPr>
        <w:ind w:left="260" w:hanging="252"/>
        <w:spacing w:after="0" w:line="197" w:lineRule="auto"/>
        <w:tabs>
          <w:tab w:leader="none" w:pos="26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Fiscal 2026 adjusted EPS guidance excludes the pretax impact of intangible amortization of approximately $22 million.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084"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August 30, 2025</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August 31, 2024</w:t>
            </w:r>
          </w:p>
        </w:tc>
        <w:tc>
          <w:tcPr>
            <w:tcW w:w="820" w:type="dxa"/>
            <w:vAlign w:val="bottom"/>
            <w:tcBorders>
              <w:bottom w:val="single" w:sz="8" w:color="auto"/>
            </w:tcBorders>
          </w:tcPr>
          <w:p>
            <w:pPr>
              <w:spacing w:after="0"/>
              <w:rPr>
                <w:sz w:val="18"/>
                <w:szCs w:val="18"/>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678.1</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626.7</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500" w:type="dxa"/>
            <w:vAlign w:val="bottom"/>
          </w:tcPr>
          <w:p>
            <w:pPr>
              <w:spacing w:after="0"/>
              <w:rPr>
                <w:sz w:val="18"/>
                <w:szCs w:val="18"/>
                <w:color w:val="auto"/>
              </w:rPr>
            </w:pPr>
          </w:p>
        </w:tc>
        <w:tc>
          <w:tcPr>
            <w:tcW w:w="1860" w:type="dxa"/>
            <w:vAlign w:val="bottom"/>
            <w:gridSpan w:val="3"/>
          </w:tcPr>
          <w:p>
            <w:pPr>
              <w:jc w:val="right"/>
              <w:ind w:right="9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provision</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common share: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33"/>
        </w:trPr>
        <w:tc>
          <w:tcPr>
            <w:tcW w:w="45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Year Ended</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August 30, 2025</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August 31, 2024</w:t>
            </w:r>
          </w:p>
        </w:tc>
        <w:tc>
          <w:tcPr>
            <w:tcW w:w="82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2,433.1</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2,540.0</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500" w:type="dxa"/>
            <w:vAlign w:val="bottom"/>
          </w:tcPr>
          <w:p>
            <w:pPr>
              <w:spacing w:after="0"/>
              <w:rPr>
                <w:sz w:val="18"/>
                <w:szCs w:val="18"/>
                <w:color w:val="auto"/>
              </w:rPr>
            </w:pPr>
          </w:p>
        </w:tc>
        <w:tc>
          <w:tcPr>
            <w:tcW w:w="1860" w:type="dxa"/>
            <w:vAlign w:val="bottom"/>
            <w:gridSpan w:val="3"/>
          </w:tcPr>
          <w:p>
            <w:pPr>
              <w:jc w:val="right"/>
              <w:ind w:right="9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Loss on note repurchase</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 loss</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20" w:top="890" w:right="3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30, 2025</w:t>
            </w:r>
          </w:p>
        </w:tc>
        <w:tc>
          <w:tcPr>
            <w:tcW w:w="20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7"/>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r>
      <w:tr>
        <w:trPr>
          <w:trHeight w:val="215"/>
        </w:trPr>
        <w:tc>
          <w:tcPr>
            <w:tcW w:w="756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183.5</w:t>
            </w:r>
          </w:p>
        </w:tc>
      </w:tr>
      <w:tr>
        <w:trPr>
          <w:trHeight w:val="217"/>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w:t>
            </w:r>
          </w:p>
        </w:tc>
      </w:tr>
      <w:tr>
        <w:trPr>
          <w:trHeight w:val="215"/>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r>
      <w:tr>
        <w:trPr>
          <w:trHeight w:val="210"/>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988.7</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338.9</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479.0</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46.6</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0"/>
        </w:trPr>
        <w:tc>
          <w:tcPr>
            <w:tcW w:w="756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2,384.2</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75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144.7</w:t>
            </w:r>
          </w:p>
        </w:tc>
      </w:tr>
      <w:tr>
        <w:trPr>
          <w:trHeight w:val="217"/>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maturities of long-term debt, net</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15"/>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r>
      <w:tr>
        <w:trPr>
          <w:trHeight w:val="210"/>
        </w:trPr>
        <w:tc>
          <w:tcPr>
            <w:tcW w:w="7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637.1</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liabilities, net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9"/>
        </w:trPr>
        <w:tc>
          <w:tcPr>
            <w:tcW w:w="75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929.7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1,110.9</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1,273.3</w:t>
            </w:r>
          </w:p>
        </w:tc>
      </w:tr>
      <w:tr>
        <w:trPr>
          <w:trHeight w:val="210"/>
        </w:trPr>
        <w:tc>
          <w:tcPr>
            <w:tcW w:w="756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2,384.2</w:t>
            </w: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20"/>
          </w:cols>
          <w:pgMar w:left="320" w:top="890"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288"/>
              <w:spacing w:after="0"/>
              <w:rPr>
                <w:sz w:val="20"/>
                <w:szCs w:val="20"/>
                <w:color w:val="auto"/>
              </w:rPr>
            </w:pPr>
            <w:r>
              <w:rPr>
                <w:rFonts w:ascii="Arial" w:cs="Arial" w:eastAsia="Arial" w:hAnsi="Arial"/>
                <w:sz w:val="16"/>
                <w:szCs w:val="16"/>
                <w:b w:val="1"/>
                <w:bCs w:val="1"/>
                <w:color w:val="auto"/>
              </w:rPr>
              <w:t>Year Ended</w:t>
            </w:r>
          </w:p>
        </w:tc>
      </w:tr>
      <w:tr>
        <w:trPr>
          <w:trHeight w:val="195"/>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30, 2025</w:t>
            </w:r>
          </w:p>
        </w:tc>
        <w:tc>
          <w:tcPr>
            <w:tcW w:w="200" w:type="dxa"/>
            <w:vAlign w:val="bottom"/>
          </w:tcPr>
          <w:p>
            <w:pPr>
              <w:spacing w:after="0"/>
              <w:rPr>
                <w:sz w:val="16"/>
                <w:szCs w:val="16"/>
                <w:color w:val="auto"/>
              </w:rPr>
            </w:pPr>
          </w:p>
        </w:tc>
        <w:tc>
          <w:tcPr>
            <w:tcW w:w="1540" w:type="dxa"/>
            <w:vAlign w:val="bottom"/>
          </w:tcPr>
          <w:p>
            <w:pPr>
              <w:jc w:val="right"/>
              <w:ind w:right="248"/>
              <w:spacing w:after="0"/>
              <w:rPr>
                <w:sz w:val="20"/>
                <w:szCs w:val="20"/>
                <w:color w:val="auto"/>
              </w:rPr>
            </w:pPr>
            <w:r>
              <w:rPr>
                <w:rFonts w:ascii="Arial" w:cs="Arial" w:eastAsia="Arial" w:hAnsi="Arial"/>
                <w:sz w:val="14"/>
                <w:szCs w:val="14"/>
                <w:b w:val="1"/>
                <w:bCs w:val="1"/>
                <w:color w:val="auto"/>
              </w:rPr>
              <w:t>August 31, 2024</w:t>
            </w:r>
          </w:p>
        </w:tc>
      </w:tr>
      <w:tr>
        <w:trPr>
          <w:trHeight w:val="197"/>
        </w:trPr>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07"/>
        </w:trPr>
        <w:tc>
          <w:tcPr>
            <w:tcW w:w="7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35.6</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Amortization of debt issuance costs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Last in, first-out expense</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Deferred compensation expense</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Goodwill impairment</w:t>
            </w: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Loss on note repurchase</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Asset impairment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Restructuring and related costs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Contingent consideration fair value adjustment</w:t>
            </w: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Payments of earnout liability above acquisition-date fair value</w:t>
            </w:r>
          </w:p>
        </w:tc>
        <w:tc>
          <w:tcPr>
            <w:tcW w:w="22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net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98"/>
        </w:trPr>
        <w:tc>
          <w:tcPr>
            <w:tcW w:w="7580" w:type="dxa"/>
            <w:vAlign w:val="bottom"/>
          </w:tcPr>
          <w:p>
            <w:pPr>
              <w:ind w:left="120"/>
              <w:spacing w:after="0"/>
              <w:rPr>
                <w:sz w:val="20"/>
                <w:szCs w:val="20"/>
                <w:color w:val="auto"/>
              </w:rPr>
            </w:pPr>
            <w:r>
              <w:rPr>
                <w:rFonts w:ascii="Arial" w:cs="Arial" w:eastAsia="Arial" w:hAnsi="Arial"/>
                <w:sz w:val="14"/>
                <w:szCs w:val="14"/>
                <w:color w:val="auto"/>
              </w:rPr>
              <w:t>Change in operating assets and liabilities, net of assets and liabilities acquired</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net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Inventories, net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taxes and unrecognized tax benefits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98"/>
        </w:trPr>
        <w:tc>
          <w:tcPr>
            <w:tcW w:w="75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197"/>
        </w:trPr>
        <w:tc>
          <w:tcPr>
            <w:tcW w:w="7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sale of property, plant, and equipment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98"/>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r>
      <w:tr>
        <w:trPr>
          <w:trHeight w:val="197"/>
        </w:trPr>
        <w:tc>
          <w:tcPr>
            <w:tcW w:w="7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Borrowings on long-term debt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2,652.2</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on long-term debt</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(2,596.0)</w:t>
            </w: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Payments for convertible note bond hedge</w:t>
            </w:r>
          </w:p>
        </w:tc>
        <w:tc>
          <w:tcPr>
            <w:tcW w:w="22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(68.7)</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convertible note warrant</w:t>
            </w: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Proceeds from partial unwind of convertible note bond hedge</w:t>
            </w:r>
          </w:p>
        </w:tc>
        <w:tc>
          <w:tcPr>
            <w:tcW w:w="22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55.8</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for partial unwind of convertible note warrant</w:t>
            </w: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Payments of cash dividends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for repurchases of common stock</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r>
      <w:tr>
        <w:trPr>
          <w:trHeight w:val="198"/>
        </w:trPr>
        <w:tc>
          <w:tcPr>
            <w:tcW w:w="7580" w:type="dxa"/>
            <w:vAlign w:val="bottom"/>
          </w:tcPr>
          <w:p>
            <w:pPr>
              <w:ind w:left="140"/>
              <w:spacing w:after="0"/>
              <w:rPr>
                <w:sz w:val="20"/>
                <w:szCs w:val="20"/>
                <w:color w:val="auto"/>
              </w:rPr>
            </w:pPr>
            <w:r>
              <w:rPr>
                <w:rFonts w:ascii="Arial" w:cs="Arial" w:eastAsia="Arial" w:hAnsi="Arial"/>
                <w:sz w:val="14"/>
                <w:szCs w:val="14"/>
                <w:color w:val="auto"/>
              </w:rPr>
              <w:t>Payments of debt issuance costs</w:t>
            </w:r>
          </w:p>
        </w:tc>
        <w:tc>
          <w:tcPr>
            <w:tcW w:w="22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07"/>
        </w:trPr>
        <w:tc>
          <w:tcPr>
            <w:tcW w:w="7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earnout liability up to acquisition-date fair value</w:t>
            </w: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98"/>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w:t>
            </w:r>
          </w:p>
        </w:tc>
      </w:tr>
      <w:tr>
        <w:trPr>
          <w:trHeight w:val="197"/>
        </w:trPr>
        <w:tc>
          <w:tcPr>
            <w:tcW w:w="7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98"/>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309.9</w:t>
            </w:r>
          </w:p>
        </w:tc>
      </w:tr>
      <w:tr>
        <w:trPr>
          <w:trHeight w:val="225"/>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00"/>
          </w:cols>
          <w:pgMar w:left="340" w:top="850"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7"/>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w:t>
            </w:r>
          </w:p>
        </w:tc>
        <w:tc>
          <w:tcPr>
            <w:tcW w:w="2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paid, net</w:t>
            </w:r>
          </w:p>
        </w:tc>
        <w:tc>
          <w:tcPr>
            <w:tcW w:w="268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8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198"/>
        </w:trPr>
        <w:tc>
          <w:tcPr>
            <w:tcW w:w="5660" w:type="dxa"/>
            <w:vAlign w:val="bottom"/>
          </w:tcPr>
          <w:p>
            <w:pPr>
              <w:ind w:left="140"/>
              <w:spacing w:after="0"/>
              <w:rPr>
                <w:sz w:val="20"/>
                <w:szCs w:val="20"/>
                <w:color w:val="auto"/>
              </w:rPr>
            </w:pPr>
            <w:r>
              <w:rPr>
                <w:rFonts w:ascii="Arial" w:cs="Arial" w:eastAsia="Arial" w:hAnsi="Arial"/>
                <w:sz w:val="14"/>
                <w:szCs w:val="14"/>
                <w:color w:val="auto"/>
              </w:rPr>
              <w:t>Interest paid</w:t>
            </w:r>
          </w:p>
        </w:tc>
        <w:tc>
          <w:tcPr>
            <w:tcW w:w="26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8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220"/>
        </w:trPr>
        <w:tc>
          <w:tcPr>
            <w:tcW w:w="566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01"/>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2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4"/>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 in accounts payable</w:t>
            </w:r>
          </w:p>
        </w:tc>
        <w:tc>
          <w:tcPr>
            <w:tcW w:w="268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82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8"/>
        </w:trPr>
        <w:tc>
          <w:tcPr>
            <w:tcW w:w="5660" w:type="dxa"/>
            <w:vAlign w:val="bottom"/>
          </w:tcPr>
          <w:p>
            <w:pPr>
              <w:ind w:left="140"/>
              <w:spacing w:after="0"/>
              <w:rPr>
                <w:sz w:val="20"/>
                <w:szCs w:val="20"/>
                <w:color w:val="auto"/>
              </w:rPr>
            </w:pPr>
            <w:r>
              <w:rPr>
                <w:rFonts w:ascii="Arial" w:cs="Arial" w:eastAsia="Arial" w:hAnsi="Arial"/>
                <w:sz w:val="14"/>
                <w:szCs w:val="14"/>
                <w:color w:val="auto"/>
              </w:rPr>
              <w:t>Dividends declared not yet paid</w:t>
            </w:r>
          </w:p>
        </w:tc>
        <w:tc>
          <w:tcPr>
            <w:tcW w:w="26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8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207"/>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in lease assets in exchange for lease liabilities:</w:t>
            </w:r>
          </w:p>
        </w:tc>
        <w:tc>
          <w:tcPr>
            <w:tcW w:w="2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8"/>
        </w:trPr>
        <w:tc>
          <w:tcPr>
            <w:tcW w:w="5660" w:type="dxa"/>
            <w:vAlign w:val="bottom"/>
          </w:tcPr>
          <w:p>
            <w:pPr>
              <w:ind w:left="240"/>
              <w:spacing w:after="0"/>
              <w:rPr>
                <w:sz w:val="20"/>
                <w:szCs w:val="20"/>
                <w:color w:val="auto"/>
              </w:rPr>
            </w:pPr>
            <w:r>
              <w:rPr>
                <w:rFonts w:ascii="Arial" w:cs="Arial" w:eastAsia="Arial" w:hAnsi="Arial"/>
                <w:sz w:val="14"/>
                <w:szCs w:val="14"/>
                <w:color w:val="auto"/>
              </w:rPr>
              <w:t>Operating leases</w:t>
            </w:r>
          </w:p>
        </w:tc>
        <w:tc>
          <w:tcPr>
            <w:tcW w:w="26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8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07"/>
        </w:trPr>
        <w:tc>
          <w:tcPr>
            <w:tcW w:w="5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Financing leases</w:t>
            </w:r>
          </w:p>
        </w:tc>
        <w:tc>
          <w:tcPr>
            <w:tcW w:w="2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340" w:top="1116" w:right="359" w:bottom="1440" w:gutter="0" w:footer="0" w:header="0"/>
        </w:sectPr>
      </w:pPr>
    </w:p>
    <w:bookmarkStart w:id="13" w:name="page14"/>
    <w:bookmarkEnd w:id="13"/>
    <w:p>
      <w:pPr>
        <w:jc w:val="center"/>
        <w:ind w:right="-13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Supplemental Information by Reportable Segment - Towable RV</w:t>
      </w:r>
    </w:p>
    <w:p>
      <w:pPr>
        <w:spacing w:after="0" w:line="12"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7.0 %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38.3 %</w:t>
            </w:r>
          </w:p>
        </w:tc>
        <w:tc>
          <w:tcPr>
            <w:tcW w:w="0" w:type="dxa"/>
            <w:vAlign w:val="bottom"/>
          </w:tcPr>
          <w:p>
            <w:pPr>
              <w:spacing w:after="0"/>
              <w:rPr>
                <w:sz w:val="1"/>
                <w:szCs w:val="1"/>
                <w:color w:val="auto"/>
              </w:rPr>
            </w:pPr>
          </w:p>
        </w:tc>
      </w:tr>
      <w:tr>
        <w:trPr>
          <w:trHeight w:val="379"/>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27.5 %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2,534</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35"/>
        </w:trPr>
        <w:tc>
          <w:tcPr>
            <w:tcW w:w="24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1,318.8</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6.0 %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79"/>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(2)</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9,455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30.3 %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10,403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(948)</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5"/>
        </w:trPr>
        <w:tc>
          <w:tcPr>
            <w:tcW w:w="24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 RV</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60" w:type="dxa"/>
            <w:vAlign w:val="bottom"/>
          </w:tcPr>
          <w:p>
            <w:pPr>
              <w:spacing w:after="0"/>
              <w:rPr>
                <w:sz w:val="24"/>
                <w:szCs w:val="24"/>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72" w:hanging="272"/>
        <w:spacing w:after="0"/>
        <w:tabs>
          <w:tab w:leader="none" w:pos="272"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53" w:lineRule="exact"/>
        <w:rPr>
          <w:rFonts w:ascii="Arial" w:cs="Arial" w:eastAsia="Arial" w:hAnsi="Arial"/>
          <w:sz w:val="21"/>
          <w:szCs w:val="21"/>
          <w:color w:val="auto"/>
          <w:vertAlign w:val="superscript"/>
        </w:rPr>
      </w:pPr>
    </w:p>
    <w:p>
      <w:pPr>
        <w:ind w:left="292" w:hanging="292"/>
        <w:spacing w:after="0" w:line="183" w:lineRule="auto"/>
        <w:tabs>
          <w:tab w:leader="none" w:pos="292"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spacing w:after="0" w:line="54" w:lineRule="exact"/>
        <w:rPr>
          <w:rFonts w:ascii="Arial" w:cs="Arial" w:eastAsia="Arial" w:hAnsi="Arial"/>
          <w:sz w:val="20"/>
          <w:szCs w:val="20"/>
          <w:color w:val="auto"/>
          <w:vertAlign w:val="superscript"/>
        </w:rPr>
      </w:pPr>
    </w:p>
    <w:p>
      <w:pPr>
        <w:ind w:left="292" w:hanging="292"/>
        <w:spacing w:after="0" w:line="183" w:lineRule="auto"/>
        <w:tabs>
          <w:tab w:leader="none" w:pos="292" w:val="left"/>
        </w:tabs>
        <w:numPr>
          <w:ilvl w:val="0"/>
          <w:numId w:val="11"/>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92"/>
          </w:cols>
          <w:pgMar w:left="328" w:top="850" w:right="479" w:bottom="1440" w:gutter="0" w:footer="0" w:header="0"/>
        </w:sectPr>
      </w:pPr>
    </w:p>
    <w:bookmarkStart w:id="14" w:name="page15"/>
    <w:bookmarkEnd w:id="14"/>
    <w:p>
      <w:pPr>
        <w:jc w:val="center"/>
        <w:ind w:right="-13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Supplemental Information by Reportable Segment - Motorhome RV</w:t>
      </w:r>
    </w:p>
    <w:p>
      <w:pPr>
        <w:spacing w:after="0" w:line="12"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3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10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6"/>
                <w:szCs w:val="16"/>
                <w:color w:val="auto"/>
              </w:rPr>
              <w:t>Operating (loss)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79"/>
        </w:trPr>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48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10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9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10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10"/>
        </w:trPr>
        <w:tc>
          <w:tcPr>
            <w:tcW w:w="248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79"/>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10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6"/>
                <w:szCs w:val="16"/>
                <w:color w:val="auto"/>
              </w:rPr>
              <w:t>Operating (loss)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(60.2)</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79"/>
        </w:trPr>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80" w:type="dxa"/>
            <w:vAlign w:val="bottom"/>
            <w:vMerge w:val="restart"/>
          </w:tcPr>
          <w:p>
            <w:pPr>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10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99"/>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10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29.3 %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(596)</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7"/>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0"/>
        </w:trPr>
        <w:tc>
          <w:tcPr>
            <w:tcW w:w="248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5,742</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6,757</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480" w:type="dxa"/>
            <w:vAlign w:val="bottom"/>
            <w:vMerge w:val="restart"/>
          </w:tcPr>
          <w:p>
            <w:pPr>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60" w:type="dxa"/>
            <w:vAlign w:val="bottom"/>
          </w:tcPr>
          <w:p>
            <w:pPr>
              <w:spacing w:after="0"/>
              <w:rPr>
                <w:sz w:val="24"/>
                <w:szCs w:val="24"/>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72" w:hanging="272"/>
        <w:spacing w:after="0"/>
        <w:tabs>
          <w:tab w:leader="none" w:pos="272"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53" w:lineRule="exact"/>
        <w:rPr>
          <w:rFonts w:ascii="Arial" w:cs="Arial" w:eastAsia="Arial" w:hAnsi="Arial"/>
          <w:sz w:val="21"/>
          <w:szCs w:val="21"/>
          <w:color w:val="auto"/>
          <w:vertAlign w:val="superscript"/>
        </w:rPr>
      </w:pPr>
    </w:p>
    <w:p>
      <w:pPr>
        <w:ind w:left="292" w:hanging="292"/>
        <w:spacing w:after="0" w:line="183" w:lineRule="auto"/>
        <w:tabs>
          <w:tab w:leader="none" w:pos="292"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Percentages may not add due to rounding differences.</w:t>
      </w:r>
    </w:p>
    <w:p>
      <w:pPr>
        <w:spacing w:after="0" w:line="54" w:lineRule="exact"/>
        <w:rPr>
          <w:rFonts w:ascii="Arial" w:cs="Arial" w:eastAsia="Arial" w:hAnsi="Arial"/>
          <w:sz w:val="20"/>
          <w:szCs w:val="20"/>
          <w:color w:val="auto"/>
          <w:vertAlign w:val="superscript"/>
        </w:rPr>
      </w:pPr>
    </w:p>
    <w:p>
      <w:pPr>
        <w:ind w:left="-8" w:right="2520" w:firstLine="8"/>
        <w:spacing w:after="0" w:line="239" w:lineRule="auto"/>
        <w:tabs>
          <w:tab w:leader="none" w:pos="280"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 xml:space="preserve">Data is based on the latest information available from our dealer partners and is subject to timing of reporting and other limitations.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ectPr>
          <w:pgSz w:w="11900" w:h="16838" w:orient="portrait"/>
          <w:cols w:equalWidth="0" w:num="1">
            <w:col w:w="11092"/>
          </w:cols>
          <w:pgMar w:left="328" w:top="85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92"/>
          </w:cols>
          <w:pgMar w:left="328" w:top="850" w:right="479" w:bottom="1440" w:gutter="0" w:footer="0" w:header="0"/>
          <w:type w:val="continuous"/>
        </w:sectPr>
      </w:pPr>
    </w:p>
    <w:bookmarkStart w:id="15" w:name="page16"/>
    <w:bookmarkEnd w:id="15"/>
    <w:p>
      <w:pPr>
        <w:jc w:val="center"/>
        <w:ind w:right="-11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2"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32" w:type="dxa"/>
        <w:tblCellMar>
          <w:top w:w="0" w:type="dxa"/>
          <w:left w:w="0" w:type="dxa"/>
          <w:bottom w:w="0" w:type="dxa"/>
          <w:right w:w="0" w:type="dxa"/>
        </w:tblCellMar>
      </w:tblPr>
      <w:tr>
        <w:trPr>
          <w:trHeight w:val="217"/>
        </w:trPr>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660" w:type="dxa"/>
            <w:vAlign w:val="bottom"/>
            <w:gridSpan w:val="3"/>
            <w:vMerge w:val="restart"/>
          </w:tcPr>
          <w:p>
            <w:pPr>
              <w:jc w:val="right"/>
              <w:ind w:right="239"/>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08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79"/>
        </w:trPr>
        <w:tc>
          <w:tcPr>
            <w:tcW w:w="2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660" w:type="dxa"/>
            <w:vAlign w:val="bottom"/>
            <w:gridSpan w:val="3"/>
            <w:vMerge w:val="restart"/>
          </w:tcPr>
          <w:p>
            <w:pPr>
              <w:jc w:val="right"/>
              <w:ind w:right="239"/>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08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79"/>
        </w:trPr>
        <w:tc>
          <w:tcPr>
            <w:tcW w:w="2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10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(2,3)</w:t>
            </w:r>
          </w:p>
        </w:tc>
        <w:tc>
          <w:tcPr>
            <w:tcW w:w="140" w:type="dxa"/>
            <w:vAlign w:val="bottom"/>
          </w:tcPr>
          <w:p>
            <w:pPr>
              <w:spacing w:after="0"/>
              <w:rPr>
                <w:sz w:val="24"/>
                <w:szCs w:val="24"/>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rPr>
              <w:t>August 30,</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August 31,</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32" w:hanging="232"/>
        <w:spacing w:after="0"/>
        <w:tabs>
          <w:tab w:leader="none" w:pos="232"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53" w:lineRule="exact"/>
        <w:rPr>
          <w:rFonts w:ascii="Arial" w:cs="Arial" w:eastAsia="Arial" w:hAnsi="Arial"/>
          <w:sz w:val="21"/>
          <w:szCs w:val="21"/>
          <w:color w:val="auto"/>
          <w:vertAlign w:val="superscript"/>
        </w:rPr>
      </w:pPr>
    </w:p>
    <w:p>
      <w:pPr>
        <w:ind w:left="212" w:hanging="212"/>
        <w:spacing w:after="0"/>
        <w:tabs>
          <w:tab w:leader="none" w:pos="212" w:val="left"/>
        </w:tabs>
        <w:numPr>
          <w:ilvl w:val="0"/>
          <w:numId w:val="13"/>
        </w:numPr>
        <w:rPr>
          <w:rFonts w:ascii="Arial" w:cs="Arial" w:eastAsia="Arial" w:hAnsi="Arial"/>
          <w:sz w:val="9"/>
          <w:szCs w:val="9"/>
          <w:color w:val="auto"/>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54" w:lineRule="exact"/>
        <w:rPr>
          <w:rFonts w:ascii="Arial" w:cs="Arial" w:eastAsia="Arial" w:hAnsi="Arial"/>
          <w:sz w:val="9"/>
          <w:szCs w:val="9"/>
          <w:color w:val="auto"/>
        </w:rPr>
      </w:pPr>
    </w:p>
    <w:p>
      <w:pPr>
        <w:ind w:left="-8" w:right="2540" w:firstLine="8"/>
        <w:spacing w:after="0" w:line="253" w:lineRule="auto"/>
        <w:tabs>
          <w:tab w:leader="none" w:pos="28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 xml:space="preserve">Data is based on the latest information available from our dealer partners and is subject to timing of reporting and other limitations.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200" w:lineRule="exact"/>
        <w:rPr>
          <w:sz w:val="20"/>
          <w:szCs w:val="20"/>
          <w:color w:val="auto"/>
        </w:rPr>
      </w:pPr>
    </w:p>
    <w:p>
      <w:pPr>
        <w:spacing w:after="0" w:line="218" w:lineRule="exact"/>
        <w:rPr>
          <w:sz w:val="20"/>
          <w:szCs w:val="20"/>
          <w:color w:val="auto"/>
        </w:rPr>
      </w:pPr>
    </w:p>
    <w:p>
      <w:pPr>
        <w:jc w:val="center"/>
        <w:ind w:right="-11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12"/>
          </w:cols>
          <w:pgMar w:left="328" w:top="850" w:right="459" w:bottom="1440" w:gutter="0" w:footer="0" w:header="0"/>
        </w:sectPr>
      </w:pPr>
    </w:p>
    <w:bookmarkStart w:id="16" w:name="page17"/>
    <w:bookmarkEnd w:id="16"/>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5"/>
          </w:tcPr>
          <w:p>
            <w:pPr>
              <w:ind w:left="7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22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4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30, 2025</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31, 2024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30, 2025</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31, 2024</w:t>
            </w:r>
          </w:p>
        </w:tc>
      </w:tr>
      <w:tr>
        <w:trPr>
          <w:trHeight w:val="209"/>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Amortization</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Change in fair value of note receivable</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Loss on note repurchase</w:t>
            </w:r>
            <w:r>
              <w:rPr>
                <w:rFonts w:ascii="Arial" w:cs="Arial" w:eastAsia="Arial" w:hAnsi="Arial"/>
                <w:sz w:val="21"/>
                <w:szCs w:val="21"/>
                <w:color w:val="auto"/>
                <w:vertAlign w:val="superscript"/>
              </w:rPr>
              <w:t>(2,3)</w:t>
            </w: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Asset impairment</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Restructuring and related costs</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(3,4)</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Goodwill impairment</w:t>
            </w:r>
            <w:r>
              <w:rPr>
                <w:rFonts w:ascii="Arial" w:cs="Arial" w:eastAsia="Arial" w:hAnsi="Arial"/>
                <w:sz w:val="21"/>
                <w:szCs w:val="21"/>
                <w:color w:val="auto"/>
                <w:vertAlign w:val="superscript"/>
              </w:rPr>
              <w:t>(5)</w:t>
            </w:r>
          </w:p>
        </w:tc>
        <w:tc>
          <w:tcPr>
            <w:tcW w:w="14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34"/>
        </w:trPr>
        <w:tc>
          <w:tcPr>
            <w:tcW w:w="4400" w:type="dxa"/>
            <w:vAlign w:val="bottom"/>
            <w:tcBorders>
              <w:top w:val="single" w:sz="8" w:color="CCEEFF"/>
              <w:bottom w:val="single" w:sz="8" w:color="CCEEFF"/>
            </w:tcBorders>
            <w:shd w:val="clear" w:color="auto" w:fill="CCEEFF"/>
          </w:tcPr>
          <w:p>
            <w:pPr>
              <w:ind w:left="140"/>
              <w:spacing w:after="0" w:line="210" w:lineRule="exact"/>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9"/>
          <w:szCs w:val="9"/>
          <w:color w:val="auto"/>
        </w:rPr>
      </w:pPr>
      <w:r>
        <w:rPr>
          <w:rFonts w:ascii="Arial" w:cs="Arial" w:eastAsia="Arial" w:hAnsi="Arial"/>
          <w:sz w:val="14"/>
          <w:szCs w:val="14"/>
          <w:color w:val="auto"/>
        </w:rPr>
        <w:t>Represents a pre-tax adjustment.</w:t>
      </w:r>
    </w:p>
    <w:p>
      <w:pPr>
        <w:spacing w:after="0" w:line="28" w:lineRule="exact"/>
        <w:rPr>
          <w:rFonts w:ascii="Arial" w:cs="Arial" w:eastAsia="Arial" w:hAnsi="Arial"/>
          <w:sz w:val="9"/>
          <w:szCs w:val="9"/>
          <w:color w:val="auto"/>
        </w:rPr>
      </w:pPr>
    </w:p>
    <w:p>
      <w:pPr>
        <w:ind w:left="260" w:right="360" w:hanging="252"/>
        <w:spacing w:after="0" w:line="261" w:lineRule="auto"/>
        <w:tabs>
          <w:tab w:leader="none" w:pos="235" w:val="left"/>
        </w:tabs>
        <w:numPr>
          <w:ilvl w:val="0"/>
          <w:numId w:val="14"/>
        </w:numPr>
        <w:rPr>
          <w:rFonts w:ascii="Arial" w:cs="Arial" w:eastAsia="Arial" w:hAnsi="Arial"/>
          <w:sz w:val="9"/>
          <w:szCs w:val="9"/>
          <w:color w:val="auto"/>
        </w:rPr>
      </w:pPr>
      <w:r>
        <w:rPr>
          <w:rFonts w:ascii="Arial" w:cs="Arial" w:eastAsia="Arial" w:hAnsi="Arial"/>
          <w:sz w:val="14"/>
          <w:szCs w:val="14"/>
          <w:color w:val="auto"/>
        </w:rPr>
        <w:t>Represents the loss incurred on the partial repurchase of our Senior Secured Notes in the second quarter of Fiscal 2025 and partial repurchase of our 2025 Convertible Notes in the second quarter of Fiscal 2024.</w:t>
      </w:r>
    </w:p>
    <w:p>
      <w:pPr>
        <w:ind w:left="220" w:hanging="212"/>
        <w:spacing w:after="0" w:line="192" w:lineRule="auto"/>
        <w:tabs>
          <w:tab w:leader="none" w:pos="2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The loss on note repurchase in the second quarter of Fiscal 2025 was tax-deductible, while the loss in the second quarter of Fiscal 2024 did not qualify for a tax deduction.</w:t>
      </w:r>
    </w:p>
    <w:p>
      <w:pPr>
        <w:ind w:left="220" w:hanging="212"/>
        <w:spacing w:after="0" w:line="187" w:lineRule="auto"/>
        <w:tabs>
          <w:tab w:leader="none" w:pos="2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Income tax impact calculated using the statutory tax rate for the U.S. of 23.0% for Fiscal 2025 and Fiscal 2024.</w:t>
      </w:r>
    </w:p>
    <w:p>
      <w:pPr>
        <w:ind w:left="220" w:hanging="212"/>
        <w:spacing w:after="0"/>
        <w:tabs>
          <w:tab w:leader="none" w:pos="220" w:val="left"/>
        </w:tabs>
        <w:numPr>
          <w:ilvl w:val="0"/>
          <w:numId w:val="14"/>
        </w:numPr>
        <w:rPr>
          <w:rFonts w:ascii="Arial" w:cs="Arial" w:eastAsia="Arial" w:hAnsi="Arial"/>
          <w:sz w:val="9"/>
          <w:szCs w:val="9"/>
          <w:color w:val="auto"/>
        </w:rPr>
      </w:pPr>
      <w:r>
        <w:rPr>
          <w:rFonts w:ascii="Arial" w:cs="Arial" w:eastAsia="Arial" w:hAnsi="Arial"/>
          <w:sz w:val="14"/>
          <w:szCs w:val="14"/>
          <w:color w:val="auto"/>
        </w:rPr>
        <w:t>Represents a non-cash impairment charge associated with the Chris-Craft reporting unit.</w:t>
      </w:r>
    </w:p>
    <w:p>
      <w:pPr>
        <w:spacing w:after="0" w:line="14" w:lineRule="exact"/>
        <w:rPr>
          <w:rFonts w:ascii="Arial" w:cs="Arial" w:eastAsia="Arial" w:hAnsi="Arial"/>
          <w:sz w:val="9"/>
          <w:szCs w:val="9"/>
          <w:color w:val="auto"/>
        </w:rPr>
      </w:pPr>
    </w:p>
    <w:p>
      <w:pPr>
        <w:ind w:left="220" w:hanging="212"/>
        <w:spacing w:after="0" w:line="193" w:lineRule="auto"/>
        <w:tabs>
          <w:tab w:leader="none" w:pos="2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gridSpan w:val="5"/>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220" w:type="dxa"/>
            <w:vAlign w:val="bottom"/>
            <w:gridSpan w:val="4"/>
          </w:tcPr>
          <w:p>
            <w:pPr>
              <w:jc w:val="right"/>
              <w:ind w:right="115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438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30, 2025</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31, 2024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August 30, 2025</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09"/>
        </w:trPr>
        <w:tc>
          <w:tcPr>
            <w:tcW w:w="4380" w:type="dxa"/>
            <w:vAlign w:val="bottom"/>
          </w:tcPr>
          <w:p>
            <w:pPr>
              <w:ind w:left="14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118.1</w:t>
            </w: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Change in fair value of note receivable</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15"/>
        </w:trPr>
        <w:tc>
          <w:tcPr>
            <w:tcW w:w="4380" w:type="dxa"/>
            <w:vAlign w:val="bottom"/>
          </w:tcPr>
          <w:p>
            <w:pPr>
              <w:ind w:left="20"/>
              <w:spacing w:after="0"/>
              <w:rPr>
                <w:sz w:val="20"/>
                <w:szCs w:val="20"/>
                <w:color w:val="auto"/>
              </w:rPr>
            </w:pPr>
            <w:r>
              <w:rPr>
                <w:rFonts w:ascii="Arial" w:cs="Arial" w:eastAsia="Arial" w:hAnsi="Arial"/>
                <w:sz w:val="16"/>
                <w:szCs w:val="16"/>
                <w:color w:val="auto"/>
              </w:rPr>
              <w:t>Asset impairment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related costs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loss (income)</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35"/>
        </w:trPr>
        <w:tc>
          <w:tcPr>
            <w:tcW w:w="4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890" w:right="339" w:bottom="1440" w:gutter="0" w:footer="0" w:header="0"/>
        </w:sectPr>
      </w:pPr>
    </w:p>
    <w:bookmarkStart w:id="17" w:name="page18"/>
    <w:bookmarkEnd w:id="17"/>
    <w:p>
      <w:pPr>
        <w:spacing w:after="0" w:line="302"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00" w:lineRule="exact"/>
        <w:rPr>
          <w:sz w:val="20"/>
          <w:szCs w:val="20"/>
          <w:color w:val="auto"/>
        </w:rPr>
      </w:pPr>
    </w:p>
    <w:p>
      <w:pPr>
        <w:ind w:right="300"/>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lvl w:ilvl="1">
      <w:lvlJc w:val="left"/>
      <w:lvlText w:val="•"/>
      <w:numFmt w:val="bullet"/>
      <w:start w:val="1"/>
    </w:lvl>
  </w:abstractNum>
  <w:abstractNum w:abstractNumId="4">
    <w:nsid w:val="12200854"/>
    <w:multiLevelType w:val="hybridMultilevel"/>
    <w:lvl w:ilvl="0">
      <w:lvlJc w:val="left"/>
      <w:lvlText w:val="(%1)"/>
      <w:numFmt w:val="decimal"/>
      <w:start w:val="1"/>
    </w:lvl>
    <w:lvl w:ilvl="1">
      <w:lvlJc w:val="left"/>
      <w:lvlText w:val="•"/>
      <w:numFmt w:val="bullet"/>
      <w:start w:val="1"/>
    </w:lvl>
  </w:abstractNum>
  <w:abstractNum w:abstractNumId="5">
    <w:nsid w:val="4DB127F8"/>
    <w:multiLevelType w:val="hybridMultilevel"/>
    <w:lvl w:ilvl="0">
      <w:lvlJc w:val="left"/>
      <w:lvlText w:val="(%1)"/>
      <w:numFmt w:val="decimal"/>
      <w:start w:val="1"/>
    </w:lvl>
    <w:lvl w:ilvl="1">
      <w:lvlJc w:val="left"/>
      <w:lvlText w:val="•"/>
      <w:numFmt w:val="bullet"/>
      <w:start w:val="1"/>
    </w:lvl>
  </w:abstractNum>
  <w:abstractNum w:abstractNumId="6">
    <w:nsid w:val="216231B"/>
    <w:multiLevelType w:val="hybridMultilevel"/>
    <w:lvl w:ilvl="0">
      <w:lvlJc w:val="left"/>
      <w:lvlText w:val="(%1)"/>
      <w:numFmt w:val="decimal"/>
      <w:start w:val="1"/>
    </w:lvl>
    <w:lvl w:ilvl="1">
      <w:lvlJc w:val="left"/>
      <w:lvlText w:val="•"/>
      <w:numFmt w:val="bullet"/>
      <w:start w:val="1"/>
    </w:lvl>
  </w:abstractNum>
  <w:abstractNum w:abstractNumId="7">
    <w:nsid w:val="1F16E9E8"/>
    <w:multiLevelType w:val="hybridMultilevel"/>
    <w:lvl w:ilvl="0">
      <w:lvlJc w:val="left"/>
      <w:lvlText w:val="(%1)"/>
      <w:numFmt w:val="decimal"/>
      <w:start w:val="1"/>
    </w:lvl>
    <w:lvl w:ilvl="1">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2025-10-22T07:06:45Z</dcterms:created>
  <dcterms:modified xsi:type="dcterms:W3CDTF">2025-10-22T07:06:45Z</dcterms:modified>
</cp:coreProperties>
</file>