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40"/>
              <w:spacing w:after="0" w:line="187" w:lineRule="exact"/>
              <w:rPr>
                <w:sz w:val="20"/>
                <w:szCs w:val="20"/>
                <w:color w:val="auto"/>
              </w:rPr>
            </w:pPr>
            <w:r>
              <w:rPr>
                <w:rFonts w:ascii="Times New Roman" w:cs="Times New Roman" w:eastAsia="Times New Roman" w:hAnsi="Times New Roman"/>
                <w:sz w:val="17"/>
                <w:szCs w:val="17"/>
                <w:color w:val="0000FF"/>
              </w:rPr>
              <w:t>SVP-Human Resources</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01/27/2021</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6,857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67.2</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20,052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8,356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67.2</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11,696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6,857 shares of common stock of Winnebago Industries, Inc. sold by the reporting person in multiple transactions on January 27, 2021 with sale prices ranging from $67.00 to $67.46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8,356 shares of common stock of Winnebago Industries, Inc. sold by the reporting person in multiple transactions on January 27, 2021 with sale prices ranging from $67.00 to $67.56 per share. The reporting person undertakes to provide upon request by the U.S. Securities and Exchange Commission staff, the issuer, or a security holder of the issuer, full information regarding the number of shares sold at each separate price.</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2021-01-28T14:35:52Z</dcterms:created>
  <dcterms:modified xsi:type="dcterms:W3CDTF">2021-01-28T14:35:52Z</dcterms:modified>
</cp:coreProperties>
</file>