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13D</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 (Amendment No. ___)</w:t>
      </w:r>
      <w:r>
        <w:rPr>
          <w:rFonts w:ascii="Arial" w:cs="Arial" w:eastAsia="Arial" w:hAnsi="Arial"/>
          <w:sz w:val="32"/>
          <w:szCs w:val="32"/>
          <w:b w:val="1"/>
          <w:bCs w:val="1"/>
          <w:color w:val="auto"/>
          <w:vertAlign w:val="superscript"/>
        </w:rPr>
        <w:t>*</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Common Stock, par value $0.50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Francis Chow</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444 W. New England Avenue, Suite 117</w:t>
      </w:r>
    </w:p>
    <w:p>
      <w:pPr>
        <w:jc w:val="center"/>
        <w:spacing w:after="0"/>
        <w:rPr>
          <w:sz w:val="20"/>
          <w:szCs w:val="20"/>
          <w:color w:val="auto"/>
        </w:rPr>
      </w:pPr>
      <w:r>
        <w:rPr>
          <w:rFonts w:ascii="Arial" w:cs="Arial" w:eastAsia="Arial" w:hAnsi="Arial"/>
          <w:sz w:val="20"/>
          <w:szCs w:val="20"/>
          <w:color w:val="auto"/>
        </w:rPr>
        <w:t>Winter Park, FL 32789</w:t>
      </w:r>
    </w:p>
    <w:p>
      <w:pPr>
        <w:jc w:val="center"/>
        <w:spacing w:after="0"/>
        <w:rPr>
          <w:sz w:val="20"/>
          <w:szCs w:val="20"/>
          <w:color w:val="auto"/>
        </w:rPr>
      </w:pPr>
      <w:r>
        <w:rPr>
          <w:rFonts w:ascii="Arial" w:cs="Arial" w:eastAsia="Arial" w:hAnsi="Arial"/>
          <w:sz w:val="20"/>
          <w:szCs w:val="20"/>
          <w:color w:val="auto"/>
        </w:rPr>
        <w:t>(407) 367-4347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Address and Telephone Number of Person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29"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84" w:lineRule="exact"/>
        <w:rPr>
          <w:sz w:val="24"/>
          <w:szCs w:val="24"/>
          <w:color w:val="auto"/>
        </w:rPr>
      </w:pPr>
    </w:p>
    <w:p>
      <w:pPr>
        <w:jc w:val="both"/>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87" w:lineRule="exact"/>
        <w:rPr>
          <w:sz w:val="24"/>
          <w:szCs w:val="24"/>
          <w:color w:val="auto"/>
        </w:rPr>
      </w:pPr>
    </w:p>
    <w:p>
      <w:pPr>
        <w:jc w:val="both"/>
        <w:spacing w:after="0" w:line="221"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(Continued on following pages)</w:t>
      </w:r>
    </w:p>
    <w:p>
      <w:pPr>
        <w:spacing w:after="0" w:line="229" w:lineRule="exact"/>
        <w:rPr>
          <w:sz w:val="24"/>
          <w:szCs w:val="24"/>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1 of 11 Pages</w:t>
      </w:r>
    </w:p>
    <w:p>
      <w:pPr>
        <w:sectPr>
          <w:pgSz w:w="11900" w:h="16838" w:orient="portrait"/>
          <w:cols w:equalWidth="0" w:num="1">
            <w:col w:w="11240"/>
          </w:cols>
          <w:pgMar w:left="320" w:top="225" w:right="339" w:bottom="1440" w:gutter="0" w:footer="0" w:header="0"/>
        </w:sectPr>
      </w:pPr>
    </w:p>
    <w:bookmarkStart w:id="1" w:name="page2"/>
    <w:bookmarkEnd w:id="1"/>
    <w:p>
      <w:pPr>
        <w:ind w:left="640" w:right="7540" w:hanging="565"/>
        <w:spacing w:after="0" w:line="452" w:lineRule="auto"/>
        <w:tabs>
          <w:tab w:leader="none" w:pos="640" w:val="left"/>
        </w:tabs>
        <w:numPr>
          <w:ilvl w:val="0"/>
          <w:numId w:val="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934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t>NAMES OF REPORTING PERSONS Punch Card Capital, LP</w:t>
      </w:r>
    </w:p>
    <w:p>
      <w:pPr>
        <w:ind w:left="640" w:hanging="565"/>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20" w:hanging="278"/>
        <w:spacing w:after="0"/>
        <w:tabs>
          <w:tab w:leader="none" w:pos="920" w:val="left"/>
        </w:tabs>
        <w:numPr>
          <w:ilvl w:val="1"/>
          <w:numId w:val="1"/>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920" w:hanging="278"/>
        <w:spacing w:after="0"/>
        <w:tabs>
          <w:tab w:leader="none" w:pos="920" w:val="left"/>
        </w:tabs>
        <w:numPr>
          <w:ilvl w:val="1"/>
          <w:numId w:val="1"/>
        </w:numPr>
        <w:rPr>
          <w:rFonts w:ascii="Arial" w:cs="Arial" w:eastAsia="Arial" w:hAnsi="Arial"/>
          <w:sz w:val="20"/>
          <w:szCs w:val="20"/>
          <w:color w:val="auto"/>
        </w:rPr>
      </w:pPr>
      <w:r>
        <w:rPr>
          <w:rFonts w:ascii="Arial" w:cs="Arial" w:eastAsia="Arial" w:hAnsi="Arial"/>
          <w:sz w:val="20"/>
          <w:szCs w:val="20"/>
          <w:color w:val="auto"/>
        </w:rPr>
        <w:t>[ X ]</w:t>
      </w:r>
    </w:p>
    <w:p>
      <w:pPr>
        <w:spacing w:after="0" w:line="105" w:lineRule="exact"/>
        <w:rPr>
          <w:rFonts w:ascii="Arial" w:cs="Arial" w:eastAsia="Arial" w:hAnsi="Arial"/>
          <w:sz w:val="20"/>
          <w:szCs w:val="20"/>
          <w:color w:val="auto"/>
        </w:rPr>
      </w:pPr>
    </w:p>
    <w:p>
      <w:pPr>
        <w:ind w:left="640" w:hanging="565"/>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640" w:right="8820" w:hanging="565"/>
        <w:spacing w:after="0" w:line="422"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SOURCE OF FUNDS WC</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50" w:lineRule="exact"/>
        <w:rPr>
          <w:rFonts w:ascii="Arial" w:cs="Arial" w:eastAsia="Arial" w:hAnsi="Arial"/>
          <w:sz w:val="20"/>
          <w:szCs w:val="20"/>
          <w:color w:val="auto"/>
        </w:rPr>
      </w:pPr>
    </w:p>
    <w:p>
      <w:pPr>
        <w:ind w:left="640" w:right="6560" w:hanging="565"/>
        <w:spacing w:after="0" w:line="444" w:lineRule="auto"/>
        <w:tabs>
          <w:tab w:leader="none" w:pos="640" w:val="left"/>
        </w:tabs>
        <w:numPr>
          <w:ilvl w:val="0"/>
          <w:numId w:val="1"/>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700" w:hanging="600"/>
        <w:spacing w:after="0"/>
        <w:tabs>
          <w:tab w:leader="none" w:pos="2700" w:val="left"/>
        </w:tabs>
        <w:numPr>
          <w:ilvl w:val="2"/>
          <w:numId w:val="1"/>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1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760" w:type="dxa"/>
            <w:vAlign w:val="bottom"/>
          </w:tcPr>
          <w:p>
            <w:pPr>
              <w:ind w:left="22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50"/>
        </w:trPr>
        <w:tc>
          <w:tcPr>
            <w:tcW w:w="1720" w:type="dxa"/>
            <w:vAlign w:val="bottom"/>
            <w:vMerge w:val="restart"/>
          </w:tcPr>
          <w:p>
            <w:pPr>
              <w:jc w:val="center"/>
              <w:ind w:right="201"/>
              <w:spacing w:after="0"/>
              <w:rPr>
                <w:sz w:val="20"/>
                <w:szCs w:val="20"/>
                <w:color w:val="auto"/>
              </w:rPr>
            </w:pPr>
            <w:r>
              <w:rPr>
                <w:rFonts w:ascii="Arial" w:cs="Arial" w:eastAsia="Arial" w:hAnsi="Arial"/>
                <w:sz w:val="20"/>
                <w:szCs w:val="20"/>
                <w:color w:val="auto"/>
                <w:w w:val="94"/>
              </w:rPr>
              <w:t>NUMBER OF</w:t>
            </w:r>
          </w:p>
        </w:tc>
        <w:tc>
          <w:tcPr>
            <w:tcW w:w="44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40" w:type="dxa"/>
            <w:vAlign w:val="bottom"/>
          </w:tcPr>
          <w:p>
            <w:pPr>
              <w:jc w:val="right"/>
              <w:ind w:right="141"/>
              <w:spacing w:after="0" w:line="223" w:lineRule="exact"/>
              <w:rPr>
                <w:sz w:val="20"/>
                <w:szCs w:val="20"/>
                <w:color w:val="auto"/>
              </w:rPr>
            </w:pPr>
            <w:r>
              <w:rPr>
                <w:rFonts w:ascii="Arial" w:cs="Arial" w:eastAsia="Arial" w:hAnsi="Arial"/>
                <w:sz w:val="20"/>
                <w:szCs w:val="20"/>
                <w:color w:val="auto"/>
              </w:rPr>
              <w:t>8.</w:t>
            </w:r>
          </w:p>
        </w:tc>
        <w:tc>
          <w:tcPr>
            <w:tcW w:w="8760" w:type="dxa"/>
            <w:vAlign w:val="bottom"/>
          </w:tcPr>
          <w:p>
            <w:pPr>
              <w:ind w:left="220"/>
              <w:spacing w:after="0" w:line="223"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13"/>
        </w:trPr>
        <w:tc>
          <w:tcPr>
            <w:tcW w:w="1720" w:type="dxa"/>
            <w:vAlign w:val="bottom"/>
          </w:tcPr>
          <w:p>
            <w:pPr>
              <w:jc w:val="center"/>
              <w:ind w:right="181"/>
              <w:spacing w:after="0" w:line="212" w:lineRule="exact"/>
              <w:rPr>
                <w:sz w:val="20"/>
                <w:szCs w:val="20"/>
                <w:color w:val="auto"/>
              </w:rPr>
            </w:pPr>
            <w:r>
              <w:rPr>
                <w:rFonts w:ascii="Arial" w:cs="Arial" w:eastAsia="Arial" w:hAnsi="Arial"/>
                <w:sz w:val="20"/>
                <w:szCs w:val="20"/>
                <w:color w:val="auto"/>
                <w:w w:val="92"/>
              </w:rPr>
              <w:t>SHARES</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7"/>
              </w:rPr>
              <w:t>BENEFICIALLY</w:t>
            </w:r>
          </w:p>
        </w:tc>
        <w:tc>
          <w:tcPr>
            <w:tcW w:w="440" w:type="dxa"/>
            <w:vAlign w:val="bottom"/>
          </w:tcPr>
          <w:p>
            <w:pPr>
              <w:spacing w:after="0"/>
              <w:rPr>
                <w:sz w:val="21"/>
                <w:szCs w:val="21"/>
                <w:color w:val="auto"/>
              </w:rPr>
            </w:pPr>
          </w:p>
        </w:tc>
        <w:tc>
          <w:tcPr>
            <w:tcW w:w="8760" w:type="dxa"/>
            <w:vAlign w:val="bottom"/>
          </w:tcPr>
          <w:p>
            <w:pPr>
              <w:ind w:left="2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720" w:type="dxa"/>
            <w:vAlign w:val="bottom"/>
            <w:vMerge w:val="restart"/>
          </w:tcPr>
          <w:p>
            <w:pPr>
              <w:jc w:val="center"/>
              <w:ind w:right="201"/>
              <w:spacing w:after="0" w:line="213" w:lineRule="exact"/>
              <w:rPr>
                <w:sz w:val="20"/>
                <w:szCs w:val="20"/>
                <w:color w:val="auto"/>
              </w:rPr>
            </w:pPr>
            <w:r>
              <w:rPr>
                <w:rFonts w:ascii="Arial" w:cs="Arial" w:eastAsia="Arial" w:hAnsi="Arial"/>
                <w:sz w:val="20"/>
                <w:szCs w:val="20"/>
                <w:color w:val="auto"/>
                <w:w w:val="97"/>
              </w:rPr>
              <w:t>OWNED BY</w:t>
            </w:r>
          </w:p>
        </w:tc>
        <w:tc>
          <w:tcPr>
            <w:tcW w:w="440" w:type="dxa"/>
            <w:vAlign w:val="bottom"/>
            <w:tcBorders>
              <w:bottom w:val="single" w:sz="8" w:color="auto"/>
            </w:tcBorders>
          </w:tcPr>
          <w:p>
            <w:pPr>
              <w:spacing w:after="0"/>
              <w:rPr>
                <w:sz w:val="9"/>
                <w:szCs w:val="9"/>
                <w:color w:val="auto"/>
              </w:rPr>
            </w:pPr>
          </w:p>
        </w:tc>
        <w:tc>
          <w:tcPr>
            <w:tcW w:w="8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vMerge w:val="continue"/>
          </w:tcPr>
          <w:p>
            <w:pPr>
              <w:spacing w:after="0"/>
              <w:rPr>
                <w:sz w:val="7"/>
                <w:szCs w:val="7"/>
                <w:color w:val="auto"/>
              </w:rPr>
            </w:pPr>
          </w:p>
        </w:tc>
        <w:tc>
          <w:tcPr>
            <w:tcW w:w="440" w:type="dxa"/>
            <w:vAlign w:val="bottom"/>
            <w:vMerge w:val="restart"/>
          </w:tcPr>
          <w:p>
            <w:pPr>
              <w:jc w:val="right"/>
              <w:ind w:right="141"/>
              <w:spacing w:after="0"/>
              <w:rPr>
                <w:sz w:val="20"/>
                <w:szCs w:val="20"/>
                <w:color w:val="auto"/>
              </w:rPr>
            </w:pPr>
            <w:r>
              <w:rPr>
                <w:rFonts w:ascii="Arial" w:cs="Arial" w:eastAsia="Arial" w:hAnsi="Arial"/>
                <w:sz w:val="20"/>
                <w:szCs w:val="20"/>
                <w:color w:val="auto"/>
              </w:rPr>
              <w:t>9.</w:t>
            </w:r>
          </w:p>
        </w:tc>
        <w:tc>
          <w:tcPr>
            <w:tcW w:w="8760" w:type="dxa"/>
            <w:vAlign w:val="bottom"/>
            <w:vMerge w:val="restart"/>
          </w:tcPr>
          <w:p>
            <w:pPr>
              <w:ind w:left="2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720" w:type="dxa"/>
            <w:vAlign w:val="bottom"/>
          </w:tcPr>
          <w:p>
            <w:pPr>
              <w:jc w:val="center"/>
              <w:ind w:right="201"/>
              <w:spacing w:after="0"/>
              <w:rPr>
                <w:sz w:val="20"/>
                <w:szCs w:val="20"/>
                <w:color w:val="auto"/>
              </w:rPr>
            </w:pPr>
            <w:r>
              <w:rPr>
                <w:rFonts w:ascii="Arial" w:cs="Arial" w:eastAsia="Arial" w:hAnsi="Arial"/>
                <w:sz w:val="20"/>
                <w:szCs w:val="20"/>
                <w:color w:val="auto"/>
                <w:w w:val="97"/>
              </w:rPr>
              <w:t>EACH</w:t>
            </w:r>
          </w:p>
        </w:tc>
        <w:tc>
          <w:tcPr>
            <w:tcW w:w="440" w:type="dxa"/>
            <w:vAlign w:val="bottom"/>
            <w:vMerge w:val="continue"/>
          </w:tcPr>
          <w:p>
            <w:pPr>
              <w:spacing w:after="0"/>
              <w:rPr>
                <w:sz w:val="19"/>
                <w:szCs w:val="19"/>
                <w:color w:val="auto"/>
              </w:rPr>
            </w:pPr>
          </w:p>
        </w:tc>
        <w:tc>
          <w:tcPr>
            <w:tcW w:w="8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2"/>
              </w:rPr>
              <w:t>REPORTING</w:t>
            </w:r>
          </w:p>
        </w:tc>
        <w:tc>
          <w:tcPr>
            <w:tcW w:w="440" w:type="dxa"/>
            <w:vAlign w:val="bottom"/>
          </w:tcPr>
          <w:p>
            <w:pPr>
              <w:spacing w:after="0"/>
              <w:rPr>
                <w:sz w:val="19"/>
                <w:szCs w:val="19"/>
                <w:color w:val="auto"/>
              </w:rPr>
            </w:pPr>
          </w:p>
        </w:tc>
        <w:tc>
          <w:tcPr>
            <w:tcW w:w="8760" w:type="dxa"/>
            <w:vAlign w:val="bottom"/>
            <w:vMerge w:val="restart"/>
          </w:tcPr>
          <w:p>
            <w:pPr>
              <w:ind w:left="22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250"/>
        </w:trPr>
        <w:tc>
          <w:tcPr>
            <w:tcW w:w="1720" w:type="dxa"/>
            <w:vAlign w:val="bottom"/>
          </w:tcPr>
          <w:p>
            <w:pPr>
              <w:jc w:val="center"/>
              <w:ind w:right="181"/>
              <w:spacing w:after="0"/>
              <w:rPr>
                <w:sz w:val="20"/>
                <w:szCs w:val="20"/>
                <w:color w:val="auto"/>
              </w:rPr>
            </w:pPr>
            <w:r>
              <w:rPr>
                <w:rFonts w:ascii="Arial" w:cs="Arial" w:eastAsia="Arial" w:hAnsi="Arial"/>
                <w:sz w:val="20"/>
                <w:szCs w:val="20"/>
                <w:color w:val="auto"/>
                <w:w w:val="93"/>
              </w:rPr>
              <w:t>PERSON WITH</w:t>
            </w:r>
          </w:p>
        </w:tc>
        <w:tc>
          <w:tcPr>
            <w:tcW w:w="44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700" w:right="5760" w:hanging="600"/>
        <w:spacing w:after="0" w:line="422" w:lineRule="auto"/>
        <w:tabs>
          <w:tab w:leader="none" w:pos="2700" w:val="left"/>
        </w:tabs>
        <w:numPr>
          <w:ilvl w:val="1"/>
          <w:numId w:val="2"/>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640" w:right="3400" w:hanging="565"/>
        <w:spacing w:after="0" w:line="429"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2,385,740</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640" w:right="4940" w:hanging="565"/>
        <w:spacing w:after="0" w:line="422"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7.1%</w:t>
      </w:r>
    </w:p>
    <w:p>
      <w:pPr>
        <w:spacing w:after="0" w:line="1" w:lineRule="exact"/>
        <w:rPr>
          <w:rFonts w:ascii="Arial" w:cs="Arial" w:eastAsia="Arial" w:hAnsi="Arial"/>
          <w:sz w:val="20"/>
          <w:szCs w:val="20"/>
          <w:color w:val="auto"/>
        </w:rPr>
      </w:pPr>
    </w:p>
    <w:p>
      <w:pPr>
        <w:ind w:left="640" w:right="7840" w:hanging="565"/>
        <w:spacing w:after="0" w:line="500"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TYPE OF REPORTING PERSON PN</w:t>
      </w:r>
    </w:p>
    <w:p>
      <w:pPr>
        <w:spacing w:after="0" w:line="27" w:lineRule="exact"/>
        <w:rPr>
          <w:sz w:val="20"/>
          <w:szCs w:val="20"/>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2 of 11 Pages</w:t>
      </w:r>
    </w:p>
    <w:p>
      <w:pPr>
        <w:sectPr>
          <w:pgSz w:w="11900" w:h="16838" w:orient="portrait"/>
          <w:cols w:equalWidth="0" w:num="1">
            <w:col w:w="11240"/>
          </w:cols>
          <w:pgMar w:left="320" w:top="541" w:right="339" w:bottom="1440" w:gutter="0" w:footer="0" w:header="0"/>
        </w:sectPr>
      </w:pPr>
    </w:p>
    <w:bookmarkStart w:id="2" w:name="page3"/>
    <w:bookmarkEnd w:id="2"/>
    <w:p>
      <w:pPr>
        <w:ind w:left="580" w:right="7540" w:hanging="565"/>
        <w:spacing w:after="0" w:line="4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934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t>NAMES OF REPORTING PERSONS Punch Card Capital, LLC</w:t>
      </w:r>
    </w:p>
    <w:p>
      <w:pPr>
        <w:ind w:left="580" w:hanging="565"/>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860" w:hanging="278"/>
        <w:spacing w:after="0"/>
        <w:tabs>
          <w:tab w:leader="none" w:pos="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860" w:hanging="278"/>
        <w:spacing w:after="0"/>
        <w:tabs>
          <w:tab w:leader="none" w:pos="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 X ]</w:t>
      </w:r>
    </w:p>
    <w:p>
      <w:pPr>
        <w:spacing w:after="0" w:line="105" w:lineRule="exact"/>
        <w:rPr>
          <w:rFonts w:ascii="Arial" w:cs="Arial" w:eastAsia="Arial" w:hAnsi="Arial"/>
          <w:sz w:val="20"/>
          <w:szCs w:val="20"/>
          <w:color w:val="auto"/>
        </w:rPr>
      </w:pPr>
    </w:p>
    <w:p>
      <w:pPr>
        <w:ind w:left="580" w:hanging="565"/>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80" w:right="8820" w:hanging="565"/>
        <w:spacing w:after="0" w:line="422"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80" w:hanging="565"/>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50" w:lineRule="exact"/>
        <w:rPr>
          <w:rFonts w:ascii="Arial" w:cs="Arial" w:eastAsia="Arial" w:hAnsi="Arial"/>
          <w:sz w:val="20"/>
          <w:szCs w:val="20"/>
          <w:color w:val="auto"/>
        </w:rPr>
      </w:pPr>
    </w:p>
    <w:p>
      <w:pPr>
        <w:ind w:left="580" w:right="6560" w:hanging="565"/>
        <w:spacing w:after="0" w:line="444" w:lineRule="auto"/>
        <w:tabs>
          <w:tab w:leader="none" w:pos="580" w:val="left"/>
        </w:tabs>
        <w:numPr>
          <w:ilvl w:val="0"/>
          <w:numId w:val="4"/>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40" w:hanging="600"/>
        <w:spacing w:after="0"/>
        <w:tabs>
          <w:tab w:leader="none" w:pos="26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50"/>
        </w:trPr>
        <w:tc>
          <w:tcPr>
            <w:tcW w:w="1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760" w:type="dxa"/>
            <w:vAlign w:val="bottom"/>
          </w:tcPr>
          <w:p>
            <w:pPr>
              <w:ind w:left="22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50"/>
        </w:trPr>
        <w:tc>
          <w:tcPr>
            <w:tcW w:w="1720" w:type="dxa"/>
            <w:vAlign w:val="bottom"/>
            <w:vMerge w:val="restart"/>
          </w:tcPr>
          <w:p>
            <w:pPr>
              <w:jc w:val="center"/>
              <w:ind w:right="201"/>
              <w:spacing w:after="0"/>
              <w:rPr>
                <w:sz w:val="20"/>
                <w:szCs w:val="20"/>
                <w:color w:val="auto"/>
              </w:rPr>
            </w:pPr>
            <w:r>
              <w:rPr>
                <w:rFonts w:ascii="Arial" w:cs="Arial" w:eastAsia="Arial" w:hAnsi="Arial"/>
                <w:sz w:val="20"/>
                <w:szCs w:val="20"/>
                <w:color w:val="auto"/>
                <w:w w:val="94"/>
              </w:rPr>
              <w:t>NUMBER OF</w:t>
            </w:r>
          </w:p>
        </w:tc>
        <w:tc>
          <w:tcPr>
            <w:tcW w:w="44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40" w:type="dxa"/>
            <w:vAlign w:val="bottom"/>
          </w:tcPr>
          <w:p>
            <w:pPr>
              <w:jc w:val="right"/>
              <w:ind w:right="141"/>
              <w:spacing w:after="0" w:line="223" w:lineRule="exact"/>
              <w:rPr>
                <w:sz w:val="20"/>
                <w:szCs w:val="20"/>
                <w:color w:val="auto"/>
              </w:rPr>
            </w:pPr>
            <w:r>
              <w:rPr>
                <w:rFonts w:ascii="Arial" w:cs="Arial" w:eastAsia="Arial" w:hAnsi="Arial"/>
                <w:sz w:val="20"/>
                <w:szCs w:val="20"/>
                <w:color w:val="auto"/>
              </w:rPr>
              <w:t>8.</w:t>
            </w:r>
          </w:p>
        </w:tc>
        <w:tc>
          <w:tcPr>
            <w:tcW w:w="8760" w:type="dxa"/>
            <w:vAlign w:val="bottom"/>
          </w:tcPr>
          <w:p>
            <w:pPr>
              <w:ind w:left="220"/>
              <w:spacing w:after="0" w:line="223"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13"/>
        </w:trPr>
        <w:tc>
          <w:tcPr>
            <w:tcW w:w="1720" w:type="dxa"/>
            <w:vAlign w:val="bottom"/>
          </w:tcPr>
          <w:p>
            <w:pPr>
              <w:jc w:val="center"/>
              <w:ind w:right="181"/>
              <w:spacing w:after="0" w:line="212" w:lineRule="exact"/>
              <w:rPr>
                <w:sz w:val="20"/>
                <w:szCs w:val="20"/>
                <w:color w:val="auto"/>
              </w:rPr>
            </w:pPr>
            <w:r>
              <w:rPr>
                <w:rFonts w:ascii="Arial" w:cs="Arial" w:eastAsia="Arial" w:hAnsi="Arial"/>
                <w:sz w:val="20"/>
                <w:szCs w:val="20"/>
                <w:color w:val="auto"/>
                <w:w w:val="92"/>
              </w:rPr>
              <w:t>SHARES</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7"/>
              </w:rPr>
              <w:t>BENEFICIALLY</w:t>
            </w:r>
          </w:p>
        </w:tc>
        <w:tc>
          <w:tcPr>
            <w:tcW w:w="440" w:type="dxa"/>
            <w:vAlign w:val="bottom"/>
          </w:tcPr>
          <w:p>
            <w:pPr>
              <w:spacing w:after="0"/>
              <w:rPr>
                <w:sz w:val="21"/>
                <w:szCs w:val="21"/>
                <w:color w:val="auto"/>
              </w:rPr>
            </w:pPr>
          </w:p>
        </w:tc>
        <w:tc>
          <w:tcPr>
            <w:tcW w:w="8760" w:type="dxa"/>
            <w:vAlign w:val="bottom"/>
          </w:tcPr>
          <w:p>
            <w:pPr>
              <w:ind w:left="2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720" w:type="dxa"/>
            <w:vAlign w:val="bottom"/>
            <w:vMerge w:val="restart"/>
          </w:tcPr>
          <w:p>
            <w:pPr>
              <w:jc w:val="center"/>
              <w:ind w:right="201"/>
              <w:spacing w:after="0" w:line="213" w:lineRule="exact"/>
              <w:rPr>
                <w:sz w:val="20"/>
                <w:szCs w:val="20"/>
                <w:color w:val="auto"/>
              </w:rPr>
            </w:pPr>
            <w:r>
              <w:rPr>
                <w:rFonts w:ascii="Arial" w:cs="Arial" w:eastAsia="Arial" w:hAnsi="Arial"/>
                <w:sz w:val="20"/>
                <w:szCs w:val="20"/>
                <w:color w:val="auto"/>
                <w:w w:val="97"/>
              </w:rPr>
              <w:t>OWNED BY</w:t>
            </w:r>
          </w:p>
        </w:tc>
        <w:tc>
          <w:tcPr>
            <w:tcW w:w="440" w:type="dxa"/>
            <w:vAlign w:val="bottom"/>
            <w:tcBorders>
              <w:bottom w:val="single" w:sz="8" w:color="auto"/>
            </w:tcBorders>
          </w:tcPr>
          <w:p>
            <w:pPr>
              <w:spacing w:after="0"/>
              <w:rPr>
                <w:sz w:val="9"/>
                <w:szCs w:val="9"/>
                <w:color w:val="auto"/>
              </w:rPr>
            </w:pPr>
          </w:p>
        </w:tc>
        <w:tc>
          <w:tcPr>
            <w:tcW w:w="8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vMerge w:val="continue"/>
          </w:tcPr>
          <w:p>
            <w:pPr>
              <w:spacing w:after="0"/>
              <w:rPr>
                <w:sz w:val="7"/>
                <w:szCs w:val="7"/>
                <w:color w:val="auto"/>
              </w:rPr>
            </w:pPr>
          </w:p>
        </w:tc>
        <w:tc>
          <w:tcPr>
            <w:tcW w:w="440" w:type="dxa"/>
            <w:vAlign w:val="bottom"/>
            <w:vMerge w:val="restart"/>
          </w:tcPr>
          <w:p>
            <w:pPr>
              <w:jc w:val="right"/>
              <w:ind w:right="141"/>
              <w:spacing w:after="0"/>
              <w:rPr>
                <w:sz w:val="20"/>
                <w:szCs w:val="20"/>
                <w:color w:val="auto"/>
              </w:rPr>
            </w:pPr>
            <w:r>
              <w:rPr>
                <w:rFonts w:ascii="Arial" w:cs="Arial" w:eastAsia="Arial" w:hAnsi="Arial"/>
                <w:sz w:val="20"/>
                <w:szCs w:val="20"/>
                <w:color w:val="auto"/>
              </w:rPr>
              <w:t>9.</w:t>
            </w:r>
          </w:p>
        </w:tc>
        <w:tc>
          <w:tcPr>
            <w:tcW w:w="8760" w:type="dxa"/>
            <w:vAlign w:val="bottom"/>
            <w:vMerge w:val="restart"/>
          </w:tcPr>
          <w:p>
            <w:pPr>
              <w:ind w:left="2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29"/>
        </w:trPr>
        <w:tc>
          <w:tcPr>
            <w:tcW w:w="1720" w:type="dxa"/>
            <w:vAlign w:val="bottom"/>
          </w:tcPr>
          <w:p>
            <w:pPr>
              <w:jc w:val="center"/>
              <w:ind w:right="201"/>
              <w:spacing w:after="0"/>
              <w:rPr>
                <w:sz w:val="20"/>
                <w:szCs w:val="20"/>
                <w:color w:val="auto"/>
              </w:rPr>
            </w:pPr>
            <w:r>
              <w:rPr>
                <w:rFonts w:ascii="Arial" w:cs="Arial" w:eastAsia="Arial" w:hAnsi="Arial"/>
                <w:sz w:val="20"/>
                <w:szCs w:val="20"/>
                <w:color w:val="auto"/>
                <w:w w:val="97"/>
              </w:rPr>
              <w:t>EACH</w:t>
            </w:r>
          </w:p>
        </w:tc>
        <w:tc>
          <w:tcPr>
            <w:tcW w:w="440" w:type="dxa"/>
            <w:vAlign w:val="bottom"/>
            <w:vMerge w:val="continue"/>
          </w:tcPr>
          <w:p>
            <w:pPr>
              <w:spacing w:after="0"/>
              <w:rPr>
                <w:sz w:val="19"/>
                <w:szCs w:val="19"/>
                <w:color w:val="auto"/>
              </w:rPr>
            </w:pPr>
          </w:p>
        </w:tc>
        <w:tc>
          <w:tcPr>
            <w:tcW w:w="8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2"/>
              </w:rPr>
              <w:t>REPORTING</w:t>
            </w:r>
          </w:p>
        </w:tc>
        <w:tc>
          <w:tcPr>
            <w:tcW w:w="440" w:type="dxa"/>
            <w:vAlign w:val="bottom"/>
          </w:tcPr>
          <w:p>
            <w:pPr>
              <w:spacing w:after="0"/>
              <w:rPr>
                <w:sz w:val="19"/>
                <w:szCs w:val="19"/>
                <w:color w:val="auto"/>
              </w:rPr>
            </w:pPr>
          </w:p>
        </w:tc>
        <w:tc>
          <w:tcPr>
            <w:tcW w:w="8760" w:type="dxa"/>
            <w:vAlign w:val="bottom"/>
            <w:vMerge w:val="restart"/>
          </w:tcPr>
          <w:p>
            <w:pPr>
              <w:ind w:left="22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250"/>
        </w:trPr>
        <w:tc>
          <w:tcPr>
            <w:tcW w:w="1720" w:type="dxa"/>
            <w:vAlign w:val="bottom"/>
          </w:tcPr>
          <w:p>
            <w:pPr>
              <w:jc w:val="center"/>
              <w:ind w:right="181"/>
              <w:spacing w:after="0"/>
              <w:rPr>
                <w:sz w:val="20"/>
                <w:szCs w:val="20"/>
                <w:color w:val="auto"/>
              </w:rPr>
            </w:pPr>
            <w:r>
              <w:rPr>
                <w:rFonts w:ascii="Arial" w:cs="Arial" w:eastAsia="Arial" w:hAnsi="Arial"/>
                <w:sz w:val="20"/>
                <w:szCs w:val="20"/>
                <w:color w:val="auto"/>
                <w:w w:val="93"/>
              </w:rPr>
              <w:t>PERSON WITH</w:t>
            </w:r>
          </w:p>
        </w:tc>
        <w:tc>
          <w:tcPr>
            <w:tcW w:w="44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640" w:right="5760" w:hanging="600"/>
        <w:spacing w:after="0" w:line="422" w:lineRule="auto"/>
        <w:tabs>
          <w:tab w:leader="none" w:pos="2640" w:val="left"/>
        </w:tabs>
        <w:numPr>
          <w:ilvl w:val="1"/>
          <w:numId w:val="5"/>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80" w:right="3400" w:hanging="565"/>
        <w:spacing w:after="0" w:line="429" w:lineRule="auto"/>
        <w:tabs>
          <w:tab w:leader="none" w:pos="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2,385,740</w:t>
      </w:r>
    </w:p>
    <w:p>
      <w:pPr>
        <w:spacing w:after="0" w:line="1" w:lineRule="exact"/>
        <w:rPr>
          <w:rFonts w:ascii="Arial" w:cs="Arial" w:eastAsia="Arial" w:hAnsi="Arial"/>
          <w:sz w:val="20"/>
          <w:szCs w:val="20"/>
          <w:color w:val="auto"/>
        </w:rPr>
      </w:pPr>
    </w:p>
    <w:p>
      <w:pPr>
        <w:ind w:left="580" w:hanging="565"/>
        <w:spacing w:after="0"/>
        <w:tabs>
          <w:tab w:leader="none" w:pos="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80" w:right="4940" w:hanging="565"/>
        <w:spacing w:after="0" w:line="422" w:lineRule="auto"/>
        <w:tabs>
          <w:tab w:leader="none" w:pos="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7.1%</w:t>
      </w:r>
    </w:p>
    <w:p>
      <w:pPr>
        <w:spacing w:after="0" w:line="1" w:lineRule="exact"/>
        <w:rPr>
          <w:rFonts w:ascii="Arial" w:cs="Arial" w:eastAsia="Arial" w:hAnsi="Arial"/>
          <w:sz w:val="20"/>
          <w:szCs w:val="20"/>
          <w:color w:val="auto"/>
        </w:rPr>
      </w:pPr>
    </w:p>
    <w:p>
      <w:pPr>
        <w:ind w:left="580" w:right="7840" w:hanging="565"/>
        <w:spacing w:after="0" w:line="500" w:lineRule="auto"/>
        <w:tabs>
          <w:tab w:leader="none" w:pos="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 OO</w:t>
      </w:r>
    </w:p>
    <w:p>
      <w:pPr>
        <w:spacing w:after="0" w:line="27" w:lineRule="exact"/>
        <w:rPr>
          <w:sz w:val="20"/>
          <w:szCs w:val="20"/>
          <w:color w:val="auto"/>
        </w:rPr>
      </w:pPr>
    </w:p>
    <w:p>
      <w:pPr>
        <w:spacing w:after="0"/>
        <w:tabs>
          <w:tab w:leader="none" w:pos="5380" w:val="left"/>
          <w:tab w:leader="none" w:pos="966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3 of 11 Pages</w:t>
      </w:r>
    </w:p>
    <w:p>
      <w:pPr>
        <w:sectPr>
          <w:pgSz w:w="11900" w:h="16838" w:orient="portrait"/>
          <w:cols w:equalWidth="0" w:num="1">
            <w:col w:w="11180"/>
          </w:cols>
          <w:pgMar w:left="380" w:top="541" w:right="339" w:bottom="1440" w:gutter="0" w:footer="0" w:header="0"/>
        </w:sectPr>
      </w:pPr>
    </w:p>
    <w:bookmarkStart w:id="3" w:name="page4"/>
    <w:bookmarkEnd w:id="3"/>
    <w:p>
      <w:pPr>
        <w:ind w:left="640" w:right="7540" w:hanging="515"/>
        <w:spacing w:after="0" w:line="477"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934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t>NAMES OF REPORTING PERSONS Punch Card Management, LP</w:t>
      </w:r>
    </w:p>
    <w:p>
      <w:pPr>
        <w:ind w:left="640" w:hanging="565"/>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20" w:hanging="278"/>
        <w:spacing w:after="0"/>
        <w:tabs>
          <w:tab w:leader="none" w:pos="920" w:val="left"/>
        </w:tabs>
        <w:numPr>
          <w:ilvl w:val="2"/>
          <w:numId w:val="8"/>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920" w:hanging="278"/>
        <w:spacing w:after="0"/>
        <w:tabs>
          <w:tab w:leader="none" w:pos="920" w:val="left"/>
        </w:tabs>
        <w:numPr>
          <w:ilvl w:val="2"/>
          <w:numId w:val="8"/>
        </w:numPr>
        <w:rPr>
          <w:rFonts w:ascii="Arial" w:cs="Arial" w:eastAsia="Arial" w:hAnsi="Arial"/>
          <w:sz w:val="20"/>
          <w:szCs w:val="20"/>
          <w:color w:val="auto"/>
        </w:rPr>
      </w:pPr>
      <w:r>
        <w:rPr>
          <w:rFonts w:ascii="Arial" w:cs="Arial" w:eastAsia="Arial" w:hAnsi="Arial"/>
          <w:sz w:val="20"/>
          <w:szCs w:val="20"/>
          <w:color w:val="auto"/>
        </w:rPr>
        <w:t>[ X ]</w:t>
      </w:r>
    </w:p>
    <w:p>
      <w:pPr>
        <w:spacing w:after="0" w:line="105" w:lineRule="exact"/>
        <w:rPr>
          <w:rFonts w:ascii="Arial" w:cs="Arial" w:eastAsia="Arial" w:hAnsi="Arial"/>
          <w:sz w:val="20"/>
          <w:szCs w:val="20"/>
          <w:color w:val="auto"/>
        </w:rPr>
      </w:pPr>
    </w:p>
    <w:p>
      <w:pPr>
        <w:ind w:left="640" w:hanging="565"/>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640" w:right="8820" w:hanging="565"/>
        <w:spacing w:after="0" w:line="422"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50" w:lineRule="exact"/>
        <w:rPr>
          <w:rFonts w:ascii="Arial" w:cs="Arial" w:eastAsia="Arial" w:hAnsi="Arial"/>
          <w:sz w:val="20"/>
          <w:szCs w:val="20"/>
          <w:color w:val="auto"/>
        </w:rPr>
      </w:pPr>
    </w:p>
    <w:p>
      <w:pPr>
        <w:ind w:left="640" w:right="6560" w:hanging="565"/>
        <w:spacing w:after="0" w:line="444"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60" w:hanging="560"/>
        <w:spacing w:after="0"/>
        <w:tabs>
          <w:tab w:leader="none" w:pos="2660" w:val="left"/>
        </w:tabs>
        <w:numPr>
          <w:ilvl w:val="3"/>
          <w:numId w:val="8"/>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780" w:type="dxa"/>
            <w:vAlign w:val="bottom"/>
          </w:tcPr>
          <w:p>
            <w:pPr>
              <w:ind w:left="20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50"/>
        </w:trPr>
        <w:tc>
          <w:tcPr>
            <w:tcW w:w="1720" w:type="dxa"/>
            <w:vAlign w:val="bottom"/>
            <w:vMerge w:val="restart"/>
          </w:tcPr>
          <w:p>
            <w:pPr>
              <w:jc w:val="center"/>
              <w:ind w:right="201"/>
              <w:spacing w:after="0"/>
              <w:rPr>
                <w:sz w:val="20"/>
                <w:szCs w:val="20"/>
                <w:color w:val="auto"/>
              </w:rPr>
            </w:pPr>
            <w:r>
              <w:rPr>
                <w:rFonts w:ascii="Arial" w:cs="Arial" w:eastAsia="Arial" w:hAnsi="Arial"/>
                <w:sz w:val="20"/>
                <w:szCs w:val="20"/>
                <w:color w:val="auto"/>
                <w:w w:val="94"/>
              </w:rPr>
              <w:t>NUMBER OF</w:t>
            </w:r>
          </w:p>
        </w:tc>
        <w:tc>
          <w:tcPr>
            <w:tcW w:w="420" w:type="dxa"/>
            <w:vAlign w:val="bottom"/>
            <w:tcBorders>
              <w:bottom w:val="single" w:sz="8" w:color="auto"/>
            </w:tcBorders>
          </w:tcPr>
          <w:p>
            <w:pPr>
              <w:spacing w:after="0"/>
              <w:rPr>
                <w:sz w:val="4"/>
                <w:szCs w:val="4"/>
                <w:color w:val="auto"/>
              </w:rPr>
            </w:pPr>
          </w:p>
        </w:tc>
        <w:tc>
          <w:tcPr>
            <w:tcW w:w="8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20" w:type="dxa"/>
            <w:vAlign w:val="bottom"/>
          </w:tcPr>
          <w:p>
            <w:pPr>
              <w:jc w:val="right"/>
              <w:ind w:right="121"/>
              <w:spacing w:after="0" w:line="223" w:lineRule="exact"/>
              <w:rPr>
                <w:sz w:val="20"/>
                <w:szCs w:val="20"/>
                <w:color w:val="auto"/>
              </w:rPr>
            </w:pPr>
            <w:r>
              <w:rPr>
                <w:rFonts w:ascii="Arial" w:cs="Arial" w:eastAsia="Arial" w:hAnsi="Arial"/>
                <w:sz w:val="20"/>
                <w:szCs w:val="20"/>
                <w:color w:val="auto"/>
              </w:rPr>
              <w:t>8.</w:t>
            </w:r>
          </w:p>
        </w:tc>
        <w:tc>
          <w:tcPr>
            <w:tcW w:w="8780" w:type="dxa"/>
            <w:vAlign w:val="bottom"/>
          </w:tcPr>
          <w:p>
            <w:pPr>
              <w:ind w:left="200"/>
              <w:spacing w:after="0" w:line="223"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13"/>
        </w:trPr>
        <w:tc>
          <w:tcPr>
            <w:tcW w:w="1720" w:type="dxa"/>
            <w:vAlign w:val="bottom"/>
          </w:tcPr>
          <w:p>
            <w:pPr>
              <w:jc w:val="center"/>
              <w:ind w:right="181"/>
              <w:spacing w:after="0" w:line="212" w:lineRule="exact"/>
              <w:rPr>
                <w:sz w:val="20"/>
                <w:szCs w:val="20"/>
                <w:color w:val="auto"/>
              </w:rPr>
            </w:pPr>
            <w:r>
              <w:rPr>
                <w:rFonts w:ascii="Arial" w:cs="Arial" w:eastAsia="Arial" w:hAnsi="Arial"/>
                <w:sz w:val="20"/>
                <w:szCs w:val="20"/>
                <w:color w:val="auto"/>
                <w:w w:val="92"/>
              </w:rPr>
              <w:t>SHARES</w:t>
            </w:r>
          </w:p>
        </w:tc>
        <w:tc>
          <w:tcPr>
            <w:tcW w:w="4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7"/>
              </w:rPr>
              <w:t>BENEFICIALLY</w:t>
            </w:r>
          </w:p>
        </w:tc>
        <w:tc>
          <w:tcPr>
            <w:tcW w:w="420" w:type="dxa"/>
            <w:vAlign w:val="bottom"/>
          </w:tcPr>
          <w:p>
            <w:pPr>
              <w:spacing w:after="0"/>
              <w:rPr>
                <w:sz w:val="21"/>
                <w:szCs w:val="21"/>
                <w:color w:val="auto"/>
              </w:rPr>
            </w:pPr>
          </w:p>
        </w:tc>
        <w:tc>
          <w:tcPr>
            <w:tcW w:w="8780" w:type="dxa"/>
            <w:vAlign w:val="bottom"/>
          </w:tcPr>
          <w:p>
            <w:pPr>
              <w:ind w:left="2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720" w:type="dxa"/>
            <w:vAlign w:val="bottom"/>
            <w:vMerge w:val="restart"/>
          </w:tcPr>
          <w:p>
            <w:pPr>
              <w:jc w:val="center"/>
              <w:ind w:right="201"/>
              <w:spacing w:after="0" w:line="213" w:lineRule="exact"/>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tcBorders>
          </w:tcPr>
          <w:p>
            <w:pPr>
              <w:spacing w:after="0"/>
              <w:rPr>
                <w:sz w:val="9"/>
                <w:szCs w:val="9"/>
                <w:color w:val="auto"/>
              </w:rPr>
            </w:pPr>
          </w:p>
        </w:tc>
        <w:tc>
          <w:tcPr>
            <w:tcW w:w="8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vMerge w:val="continue"/>
          </w:tcPr>
          <w:p>
            <w:pPr>
              <w:spacing w:after="0"/>
              <w:rPr>
                <w:sz w:val="7"/>
                <w:szCs w:val="7"/>
                <w:color w:val="auto"/>
              </w:rPr>
            </w:pPr>
          </w:p>
        </w:tc>
        <w:tc>
          <w:tcPr>
            <w:tcW w:w="420" w:type="dxa"/>
            <w:vAlign w:val="bottom"/>
            <w:vMerge w:val="restart"/>
          </w:tcPr>
          <w:p>
            <w:pPr>
              <w:jc w:val="right"/>
              <w:ind w:right="121"/>
              <w:spacing w:after="0"/>
              <w:rPr>
                <w:sz w:val="20"/>
                <w:szCs w:val="20"/>
                <w:color w:val="auto"/>
              </w:rPr>
            </w:pPr>
            <w:r>
              <w:rPr>
                <w:rFonts w:ascii="Arial" w:cs="Arial" w:eastAsia="Arial" w:hAnsi="Arial"/>
                <w:sz w:val="20"/>
                <w:szCs w:val="20"/>
                <w:color w:val="auto"/>
              </w:rPr>
              <w:t>9.</w:t>
            </w:r>
          </w:p>
        </w:tc>
        <w:tc>
          <w:tcPr>
            <w:tcW w:w="878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720" w:type="dxa"/>
            <w:vAlign w:val="bottom"/>
          </w:tcPr>
          <w:p>
            <w:pPr>
              <w:jc w:val="center"/>
              <w:ind w:right="201"/>
              <w:spacing w:after="0"/>
              <w:rPr>
                <w:sz w:val="20"/>
                <w:szCs w:val="20"/>
                <w:color w:val="auto"/>
              </w:rPr>
            </w:pPr>
            <w:r>
              <w:rPr>
                <w:rFonts w:ascii="Arial" w:cs="Arial" w:eastAsia="Arial" w:hAnsi="Arial"/>
                <w:sz w:val="20"/>
                <w:szCs w:val="20"/>
                <w:color w:val="auto"/>
                <w:w w:val="97"/>
              </w:rPr>
              <w:t>EACH</w:t>
            </w:r>
          </w:p>
        </w:tc>
        <w:tc>
          <w:tcPr>
            <w:tcW w:w="420" w:type="dxa"/>
            <w:vAlign w:val="bottom"/>
            <w:vMerge w:val="continue"/>
          </w:tcPr>
          <w:p>
            <w:pPr>
              <w:spacing w:after="0"/>
              <w:rPr>
                <w:sz w:val="19"/>
                <w:szCs w:val="19"/>
                <w:color w:val="auto"/>
              </w:rPr>
            </w:pPr>
          </w:p>
        </w:tc>
        <w:tc>
          <w:tcPr>
            <w:tcW w:w="8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2"/>
              </w:rPr>
              <w:t>REPORTING</w:t>
            </w:r>
          </w:p>
        </w:tc>
        <w:tc>
          <w:tcPr>
            <w:tcW w:w="420" w:type="dxa"/>
            <w:vAlign w:val="bottom"/>
          </w:tcPr>
          <w:p>
            <w:pPr>
              <w:spacing w:after="0"/>
              <w:rPr>
                <w:sz w:val="19"/>
                <w:szCs w:val="19"/>
                <w:color w:val="auto"/>
              </w:rPr>
            </w:pPr>
          </w:p>
        </w:tc>
        <w:tc>
          <w:tcPr>
            <w:tcW w:w="8780" w:type="dxa"/>
            <w:vAlign w:val="bottom"/>
            <w:vMerge w:val="restart"/>
          </w:tcPr>
          <w:p>
            <w:pPr>
              <w:ind w:left="20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250"/>
        </w:trPr>
        <w:tc>
          <w:tcPr>
            <w:tcW w:w="1720" w:type="dxa"/>
            <w:vAlign w:val="bottom"/>
          </w:tcPr>
          <w:p>
            <w:pPr>
              <w:jc w:val="center"/>
              <w:ind w:right="181"/>
              <w:spacing w:after="0"/>
              <w:rPr>
                <w:sz w:val="20"/>
                <w:szCs w:val="20"/>
                <w:color w:val="auto"/>
              </w:rPr>
            </w:pPr>
            <w:r>
              <w:rPr>
                <w:rFonts w:ascii="Arial" w:cs="Arial" w:eastAsia="Arial" w:hAnsi="Arial"/>
                <w:sz w:val="20"/>
                <w:szCs w:val="20"/>
                <w:color w:val="auto"/>
                <w:w w:val="93"/>
              </w:rPr>
              <w:t>PERSON WITH</w:t>
            </w:r>
          </w:p>
        </w:tc>
        <w:tc>
          <w:tcPr>
            <w:tcW w:w="420" w:type="dxa"/>
            <w:vAlign w:val="bottom"/>
          </w:tcPr>
          <w:p>
            <w:pPr>
              <w:spacing w:after="0"/>
              <w:rPr>
                <w:sz w:val="21"/>
                <w:szCs w:val="21"/>
                <w:color w:val="auto"/>
              </w:rPr>
            </w:pPr>
          </w:p>
        </w:tc>
        <w:tc>
          <w:tcPr>
            <w:tcW w:w="8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660" w:right="5800" w:hanging="560"/>
        <w:spacing w:after="0" w:line="422" w:lineRule="auto"/>
        <w:tabs>
          <w:tab w:leader="none" w:pos="2660" w:val="left"/>
        </w:tabs>
        <w:numPr>
          <w:ilvl w:val="1"/>
          <w:numId w:val="9"/>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640" w:right="3400" w:hanging="565"/>
        <w:spacing w:after="0" w:line="429"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2,385,740</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640" w:right="4940" w:hanging="565"/>
        <w:spacing w:after="0" w:line="422"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7.1%</w:t>
      </w:r>
    </w:p>
    <w:p>
      <w:pPr>
        <w:spacing w:after="0" w:line="1" w:lineRule="exact"/>
        <w:rPr>
          <w:rFonts w:ascii="Arial" w:cs="Arial" w:eastAsia="Arial" w:hAnsi="Arial"/>
          <w:sz w:val="20"/>
          <w:szCs w:val="20"/>
          <w:color w:val="auto"/>
        </w:rPr>
      </w:pPr>
    </w:p>
    <w:p>
      <w:pPr>
        <w:ind w:left="640" w:right="7840" w:hanging="565"/>
        <w:spacing w:after="0" w:line="500"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 IA</w:t>
      </w:r>
    </w:p>
    <w:p>
      <w:pPr>
        <w:spacing w:after="0" w:line="27" w:lineRule="exact"/>
        <w:rPr>
          <w:sz w:val="20"/>
          <w:szCs w:val="20"/>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4 of 11 Pages</w:t>
      </w:r>
    </w:p>
    <w:p>
      <w:pPr>
        <w:sectPr>
          <w:pgSz w:w="11900" w:h="16838" w:orient="portrait"/>
          <w:cols w:equalWidth="0" w:num="1">
            <w:col w:w="11240"/>
          </w:cols>
          <w:pgMar w:left="320" w:top="541" w:right="339" w:bottom="1440" w:gutter="0" w:footer="0" w:header="0"/>
        </w:sectPr>
      </w:pPr>
    </w:p>
    <w:bookmarkStart w:id="4" w:name="page5"/>
    <w:bookmarkEnd w:id="4"/>
    <w:p>
      <w:pPr>
        <w:ind w:left="580" w:right="7540" w:hanging="565"/>
        <w:spacing w:after="0" w:line="429" w:lineRule="auto"/>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934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t>NAMES OF REPORTING PERSONS Punch Card GP, LLC</w:t>
      </w:r>
    </w:p>
    <w:p>
      <w:pPr>
        <w:spacing w:after="0" w:line="1" w:lineRule="exact"/>
        <w:rPr>
          <w:rFonts w:ascii="Arial" w:cs="Arial" w:eastAsia="Arial" w:hAnsi="Arial"/>
          <w:sz w:val="20"/>
          <w:szCs w:val="20"/>
          <w:color w:val="auto"/>
        </w:rPr>
      </w:pPr>
    </w:p>
    <w:p>
      <w:pPr>
        <w:ind w:left="580" w:hanging="565"/>
        <w:spacing w:after="0"/>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860" w:hanging="278"/>
        <w:spacing w:after="0"/>
        <w:tabs>
          <w:tab w:leader="none" w:pos="8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860" w:hanging="278"/>
        <w:spacing w:after="0"/>
        <w:tabs>
          <w:tab w:leader="none" w:pos="8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 ]</w:t>
      </w:r>
    </w:p>
    <w:p>
      <w:pPr>
        <w:spacing w:after="0" w:line="105" w:lineRule="exact"/>
        <w:rPr>
          <w:rFonts w:ascii="Arial" w:cs="Arial" w:eastAsia="Arial" w:hAnsi="Arial"/>
          <w:sz w:val="20"/>
          <w:szCs w:val="20"/>
          <w:color w:val="auto"/>
        </w:rPr>
      </w:pPr>
    </w:p>
    <w:p>
      <w:pPr>
        <w:ind w:left="580" w:hanging="565"/>
        <w:spacing w:after="0"/>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80" w:right="8820" w:hanging="565"/>
        <w:spacing w:after="0" w:line="422" w:lineRule="auto"/>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80" w:hanging="565"/>
        <w:spacing w:after="0"/>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50" w:lineRule="exact"/>
        <w:rPr>
          <w:rFonts w:ascii="Arial" w:cs="Arial" w:eastAsia="Arial" w:hAnsi="Arial"/>
          <w:sz w:val="20"/>
          <w:szCs w:val="20"/>
          <w:color w:val="auto"/>
        </w:rPr>
      </w:pPr>
    </w:p>
    <w:p>
      <w:pPr>
        <w:ind w:left="580" w:right="6560" w:hanging="565"/>
        <w:spacing w:after="0" w:line="444" w:lineRule="auto"/>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40" w:hanging="600"/>
        <w:spacing w:after="0"/>
        <w:tabs>
          <w:tab w:leader="none" w:pos="2640" w:val="left"/>
        </w:tabs>
        <w:numPr>
          <w:ilvl w:val="2"/>
          <w:numId w:val="11"/>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50"/>
        </w:trPr>
        <w:tc>
          <w:tcPr>
            <w:tcW w:w="1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760" w:type="dxa"/>
            <w:vAlign w:val="bottom"/>
          </w:tcPr>
          <w:p>
            <w:pPr>
              <w:ind w:left="22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50"/>
        </w:trPr>
        <w:tc>
          <w:tcPr>
            <w:tcW w:w="1720" w:type="dxa"/>
            <w:vAlign w:val="bottom"/>
            <w:vMerge w:val="restart"/>
          </w:tcPr>
          <w:p>
            <w:pPr>
              <w:jc w:val="center"/>
              <w:ind w:right="201"/>
              <w:spacing w:after="0"/>
              <w:rPr>
                <w:sz w:val="20"/>
                <w:szCs w:val="20"/>
                <w:color w:val="auto"/>
              </w:rPr>
            </w:pPr>
            <w:r>
              <w:rPr>
                <w:rFonts w:ascii="Arial" w:cs="Arial" w:eastAsia="Arial" w:hAnsi="Arial"/>
                <w:sz w:val="20"/>
                <w:szCs w:val="20"/>
                <w:color w:val="auto"/>
                <w:w w:val="94"/>
              </w:rPr>
              <w:t>NUMBER OF</w:t>
            </w:r>
          </w:p>
        </w:tc>
        <w:tc>
          <w:tcPr>
            <w:tcW w:w="44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40" w:type="dxa"/>
            <w:vAlign w:val="bottom"/>
          </w:tcPr>
          <w:p>
            <w:pPr>
              <w:jc w:val="right"/>
              <w:ind w:right="141"/>
              <w:spacing w:after="0" w:line="223" w:lineRule="exact"/>
              <w:rPr>
                <w:sz w:val="20"/>
                <w:szCs w:val="20"/>
                <w:color w:val="auto"/>
              </w:rPr>
            </w:pPr>
            <w:r>
              <w:rPr>
                <w:rFonts w:ascii="Arial" w:cs="Arial" w:eastAsia="Arial" w:hAnsi="Arial"/>
                <w:sz w:val="20"/>
                <w:szCs w:val="20"/>
                <w:color w:val="auto"/>
              </w:rPr>
              <w:t>8.</w:t>
            </w:r>
          </w:p>
        </w:tc>
        <w:tc>
          <w:tcPr>
            <w:tcW w:w="8760" w:type="dxa"/>
            <w:vAlign w:val="bottom"/>
          </w:tcPr>
          <w:p>
            <w:pPr>
              <w:ind w:left="220"/>
              <w:spacing w:after="0" w:line="223"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13"/>
        </w:trPr>
        <w:tc>
          <w:tcPr>
            <w:tcW w:w="1720" w:type="dxa"/>
            <w:vAlign w:val="bottom"/>
          </w:tcPr>
          <w:p>
            <w:pPr>
              <w:jc w:val="center"/>
              <w:ind w:right="181"/>
              <w:spacing w:after="0" w:line="212" w:lineRule="exact"/>
              <w:rPr>
                <w:sz w:val="20"/>
                <w:szCs w:val="20"/>
                <w:color w:val="auto"/>
              </w:rPr>
            </w:pPr>
            <w:r>
              <w:rPr>
                <w:rFonts w:ascii="Arial" w:cs="Arial" w:eastAsia="Arial" w:hAnsi="Arial"/>
                <w:sz w:val="20"/>
                <w:szCs w:val="20"/>
                <w:color w:val="auto"/>
                <w:w w:val="92"/>
              </w:rPr>
              <w:t>SHARES</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7"/>
              </w:rPr>
              <w:t>BENEFICIALLY</w:t>
            </w:r>
          </w:p>
        </w:tc>
        <w:tc>
          <w:tcPr>
            <w:tcW w:w="440" w:type="dxa"/>
            <w:vAlign w:val="bottom"/>
          </w:tcPr>
          <w:p>
            <w:pPr>
              <w:spacing w:after="0"/>
              <w:rPr>
                <w:sz w:val="21"/>
                <w:szCs w:val="21"/>
                <w:color w:val="auto"/>
              </w:rPr>
            </w:pPr>
          </w:p>
        </w:tc>
        <w:tc>
          <w:tcPr>
            <w:tcW w:w="8760" w:type="dxa"/>
            <w:vAlign w:val="bottom"/>
          </w:tcPr>
          <w:p>
            <w:pPr>
              <w:ind w:left="2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720" w:type="dxa"/>
            <w:vAlign w:val="bottom"/>
            <w:vMerge w:val="restart"/>
          </w:tcPr>
          <w:p>
            <w:pPr>
              <w:jc w:val="center"/>
              <w:ind w:right="201"/>
              <w:spacing w:after="0" w:line="213" w:lineRule="exact"/>
              <w:rPr>
                <w:sz w:val="20"/>
                <w:szCs w:val="20"/>
                <w:color w:val="auto"/>
              </w:rPr>
            </w:pPr>
            <w:r>
              <w:rPr>
                <w:rFonts w:ascii="Arial" w:cs="Arial" w:eastAsia="Arial" w:hAnsi="Arial"/>
                <w:sz w:val="20"/>
                <w:szCs w:val="20"/>
                <w:color w:val="auto"/>
                <w:w w:val="97"/>
              </w:rPr>
              <w:t>OWNED BY</w:t>
            </w:r>
          </w:p>
        </w:tc>
        <w:tc>
          <w:tcPr>
            <w:tcW w:w="440" w:type="dxa"/>
            <w:vAlign w:val="bottom"/>
            <w:tcBorders>
              <w:bottom w:val="single" w:sz="8" w:color="auto"/>
            </w:tcBorders>
          </w:tcPr>
          <w:p>
            <w:pPr>
              <w:spacing w:after="0"/>
              <w:rPr>
                <w:sz w:val="9"/>
                <w:szCs w:val="9"/>
                <w:color w:val="auto"/>
              </w:rPr>
            </w:pPr>
          </w:p>
        </w:tc>
        <w:tc>
          <w:tcPr>
            <w:tcW w:w="8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vMerge w:val="continue"/>
          </w:tcPr>
          <w:p>
            <w:pPr>
              <w:spacing w:after="0"/>
              <w:rPr>
                <w:sz w:val="7"/>
                <w:szCs w:val="7"/>
                <w:color w:val="auto"/>
              </w:rPr>
            </w:pPr>
          </w:p>
        </w:tc>
        <w:tc>
          <w:tcPr>
            <w:tcW w:w="440" w:type="dxa"/>
            <w:vAlign w:val="bottom"/>
            <w:vMerge w:val="restart"/>
          </w:tcPr>
          <w:p>
            <w:pPr>
              <w:jc w:val="right"/>
              <w:ind w:right="141"/>
              <w:spacing w:after="0"/>
              <w:rPr>
                <w:sz w:val="20"/>
                <w:szCs w:val="20"/>
                <w:color w:val="auto"/>
              </w:rPr>
            </w:pPr>
            <w:r>
              <w:rPr>
                <w:rFonts w:ascii="Arial" w:cs="Arial" w:eastAsia="Arial" w:hAnsi="Arial"/>
                <w:sz w:val="20"/>
                <w:szCs w:val="20"/>
                <w:color w:val="auto"/>
              </w:rPr>
              <w:t>9.</w:t>
            </w:r>
          </w:p>
        </w:tc>
        <w:tc>
          <w:tcPr>
            <w:tcW w:w="8760" w:type="dxa"/>
            <w:vAlign w:val="bottom"/>
            <w:vMerge w:val="restart"/>
          </w:tcPr>
          <w:p>
            <w:pPr>
              <w:ind w:left="2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29"/>
        </w:trPr>
        <w:tc>
          <w:tcPr>
            <w:tcW w:w="1720" w:type="dxa"/>
            <w:vAlign w:val="bottom"/>
          </w:tcPr>
          <w:p>
            <w:pPr>
              <w:jc w:val="center"/>
              <w:ind w:right="201"/>
              <w:spacing w:after="0"/>
              <w:rPr>
                <w:sz w:val="20"/>
                <w:szCs w:val="20"/>
                <w:color w:val="auto"/>
              </w:rPr>
            </w:pPr>
            <w:r>
              <w:rPr>
                <w:rFonts w:ascii="Arial" w:cs="Arial" w:eastAsia="Arial" w:hAnsi="Arial"/>
                <w:sz w:val="20"/>
                <w:szCs w:val="20"/>
                <w:color w:val="auto"/>
                <w:w w:val="97"/>
              </w:rPr>
              <w:t>EACH</w:t>
            </w:r>
          </w:p>
        </w:tc>
        <w:tc>
          <w:tcPr>
            <w:tcW w:w="440" w:type="dxa"/>
            <w:vAlign w:val="bottom"/>
            <w:vMerge w:val="continue"/>
          </w:tcPr>
          <w:p>
            <w:pPr>
              <w:spacing w:after="0"/>
              <w:rPr>
                <w:sz w:val="19"/>
                <w:szCs w:val="19"/>
                <w:color w:val="auto"/>
              </w:rPr>
            </w:pPr>
          </w:p>
        </w:tc>
        <w:tc>
          <w:tcPr>
            <w:tcW w:w="8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2"/>
              </w:rPr>
              <w:t>REPORTING</w:t>
            </w:r>
          </w:p>
        </w:tc>
        <w:tc>
          <w:tcPr>
            <w:tcW w:w="440" w:type="dxa"/>
            <w:vAlign w:val="bottom"/>
          </w:tcPr>
          <w:p>
            <w:pPr>
              <w:spacing w:after="0"/>
              <w:rPr>
                <w:sz w:val="19"/>
                <w:szCs w:val="19"/>
                <w:color w:val="auto"/>
              </w:rPr>
            </w:pPr>
          </w:p>
        </w:tc>
        <w:tc>
          <w:tcPr>
            <w:tcW w:w="8760" w:type="dxa"/>
            <w:vAlign w:val="bottom"/>
            <w:vMerge w:val="restart"/>
          </w:tcPr>
          <w:p>
            <w:pPr>
              <w:ind w:left="220"/>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250"/>
        </w:trPr>
        <w:tc>
          <w:tcPr>
            <w:tcW w:w="1720" w:type="dxa"/>
            <w:vAlign w:val="bottom"/>
          </w:tcPr>
          <w:p>
            <w:pPr>
              <w:jc w:val="center"/>
              <w:ind w:right="181"/>
              <w:spacing w:after="0"/>
              <w:rPr>
                <w:sz w:val="20"/>
                <w:szCs w:val="20"/>
                <w:color w:val="auto"/>
              </w:rPr>
            </w:pPr>
            <w:r>
              <w:rPr>
                <w:rFonts w:ascii="Arial" w:cs="Arial" w:eastAsia="Arial" w:hAnsi="Arial"/>
                <w:sz w:val="20"/>
                <w:szCs w:val="20"/>
                <w:color w:val="auto"/>
                <w:w w:val="93"/>
              </w:rPr>
              <w:t>PERSON WITH</w:t>
            </w:r>
          </w:p>
        </w:tc>
        <w:tc>
          <w:tcPr>
            <w:tcW w:w="44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640" w:right="5760" w:hanging="600"/>
        <w:spacing w:after="0" w:line="422" w:lineRule="auto"/>
        <w:tabs>
          <w:tab w:leader="none" w:pos="26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80" w:right="3400" w:hanging="565"/>
        <w:spacing w:after="0" w:line="429" w:lineRule="auto"/>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2,385,740</w:t>
      </w:r>
    </w:p>
    <w:p>
      <w:pPr>
        <w:spacing w:after="0" w:line="1" w:lineRule="exact"/>
        <w:rPr>
          <w:rFonts w:ascii="Arial" w:cs="Arial" w:eastAsia="Arial" w:hAnsi="Arial"/>
          <w:sz w:val="20"/>
          <w:szCs w:val="20"/>
          <w:color w:val="auto"/>
        </w:rPr>
      </w:pPr>
    </w:p>
    <w:p>
      <w:pPr>
        <w:ind w:left="580" w:hanging="565"/>
        <w:spacing w:after="0"/>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80" w:right="4940" w:hanging="565"/>
        <w:spacing w:after="0" w:line="422" w:lineRule="auto"/>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7.1%</w:t>
      </w:r>
    </w:p>
    <w:p>
      <w:pPr>
        <w:spacing w:after="0" w:line="1" w:lineRule="exact"/>
        <w:rPr>
          <w:rFonts w:ascii="Arial" w:cs="Arial" w:eastAsia="Arial" w:hAnsi="Arial"/>
          <w:sz w:val="20"/>
          <w:szCs w:val="20"/>
          <w:color w:val="auto"/>
        </w:rPr>
      </w:pPr>
    </w:p>
    <w:p>
      <w:pPr>
        <w:ind w:left="580" w:right="7840" w:hanging="565"/>
        <w:spacing w:after="0" w:line="500" w:lineRule="auto"/>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TYPE OF REPORTING PERSON OO</w:t>
      </w:r>
    </w:p>
    <w:p>
      <w:pPr>
        <w:spacing w:after="0" w:line="27" w:lineRule="exact"/>
        <w:rPr>
          <w:sz w:val="20"/>
          <w:szCs w:val="20"/>
          <w:color w:val="auto"/>
        </w:rPr>
      </w:pPr>
    </w:p>
    <w:p>
      <w:pPr>
        <w:spacing w:after="0"/>
        <w:tabs>
          <w:tab w:leader="none" w:pos="5380" w:val="left"/>
          <w:tab w:leader="none" w:pos="966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5 of 11 Pages</w:t>
      </w:r>
    </w:p>
    <w:p>
      <w:pPr>
        <w:sectPr>
          <w:pgSz w:w="11900" w:h="16838" w:orient="portrait"/>
          <w:cols w:equalWidth="0" w:num="1">
            <w:col w:w="11180"/>
          </w:cols>
          <w:pgMar w:left="380" w:top="541" w:right="339" w:bottom="1440" w:gutter="0" w:footer="0" w:header="0"/>
        </w:sectPr>
      </w:pPr>
    </w:p>
    <w:bookmarkStart w:id="5" w:name="page6"/>
    <w:bookmarkEnd w:id="5"/>
    <w:p>
      <w:pPr>
        <w:ind w:left="640" w:right="7540" w:hanging="565"/>
        <w:spacing w:after="0" w:line="429"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934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t>NAMES OF REPORTING PERSONS Norbert H. Lou</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20" w:hanging="278"/>
        <w:spacing w:after="0"/>
        <w:tabs>
          <w:tab w:leader="none" w:pos="9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920" w:hanging="278"/>
        <w:spacing w:after="0"/>
        <w:tabs>
          <w:tab w:leader="none" w:pos="9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X ]</w:t>
      </w:r>
    </w:p>
    <w:p>
      <w:pPr>
        <w:spacing w:after="0" w:line="105" w:lineRule="exact"/>
        <w:rPr>
          <w:rFonts w:ascii="Arial" w:cs="Arial" w:eastAsia="Arial" w:hAnsi="Arial"/>
          <w:sz w:val="20"/>
          <w:szCs w:val="20"/>
          <w:color w:val="auto"/>
        </w:rPr>
      </w:pPr>
    </w:p>
    <w:p>
      <w:pPr>
        <w:ind w:left="640" w:hanging="565"/>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640" w:right="8820" w:hanging="565"/>
        <w:spacing w:after="0" w:line="422"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50" w:lineRule="exact"/>
        <w:rPr>
          <w:rFonts w:ascii="Arial" w:cs="Arial" w:eastAsia="Arial" w:hAnsi="Arial"/>
          <w:sz w:val="20"/>
          <w:szCs w:val="20"/>
          <w:color w:val="auto"/>
        </w:rPr>
      </w:pPr>
    </w:p>
    <w:p>
      <w:pPr>
        <w:ind w:left="640" w:hanging="565"/>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United States of America</w:t>
      </w:r>
    </w:p>
    <w:p>
      <w:pPr>
        <w:spacing w:after="0" w:line="121" w:lineRule="exact"/>
        <w:rPr>
          <w:sz w:val="20"/>
          <w:szCs w:val="20"/>
          <w:color w:val="auto"/>
        </w:rPr>
      </w:pPr>
    </w:p>
    <w:p>
      <w:pPr>
        <w:ind w:left="2700" w:hanging="600"/>
        <w:spacing w:after="0"/>
        <w:tabs>
          <w:tab w:leader="none" w:pos="2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780" w:type="dxa"/>
            <w:vAlign w:val="bottom"/>
          </w:tcPr>
          <w:p>
            <w:pPr>
              <w:jc w:val="right"/>
              <w:ind w:right="7701"/>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50"/>
        </w:trPr>
        <w:tc>
          <w:tcPr>
            <w:tcW w:w="1720" w:type="dxa"/>
            <w:vAlign w:val="bottom"/>
            <w:vMerge w:val="restart"/>
          </w:tcPr>
          <w:p>
            <w:pPr>
              <w:jc w:val="center"/>
              <w:ind w:right="201"/>
              <w:spacing w:after="0"/>
              <w:rPr>
                <w:sz w:val="20"/>
                <w:szCs w:val="20"/>
                <w:color w:val="auto"/>
              </w:rPr>
            </w:pPr>
            <w:r>
              <w:rPr>
                <w:rFonts w:ascii="Arial" w:cs="Arial" w:eastAsia="Arial" w:hAnsi="Arial"/>
                <w:sz w:val="20"/>
                <w:szCs w:val="20"/>
                <w:color w:val="auto"/>
                <w:w w:val="94"/>
              </w:rPr>
              <w:t>NUMBER OF</w:t>
            </w:r>
          </w:p>
        </w:tc>
        <w:tc>
          <w:tcPr>
            <w:tcW w:w="420" w:type="dxa"/>
            <w:vAlign w:val="bottom"/>
            <w:tcBorders>
              <w:bottom w:val="single" w:sz="8" w:color="auto"/>
            </w:tcBorders>
          </w:tcPr>
          <w:p>
            <w:pPr>
              <w:spacing w:after="0"/>
              <w:rPr>
                <w:sz w:val="4"/>
                <w:szCs w:val="4"/>
                <w:color w:val="auto"/>
              </w:rPr>
            </w:pPr>
          </w:p>
        </w:tc>
        <w:tc>
          <w:tcPr>
            <w:tcW w:w="8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20" w:type="dxa"/>
            <w:vAlign w:val="bottom"/>
          </w:tcPr>
          <w:p>
            <w:pPr>
              <w:jc w:val="right"/>
              <w:ind w:right="121"/>
              <w:spacing w:after="0" w:line="223" w:lineRule="exact"/>
              <w:rPr>
                <w:sz w:val="20"/>
                <w:szCs w:val="20"/>
                <w:color w:val="auto"/>
              </w:rPr>
            </w:pPr>
            <w:r>
              <w:rPr>
                <w:rFonts w:ascii="Arial" w:cs="Arial" w:eastAsia="Arial" w:hAnsi="Arial"/>
                <w:sz w:val="20"/>
                <w:szCs w:val="20"/>
                <w:color w:val="auto"/>
              </w:rPr>
              <w:t>8.</w:t>
            </w:r>
          </w:p>
        </w:tc>
        <w:tc>
          <w:tcPr>
            <w:tcW w:w="8780" w:type="dxa"/>
            <w:vAlign w:val="bottom"/>
          </w:tcPr>
          <w:p>
            <w:pPr>
              <w:ind w:left="240"/>
              <w:spacing w:after="0" w:line="223"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13"/>
        </w:trPr>
        <w:tc>
          <w:tcPr>
            <w:tcW w:w="1720" w:type="dxa"/>
            <w:vAlign w:val="bottom"/>
          </w:tcPr>
          <w:p>
            <w:pPr>
              <w:jc w:val="center"/>
              <w:ind w:right="181"/>
              <w:spacing w:after="0" w:line="212" w:lineRule="exact"/>
              <w:rPr>
                <w:sz w:val="20"/>
                <w:szCs w:val="20"/>
                <w:color w:val="auto"/>
              </w:rPr>
            </w:pPr>
            <w:r>
              <w:rPr>
                <w:rFonts w:ascii="Arial" w:cs="Arial" w:eastAsia="Arial" w:hAnsi="Arial"/>
                <w:sz w:val="20"/>
                <w:szCs w:val="20"/>
                <w:color w:val="auto"/>
                <w:w w:val="92"/>
              </w:rPr>
              <w:t>SHARES</w:t>
            </w:r>
          </w:p>
        </w:tc>
        <w:tc>
          <w:tcPr>
            <w:tcW w:w="4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7"/>
              </w:rPr>
              <w:t>BENEFICIALLY</w:t>
            </w:r>
          </w:p>
        </w:tc>
        <w:tc>
          <w:tcPr>
            <w:tcW w:w="420" w:type="dxa"/>
            <w:vAlign w:val="bottom"/>
          </w:tcPr>
          <w:p>
            <w:pPr>
              <w:spacing w:after="0"/>
              <w:rPr>
                <w:sz w:val="21"/>
                <w:szCs w:val="21"/>
                <w:color w:val="auto"/>
              </w:rPr>
            </w:pPr>
          </w:p>
        </w:tc>
        <w:tc>
          <w:tcPr>
            <w:tcW w:w="8780" w:type="dxa"/>
            <w:vAlign w:val="bottom"/>
          </w:tcPr>
          <w:p>
            <w:pPr>
              <w:ind w:left="2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720" w:type="dxa"/>
            <w:vAlign w:val="bottom"/>
            <w:vMerge w:val="restart"/>
          </w:tcPr>
          <w:p>
            <w:pPr>
              <w:jc w:val="center"/>
              <w:ind w:right="201"/>
              <w:spacing w:after="0" w:line="213" w:lineRule="exact"/>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tcBorders>
          </w:tcPr>
          <w:p>
            <w:pPr>
              <w:spacing w:after="0"/>
              <w:rPr>
                <w:sz w:val="9"/>
                <w:szCs w:val="9"/>
                <w:color w:val="auto"/>
              </w:rPr>
            </w:pPr>
          </w:p>
        </w:tc>
        <w:tc>
          <w:tcPr>
            <w:tcW w:w="8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vMerge w:val="continue"/>
          </w:tcPr>
          <w:p>
            <w:pPr>
              <w:spacing w:after="0"/>
              <w:rPr>
                <w:sz w:val="7"/>
                <w:szCs w:val="7"/>
                <w:color w:val="auto"/>
              </w:rPr>
            </w:pPr>
          </w:p>
        </w:tc>
        <w:tc>
          <w:tcPr>
            <w:tcW w:w="420" w:type="dxa"/>
            <w:vAlign w:val="bottom"/>
            <w:vMerge w:val="restart"/>
          </w:tcPr>
          <w:p>
            <w:pPr>
              <w:jc w:val="right"/>
              <w:ind w:right="121"/>
              <w:spacing w:after="0"/>
              <w:rPr>
                <w:sz w:val="20"/>
                <w:szCs w:val="20"/>
                <w:color w:val="auto"/>
              </w:rPr>
            </w:pPr>
            <w:r>
              <w:rPr>
                <w:rFonts w:ascii="Arial" w:cs="Arial" w:eastAsia="Arial" w:hAnsi="Arial"/>
                <w:sz w:val="20"/>
                <w:szCs w:val="20"/>
                <w:color w:val="auto"/>
              </w:rPr>
              <w:t>9.</w:t>
            </w:r>
          </w:p>
        </w:tc>
        <w:tc>
          <w:tcPr>
            <w:tcW w:w="8780" w:type="dxa"/>
            <w:vAlign w:val="bottom"/>
            <w:vMerge w:val="restart"/>
          </w:tcPr>
          <w:p>
            <w:pPr>
              <w:ind w:left="2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29"/>
        </w:trPr>
        <w:tc>
          <w:tcPr>
            <w:tcW w:w="1720" w:type="dxa"/>
            <w:vAlign w:val="bottom"/>
          </w:tcPr>
          <w:p>
            <w:pPr>
              <w:jc w:val="center"/>
              <w:ind w:right="201"/>
              <w:spacing w:after="0"/>
              <w:rPr>
                <w:sz w:val="20"/>
                <w:szCs w:val="20"/>
                <w:color w:val="auto"/>
              </w:rPr>
            </w:pPr>
            <w:r>
              <w:rPr>
                <w:rFonts w:ascii="Arial" w:cs="Arial" w:eastAsia="Arial" w:hAnsi="Arial"/>
                <w:sz w:val="20"/>
                <w:szCs w:val="20"/>
                <w:color w:val="auto"/>
                <w:w w:val="97"/>
              </w:rPr>
              <w:t>EACH</w:t>
            </w:r>
          </w:p>
        </w:tc>
        <w:tc>
          <w:tcPr>
            <w:tcW w:w="420" w:type="dxa"/>
            <w:vAlign w:val="bottom"/>
            <w:vMerge w:val="continue"/>
          </w:tcPr>
          <w:p>
            <w:pPr>
              <w:spacing w:after="0"/>
              <w:rPr>
                <w:sz w:val="19"/>
                <w:szCs w:val="19"/>
                <w:color w:val="auto"/>
              </w:rPr>
            </w:pPr>
          </w:p>
        </w:tc>
        <w:tc>
          <w:tcPr>
            <w:tcW w:w="8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241"/>
              <w:spacing w:after="0"/>
              <w:rPr>
                <w:sz w:val="20"/>
                <w:szCs w:val="20"/>
                <w:color w:val="auto"/>
              </w:rPr>
            </w:pPr>
            <w:r>
              <w:rPr>
                <w:rFonts w:ascii="Arial" w:cs="Arial" w:eastAsia="Arial" w:hAnsi="Arial"/>
                <w:sz w:val="20"/>
                <w:szCs w:val="20"/>
                <w:color w:val="auto"/>
                <w:w w:val="92"/>
              </w:rPr>
              <w:t>REPORTING</w:t>
            </w:r>
          </w:p>
        </w:tc>
        <w:tc>
          <w:tcPr>
            <w:tcW w:w="420" w:type="dxa"/>
            <w:vAlign w:val="bottom"/>
          </w:tcPr>
          <w:p>
            <w:pPr>
              <w:spacing w:after="0"/>
              <w:rPr>
                <w:sz w:val="19"/>
                <w:szCs w:val="19"/>
                <w:color w:val="auto"/>
              </w:rPr>
            </w:pPr>
          </w:p>
        </w:tc>
        <w:tc>
          <w:tcPr>
            <w:tcW w:w="8780" w:type="dxa"/>
            <w:vAlign w:val="bottom"/>
            <w:vMerge w:val="restart"/>
          </w:tcPr>
          <w:p>
            <w:pPr>
              <w:jc w:val="right"/>
              <w:ind w:right="7701"/>
              <w:spacing w:after="0"/>
              <w:rPr>
                <w:sz w:val="20"/>
                <w:szCs w:val="20"/>
                <w:color w:val="auto"/>
              </w:rPr>
            </w:pPr>
            <w:r>
              <w:rPr>
                <w:rFonts w:ascii="Arial" w:cs="Arial" w:eastAsia="Arial" w:hAnsi="Arial"/>
                <w:sz w:val="20"/>
                <w:szCs w:val="20"/>
                <w:color w:val="auto"/>
              </w:rPr>
              <w:t>2,385,740</w:t>
            </w:r>
          </w:p>
        </w:tc>
        <w:tc>
          <w:tcPr>
            <w:tcW w:w="0" w:type="dxa"/>
            <w:vAlign w:val="bottom"/>
          </w:tcPr>
          <w:p>
            <w:pPr>
              <w:spacing w:after="0"/>
              <w:rPr>
                <w:sz w:val="1"/>
                <w:szCs w:val="1"/>
                <w:color w:val="auto"/>
              </w:rPr>
            </w:pPr>
          </w:p>
        </w:tc>
      </w:tr>
      <w:tr>
        <w:trPr>
          <w:trHeight w:val="250"/>
        </w:trPr>
        <w:tc>
          <w:tcPr>
            <w:tcW w:w="1720" w:type="dxa"/>
            <w:vAlign w:val="bottom"/>
          </w:tcPr>
          <w:p>
            <w:pPr>
              <w:jc w:val="center"/>
              <w:ind w:right="181"/>
              <w:spacing w:after="0"/>
              <w:rPr>
                <w:sz w:val="20"/>
                <w:szCs w:val="20"/>
                <w:color w:val="auto"/>
              </w:rPr>
            </w:pPr>
            <w:r>
              <w:rPr>
                <w:rFonts w:ascii="Arial" w:cs="Arial" w:eastAsia="Arial" w:hAnsi="Arial"/>
                <w:sz w:val="20"/>
                <w:szCs w:val="20"/>
                <w:color w:val="auto"/>
                <w:w w:val="93"/>
              </w:rPr>
              <w:t>PERSON WITH</w:t>
            </w:r>
          </w:p>
        </w:tc>
        <w:tc>
          <w:tcPr>
            <w:tcW w:w="420" w:type="dxa"/>
            <w:vAlign w:val="bottom"/>
          </w:tcPr>
          <w:p>
            <w:pPr>
              <w:spacing w:after="0"/>
              <w:rPr>
                <w:sz w:val="21"/>
                <w:szCs w:val="21"/>
                <w:color w:val="auto"/>
              </w:rPr>
            </w:pPr>
          </w:p>
        </w:tc>
        <w:tc>
          <w:tcPr>
            <w:tcW w:w="8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660" w:right="5800" w:hanging="560"/>
        <w:spacing w:after="0" w:line="422" w:lineRule="auto"/>
        <w:tabs>
          <w:tab w:leader="none" w:pos="26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640" w:right="3400" w:hanging="565"/>
        <w:spacing w:after="0" w:line="429"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2,385,740</w:t>
      </w:r>
    </w:p>
    <w:p>
      <w:pPr>
        <w:spacing w:after="0" w:line="1" w:lineRule="exact"/>
        <w:rPr>
          <w:rFonts w:ascii="Arial" w:cs="Arial" w:eastAsia="Arial" w:hAnsi="Arial"/>
          <w:sz w:val="20"/>
          <w:szCs w:val="20"/>
          <w:color w:val="auto"/>
        </w:rPr>
      </w:pPr>
    </w:p>
    <w:p>
      <w:pPr>
        <w:ind w:left="640" w:hanging="565"/>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640" w:right="4940" w:hanging="565"/>
        <w:spacing w:after="0" w:line="422"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7.1%</w:t>
      </w:r>
    </w:p>
    <w:p>
      <w:pPr>
        <w:spacing w:after="0" w:line="1" w:lineRule="exact"/>
        <w:rPr>
          <w:rFonts w:ascii="Arial" w:cs="Arial" w:eastAsia="Arial" w:hAnsi="Arial"/>
          <w:sz w:val="20"/>
          <w:szCs w:val="20"/>
          <w:color w:val="auto"/>
        </w:rPr>
      </w:pPr>
    </w:p>
    <w:p>
      <w:pPr>
        <w:ind w:left="640" w:right="7840" w:hanging="565"/>
        <w:spacing w:after="0" w:line="500"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TYPE OF REPORTING PERSON IN</w:t>
      </w:r>
    </w:p>
    <w:p>
      <w:pPr>
        <w:spacing w:after="0" w:line="27" w:lineRule="exact"/>
        <w:rPr>
          <w:sz w:val="20"/>
          <w:szCs w:val="20"/>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6 of 11 Pages</w:t>
      </w:r>
    </w:p>
    <w:p>
      <w:pPr>
        <w:sectPr>
          <w:pgSz w:w="11900" w:h="16838" w:orient="portrait"/>
          <w:cols w:equalWidth="0" w:num="1">
            <w:col w:w="11240"/>
          </w:cols>
          <w:pgMar w:left="320" w:top="54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Item 1. Security and Issuer.</w:t>
      </w:r>
    </w:p>
    <w:p>
      <w:pPr>
        <w:spacing w:after="0" w:line="23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This statement on Schedule 13D relates to the Common Stock, $0.50 par value per share (the “Shares”) of Winnebago Industries, Inc. (the “Issuer”). The address of the principal executive office of the Issuer is P.O. Box 152, Forest City, Iowa 50436.</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statement is filed by (i) Punch Card Capital, L.P. (the “Fund”), as a result of its direct ownership of Shares, (ii) Punch Card Capital, LLC (the “Fund GP”), as a result of being the sole general partner of the Fund, (iii) Punch Card Management, L.P. (the “Adviser”), as a result of being the investment adviser for the Fund, (iv) Punch Card GP, LLC (the “Adviser GP”), as a result of being the sole general partner of the Adviser, and (v) Norbert Lou, as a result of being the manager of the Fund GP and the Adviser GP. The Fund, Fund GP, Adviser, Adviser GP and Mr. Lou are each a “Reporting Person” and, collectively, the “Reporting Persons.”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Fund is an investment partnership. The Fund GP is primarily engaged in management of the Fund. The Adviser is a registered investment adviser and the Fund’s investment adviser. The Adviser GP is primarily engaged in the management of the Adviser. Mr. Lou’s principal occupation is serving as the manager of the Fund GP and Adviser GP. The principal business address of each of the Reporting Persons is 444 W. New England Avenue, Suite 117, Winter Park, Florida 32789.</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last five years, none of the Reporting Persons have been convicted in a criminal proceeding (excluding traffic violations and similar misdemeanors), and none of the Reporting Persons have been a party to a civil proceeding of a judicial or administrative body of competent jurisdiction as a result of which such entity or person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Fund and the Adviser are Delaware limited partnerships. The Fund GP and the Adviser GP are Delaware limited liability companies. Mr. Lou is a U.S. citizen.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Source or Amount of Funds or Other Consideration.</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Fund invested a total of approximately $70,333,591 to purchase 2,385,740 Shares. Such funds were drawn from the Fund’s capital available for investment.</w:t>
      </w:r>
    </w:p>
    <w:p>
      <w:pPr>
        <w:spacing w:after="0" w:line="190" w:lineRule="exact"/>
        <w:rPr>
          <w:sz w:val="20"/>
          <w:szCs w:val="20"/>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7 of 11 Pages</w:t>
      </w:r>
    </w:p>
    <w:p>
      <w:pPr>
        <w:sectPr>
          <w:pgSz w:w="11900" w:h="16838" w:orient="portrait"/>
          <w:cols w:equalWidth="0" w:num="1">
            <w:col w:w="11240"/>
          </w:cols>
          <w:pgMar w:left="320" w:top="46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Item 4. Purpose of Transaction.</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Reporting Persons acquired the Shares it holds in order to acquire an equity interest in the Issuer in the belief that the Shares when purchased, were undervalued and represented an attractive investment opportunity. Although the Reporting Persons have no specific plan or proposal to acquire additional Shares or dispose of the Shares, the Reporting Persons at any time and from time to time may acquire additional Shares or dispose of any or all of its Shares depending upon the price of and other market conditions relating to the Shares, developments affecting the Issuer, the Issuer’s business and prospects, the Reporting Persons’ investment objectives and the other investment opportunities available to the Reporting Persons, general stock market and economic conditions, tax considerations and other factors deemed relevant. The purpose of the acquisition of the Shares is for investment, and the acquisitions of the Shares were made in the ordinary course of business.</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On March 24, 2020, the Reporting Persons sent a letter to the Issuer expressing the Reporting Persons’ concerns that management failed to heed warnings about leverage, and reduced the pay of the Issuer’s employees without reducing their own pay. As a result, Mr. Lou requested that (i) the CEO forego his pay, (ii) the Board of Directors address any excessive corporate expenses, and (iii) the dividend be eliminated. The letter is attached as Exhibit 1 and incorporated by reference in this Item 4. The Reporting Persons intend to continue to closely monitor the Issuer’s responses and will consider taking further action to protect their interests and the interests of shareholders, which actions may involve plans or proposals that relate to or would result in: (a) the acquisition by any Reporting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of Directors;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control of the Issuer by any Reporting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foregoing is subject to change at any time, without notice, and there can be no assurance that the Reporting Persons will take any of the actions set forth above.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 in Securities of the Issuer.</w:t>
      </w:r>
    </w:p>
    <w:p>
      <w:pPr>
        <w:spacing w:after="0" w:line="200" w:lineRule="exact"/>
        <w:rPr>
          <w:sz w:val="20"/>
          <w:szCs w:val="20"/>
          <w:color w:val="auto"/>
        </w:rPr>
      </w:pPr>
    </w:p>
    <w:p>
      <w:pPr>
        <w:spacing w:after="0" w:line="251" w:lineRule="exact"/>
        <w:rPr>
          <w:sz w:val="20"/>
          <w:szCs w:val="20"/>
          <w:color w:val="auto"/>
        </w:rPr>
      </w:pPr>
    </w:p>
    <w:p>
      <w:pPr>
        <w:jc w:val="both"/>
        <w:ind w:firstLine="656"/>
        <w:spacing w:after="0" w:line="282" w:lineRule="auto"/>
        <w:tabs>
          <w:tab w:leader="none" w:pos="9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date of this statement, the Fund beneficially owns 2,385,740 Shares, representing approximately 7.1% of the 33,680,185 outstanding Shares as of December 13, 2019, as reported in the Issuer’s Quarterly Report on Form 10-Q filed with the Securities and Exchange Commission on December 20, 2019. The Fund GP, Adviser, Adviser GP and Mr. Lou, by virtue of the relationships set forth under Item 2 of this statement, may be deemed to indirectly beneficially own the Shares beneficially owned by the Fund.</w:t>
      </w:r>
    </w:p>
    <w:p>
      <w:pPr>
        <w:spacing w:after="0" w:line="174"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Reporting Persons have sole voting power and sole investment power with respect to the Shares owned by the Fund.</w:t>
      </w:r>
    </w:p>
    <w:p>
      <w:pPr>
        <w:spacing w:after="0" w:line="240" w:lineRule="exact"/>
        <w:rPr>
          <w:rFonts w:ascii="Arial" w:cs="Arial" w:eastAsia="Arial" w:hAnsi="Arial"/>
          <w:sz w:val="19"/>
          <w:szCs w:val="19"/>
          <w:color w:val="auto"/>
        </w:rPr>
      </w:pPr>
    </w:p>
    <w:p>
      <w:pPr>
        <w:ind w:left="920" w:hanging="264"/>
        <w:spacing w:after="0"/>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During the past 60 days, the transactions in the following table were effected by the Reporting Persons: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Transactions in the Shares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40" w:type="dxa"/>
            <w:vAlign w:val="bottom"/>
          </w:tcPr>
          <w:p>
            <w:pPr>
              <w:ind w:left="40"/>
              <w:spacing w:after="0"/>
              <w:rPr>
                <w:sz w:val="20"/>
                <w:szCs w:val="20"/>
                <w:color w:val="auto"/>
              </w:rPr>
            </w:pPr>
            <w:r>
              <w:rPr>
                <w:rFonts w:ascii="Arial" w:cs="Arial" w:eastAsia="Arial" w:hAnsi="Arial"/>
                <w:sz w:val="20"/>
                <w:szCs w:val="20"/>
                <w:color w:val="auto"/>
              </w:rPr>
              <w:t>Reporting Person</w:t>
            </w:r>
          </w:p>
        </w:tc>
        <w:tc>
          <w:tcPr>
            <w:tcW w:w="3040" w:type="dxa"/>
            <w:vAlign w:val="bottom"/>
          </w:tcPr>
          <w:p>
            <w:pPr>
              <w:jc w:val="right"/>
              <w:ind w:right="421"/>
              <w:spacing w:after="0"/>
              <w:rPr>
                <w:sz w:val="20"/>
                <w:szCs w:val="20"/>
                <w:color w:val="auto"/>
              </w:rPr>
            </w:pPr>
            <w:r>
              <w:rPr>
                <w:rFonts w:ascii="Arial" w:cs="Arial" w:eastAsia="Arial" w:hAnsi="Arial"/>
                <w:sz w:val="20"/>
                <w:szCs w:val="20"/>
                <w:color w:val="auto"/>
              </w:rPr>
              <w:t>Trade Date</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Shares</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Price</w:t>
            </w:r>
          </w:p>
        </w:tc>
        <w:tc>
          <w:tcPr>
            <w:tcW w:w="1440" w:type="dxa"/>
            <w:vAlign w:val="bottom"/>
          </w:tcPr>
          <w:p>
            <w:pPr>
              <w:jc w:val="right"/>
              <w:spacing w:after="0"/>
              <w:rPr>
                <w:sz w:val="20"/>
                <w:szCs w:val="20"/>
                <w:color w:val="auto"/>
              </w:rPr>
            </w:pPr>
            <w:r>
              <w:rPr>
                <w:rFonts w:ascii="Arial" w:cs="Arial" w:eastAsia="Arial" w:hAnsi="Arial"/>
                <w:sz w:val="20"/>
                <w:szCs w:val="20"/>
                <w:color w:val="auto"/>
              </w:rPr>
              <w:t>Net Amount</w:t>
            </w:r>
          </w:p>
        </w:tc>
      </w:tr>
      <w:tr>
        <w:trPr>
          <w:trHeight w:val="23"/>
        </w:trPr>
        <w:tc>
          <w:tcPr>
            <w:tcW w:w="36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640" w:type="dxa"/>
            <w:vAlign w:val="bottom"/>
            <w:tcBorders>
              <w:bottom w:val="single" w:sz="8" w:color="DCDCDC"/>
            </w:tcBorders>
            <w:shd w:val="clear" w:color="auto" w:fill="DCDCDC"/>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Borders>
              <w:bottom w:val="single" w:sz="8" w:color="DCDCDC"/>
            </w:tcBorders>
            <w:shd w:val="clear" w:color="auto" w:fill="DCDCDC"/>
          </w:tcPr>
          <w:p>
            <w:pPr>
              <w:jc w:val="right"/>
              <w:ind w:right="421"/>
              <w:spacing w:after="0"/>
              <w:rPr>
                <w:sz w:val="20"/>
                <w:szCs w:val="20"/>
                <w:color w:val="auto"/>
              </w:rPr>
            </w:pPr>
            <w:r>
              <w:rPr>
                <w:rFonts w:ascii="Arial" w:cs="Arial" w:eastAsia="Arial" w:hAnsi="Arial"/>
                <w:sz w:val="20"/>
                <w:szCs w:val="20"/>
                <w:color w:val="auto"/>
              </w:rPr>
              <w:t>3/10/2020</w:t>
            </w:r>
          </w:p>
        </w:tc>
        <w:tc>
          <w:tcPr>
            <w:tcW w:w="1640" w:type="dxa"/>
            <w:vAlign w:val="bottom"/>
            <w:tcBorders>
              <w:bottom w:val="single" w:sz="8" w:color="DCDCDC"/>
            </w:tcBorders>
            <w:shd w:val="clear" w:color="auto" w:fill="DCDCDC"/>
          </w:tcPr>
          <w:p>
            <w:pPr>
              <w:jc w:val="right"/>
              <w:ind w:right="361"/>
              <w:spacing w:after="0"/>
              <w:rPr>
                <w:sz w:val="20"/>
                <w:szCs w:val="20"/>
                <w:color w:val="auto"/>
              </w:rPr>
            </w:pPr>
            <w:r>
              <w:rPr>
                <w:rFonts w:ascii="Arial" w:cs="Arial" w:eastAsia="Arial" w:hAnsi="Arial"/>
                <w:sz w:val="20"/>
                <w:szCs w:val="20"/>
                <w:color w:val="auto"/>
              </w:rPr>
              <w:t>20,340</w:t>
            </w:r>
          </w:p>
        </w:tc>
        <w:tc>
          <w:tcPr>
            <w:tcW w:w="1480" w:type="dxa"/>
            <w:vAlign w:val="bottom"/>
            <w:tcBorders>
              <w:bottom w:val="single" w:sz="8" w:color="DCDCDC"/>
            </w:tcBorders>
            <w:shd w:val="clear" w:color="auto" w:fill="DCDCDC"/>
          </w:tcPr>
          <w:p>
            <w:pPr>
              <w:jc w:val="right"/>
              <w:ind w:right="161"/>
              <w:spacing w:after="0"/>
              <w:rPr>
                <w:sz w:val="20"/>
                <w:szCs w:val="20"/>
                <w:color w:val="auto"/>
              </w:rPr>
            </w:pPr>
            <w:r>
              <w:rPr>
                <w:rFonts w:ascii="Arial" w:cs="Arial" w:eastAsia="Arial" w:hAnsi="Arial"/>
                <w:sz w:val="20"/>
                <w:szCs w:val="20"/>
                <w:color w:val="auto"/>
              </w:rPr>
              <w:t>$36.2250</w:t>
            </w:r>
          </w:p>
        </w:tc>
        <w:tc>
          <w:tcPr>
            <w:tcW w:w="1440" w:type="dxa"/>
            <w:vAlign w:val="bottom"/>
            <w:tcBorders>
              <w:bottom w:val="single" w:sz="8" w:color="DCDCDC"/>
            </w:tcBorders>
            <w:shd w:val="clear" w:color="auto" w:fill="DCDCDC"/>
          </w:tcPr>
          <w:p>
            <w:pPr>
              <w:jc w:val="right"/>
              <w:spacing w:after="0"/>
              <w:rPr>
                <w:sz w:val="20"/>
                <w:szCs w:val="20"/>
                <w:color w:val="auto"/>
              </w:rPr>
            </w:pPr>
            <w:r>
              <w:rPr>
                <w:rFonts w:ascii="Arial" w:cs="Arial" w:eastAsia="Arial" w:hAnsi="Arial"/>
                <w:sz w:val="20"/>
                <w:szCs w:val="20"/>
                <w:color w:val="auto"/>
              </w:rPr>
              <w:t>$736,857.18</w:t>
            </w:r>
          </w:p>
        </w:tc>
      </w:tr>
      <w:tr>
        <w:trPr>
          <w:trHeight w:val="260"/>
        </w:trPr>
        <w:tc>
          <w:tcPr>
            <w:tcW w:w="3640" w:type="dxa"/>
            <w:vAlign w:val="bottom"/>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Pr>
          <w:p>
            <w:pPr>
              <w:jc w:val="right"/>
              <w:ind w:right="421"/>
              <w:spacing w:after="0"/>
              <w:rPr>
                <w:sz w:val="20"/>
                <w:szCs w:val="20"/>
                <w:color w:val="auto"/>
              </w:rPr>
            </w:pPr>
            <w:r>
              <w:rPr>
                <w:rFonts w:ascii="Arial" w:cs="Arial" w:eastAsia="Arial" w:hAnsi="Arial"/>
                <w:sz w:val="20"/>
                <w:szCs w:val="20"/>
                <w:color w:val="auto"/>
              </w:rPr>
              <w:t>3/11/2020</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48,900</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$36.4848</w:t>
            </w:r>
          </w:p>
        </w:tc>
        <w:tc>
          <w:tcPr>
            <w:tcW w:w="1440" w:type="dxa"/>
            <w:vAlign w:val="bottom"/>
          </w:tcPr>
          <w:p>
            <w:pPr>
              <w:jc w:val="right"/>
              <w:spacing w:after="0"/>
              <w:rPr>
                <w:sz w:val="20"/>
                <w:szCs w:val="20"/>
                <w:color w:val="auto"/>
              </w:rPr>
            </w:pPr>
            <w:r>
              <w:rPr>
                <w:rFonts w:ascii="Arial" w:cs="Arial" w:eastAsia="Arial" w:hAnsi="Arial"/>
                <w:sz w:val="20"/>
                <w:szCs w:val="20"/>
                <w:color w:val="auto"/>
              </w:rPr>
              <w:t>$1,784,204.52</w:t>
            </w:r>
          </w:p>
        </w:tc>
      </w:tr>
      <w:tr>
        <w:trPr>
          <w:trHeight w:val="23"/>
        </w:trPr>
        <w:tc>
          <w:tcPr>
            <w:tcW w:w="3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3640" w:type="dxa"/>
            <w:vAlign w:val="bottom"/>
            <w:tcBorders>
              <w:bottom w:val="single" w:sz="8" w:color="DCDCDC"/>
            </w:tcBorders>
            <w:shd w:val="clear" w:color="auto" w:fill="DCDCDC"/>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Borders>
              <w:bottom w:val="single" w:sz="8" w:color="DCDCDC"/>
            </w:tcBorders>
            <w:shd w:val="clear" w:color="auto" w:fill="DCDCDC"/>
          </w:tcPr>
          <w:p>
            <w:pPr>
              <w:jc w:val="right"/>
              <w:ind w:right="421"/>
              <w:spacing w:after="0"/>
              <w:rPr>
                <w:sz w:val="20"/>
                <w:szCs w:val="20"/>
                <w:color w:val="auto"/>
              </w:rPr>
            </w:pPr>
            <w:r>
              <w:rPr>
                <w:rFonts w:ascii="Arial" w:cs="Arial" w:eastAsia="Arial" w:hAnsi="Arial"/>
                <w:sz w:val="20"/>
                <w:szCs w:val="20"/>
                <w:color w:val="auto"/>
              </w:rPr>
              <w:t>3/12/2020</w:t>
            </w:r>
          </w:p>
        </w:tc>
        <w:tc>
          <w:tcPr>
            <w:tcW w:w="1640" w:type="dxa"/>
            <w:vAlign w:val="bottom"/>
            <w:tcBorders>
              <w:bottom w:val="single" w:sz="8" w:color="DCDCDC"/>
            </w:tcBorders>
            <w:shd w:val="clear" w:color="auto" w:fill="DCDCDC"/>
          </w:tcPr>
          <w:p>
            <w:pPr>
              <w:jc w:val="right"/>
              <w:ind w:right="361"/>
              <w:spacing w:after="0"/>
              <w:rPr>
                <w:sz w:val="20"/>
                <w:szCs w:val="20"/>
                <w:color w:val="auto"/>
              </w:rPr>
            </w:pPr>
            <w:r>
              <w:rPr>
                <w:rFonts w:ascii="Arial" w:cs="Arial" w:eastAsia="Arial" w:hAnsi="Arial"/>
                <w:sz w:val="20"/>
                <w:szCs w:val="20"/>
                <w:color w:val="auto"/>
              </w:rPr>
              <w:t>97,255</w:t>
            </w:r>
          </w:p>
        </w:tc>
        <w:tc>
          <w:tcPr>
            <w:tcW w:w="1480" w:type="dxa"/>
            <w:vAlign w:val="bottom"/>
            <w:tcBorders>
              <w:bottom w:val="single" w:sz="8" w:color="DCDCDC"/>
            </w:tcBorders>
            <w:shd w:val="clear" w:color="auto" w:fill="DCDCDC"/>
          </w:tcPr>
          <w:p>
            <w:pPr>
              <w:jc w:val="right"/>
              <w:ind w:right="161"/>
              <w:spacing w:after="0"/>
              <w:rPr>
                <w:sz w:val="20"/>
                <w:szCs w:val="20"/>
                <w:color w:val="auto"/>
              </w:rPr>
            </w:pPr>
            <w:r>
              <w:rPr>
                <w:rFonts w:ascii="Arial" w:cs="Arial" w:eastAsia="Arial" w:hAnsi="Arial"/>
                <w:sz w:val="20"/>
                <w:szCs w:val="20"/>
                <w:color w:val="auto"/>
              </w:rPr>
              <w:t>$31.1280</w:t>
            </w:r>
          </w:p>
        </w:tc>
        <w:tc>
          <w:tcPr>
            <w:tcW w:w="1440" w:type="dxa"/>
            <w:vAlign w:val="bottom"/>
            <w:tcBorders>
              <w:bottom w:val="single" w:sz="8" w:color="DCDCDC"/>
            </w:tcBorders>
            <w:shd w:val="clear" w:color="auto" w:fill="DCDCDC"/>
          </w:tcPr>
          <w:p>
            <w:pPr>
              <w:jc w:val="right"/>
              <w:spacing w:after="0"/>
              <w:rPr>
                <w:sz w:val="20"/>
                <w:szCs w:val="20"/>
                <w:color w:val="auto"/>
              </w:rPr>
            </w:pPr>
            <w:r>
              <w:rPr>
                <w:rFonts w:ascii="Arial" w:cs="Arial" w:eastAsia="Arial" w:hAnsi="Arial"/>
                <w:sz w:val="20"/>
                <w:szCs w:val="20"/>
                <w:color w:val="auto"/>
              </w:rPr>
              <w:t>$3,027,548.15</w:t>
            </w:r>
          </w:p>
        </w:tc>
      </w:tr>
      <w:tr>
        <w:trPr>
          <w:trHeight w:val="260"/>
        </w:trPr>
        <w:tc>
          <w:tcPr>
            <w:tcW w:w="3640" w:type="dxa"/>
            <w:vAlign w:val="bottom"/>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Pr>
          <w:p>
            <w:pPr>
              <w:jc w:val="right"/>
              <w:ind w:right="421"/>
              <w:spacing w:after="0"/>
              <w:rPr>
                <w:sz w:val="20"/>
                <w:szCs w:val="20"/>
                <w:color w:val="auto"/>
              </w:rPr>
            </w:pPr>
            <w:r>
              <w:rPr>
                <w:rFonts w:ascii="Arial" w:cs="Arial" w:eastAsia="Arial" w:hAnsi="Arial"/>
                <w:sz w:val="20"/>
                <w:szCs w:val="20"/>
                <w:color w:val="auto"/>
              </w:rPr>
              <w:t>3/13/2020</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71,626</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$30.7132</w:t>
            </w:r>
          </w:p>
        </w:tc>
        <w:tc>
          <w:tcPr>
            <w:tcW w:w="1440" w:type="dxa"/>
            <w:vAlign w:val="bottom"/>
          </w:tcPr>
          <w:p>
            <w:pPr>
              <w:jc w:val="right"/>
              <w:spacing w:after="0"/>
              <w:rPr>
                <w:sz w:val="20"/>
                <w:szCs w:val="20"/>
                <w:color w:val="auto"/>
              </w:rPr>
            </w:pPr>
            <w:r>
              <w:rPr>
                <w:rFonts w:ascii="Arial" w:cs="Arial" w:eastAsia="Arial" w:hAnsi="Arial"/>
                <w:sz w:val="20"/>
                <w:szCs w:val="20"/>
                <w:color w:val="auto"/>
              </w:rPr>
              <w:t>$2,200,006.91</w:t>
            </w:r>
          </w:p>
        </w:tc>
      </w:tr>
      <w:tr>
        <w:trPr>
          <w:trHeight w:val="23"/>
        </w:trPr>
        <w:tc>
          <w:tcPr>
            <w:tcW w:w="3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3640" w:type="dxa"/>
            <w:vAlign w:val="bottom"/>
            <w:tcBorders>
              <w:bottom w:val="single" w:sz="8" w:color="DCDCDC"/>
            </w:tcBorders>
            <w:shd w:val="clear" w:color="auto" w:fill="DCDCDC"/>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Borders>
              <w:bottom w:val="single" w:sz="8" w:color="DCDCDC"/>
            </w:tcBorders>
            <w:shd w:val="clear" w:color="auto" w:fill="DCDCDC"/>
          </w:tcPr>
          <w:p>
            <w:pPr>
              <w:jc w:val="right"/>
              <w:ind w:right="421"/>
              <w:spacing w:after="0"/>
              <w:rPr>
                <w:sz w:val="20"/>
                <w:szCs w:val="20"/>
                <w:color w:val="auto"/>
              </w:rPr>
            </w:pPr>
            <w:r>
              <w:rPr>
                <w:rFonts w:ascii="Arial" w:cs="Arial" w:eastAsia="Arial" w:hAnsi="Arial"/>
                <w:sz w:val="20"/>
                <w:szCs w:val="20"/>
                <w:color w:val="auto"/>
              </w:rPr>
              <w:t>3/16/2020</w:t>
            </w:r>
          </w:p>
        </w:tc>
        <w:tc>
          <w:tcPr>
            <w:tcW w:w="1640" w:type="dxa"/>
            <w:vAlign w:val="bottom"/>
            <w:tcBorders>
              <w:bottom w:val="single" w:sz="8" w:color="DCDCDC"/>
            </w:tcBorders>
            <w:shd w:val="clear" w:color="auto" w:fill="DCDCDC"/>
          </w:tcPr>
          <w:p>
            <w:pPr>
              <w:jc w:val="right"/>
              <w:ind w:right="361"/>
              <w:spacing w:after="0"/>
              <w:rPr>
                <w:sz w:val="20"/>
                <w:szCs w:val="20"/>
                <w:color w:val="auto"/>
              </w:rPr>
            </w:pPr>
            <w:r>
              <w:rPr>
                <w:rFonts w:ascii="Arial" w:cs="Arial" w:eastAsia="Arial" w:hAnsi="Arial"/>
                <w:sz w:val="20"/>
                <w:szCs w:val="20"/>
                <w:color w:val="auto"/>
              </w:rPr>
              <w:t>250,200</w:t>
            </w:r>
          </w:p>
        </w:tc>
        <w:tc>
          <w:tcPr>
            <w:tcW w:w="1480" w:type="dxa"/>
            <w:vAlign w:val="bottom"/>
            <w:tcBorders>
              <w:bottom w:val="single" w:sz="8" w:color="DCDCDC"/>
            </w:tcBorders>
            <w:shd w:val="clear" w:color="auto" w:fill="DCDCDC"/>
          </w:tcPr>
          <w:p>
            <w:pPr>
              <w:jc w:val="right"/>
              <w:ind w:right="161"/>
              <w:spacing w:after="0"/>
              <w:rPr>
                <w:sz w:val="20"/>
                <w:szCs w:val="20"/>
                <w:color w:val="auto"/>
              </w:rPr>
            </w:pPr>
            <w:r>
              <w:rPr>
                <w:rFonts w:ascii="Arial" w:cs="Arial" w:eastAsia="Arial" w:hAnsi="Arial"/>
                <w:sz w:val="20"/>
                <w:szCs w:val="20"/>
                <w:color w:val="auto"/>
              </w:rPr>
              <w:t>$28.1606</w:t>
            </w:r>
          </w:p>
        </w:tc>
        <w:tc>
          <w:tcPr>
            <w:tcW w:w="1440" w:type="dxa"/>
            <w:vAlign w:val="bottom"/>
            <w:tcBorders>
              <w:bottom w:val="single" w:sz="8" w:color="DCDCDC"/>
            </w:tcBorders>
            <w:shd w:val="clear" w:color="auto" w:fill="DCDCDC"/>
          </w:tcPr>
          <w:p>
            <w:pPr>
              <w:jc w:val="right"/>
              <w:spacing w:after="0"/>
              <w:rPr>
                <w:sz w:val="20"/>
                <w:szCs w:val="20"/>
                <w:color w:val="auto"/>
              </w:rPr>
            </w:pPr>
            <w:r>
              <w:rPr>
                <w:rFonts w:ascii="Arial" w:cs="Arial" w:eastAsia="Arial" w:hAnsi="Arial"/>
                <w:sz w:val="20"/>
                <w:szCs w:val="20"/>
                <w:color w:val="auto"/>
              </w:rPr>
              <w:t>$7,046,282.52</w:t>
            </w:r>
          </w:p>
        </w:tc>
      </w:tr>
      <w:tr>
        <w:trPr>
          <w:trHeight w:val="260"/>
        </w:trPr>
        <w:tc>
          <w:tcPr>
            <w:tcW w:w="3640" w:type="dxa"/>
            <w:vAlign w:val="bottom"/>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Pr>
          <w:p>
            <w:pPr>
              <w:jc w:val="right"/>
              <w:ind w:right="421"/>
              <w:spacing w:after="0"/>
              <w:rPr>
                <w:sz w:val="20"/>
                <w:szCs w:val="20"/>
                <w:color w:val="auto"/>
              </w:rPr>
            </w:pPr>
            <w:r>
              <w:rPr>
                <w:rFonts w:ascii="Arial" w:cs="Arial" w:eastAsia="Arial" w:hAnsi="Arial"/>
                <w:sz w:val="20"/>
                <w:szCs w:val="20"/>
                <w:color w:val="auto"/>
              </w:rPr>
              <w:t>3/17/2020</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58,272</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$27.6858</w:t>
            </w:r>
          </w:p>
        </w:tc>
        <w:tc>
          <w:tcPr>
            <w:tcW w:w="1440" w:type="dxa"/>
            <w:vAlign w:val="bottom"/>
          </w:tcPr>
          <w:p>
            <w:pPr>
              <w:jc w:val="right"/>
              <w:spacing w:after="0"/>
              <w:rPr>
                <w:sz w:val="20"/>
                <w:szCs w:val="20"/>
                <w:color w:val="auto"/>
              </w:rPr>
            </w:pPr>
            <w:r>
              <w:rPr>
                <w:rFonts w:ascii="Arial" w:cs="Arial" w:eastAsia="Arial" w:hAnsi="Arial"/>
                <w:sz w:val="20"/>
                <w:szCs w:val="20"/>
                <w:color w:val="auto"/>
              </w:rPr>
              <w:t>$1,613,423.48</w:t>
            </w:r>
          </w:p>
        </w:tc>
      </w:tr>
      <w:tr>
        <w:trPr>
          <w:trHeight w:val="23"/>
        </w:trPr>
        <w:tc>
          <w:tcPr>
            <w:tcW w:w="3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3640" w:type="dxa"/>
            <w:vAlign w:val="bottom"/>
            <w:tcBorders>
              <w:bottom w:val="single" w:sz="8" w:color="DCDCDC"/>
            </w:tcBorders>
            <w:shd w:val="clear" w:color="auto" w:fill="DCDCDC"/>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Borders>
              <w:bottom w:val="single" w:sz="8" w:color="DCDCDC"/>
            </w:tcBorders>
            <w:shd w:val="clear" w:color="auto" w:fill="DCDCDC"/>
          </w:tcPr>
          <w:p>
            <w:pPr>
              <w:jc w:val="right"/>
              <w:ind w:right="421"/>
              <w:spacing w:after="0"/>
              <w:rPr>
                <w:sz w:val="20"/>
                <w:szCs w:val="20"/>
                <w:color w:val="auto"/>
              </w:rPr>
            </w:pPr>
            <w:r>
              <w:rPr>
                <w:rFonts w:ascii="Arial" w:cs="Arial" w:eastAsia="Arial" w:hAnsi="Arial"/>
                <w:sz w:val="20"/>
                <w:szCs w:val="20"/>
                <w:color w:val="auto"/>
              </w:rPr>
              <w:t>3/18/2020</w:t>
            </w:r>
          </w:p>
        </w:tc>
        <w:tc>
          <w:tcPr>
            <w:tcW w:w="1640" w:type="dxa"/>
            <w:vAlign w:val="bottom"/>
            <w:tcBorders>
              <w:bottom w:val="single" w:sz="8" w:color="DCDCDC"/>
            </w:tcBorders>
            <w:shd w:val="clear" w:color="auto" w:fill="DCDCDC"/>
          </w:tcPr>
          <w:p>
            <w:pPr>
              <w:jc w:val="right"/>
              <w:ind w:right="361"/>
              <w:spacing w:after="0"/>
              <w:rPr>
                <w:sz w:val="20"/>
                <w:szCs w:val="20"/>
                <w:color w:val="auto"/>
              </w:rPr>
            </w:pPr>
            <w:r>
              <w:rPr>
                <w:rFonts w:ascii="Arial" w:cs="Arial" w:eastAsia="Arial" w:hAnsi="Arial"/>
                <w:sz w:val="20"/>
                <w:szCs w:val="20"/>
                <w:color w:val="auto"/>
              </w:rPr>
              <w:t>333,000</w:t>
            </w:r>
          </w:p>
        </w:tc>
        <w:tc>
          <w:tcPr>
            <w:tcW w:w="1480" w:type="dxa"/>
            <w:vAlign w:val="bottom"/>
            <w:tcBorders>
              <w:bottom w:val="single" w:sz="8" w:color="DCDCDC"/>
            </w:tcBorders>
            <w:shd w:val="clear" w:color="auto" w:fill="DCDCDC"/>
          </w:tcPr>
          <w:p>
            <w:pPr>
              <w:jc w:val="right"/>
              <w:ind w:right="161"/>
              <w:spacing w:after="0"/>
              <w:rPr>
                <w:sz w:val="20"/>
                <w:szCs w:val="20"/>
                <w:color w:val="auto"/>
              </w:rPr>
            </w:pPr>
            <w:r>
              <w:rPr>
                <w:rFonts w:ascii="Arial" w:cs="Arial" w:eastAsia="Arial" w:hAnsi="Arial"/>
                <w:sz w:val="20"/>
                <w:szCs w:val="20"/>
                <w:color w:val="auto"/>
              </w:rPr>
              <w:t>$22.0576</w:t>
            </w:r>
          </w:p>
        </w:tc>
        <w:tc>
          <w:tcPr>
            <w:tcW w:w="1440" w:type="dxa"/>
            <w:vAlign w:val="bottom"/>
            <w:tcBorders>
              <w:bottom w:val="single" w:sz="8" w:color="DCDCDC"/>
            </w:tcBorders>
            <w:shd w:val="clear" w:color="auto" w:fill="DCDCDC"/>
          </w:tcPr>
          <w:p>
            <w:pPr>
              <w:jc w:val="right"/>
              <w:spacing w:after="0"/>
              <w:rPr>
                <w:sz w:val="20"/>
                <w:szCs w:val="20"/>
                <w:color w:val="auto"/>
              </w:rPr>
            </w:pPr>
            <w:r>
              <w:rPr>
                <w:rFonts w:ascii="Arial" w:cs="Arial" w:eastAsia="Arial" w:hAnsi="Arial"/>
                <w:sz w:val="20"/>
                <w:szCs w:val="20"/>
                <w:color w:val="auto"/>
              </w:rPr>
              <w:t>$7,345,837.44</w:t>
            </w:r>
          </w:p>
        </w:tc>
      </w:tr>
      <w:tr>
        <w:trPr>
          <w:trHeight w:val="260"/>
        </w:trPr>
        <w:tc>
          <w:tcPr>
            <w:tcW w:w="3640" w:type="dxa"/>
            <w:vAlign w:val="bottom"/>
          </w:tcPr>
          <w:p>
            <w:pPr>
              <w:ind w:left="40"/>
              <w:spacing w:after="0"/>
              <w:rPr>
                <w:sz w:val="20"/>
                <w:szCs w:val="20"/>
                <w:color w:val="auto"/>
              </w:rPr>
            </w:pPr>
            <w:r>
              <w:rPr>
                <w:rFonts w:ascii="Arial" w:cs="Arial" w:eastAsia="Arial" w:hAnsi="Arial"/>
                <w:sz w:val="20"/>
                <w:szCs w:val="20"/>
                <w:color w:val="auto"/>
              </w:rPr>
              <w:t>Punch Card Capital, L.P.</w:t>
            </w:r>
          </w:p>
        </w:tc>
        <w:tc>
          <w:tcPr>
            <w:tcW w:w="3040" w:type="dxa"/>
            <w:vAlign w:val="bottom"/>
          </w:tcPr>
          <w:p>
            <w:pPr>
              <w:jc w:val="right"/>
              <w:ind w:right="421"/>
              <w:spacing w:after="0"/>
              <w:rPr>
                <w:sz w:val="20"/>
                <w:szCs w:val="20"/>
                <w:color w:val="auto"/>
              </w:rPr>
            </w:pPr>
            <w:r>
              <w:rPr>
                <w:rFonts w:ascii="Arial" w:cs="Arial" w:eastAsia="Arial" w:hAnsi="Arial"/>
                <w:sz w:val="20"/>
                <w:szCs w:val="20"/>
                <w:color w:val="auto"/>
              </w:rPr>
              <w:t>3/19/2020</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114,597</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$19.4464</w:t>
            </w:r>
          </w:p>
        </w:tc>
        <w:tc>
          <w:tcPr>
            <w:tcW w:w="1440" w:type="dxa"/>
            <w:vAlign w:val="bottom"/>
          </w:tcPr>
          <w:p>
            <w:pPr>
              <w:jc w:val="right"/>
              <w:spacing w:after="0"/>
              <w:rPr>
                <w:sz w:val="20"/>
                <w:szCs w:val="20"/>
                <w:color w:val="auto"/>
              </w:rPr>
            </w:pPr>
            <w:r>
              <w:rPr>
                <w:rFonts w:ascii="Arial" w:cs="Arial" w:eastAsia="Arial" w:hAnsi="Arial"/>
                <w:sz w:val="20"/>
                <w:szCs w:val="20"/>
                <w:color w:val="auto"/>
              </w:rPr>
              <w:t>$2,228,728.29</w:t>
            </w:r>
          </w:p>
        </w:tc>
      </w:tr>
    </w:tbl>
    <w:p>
      <w:pPr>
        <w:spacing w:after="0" w:line="249" w:lineRule="exact"/>
        <w:rPr>
          <w:sz w:val="20"/>
          <w:szCs w:val="20"/>
          <w:color w:val="auto"/>
        </w:rPr>
      </w:pPr>
    </w:p>
    <w:p>
      <w:pPr>
        <w:ind w:left="34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purchases were effected on the New York Stock Exchange. Furthermore, for each purchase, the executing broker was Morgan Stanley and the clearing broker was Pershing.</w:t>
      </w:r>
    </w:p>
    <w:p>
      <w:pPr>
        <w:spacing w:after="0" w:line="190" w:lineRule="exact"/>
        <w:rPr>
          <w:rFonts w:ascii="Arial" w:cs="Arial" w:eastAsia="Arial" w:hAnsi="Arial"/>
          <w:sz w:val="20"/>
          <w:szCs w:val="20"/>
          <w:color w:val="auto"/>
        </w:rPr>
      </w:pPr>
    </w:p>
    <w:p>
      <w:pPr>
        <w:ind w:firstLine="656"/>
        <w:spacing w:after="0" w:line="260" w:lineRule="auto"/>
        <w:tabs>
          <w:tab w:leader="none" w:pos="937" w:val="left"/>
        </w:tabs>
        <w:numPr>
          <w:ilvl w:val="1"/>
          <w:numId w:val="19"/>
        </w:numPr>
        <w:rPr>
          <w:rFonts w:ascii="Arial" w:cs="Arial" w:eastAsia="Arial" w:hAnsi="Arial"/>
          <w:sz w:val="20"/>
          <w:szCs w:val="20"/>
          <w:color w:val="auto"/>
        </w:rPr>
      </w:pPr>
      <w:r>
        <w:rPr>
          <w:rFonts w:ascii="Arial" w:cs="Arial" w:eastAsia="Arial" w:hAnsi="Arial"/>
          <w:sz w:val="20"/>
          <w:szCs w:val="20"/>
          <w:color w:val="auto"/>
        </w:rPr>
        <w:t>No person (other than the Reporting Persons) has the right to receive or the power to direct the receipt of dividends from, or the proceeds from the sale of, Shares owned by the Fund.</w:t>
      </w:r>
    </w:p>
    <w:p>
      <w:pPr>
        <w:spacing w:after="0" w:line="190" w:lineRule="exact"/>
        <w:rPr>
          <w:rFonts w:ascii="Arial" w:cs="Arial" w:eastAsia="Arial" w:hAnsi="Arial"/>
          <w:sz w:val="20"/>
          <w:szCs w:val="20"/>
          <w:color w:val="auto"/>
        </w:rPr>
      </w:pPr>
    </w:p>
    <w:p>
      <w:pPr>
        <w:ind w:left="920" w:hanging="264"/>
        <w:spacing w:after="0"/>
        <w:tabs>
          <w:tab w:leader="none" w:pos="92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This item is not applicable.</w:t>
      </w:r>
    </w:p>
    <w:p>
      <w:pPr>
        <w:spacing w:after="0" w:line="229" w:lineRule="exact"/>
        <w:rPr>
          <w:sz w:val="20"/>
          <w:szCs w:val="20"/>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8 of 11 Pages</w:t>
      </w:r>
    </w:p>
    <w:p>
      <w:pPr>
        <w:sectPr>
          <w:pgSz w:w="11900" w:h="16838" w:orient="portrait"/>
          <w:cols w:equalWidth="0" w:num="1">
            <w:col w:w="11240"/>
          </w:cols>
          <w:pgMar w:left="320" w:top="468" w:right="339" w:bottom="504"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Item 6. Contracts, Arrangements, Understandings or Relationships with Respect to Securities of the Issuer.</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Except as described in this statement, there are no contracts, arrangements, understandings or relationships (legal or otherwise) among any of the Reporting Persons and between such persons and any other person with respect to any securities of the Issuer, including, but not limited to, transfer or voting of any of such securities, finder’s fees, joint ventures, loan or option arrangements, puts or calls, guarantees of profits, division of profits or loss, or the giving or withholding of proxies.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Material to Be Filed as Exhibits.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documents are filed as exhibits to this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Exhibit 1 –Letter dated March 24, 2020 from Norbert Lou to the Board of Directors of the Issuer.</w:t>
      </w:r>
    </w:p>
    <w:p>
      <w:pPr>
        <w:spacing w:after="0" w:line="229" w:lineRule="exact"/>
        <w:rPr>
          <w:sz w:val="20"/>
          <w:szCs w:val="20"/>
          <w:color w:val="auto"/>
        </w:rPr>
      </w:pPr>
    </w:p>
    <w:p>
      <w:pPr>
        <w:spacing w:after="0"/>
        <w:tabs>
          <w:tab w:leader="none" w:pos="5440" w:val="left"/>
          <w:tab w:leader="none" w:pos="97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9 of 11 Pages</w:t>
      </w:r>
    </w:p>
    <w:p>
      <w:pPr>
        <w:sectPr>
          <w:pgSz w:w="11900" w:h="16838" w:orient="portrait"/>
          <w:cols w:equalWidth="0" w:num="1">
            <w:col w:w="11240"/>
          </w:cols>
          <w:pgMar w:left="320" w:top="46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520" w:firstLine="324"/>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Pr>
          <w:p>
            <w:pPr>
              <w:spacing w:after="0"/>
              <w:rPr>
                <w:sz w:val="21"/>
                <w:szCs w:val="21"/>
                <w:color w:val="auto"/>
              </w:rPr>
            </w:pPr>
          </w:p>
        </w:tc>
        <w:tc>
          <w:tcPr>
            <w:tcW w:w="2540" w:type="dxa"/>
            <w:vAlign w:val="bottom"/>
          </w:tcPr>
          <w:p>
            <w:pPr>
              <w:ind w:left="1980"/>
              <w:spacing w:after="0"/>
              <w:rPr>
                <w:sz w:val="20"/>
                <w:szCs w:val="20"/>
                <w:color w:val="auto"/>
              </w:rPr>
            </w:pPr>
            <w:r>
              <w:rPr>
                <w:rFonts w:ascii="Arial" w:cs="Arial" w:eastAsia="Arial" w:hAnsi="Arial"/>
                <w:sz w:val="20"/>
                <w:szCs w:val="20"/>
                <w:color w:val="auto"/>
              </w:rPr>
              <w:t>By:</w:t>
            </w:r>
          </w:p>
        </w:tc>
        <w:tc>
          <w:tcPr>
            <w:tcW w:w="5040" w:type="dxa"/>
            <w:vAlign w:val="bottom"/>
            <w:gridSpan w:val="2"/>
          </w:tcPr>
          <w:p>
            <w:pPr>
              <w:spacing w:after="0"/>
              <w:rPr>
                <w:sz w:val="20"/>
                <w:szCs w:val="20"/>
                <w:color w:val="auto"/>
              </w:rPr>
            </w:pPr>
            <w:r>
              <w:rPr>
                <w:rFonts w:ascii="Arial" w:cs="Arial" w:eastAsia="Arial" w:hAnsi="Arial"/>
                <w:sz w:val="20"/>
                <w:szCs w:val="20"/>
                <w:color w:val="auto"/>
              </w:rPr>
              <w:t>/s/ Norbert H. Lou</w:t>
            </w:r>
          </w:p>
        </w:tc>
      </w:tr>
      <w:tr>
        <w:trPr>
          <w:trHeight w:val="206"/>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9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w w:val="99"/>
              </w:rPr>
              <w:t>Norbert Lou, individually, and as manager of</w:t>
            </w:r>
          </w:p>
        </w:tc>
        <w:tc>
          <w:tcPr>
            <w:tcW w:w="1120" w:type="dxa"/>
            <w:vAlign w:val="bottom"/>
          </w:tcPr>
          <w:p>
            <w:pPr>
              <w:spacing w:after="0"/>
              <w:rPr>
                <w:sz w:val="17"/>
                <w:szCs w:val="17"/>
                <w:color w:val="auto"/>
              </w:rPr>
            </w:pPr>
          </w:p>
        </w:tc>
      </w:tr>
      <w:tr>
        <w:trPr>
          <w:trHeight w:val="230"/>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Capital, LLC, the general partner of</w:t>
            </w:r>
          </w:p>
        </w:tc>
      </w:tr>
      <w:tr>
        <w:trPr>
          <w:trHeight w:val="229"/>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Capital, L.P., and as manager of</w:t>
            </w:r>
          </w:p>
        </w:tc>
      </w:tr>
      <w:tr>
        <w:trPr>
          <w:trHeight w:val="229"/>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GP, LLC, the general partner of</w:t>
            </w:r>
          </w:p>
        </w:tc>
      </w:tr>
      <w:tr>
        <w:trPr>
          <w:trHeight w:val="250"/>
        </w:trPr>
        <w:tc>
          <w:tcPr>
            <w:tcW w:w="3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Management, L.P.</w:t>
            </w:r>
          </w:p>
        </w:tc>
      </w:tr>
      <w:tr>
        <w:trPr>
          <w:trHeight w:val="459"/>
        </w:trPr>
        <w:tc>
          <w:tcPr>
            <w:tcW w:w="3660" w:type="dxa"/>
            <w:vAlign w:val="bottom"/>
          </w:tcPr>
          <w:p>
            <w:pPr>
              <w:spacing w:after="0"/>
              <w:rPr>
                <w:sz w:val="24"/>
                <w:szCs w:val="24"/>
                <w:color w:val="auto"/>
              </w:rPr>
            </w:pPr>
          </w:p>
        </w:tc>
        <w:tc>
          <w:tcPr>
            <w:tcW w:w="7580" w:type="dxa"/>
            <w:vAlign w:val="bottom"/>
            <w:gridSpan w:val="3"/>
          </w:tcPr>
          <w:p>
            <w:pPr>
              <w:ind w:left="1980"/>
              <w:spacing w:after="0"/>
              <w:rPr>
                <w:sz w:val="20"/>
                <w:szCs w:val="20"/>
                <w:color w:val="auto"/>
              </w:rPr>
            </w:pPr>
            <w:r>
              <w:rPr>
                <w:rFonts w:ascii="Arial" w:cs="Arial" w:eastAsia="Arial" w:hAnsi="Arial"/>
                <w:sz w:val="20"/>
                <w:szCs w:val="20"/>
                <w:color w:val="auto"/>
              </w:rPr>
              <w:t>Date:  March 24, 2020</w:t>
            </w:r>
          </w:p>
        </w:tc>
      </w:tr>
      <w:tr>
        <w:trPr>
          <w:trHeight w:val="459"/>
        </w:trPr>
        <w:tc>
          <w:tcPr>
            <w:tcW w:w="3660" w:type="dxa"/>
            <w:vAlign w:val="bottom"/>
          </w:tcPr>
          <w:p>
            <w:pPr>
              <w:spacing w:after="0"/>
              <w:rPr>
                <w:sz w:val="20"/>
                <w:szCs w:val="20"/>
                <w:color w:val="auto"/>
              </w:rPr>
            </w:pPr>
            <w:r>
              <w:rPr>
                <w:rFonts w:ascii="Arial" w:cs="Arial" w:eastAsia="Arial" w:hAnsi="Arial"/>
                <w:sz w:val="20"/>
                <w:szCs w:val="20"/>
                <w:color w:val="auto"/>
              </w:rPr>
              <w:t>CUSIP No. 974637100</w:t>
            </w:r>
          </w:p>
        </w:tc>
        <w:tc>
          <w:tcPr>
            <w:tcW w:w="2540" w:type="dxa"/>
            <w:vAlign w:val="bottom"/>
          </w:tcPr>
          <w:p>
            <w:pPr>
              <w:ind w:left="1800"/>
              <w:spacing w:after="0"/>
              <w:rPr>
                <w:sz w:val="20"/>
                <w:szCs w:val="20"/>
                <w:color w:val="auto"/>
              </w:rPr>
            </w:pPr>
            <w:r>
              <w:rPr>
                <w:rFonts w:ascii="Arial" w:cs="Arial" w:eastAsia="Arial" w:hAnsi="Arial"/>
                <w:sz w:val="20"/>
                <w:szCs w:val="20"/>
                <w:color w:val="auto"/>
              </w:rPr>
              <w:t>13D</w:t>
            </w:r>
          </w:p>
        </w:tc>
        <w:tc>
          <w:tcPr>
            <w:tcW w:w="5040" w:type="dxa"/>
            <w:vAlign w:val="bottom"/>
            <w:gridSpan w:val="2"/>
          </w:tcPr>
          <w:p>
            <w:pPr>
              <w:ind w:left="3440"/>
              <w:spacing w:after="0"/>
              <w:rPr>
                <w:sz w:val="20"/>
                <w:szCs w:val="20"/>
                <w:color w:val="auto"/>
              </w:rPr>
            </w:pPr>
            <w:r>
              <w:rPr>
                <w:rFonts w:ascii="Arial" w:cs="Arial" w:eastAsia="Arial" w:hAnsi="Arial"/>
                <w:sz w:val="20"/>
                <w:szCs w:val="20"/>
                <w:color w:val="auto"/>
                <w:w w:val="84"/>
              </w:rPr>
              <w:t>Page 10 of 11 Pages</w:t>
            </w:r>
          </w:p>
        </w:tc>
      </w:tr>
    </w:tbl>
    <w:p>
      <w:pPr>
        <w:sectPr>
          <w:pgSz w:w="11900" w:h="16838" w:orient="portrait"/>
          <w:cols w:equalWidth="0" w:num="1">
            <w:col w:w="11240"/>
          </w:cols>
          <w:pgMar w:left="320" w:top="468" w:right="339" w:bottom="1440" w:gutter="0" w:footer="0" w:header="0"/>
        </w:sectPr>
      </w:pPr>
    </w:p>
    <w:bookmarkStart w:id="10" w:name="page11"/>
    <w:bookmarkEnd w:id="10"/>
    <w:p>
      <w:pPr>
        <w:ind w:left="10500"/>
        <w:spacing w:after="0"/>
        <w:rPr>
          <w:sz w:val="20"/>
          <w:szCs w:val="20"/>
          <w:color w:val="auto"/>
        </w:rPr>
      </w:pPr>
      <w:r>
        <w:rPr>
          <w:rFonts w:ascii="Arial" w:cs="Arial" w:eastAsia="Arial" w:hAnsi="Arial"/>
          <w:sz w:val="19"/>
          <w:szCs w:val="19"/>
          <w:color w:val="auto"/>
        </w:rPr>
        <w:t>Exhibit 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LETTER TO THE BOARD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March 24,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Winnebago Industries, Inc.</w:t>
      </w:r>
    </w:p>
    <w:p>
      <w:pPr>
        <w:spacing w:after="0"/>
        <w:rPr>
          <w:sz w:val="20"/>
          <w:szCs w:val="20"/>
          <w:color w:val="auto"/>
        </w:rPr>
      </w:pPr>
      <w:r>
        <w:rPr>
          <w:rFonts w:ascii="Arial" w:cs="Arial" w:eastAsia="Arial" w:hAnsi="Arial"/>
          <w:sz w:val="20"/>
          <w:szCs w:val="20"/>
          <w:color w:val="auto"/>
        </w:rPr>
        <w:t>13200 Pioneer Trail, Suite 150</w:t>
      </w:r>
    </w:p>
    <w:p>
      <w:pPr>
        <w:spacing w:after="0"/>
        <w:rPr>
          <w:sz w:val="20"/>
          <w:szCs w:val="20"/>
          <w:color w:val="auto"/>
        </w:rPr>
      </w:pPr>
      <w:r>
        <w:rPr>
          <w:rFonts w:ascii="Arial" w:cs="Arial" w:eastAsia="Arial" w:hAnsi="Arial"/>
          <w:sz w:val="20"/>
          <w:szCs w:val="20"/>
          <w:color w:val="auto"/>
        </w:rPr>
        <w:t>Eden Prairie, MN 55347</w:t>
      </w:r>
    </w:p>
    <w:p>
      <w:pPr>
        <w:spacing w:after="0"/>
        <w:rPr>
          <w:sz w:val="20"/>
          <w:szCs w:val="20"/>
          <w:color w:val="auto"/>
        </w:rPr>
      </w:pPr>
      <w:r>
        <w:rPr>
          <w:rFonts w:ascii="Arial" w:cs="Arial" w:eastAsia="Arial" w:hAnsi="Arial"/>
          <w:sz w:val="20"/>
          <w:szCs w:val="20"/>
          <w:color w:val="auto"/>
        </w:rPr>
        <w:t>Attention: David W. Miles, Chairman</w:t>
      </w:r>
    </w:p>
    <w:p>
      <w:pPr>
        <w:spacing w:after="0"/>
        <w:rPr>
          <w:sz w:val="20"/>
          <w:szCs w:val="20"/>
          <w:color w:val="auto"/>
        </w:rPr>
      </w:pPr>
      <w:r>
        <w:rPr>
          <w:rFonts w:ascii="Arial" w:cs="Arial" w:eastAsia="Arial" w:hAnsi="Arial"/>
          <w:sz w:val="20"/>
          <w:szCs w:val="20"/>
          <w:color w:val="auto"/>
        </w:rPr>
        <w:t>Attention: Michael J. Happe, 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Members of the Board,</w:t>
      </w:r>
    </w:p>
    <w:p>
      <w:pPr>
        <w:spacing w:after="0" w:line="22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Yesterday, the company suspended production and attributed the action to an “unforeseeable change in the business circumstances.” While the catalyst for the immediate crisis may have been unforeseeable, it was absolutely foreseeable that the company would someday run into a downturn like this. It is well known that the RV business is very cyclical and, therefore, it is the responsibility of leaders to conservatively manage their company’s balance sheet in order to ensure that the ship can weather this type of inevitable storm without damage or casualties.</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Over the past year, Punch Card Capital has conveyed to Mike Happe our concerns about the company’s level of debt. We have repeatedly cautioned management that the company’s leverage targets would leave the company in a vulnerable position in the next downturn. We advocated for the reduction of debt. This went unheeded. Instead, the company increased debt by $200 million over the past year, and management assured us that their models and simulations forecasted that the company could handle the debt load even in a downturn. We are about to find out if the models are correct, but this decision by management has gambled the company’s future unnecessarily.</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Beyond this, we are concerned about the welfare of our employees at Grand Design, Newmar, Chris-Craft, and Winnebago. In yesterday’s press release, we read that affected employees at those subsidiaries will be left with two weeks of pay, but we did not see any mention of reductions taken at the executive level at corporate headquarters in Eden Prairie. The employees at the subsidiaries are the ones taking care of the customers and producing the profits. If they are required to make sacrifices, then the corporate office, which supports them, should make sacrifices, as well.</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CEO and the Chairman of Boeing just announced that they will both forego all pay through 2020 as their company navigates the current crisis. Many other CEOs have done the same. Our CEO should follow this example of leadership by foregoing his pay ($2,775,830 in 2019) as long as his employees are being required to forego theirs. Moreover, we request that the board conduct a thorough review of the considerable level of corporate expenses, including all private jet expenses. Lastly, as shareholders, we ask that the dividend be eliminated. All of these moves are necessary to maintain a culture of fairness and to communicate that we will all do our part to weather this storm. Otherwise, it is disingenuous to announce in a press release that your top priority is the “well-being of our employees.”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Norbert Lou</w:t>
      </w:r>
    </w:p>
    <w:p>
      <w:pPr>
        <w:spacing w:after="0" w:line="229" w:lineRule="exact"/>
        <w:rPr>
          <w:sz w:val="20"/>
          <w:szCs w:val="20"/>
          <w:color w:val="auto"/>
        </w:rPr>
      </w:pPr>
    </w:p>
    <w:p>
      <w:pPr>
        <w:spacing w:after="0"/>
        <w:tabs>
          <w:tab w:leader="none" w:pos="5440" w:val="left"/>
          <w:tab w:leader="none" w:pos="964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11 of 11 Pages</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
    <w:nsid w:val="216231B"/>
    <w:multiLevelType w:val="hybridMultilevel"/>
    <w:lvl w:ilvl="0">
      <w:lvlJc w:val="left"/>
      <w:lvlText w:val="%1"/>
      <w:numFmt w:val="decimal"/>
      <w:start w:val="1"/>
    </w:lvl>
    <w:lvl w:ilvl="1">
      <w:lvlJc w:val="left"/>
      <w:lvlText w:val="%2."/>
      <w:numFmt w:val="decimal"/>
      <w:start w:val="10"/>
    </w:lvl>
  </w:abstractNum>
  <w:abstractNum w:abstractNumId="2">
    <w:nsid w:val="1F16E9E8"/>
    <w:multiLevelType w:val="hybridMultilevel"/>
    <w:lvl w:ilvl="0">
      <w:lvlJc w:val="left"/>
      <w:lvlText w:val="%1."/>
      <w:numFmt w:val="decimal"/>
      <w:start w:val="11"/>
    </w:lvl>
    <w:lvl w:ilvl="1">
      <w:lvlJc w:val="left"/>
      <w:lvlText w:val="%2"/>
      <w:numFmt w:val="decimal"/>
      <w:start w:val="1"/>
    </w:lvl>
  </w:abstractNum>
  <w:abstractNum w:abstractNumId="3">
    <w:nsid w:val="1190CDE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
    <w:nsid w:val="66EF438D"/>
    <w:multiLevelType w:val="hybridMultilevel"/>
    <w:lvl w:ilvl="0">
      <w:lvlJc w:val="left"/>
      <w:lvlText w:val="%1"/>
      <w:numFmt w:val="decimal"/>
      <w:start w:val="1"/>
    </w:lvl>
    <w:lvl w:ilvl="1">
      <w:lvlJc w:val="left"/>
      <w:lvlText w:val="%2."/>
      <w:numFmt w:val="decimal"/>
      <w:start w:val="10"/>
    </w:lvl>
  </w:abstractNum>
  <w:abstractNum w:abstractNumId="5">
    <w:nsid w:val="140E0F76"/>
    <w:multiLevelType w:val="hybridMultilevel"/>
    <w:lvl w:ilvl="0">
      <w:lvlJc w:val="left"/>
      <w:lvlText w:val="%1."/>
      <w:numFmt w:val="decimal"/>
      <w:start w:val="11"/>
    </w:lvl>
    <w:lvl w:ilvl="1">
      <w:lvlJc w:val="left"/>
      <w:lvlText w:val="%2"/>
      <w:numFmt w:val="decimal"/>
      <w:start w:val="1"/>
    </w:lvl>
  </w:abstractNum>
  <w:abstractNum w:abstractNumId="6">
    <w:nsid w:val="335225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7">
    <w:nsid w:val="109CF92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7"/>
    </w:lvl>
  </w:abstractNum>
  <w:abstractNum w:abstractNumId="8">
    <w:nsid w:val="DED7263"/>
    <w:multiLevelType w:val="hybridMultilevel"/>
    <w:lvl w:ilvl="0">
      <w:lvlJc w:val="left"/>
      <w:lvlText w:val="%1"/>
      <w:numFmt w:val="decimal"/>
      <w:start w:val="1"/>
    </w:lvl>
    <w:lvl w:ilvl="1">
      <w:lvlJc w:val="left"/>
      <w:lvlText w:val="%2."/>
      <w:numFmt w:val="decimal"/>
      <w:start w:val="10"/>
    </w:lvl>
  </w:abstractNum>
  <w:abstractNum w:abstractNumId="9">
    <w:nsid w:val="7FDCC233"/>
    <w:multiLevelType w:val="hybridMultilevel"/>
    <w:lvl w:ilvl="0">
      <w:lvlJc w:val="left"/>
      <w:lvlText w:val="%1."/>
      <w:numFmt w:val="decimal"/>
      <w:start w:val="11"/>
    </w:lvl>
    <w:lvl w:ilvl="1">
      <w:lvlJc w:val="left"/>
      <w:lvlText w:val="%2"/>
      <w:numFmt w:val="decimal"/>
      <w:start w:val="1"/>
    </w:lvl>
  </w:abstractNum>
  <w:abstractNum w:abstractNumId="10">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41A7C4C9"/>
    <w:multiLevelType w:val="hybridMultilevel"/>
    <w:lvl w:ilvl="0">
      <w:lvlJc w:val="left"/>
      <w:lvlText w:val="%1"/>
      <w:numFmt w:val="decimal"/>
      <w:start w:val="1"/>
    </w:lvl>
    <w:lvl w:ilvl="1">
      <w:lvlJc w:val="left"/>
      <w:lvlText w:val="%2."/>
      <w:numFmt w:val="decimal"/>
      <w:start w:val="10"/>
    </w:lvl>
  </w:abstractNum>
  <w:abstractNum w:abstractNumId="12">
    <w:nsid w:val="6B68079A"/>
    <w:multiLevelType w:val="hybridMultilevel"/>
    <w:lvl w:ilvl="0">
      <w:lvlJc w:val="left"/>
      <w:lvlText w:val="%1."/>
      <w:numFmt w:val="decimal"/>
      <w:start w:val="11"/>
    </w:lvl>
    <w:lvl w:ilvl="1">
      <w:lvlJc w:val="left"/>
      <w:lvlText w:val="%2"/>
      <w:numFmt w:val="decimal"/>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7"/>
    </w:lvl>
  </w:abstractNum>
  <w:abstractNum w:abstractNumId="15">
    <w:nsid w:val="519B500D"/>
    <w:multiLevelType w:val="hybridMultilevel"/>
    <w:lvl w:ilvl="0">
      <w:lvlJc w:val="left"/>
      <w:lvlText w:val="%1"/>
      <w:numFmt w:val="decimal"/>
      <w:start w:val="1"/>
    </w:lvl>
    <w:lvl w:ilvl="1">
      <w:lvlJc w:val="left"/>
      <w:lvlText w:val="%2."/>
      <w:numFmt w:val="decimal"/>
      <w:start w:val="10"/>
    </w:lvl>
  </w:abstractNum>
  <w:abstractNum w:abstractNumId="16">
    <w:nsid w:val="431BD7B7"/>
    <w:multiLevelType w:val="hybridMultilevel"/>
    <w:lvl w:ilvl="0">
      <w:lvlJc w:val="left"/>
      <w:lvlText w:val="%1."/>
      <w:numFmt w:val="decimal"/>
      <w:start w:val="11"/>
    </w:lvl>
    <w:lvl w:ilvl="1">
      <w:lvlJc w:val="left"/>
      <w:lvlText w:val="%2"/>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
      <w:numFmt w:val="bullet"/>
      <w:start w:val="1"/>
    </w:lvl>
    <w:lvl w:ilvl="1">
      <w:lvlJc w:val="left"/>
      <w:lvlText w:val="(%2)"/>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2020-03-24T15:16:21Z</dcterms:created>
  <dcterms:modified xsi:type="dcterms:W3CDTF">2020-03-24T15:16:21Z</dcterms:modified>
</cp:coreProperties>
</file>