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For the quarterly period ended May 26, 2012</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1920875"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June 28, 2012 was 29,239,106.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p>
      <w:pPr>
        <w:jc w:val="center"/>
        <w:ind w:right="-160"/>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000" w:type="dxa"/>
            <w:vAlign w:val="bottom"/>
            <w:gridSpan w:val="3"/>
          </w:tcPr>
          <w:p>
            <w:pPr>
              <w:ind w:left="620"/>
              <w:spacing w:after="0"/>
              <w:rPr>
                <w:sz w:val="20"/>
                <w:szCs w:val="20"/>
                <w:color w:val="auto"/>
              </w:rPr>
            </w:pPr>
            <w:r>
              <w:rPr>
                <w:rFonts w:ascii="Arial" w:cs="Arial" w:eastAsia="Arial" w:hAnsi="Arial"/>
                <w:sz w:val="16"/>
                <w:szCs w:val="16"/>
                <w:color w:val="auto"/>
                <w:w w:val="96"/>
              </w:rPr>
              <w:t>Page</w:t>
            </w:r>
          </w:p>
        </w:tc>
      </w:tr>
      <w:tr>
        <w:trPr>
          <w:trHeight w:val="357"/>
        </w:trPr>
        <w:tc>
          <w:tcPr>
            <w:tcW w:w="700" w:type="dxa"/>
            <w:vAlign w:val="bottom"/>
            <w:tcBorders>
              <w:bottom w:val="single" w:sz="8" w:color="0000FF"/>
            </w:tcBorders>
            <w:gridSpan w:val="3"/>
          </w:tcPr>
          <w:p>
            <w:pPr>
              <w:spacing w:after="0"/>
              <w:rPr>
                <w:rFonts w:ascii="Arial" w:cs="Arial" w:eastAsia="Arial" w:hAnsi="Arial"/>
                <w:sz w:val="16"/>
                <w:szCs w:val="16"/>
                <w:b w:val="1"/>
                <w:bCs w:val="1"/>
                <w:color w:val="0000FF"/>
                <w:w w:val="99"/>
              </w:rPr>
            </w:pPr>
            <w:hyperlink w:anchor="page2">
              <w:r>
                <w:rPr>
                  <w:rFonts w:ascii="Arial" w:cs="Arial" w:eastAsia="Arial" w:hAnsi="Arial"/>
                  <w:sz w:val="16"/>
                  <w:szCs w:val="16"/>
                  <w:b w:val="1"/>
                  <w:bCs w:val="1"/>
                  <w:color w:val="0000FF"/>
                  <w:w w:val="99"/>
                </w:rPr>
                <w:t>Glossary</w:t>
              </w:r>
            </w:hyperlink>
          </w:p>
        </w:tc>
        <w:tc>
          <w:tcPr>
            <w:tcW w:w="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2">
              <w:r>
                <w:rPr>
                  <w:rFonts w:ascii="Arial" w:cs="Arial" w:eastAsia="Arial" w:hAnsi="Arial"/>
                  <w:sz w:val="16"/>
                  <w:szCs w:val="16"/>
                  <w:color w:val="0000FF"/>
                </w:rPr>
                <w:t>1</w:t>
              </w:r>
            </w:hyperlink>
          </w:p>
        </w:tc>
        <w:tc>
          <w:tcPr>
            <w:tcW w:w="140" w:type="dxa"/>
            <w:vAlign w:val="bottom"/>
          </w:tcPr>
          <w:p>
            <w:pPr>
              <w:spacing w:after="0"/>
              <w:rPr>
                <w:sz w:val="24"/>
                <w:szCs w:val="24"/>
                <w:color w:val="auto"/>
              </w:rPr>
            </w:pPr>
          </w:p>
        </w:tc>
      </w:tr>
      <w:tr>
        <w:trPr>
          <w:trHeight w:val="520"/>
        </w:trPr>
        <w:tc>
          <w:tcPr>
            <w:tcW w:w="840" w:type="dxa"/>
            <w:vAlign w:val="bottom"/>
            <w:gridSpan w:val="4"/>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Part I</w:t>
              </w:r>
            </w:hyperlink>
          </w:p>
        </w:tc>
        <w:tc>
          <w:tcPr>
            <w:tcW w:w="718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860" w:type="dxa"/>
            <w:vAlign w:val="bottom"/>
            <w:gridSpan w:val="2"/>
          </w:tcPr>
          <w:p>
            <w:pPr>
              <w:jc w:val="center"/>
              <w:ind w:left="679"/>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140" w:type="dxa"/>
            <w:vAlign w:val="bottom"/>
          </w:tcPr>
          <w:p>
            <w:pPr>
              <w:spacing w:after="0"/>
              <w:rPr>
                <w:sz w:val="24"/>
                <w:szCs w:val="2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Condensed Financial Statements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4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Statements of Operations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2</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Balance Sheets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Statements of Cash Flows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140" w:type="dxa"/>
            <w:vAlign w:val="bottom"/>
          </w:tcPr>
          <w:p>
            <w:pPr>
              <w:spacing w:after="0"/>
              <w:rPr>
                <w:sz w:val="21"/>
                <w:szCs w:val="21"/>
                <w:color w:val="auto"/>
              </w:rPr>
            </w:pPr>
          </w:p>
        </w:tc>
      </w:tr>
      <w:tr>
        <w:trPr>
          <w:trHeight w:val="250"/>
        </w:trPr>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Unaudited Consolidated Notes to Financial Statements</w:t>
            </w:r>
          </w:p>
        </w:tc>
        <w:tc>
          <w:tcPr>
            <w:tcW w:w="7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c>
          <w:tcPr>
            <w:tcW w:w="140" w:type="dxa"/>
            <w:vAlign w:val="bottom"/>
          </w:tcPr>
          <w:p>
            <w:pPr>
              <w:spacing w:after="0"/>
              <w:rPr>
                <w:sz w:val="21"/>
                <w:szCs w:val="2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2</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000" w:type="dxa"/>
            <w:vAlign w:val="bottom"/>
            <w:gridSpan w:val="3"/>
          </w:tcPr>
          <w:p>
            <w:pPr>
              <w:jc w:val="center"/>
              <w:ind w:left="539"/>
              <w:spacing w:after="0"/>
              <w:rPr>
                <w:rFonts w:ascii="Arial" w:cs="Arial" w:eastAsia="Arial" w:hAnsi="Arial"/>
                <w:sz w:val="16"/>
                <w:szCs w:val="16"/>
                <w:color w:val="0000FF"/>
              </w:rPr>
            </w:pPr>
            <w:hyperlink w:anchor="page15">
              <w:r>
                <w:rPr>
                  <w:rFonts w:ascii="Arial" w:cs="Arial" w:eastAsia="Arial" w:hAnsi="Arial"/>
                  <w:sz w:val="16"/>
                  <w:szCs w:val="16"/>
                  <w:color w:val="0000FF"/>
                </w:rPr>
                <w:t>13</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3</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of Market Risk</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4</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520"/>
        </w:trPr>
        <w:tc>
          <w:tcPr>
            <w:tcW w:w="460" w:type="dxa"/>
            <w:vAlign w:val="bottom"/>
            <w:gridSpan w:val="2"/>
          </w:tcPr>
          <w:p>
            <w:pPr>
              <w:spacing w:after="0"/>
              <w:rPr>
                <w:rFonts w:ascii="Arial" w:cs="Arial" w:eastAsia="Arial" w:hAnsi="Arial"/>
                <w:sz w:val="16"/>
                <w:szCs w:val="16"/>
                <w:b w:val="1"/>
                <w:bCs w:val="1"/>
                <w:color w:val="0000FF"/>
                <w:w w:val="98"/>
              </w:rPr>
            </w:pPr>
            <w:hyperlink w:anchor="page23">
              <w:r>
                <w:rPr>
                  <w:rFonts w:ascii="Arial" w:cs="Arial" w:eastAsia="Arial" w:hAnsi="Arial"/>
                  <w:sz w:val="16"/>
                  <w:szCs w:val="16"/>
                  <w:b w:val="1"/>
                  <w:bCs w:val="1"/>
                  <w:color w:val="0000FF"/>
                  <w:w w:val="98"/>
                </w:rPr>
                <w:t>Part II</w:t>
              </w:r>
            </w:hyperlink>
          </w:p>
        </w:tc>
        <w:tc>
          <w:tcPr>
            <w:tcW w:w="380" w:type="dxa"/>
            <w:vAlign w:val="bottom"/>
            <w:gridSpan w:val="2"/>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760" w:type="dxa"/>
            <w:vAlign w:val="bottom"/>
          </w:tcPr>
          <w:p>
            <w:pPr>
              <w:spacing w:after="0"/>
              <w:rPr>
                <w:sz w:val="24"/>
                <w:szCs w:val="24"/>
                <w:color w:val="auto"/>
              </w:rPr>
            </w:pPr>
          </w:p>
        </w:tc>
        <w:tc>
          <w:tcPr>
            <w:tcW w:w="240" w:type="dxa"/>
            <w:vAlign w:val="bottom"/>
            <w:gridSpan w:val="2"/>
          </w:tcPr>
          <w:p>
            <w:pPr>
              <w:jc w:val="center"/>
              <w:ind w:right="100"/>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1</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2</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Funds</w:t>
            </w:r>
          </w:p>
        </w:tc>
        <w:tc>
          <w:tcPr>
            <w:tcW w:w="1000" w:type="dxa"/>
            <w:vAlign w:val="bottom"/>
            <w:gridSpan w:val="3"/>
          </w:tcPr>
          <w:p>
            <w:pPr>
              <w:jc w:val="center"/>
              <w:ind w:left="53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6</w:t>
              </w:r>
            </w:hyperlink>
            <w:r>
              <w:rPr>
                <w:rFonts w:ascii="Arial" w:cs="Arial" w:eastAsia="Arial" w:hAnsi="Arial"/>
                <w:sz w:val="16"/>
                <w:szCs w:val="16"/>
                <w:color w:val="0000FF"/>
              </w:rPr>
              <w:t>.</w:t>
            </w:r>
          </w:p>
        </w:tc>
        <w:tc>
          <w:tcPr>
            <w:tcW w:w="718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000" w:type="dxa"/>
            <w:vAlign w:val="bottom"/>
            <w:gridSpan w:val="3"/>
          </w:tcPr>
          <w:p>
            <w:pPr>
              <w:jc w:val="center"/>
              <w:ind w:left="539"/>
              <w:spacing w:after="0"/>
              <w:rPr>
                <w:rFonts w:ascii="Arial" w:cs="Arial" w:eastAsia="Arial" w:hAnsi="Arial"/>
                <w:sz w:val="16"/>
                <w:szCs w:val="16"/>
                <w:color w:val="0000FF"/>
              </w:rPr>
            </w:pPr>
            <w:hyperlink w:anchor="page24">
              <w:r>
                <w:rPr>
                  <w:rFonts w:ascii="Arial" w:cs="Arial" w:eastAsia="Arial" w:hAnsi="Arial"/>
                  <w:sz w:val="16"/>
                  <w:szCs w:val="16"/>
                  <w:color w:val="0000FF"/>
                </w:rPr>
                <w:t>22</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520"/>
        </w:trPr>
        <w:tc>
          <w:tcPr>
            <w:tcW w:w="840" w:type="dxa"/>
            <w:vAlign w:val="bottom"/>
            <w:gridSpan w:val="4"/>
          </w:tcPr>
          <w:p>
            <w:pPr>
              <w:spacing w:after="0"/>
              <w:rPr>
                <w:rFonts w:ascii="Arial" w:cs="Arial" w:eastAsia="Arial" w:hAnsi="Arial"/>
                <w:sz w:val="16"/>
                <w:szCs w:val="16"/>
                <w:b w:val="1"/>
                <w:bCs w:val="1"/>
                <w:color w:val="0000FF"/>
                <w:w w:val="99"/>
              </w:rPr>
            </w:pPr>
            <w:hyperlink w:anchor="page24">
              <w:r>
                <w:rPr>
                  <w:rFonts w:ascii="Arial" w:cs="Arial" w:eastAsia="Arial" w:hAnsi="Arial"/>
                  <w:sz w:val="16"/>
                  <w:szCs w:val="16"/>
                  <w:b w:val="1"/>
                  <w:bCs w:val="1"/>
                  <w:color w:val="0000FF"/>
                  <w:w w:val="99"/>
                </w:rPr>
                <w:t>Signatures</w:t>
              </w:r>
            </w:hyperlink>
          </w:p>
        </w:tc>
        <w:tc>
          <w:tcPr>
            <w:tcW w:w="7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gridSpan w:val="2"/>
          </w:tcPr>
          <w:p>
            <w:pPr>
              <w:jc w:val="center"/>
              <w:ind w:right="100"/>
              <w:spacing w:after="0"/>
              <w:rPr>
                <w:rFonts w:ascii="Arial" w:cs="Arial" w:eastAsia="Arial" w:hAnsi="Arial"/>
                <w:sz w:val="16"/>
                <w:szCs w:val="16"/>
                <w:color w:val="0000FF"/>
                <w:w w:val="78"/>
              </w:rPr>
            </w:pPr>
            <w:hyperlink w:anchor="page24">
              <w:r>
                <w:rPr>
                  <w:rFonts w:ascii="Arial" w:cs="Arial" w:eastAsia="Arial" w:hAnsi="Arial"/>
                  <w:sz w:val="16"/>
                  <w:szCs w:val="16"/>
                  <w:color w:val="0000FF"/>
                  <w:w w:val="78"/>
                </w:rPr>
                <w:t>22</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9179"/>
          </w:cols>
          <w:pgMar w:left="1280" w:top="738" w:right="1440"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Auction Rate Securities</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ASC</w:t>
            </w:r>
          </w:p>
        </w:tc>
        <w:tc>
          <w:tcPr>
            <w:tcW w:w="9680" w:type="dxa"/>
            <w:vAlign w:val="bottom"/>
          </w:tcPr>
          <w:p>
            <w:pPr>
              <w:ind w:left="520"/>
              <w:spacing w:after="0"/>
              <w:rPr>
                <w:sz w:val="20"/>
                <w:szCs w:val="20"/>
                <w:color w:val="auto"/>
              </w:rPr>
            </w:pPr>
            <w:r>
              <w:rPr>
                <w:rFonts w:ascii="Arial" w:cs="Arial" w:eastAsia="Arial" w:hAnsi="Arial"/>
                <w:sz w:val="16"/>
                <w:szCs w:val="16"/>
                <w:color w:val="auto"/>
              </w:rPr>
              <w:t>Accounting Standards Codification</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Average Sales Price</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ASU</w:t>
            </w:r>
          </w:p>
        </w:tc>
        <w:tc>
          <w:tcPr>
            <w:tcW w:w="9680" w:type="dxa"/>
            <w:vAlign w:val="bottom"/>
          </w:tcPr>
          <w:p>
            <w:pPr>
              <w:ind w:left="520"/>
              <w:spacing w:after="0"/>
              <w:rPr>
                <w:sz w:val="20"/>
                <w:szCs w:val="20"/>
                <w:color w:val="auto"/>
              </w:rPr>
            </w:pPr>
            <w:r>
              <w:rPr>
                <w:rFonts w:ascii="Arial" w:cs="Arial" w:eastAsia="Arial" w:hAnsi="Arial"/>
                <w:sz w:val="16"/>
                <w:szCs w:val="16"/>
                <w:color w:val="auto"/>
              </w:rPr>
              <w:t>Accounting Standards Update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CCMF</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Charles City Manufacturing Facility</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COLI</w:t>
            </w:r>
          </w:p>
        </w:tc>
        <w:tc>
          <w:tcPr>
            <w:tcW w:w="9680" w:type="dxa"/>
            <w:vAlign w:val="bottom"/>
          </w:tcPr>
          <w:p>
            <w:pPr>
              <w:ind w:left="520"/>
              <w:spacing w:after="0"/>
              <w:rPr>
                <w:sz w:val="20"/>
                <w:szCs w:val="20"/>
                <w:color w:val="auto"/>
              </w:rPr>
            </w:pPr>
            <w:r>
              <w:rPr>
                <w:rFonts w:ascii="Arial" w:cs="Arial" w:eastAsia="Arial" w:hAnsi="Arial"/>
                <w:sz w:val="16"/>
                <w:szCs w:val="16"/>
                <w:color w:val="auto"/>
              </w:rPr>
              <w:t>Company Owned Life Insurance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Discounted Cash Flow</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EPS</w:t>
            </w:r>
          </w:p>
        </w:tc>
        <w:tc>
          <w:tcPr>
            <w:tcW w:w="9680" w:type="dxa"/>
            <w:vAlign w:val="bottom"/>
          </w:tcPr>
          <w:p>
            <w:pPr>
              <w:ind w:left="520"/>
              <w:spacing w:after="0"/>
              <w:rPr>
                <w:sz w:val="20"/>
                <w:szCs w:val="20"/>
                <w:color w:val="auto"/>
              </w:rPr>
            </w:pPr>
            <w:r>
              <w:rPr>
                <w:rFonts w:ascii="Arial" w:cs="Arial" w:eastAsia="Arial" w:hAnsi="Arial"/>
                <w:sz w:val="16"/>
                <w:szCs w:val="16"/>
                <w:color w:val="auto"/>
              </w:rPr>
              <w:t>Earnings Per Share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Financial Accounting Standards Board</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GAAP</w:t>
            </w:r>
          </w:p>
        </w:tc>
        <w:tc>
          <w:tcPr>
            <w:tcW w:w="9680" w:type="dxa"/>
            <w:vAlign w:val="bottom"/>
          </w:tcPr>
          <w:p>
            <w:pPr>
              <w:ind w:left="520"/>
              <w:spacing w:after="0"/>
              <w:rPr>
                <w:sz w:val="20"/>
                <w:szCs w:val="20"/>
                <w:color w:val="auto"/>
              </w:rPr>
            </w:pPr>
            <w:r>
              <w:rPr>
                <w:rFonts w:ascii="Arial" w:cs="Arial" w:eastAsia="Arial" w:hAnsi="Arial"/>
                <w:sz w:val="16"/>
                <w:szCs w:val="16"/>
                <w:color w:val="auto"/>
              </w:rPr>
              <w:t>Generally Accepted Accounting Principles</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Internal Revenue Service</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LIBOR</w:t>
            </w:r>
          </w:p>
        </w:tc>
        <w:tc>
          <w:tcPr>
            <w:tcW w:w="9680" w:type="dxa"/>
            <w:vAlign w:val="bottom"/>
          </w:tcPr>
          <w:p>
            <w:pPr>
              <w:ind w:left="520"/>
              <w:spacing w:after="0"/>
              <w:rPr>
                <w:sz w:val="20"/>
                <w:szCs w:val="20"/>
                <w:color w:val="auto"/>
              </w:rPr>
            </w:pPr>
            <w:r>
              <w:rPr>
                <w:rFonts w:ascii="Arial" w:cs="Arial" w:eastAsia="Arial" w:hAnsi="Arial"/>
                <w:sz w:val="16"/>
                <w:szCs w:val="16"/>
                <w:color w:val="auto"/>
              </w:rPr>
              <w:t>London Interbank Offered Rate</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Last In, First Out</w:t>
            </w:r>
          </w:p>
        </w:tc>
      </w:tr>
      <w:tr>
        <w:trPr>
          <w:trHeight w:val="218"/>
        </w:trPr>
        <w:tc>
          <w:tcPr>
            <w:tcW w:w="1740" w:type="dxa"/>
            <w:vAlign w:val="bottom"/>
          </w:tcPr>
          <w:p>
            <w:pPr>
              <w:ind w:left="40"/>
              <w:spacing w:after="0"/>
              <w:rPr>
                <w:sz w:val="20"/>
                <w:szCs w:val="20"/>
                <w:color w:val="auto"/>
              </w:rPr>
            </w:pPr>
            <w:r>
              <w:rPr>
                <w:rFonts w:ascii="Arial" w:cs="Arial" w:eastAsia="Arial" w:hAnsi="Arial"/>
                <w:sz w:val="16"/>
                <w:szCs w:val="16"/>
                <w:color w:val="auto"/>
              </w:rPr>
              <w:t>Loan Agreement</w:t>
            </w:r>
          </w:p>
        </w:tc>
        <w:tc>
          <w:tcPr>
            <w:tcW w:w="9680" w:type="dxa"/>
            <w:vAlign w:val="bottom"/>
          </w:tcPr>
          <w:p>
            <w:pPr>
              <w:ind w:left="520"/>
              <w:spacing w:after="0"/>
              <w:rPr>
                <w:sz w:val="20"/>
                <w:szCs w:val="20"/>
                <w:color w:val="auto"/>
              </w:rPr>
            </w:pPr>
            <w:r>
              <w:rPr>
                <w:rFonts w:ascii="Arial" w:cs="Arial" w:eastAsia="Arial" w:hAnsi="Arial"/>
                <w:sz w:val="16"/>
                <w:szCs w:val="16"/>
                <w:color w:val="auto"/>
              </w:rPr>
              <w:t>Loan and Security Agreement dated October 13, 2009 by and between Winnebago Industries, Inc. and Wells Fargo Bank,</w:t>
            </w:r>
          </w:p>
        </w:tc>
      </w:tr>
      <w:tr>
        <w:trPr>
          <w:trHeight w:val="204"/>
        </w:trPr>
        <w:tc>
          <w:tcPr>
            <w:tcW w:w="1740" w:type="dxa"/>
            <w:vAlign w:val="bottom"/>
          </w:tcPr>
          <w:p>
            <w:pPr>
              <w:spacing w:after="0"/>
              <w:rPr>
                <w:sz w:val="17"/>
                <w:szCs w:val="17"/>
                <w:color w:val="auto"/>
              </w:rPr>
            </w:pPr>
          </w:p>
        </w:tc>
        <w:tc>
          <w:tcPr>
            <w:tcW w:w="9680" w:type="dxa"/>
            <w:vAlign w:val="bottom"/>
          </w:tcPr>
          <w:p>
            <w:pPr>
              <w:ind w:left="520"/>
              <w:spacing w:after="0"/>
              <w:rPr>
                <w:sz w:val="20"/>
                <w:szCs w:val="20"/>
                <w:color w:val="auto"/>
              </w:rPr>
            </w:pPr>
            <w:r>
              <w:rPr>
                <w:rFonts w:ascii="Arial" w:cs="Arial" w:eastAsia="Arial" w:hAnsi="Arial"/>
                <w:sz w:val="16"/>
                <w:szCs w:val="16"/>
                <w:color w:val="auto"/>
              </w:rPr>
              <w:t>National Association, as successor to Burdale Capital Finance, Inc., as Agent</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New York Stock Exchange</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PDM</w:t>
            </w:r>
          </w:p>
        </w:tc>
        <w:tc>
          <w:tcPr>
            <w:tcW w:w="9680" w:type="dxa"/>
            <w:vAlign w:val="bottom"/>
          </w:tcPr>
          <w:p>
            <w:pPr>
              <w:ind w:left="520"/>
              <w:spacing w:after="0"/>
              <w:rPr>
                <w:sz w:val="20"/>
                <w:szCs w:val="20"/>
                <w:color w:val="auto"/>
              </w:rPr>
            </w:pPr>
            <w:r>
              <w:rPr>
                <w:rFonts w:ascii="Arial" w:cs="Arial" w:eastAsia="Arial" w:hAnsi="Arial"/>
                <w:sz w:val="16"/>
                <w:szCs w:val="16"/>
                <w:color w:val="auto"/>
              </w:rPr>
              <w:t>PDM Distribution Services, Inc.</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Recreation Vehicle</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RVIA</w:t>
            </w:r>
          </w:p>
        </w:tc>
        <w:tc>
          <w:tcPr>
            <w:tcW w:w="9680" w:type="dxa"/>
            <w:vAlign w:val="bottom"/>
          </w:tcPr>
          <w:p>
            <w:pPr>
              <w:ind w:left="520"/>
              <w:spacing w:after="0"/>
              <w:rPr>
                <w:sz w:val="20"/>
                <w:szCs w:val="20"/>
                <w:color w:val="auto"/>
              </w:rPr>
            </w:pPr>
            <w:r>
              <w:rPr>
                <w:rFonts w:ascii="Arial" w:cs="Arial" w:eastAsia="Arial" w:hAnsi="Arial"/>
                <w:sz w:val="16"/>
                <w:szCs w:val="16"/>
                <w:color w:val="auto"/>
              </w:rPr>
              <w:t>Recreation Vehicle Industry Association</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U.S. Securities and Exchange Commission</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SERP</w:t>
            </w:r>
          </w:p>
        </w:tc>
        <w:tc>
          <w:tcPr>
            <w:tcW w:w="9680" w:type="dxa"/>
            <w:vAlign w:val="bottom"/>
          </w:tcPr>
          <w:p>
            <w:pPr>
              <w:ind w:left="520"/>
              <w:spacing w:after="0"/>
              <w:rPr>
                <w:sz w:val="20"/>
                <w:szCs w:val="20"/>
                <w:color w:val="auto"/>
              </w:rPr>
            </w:pPr>
            <w:r>
              <w:rPr>
                <w:rFonts w:ascii="Arial" w:cs="Arial" w:eastAsia="Arial" w:hAnsi="Arial"/>
                <w:sz w:val="16"/>
                <w:szCs w:val="16"/>
                <w:color w:val="auto"/>
              </w:rPr>
              <w:t>Supplemental Executive Retirement Plan</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Statistical Surveys, Inc.</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680" w:type="dxa"/>
            <w:vAlign w:val="bottom"/>
          </w:tcPr>
          <w:p>
            <w:pPr>
              <w:ind w:left="520"/>
              <w:spacing w:after="0"/>
              <w:rPr>
                <w:sz w:val="20"/>
                <w:szCs w:val="20"/>
                <w:color w:val="auto"/>
              </w:rPr>
            </w:pPr>
            <w:r>
              <w:rPr>
                <w:rFonts w:ascii="Arial" w:cs="Arial" w:eastAsia="Arial" w:hAnsi="Arial"/>
                <w:sz w:val="16"/>
                <w:szCs w:val="16"/>
                <w:color w:val="auto"/>
              </w:rPr>
              <w:t>SunnyBrook RV, Inc.</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Winnebago of Indiana, LLC, a wholly-owned subsidiary of Winnebago Industries, Inc.</w:t>
            </w: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U.S.</w:t>
            </w:r>
          </w:p>
        </w:tc>
        <w:tc>
          <w:tcPr>
            <w:tcW w:w="9680" w:type="dxa"/>
            <w:vAlign w:val="bottom"/>
          </w:tcPr>
          <w:p>
            <w:pPr>
              <w:ind w:left="520"/>
              <w:spacing w:after="0"/>
              <w:rPr>
                <w:sz w:val="20"/>
                <w:szCs w:val="20"/>
                <w:color w:val="auto"/>
              </w:rPr>
            </w:pPr>
            <w:r>
              <w:rPr>
                <w:rFonts w:ascii="Arial" w:cs="Arial" w:eastAsia="Arial" w:hAnsi="Arial"/>
                <w:sz w:val="16"/>
                <w:szCs w:val="16"/>
                <w:color w:val="auto"/>
              </w:rPr>
              <w:t>United States of America</w:t>
            </w: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eXtensible Business Reporting Language</w:t>
            </w:r>
          </w:p>
        </w:tc>
      </w:tr>
      <w:tr>
        <w:trPr>
          <w:trHeight w:val="629"/>
        </w:trPr>
        <w:tc>
          <w:tcPr>
            <w:tcW w:w="1740" w:type="dxa"/>
            <w:vAlign w:val="bottom"/>
          </w:tcPr>
          <w:p>
            <w:pPr>
              <w:spacing w:after="0"/>
              <w:rPr>
                <w:sz w:val="24"/>
                <w:szCs w:val="24"/>
                <w:color w:val="auto"/>
              </w:rPr>
            </w:pPr>
          </w:p>
        </w:tc>
        <w:tc>
          <w:tcPr>
            <w:tcW w:w="9680" w:type="dxa"/>
            <w:vAlign w:val="bottom"/>
          </w:tcPr>
          <w:p>
            <w:pPr>
              <w:ind w:left="392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26,</w:t>
            </w: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28,</w:t>
            </w: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26,</w:t>
            </w:r>
          </w:p>
        </w:tc>
        <w:tc>
          <w:tcPr>
            <w:tcW w:w="260" w:type="dxa"/>
            <w:vAlign w:val="bottom"/>
          </w:tcPr>
          <w:p>
            <w:pPr>
              <w:spacing w:after="0"/>
              <w:rPr>
                <w:sz w:val="15"/>
                <w:szCs w:val="15"/>
                <w:color w:val="auto"/>
              </w:rPr>
            </w:pPr>
          </w:p>
        </w:tc>
        <w:tc>
          <w:tcPr>
            <w:tcW w:w="1100" w:type="dxa"/>
            <w:vAlign w:val="bottom"/>
          </w:tcPr>
          <w:p>
            <w:pPr>
              <w:jc w:val="right"/>
              <w:ind w:right="360"/>
              <w:spacing w:after="0"/>
              <w:rPr>
                <w:sz w:val="20"/>
                <w:szCs w:val="20"/>
                <w:color w:val="auto"/>
              </w:rPr>
            </w:pPr>
            <w:r>
              <w:rPr>
                <w:rFonts w:ascii="Arial" w:cs="Arial" w:eastAsia="Arial" w:hAnsi="Arial"/>
                <w:sz w:val="14"/>
                <w:szCs w:val="14"/>
                <w:b w:val="1"/>
                <w:bCs w:val="1"/>
                <w:color w:val="auto"/>
              </w:rPr>
              <w:t>May 28,</w:t>
            </w: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2011</w:t>
            </w:r>
          </w:p>
        </w:tc>
      </w:tr>
      <w:tr>
        <w:trPr>
          <w:trHeight w:val="25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155,709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135,568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419,146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365,872</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143,638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126,865</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391,733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334,646</w:t>
            </w:r>
          </w:p>
        </w:tc>
      </w:tr>
      <w:tr>
        <w:trPr>
          <w:trHeight w:val="25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12,071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8,703</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27,413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31,226</w:t>
            </w:r>
          </w:p>
        </w:tc>
      </w:tr>
      <w:tr>
        <w:trPr>
          <w:trHeight w:val="270"/>
        </w:trPr>
        <w:tc>
          <w:tcPr>
            <w:tcW w:w="5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4,331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3,608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12,485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10,129</w:t>
            </w:r>
          </w:p>
        </w:tc>
      </w:tr>
      <w:tr>
        <w:trPr>
          <w:trHeight w:val="280"/>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3,952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11,938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11,623</w:t>
            </w:r>
          </w:p>
        </w:tc>
      </w:tr>
      <w:tr>
        <w:trPr>
          <w:trHeight w:val="264"/>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Assets held for sale impairment and (gain), net</w:t>
            </w:r>
          </w:p>
        </w:tc>
        <w:tc>
          <w:tcPr>
            <w:tcW w:w="26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605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(39)</w:t>
            </w:r>
          </w:p>
        </w:tc>
      </w:tr>
      <w:tr>
        <w:trPr>
          <w:trHeight w:val="250"/>
        </w:trPr>
        <w:tc>
          <w:tcPr>
            <w:tcW w:w="56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8,544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8,165</w:t>
            </w:r>
          </w:p>
        </w:tc>
        <w:tc>
          <w:tcPr>
            <w:tcW w:w="2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24,423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21,713</w:t>
            </w:r>
          </w:p>
        </w:tc>
      </w:tr>
      <w:tr>
        <w:trPr>
          <w:trHeight w:val="270"/>
        </w:trPr>
        <w:tc>
          <w:tcPr>
            <w:tcW w:w="5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538</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2,990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9,513</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76</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550</w:t>
            </w:r>
          </w:p>
        </w:tc>
      </w:tr>
      <w:tr>
        <w:trPr>
          <w:trHeight w:val="25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3,929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614</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10,063</w:t>
            </w:r>
          </w:p>
        </w:tc>
      </w:tr>
      <w:tr>
        <w:trPr>
          <w:trHeight w:val="270"/>
        </w:trPr>
        <w:tc>
          <w:tcPr>
            <w:tcW w:w="5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(581)</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1,767</w:t>
            </w:r>
          </w:p>
        </w:tc>
      </w:tr>
      <w:tr>
        <w:trPr>
          <w:trHeight w:val="280"/>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3,941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1,195</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4,064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8,296</w:t>
            </w:r>
          </w:p>
        </w:tc>
      </w:tr>
      <w:tr>
        <w:trPr>
          <w:trHeight w:val="254"/>
        </w:trPr>
        <w:tc>
          <w:tcPr>
            <w:tcW w:w="5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3"/>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0.28</w:t>
            </w: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0.28</w:t>
            </w:r>
          </w:p>
        </w:tc>
      </w:tr>
      <w:tr>
        <w:trPr>
          <w:trHeight w:val="254"/>
        </w:trPr>
        <w:tc>
          <w:tcPr>
            <w:tcW w:w="5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29,225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29,124</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29,171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29,118</w:t>
            </w:r>
          </w:p>
        </w:tc>
      </w:tr>
      <w:tr>
        <w:trPr>
          <w:trHeight w:val="251"/>
        </w:trPr>
        <w:tc>
          <w:tcPr>
            <w:tcW w:w="562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29,263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29,152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29,243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29,135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26,</w:t>
            </w:r>
          </w:p>
        </w:tc>
        <w:tc>
          <w:tcPr>
            <w:tcW w:w="280" w:type="dxa"/>
            <w:vAlign w:val="bottom"/>
          </w:tcPr>
          <w:p>
            <w:pPr>
              <w:spacing w:after="0"/>
              <w:rPr>
                <w:sz w:val="14"/>
                <w:szCs w:val="14"/>
                <w:color w:val="auto"/>
              </w:rPr>
            </w:pPr>
          </w:p>
        </w:tc>
        <w:tc>
          <w:tcPr>
            <w:tcW w:w="1380" w:type="dxa"/>
            <w:vAlign w:val="bottom"/>
          </w:tcPr>
          <w:p>
            <w:pPr>
              <w:jc w:val="right"/>
              <w:ind w:right="399"/>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2011</w:t>
            </w: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80,831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less allowance for doubtful accounts ($86 and $76, respectively)</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18,476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19,981</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69,604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69,165</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4,289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4,227</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1,525</w:t>
            </w:r>
          </w:p>
        </w:tc>
      </w:tr>
      <w:tr>
        <w:trPr>
          <w:trHeight w:val="273"/>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649</w:t>
            </w:r>
          </w:p>
        </w:tc>
      </w:tr>
      <w:tr>
        <w:trPr>
          <w:trHeight w:val="247"/>
        </w:trPr>
        <w:tc>
          <w:tcPr>
            <w:tcW w:w="798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21"/>
                <w:szCs w:val="21"/>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175,727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164,854</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20,382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22,589</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Assets held for sale</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600</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9,091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10,627</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22,981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23,669</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1,228</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Amortizable intangible assets</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720</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13,254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15,640</w:t>
            </w:r>
          </w:p>
        </w:tc>
      </w:tr>
      <w:tr>
        <w:trPr>
          <w:trHeight w:val="280"/>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243,924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239,927</w:t>
            </w:r>
          </w:p>
        </w:tc>
      </w:tr>
      <w:tr>
        <w:trPr>
          <w:trHeight w:val="254"/>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24,635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21,610</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104</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13,370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10,841</w:t>
            </w:r>
          </w:p>
        </w:tc>
      </w:tr>
      <w:tr>
        <w:trPr>
          <w:trHeight w:val="260"/>
        </w:trPr>
        <w:tc>
          <w:tcPr>
            <w:tcW w:w="7980" w:type="dxa"/>
            <w:vAlign w:val="bottom"/>
            <w:gridSpan w:val="2"/>
          </w:tcPr>
          <w:p>
            <w:pPr>
              <w:ind w:left="420"/>
              <w:spacing w:after="0"/>
              <w:rPr>
                <w:sz w:val="20"/>
                <w:szCs w:val="20"/>
                <w:color w:val="auto"/>
              </w:rPr>
            </w:pPr>
            <w:r>
              <w:rPr>
                <w:rFonts w:ascii="Arial" w:cs="Arial" w:eastAsia="Arial" w:hAnsi="Arial"/>
                <w:sz w:val="16"/>
                <w:szCs w:val="16"/>
                <w:color w:val="auto"/>
              </w:rPr>
              <w:t>Product warranties</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6,595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7,335</w:t>
            </w: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Self-insurance</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4,243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3,203</w:t>
            </w:r>
          </w:p>
        </w:tc>
      </w:tr>
      <w:tr>
        <w:trPr>
          <w:trHeight w:val="260"/>
        </w:trPr>
        <w:tc>
          <w:tcPr>
            <w:tcW w:w="7980" w:type="dxa"/>
            <w:vAlign w:val="bottom"/>
            <w:gridSpan w:val="2"/>
          </w:tcPr>
          <w:p>
            <w:pPr>
              <w:ind w:left="420"/>
              <w:spacing w:after="0"/>
              <w:rPr>
                <w:sz w:val="20"/>
                <w:szCs w:val="20"/>
                <w:color w:val="auto"/>
              </w:rPr>
            </w:pPr>
            <w:r>
              <w:rPr>
                <w:rFonts w:ascii="Arial" w:cs="Arial" w:eastAsia="Arial" w:hAnsi="Arial"/>
                <w:sz w:val="16"/>
                <w:szCs w:val="16"/>
                <w:color w:val="auto"/>
              </w:rPr>
              <w:t>Accrued loss on repurchases</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1,174</w:t>
            </w:r>
          </w:p>
        </w:tc>
      </w:tr>
      <w:tr>
        <w:trPr>
          <w:trHeight w:val="280"/>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Promotional</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2,320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2,177</w:t>
            </w:r>
          </w:p>
        </w:tc>
      </w:tr>
      <w:tr>
        <w:trPr>
          <w:trHeight w:val="264"/>
        </w:trPr>
        <w:tc>
          <w:tcPr>
            <w:tcW w:w="798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5,023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4,874</w:t>
            </w:r>
          </w:p>
        </w:tc>
      </w:tr>
      <w:tr>
        <w:trPr>
          <w:trHeight w:val="257"/>
        </w:trPr>
        <w:tc>
          <w:tcPr>
            <w:tcW w:w="7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57,048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51,318</w:t>
            </w:r>
          </w:p>
        </w:tc>
      </w:tr>
      <w:tr>
        <w:trPr>
          <w:trHeight w:val="254"/>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Long-term liabilities:</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4,853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5,387</w:t>
            </w:r>
          </w:p>
        </w:tc>
      </w:tr>
      <w:tr>
        <w:trPr>
          <w:trHeight w:val="264"/>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67,158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74,492</w:t>
            </w:r>
          </w:p>
        </w:tc>
      </w:tr>
      <w:tr>
        <w:trPr>
          <w:trHeight w:val="257"/>
        </w:trPr>
        <w:tc>
          <w:tcPr>
            <w:tcW w:w="7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72,011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79,879</w:t>
            </w:r>
          </w:p>
        </w:tc>
      </w:tr>
      <w:tr>
        <w:trPr>
          <w:trHeight w:val="24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Contingent liabilities and commitments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 authorized 60,000 shares, issued 51,776 shares</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25,888</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28,600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30,131</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22"/>
                <w:szCs w:val="22"/>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436,582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432,518</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(454)</w:t>
            </w:r>
          </w:p>
        </w:tc>
      </w:tr>
      <w:tr>
        <w:trPr>
          <w:trHeight w:val="264"/>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(22,541 and 22,641 shares, respectively)</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(377,411)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(379,353)</w:t>
            </w:r>
          </w:p>
        </w:tc>
      </w:tr>
      <w:tr>
        <w:trPr>
          <w:trHeight w:val="250"/>
        </w:trPr>
        <w:tc>
          <w:tcPr>
            <w:tcW w:w="7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114,865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108,730</w:t>
            </w:r>
          </w:p>
        </w:tc>
      </w:tr>
      <w:tr>
        <w:trPr>
          <w:trHeight w:val="24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243,924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239,927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26,</w:t>
            </w:r>
          </w:p>
        </w:tc>
        <w:tc>
          <w:tcPr>
            <w:tcW w:w="340" w:type="dxa"/>
            <w:vAlign w:val="bottom"/>
          </w:tcPr>
          <w:p>
            <w:pPr>
              <w:spacing w:after="0"/>
              <w:rPr>
                <w:sz w:val="15"/>
                <w:szCs w:val="15"/>
                <w:color w:val="auto"/>
              </w:rPr>
            </w:pPr>
          </w:p>
        </w:tc>
        <w:tc>
          <w:tcPr>
            <w:tcW w:w="1320" w:type="dxa"/>
            <w:vAlign w:val="bottom"/>
          </w:tcPr>
          <w:p>
            <w:pPr>
              <w:jc w:val="right"/>
              <w:ind w:right="519"/>
              <w:spacing w:after="0"/>
              <w:rPr>
                <w:sz w:val="20"/>
                <w:szCs w:val="20"/>
                <w:color w:val="auto"/>
              </w:rPr>
            </w:pPr>
            <w:r>
              <w:rPr>
                <w:rFonts w:ascii="Arial" w:cs="Arial" w:eastAsia="Arial" w:hAnsi="Arial"/>
                <w:sz w:val="14"/>
                <w:szCs w:val="14"/>
                <w:b w:val="1"/>
                <w:bCs w:val="1"/>
                <w:color w:val="auto"/>
              </w:rPr>
              <w:t>May 28,</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2011</w:t>
            </w: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4,064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8,296</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4,193</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1,193</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22"/>
                <w:szCs w:val="2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605</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1,001</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Deferred income taxes including valuation (provision) allowance</w:t>
            </w:r>
          </w:p>
        </w:tc>
        <w:tc>
          <w:tcPr>
            <w:tcW w:w="340" w:type="dxa"/>
            <w:vAlign w:val="bottom"/>
          </w:tcPr>
          <w:p>
            <w:pPr>
              <w:spacing w:after="0"/>
              <w:rPr>
                <w:sz w:val="22"/>
                <w:szCs w:val="22"/>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874</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1,034</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22"/>
                <w:szCs w:val="22"/>
                <w:color w:val="auto"/>
              </w:rPr>
            </w:pP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(617)</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Loss (gain) on sale or disposal of property</w:t>
            </w:r>
          </w:p>
        </w:tc>
        <w:tc>
          <w:tcPr>
            <w:tcW w:w="340" w:type="dxa"/>
            <w:vAlign w:val="bottom"/>
          </w:tcPr>
          <w:p>
            <w:pPr>
              <w:spacing w:after="0"/>
              <w:rPr>
                <w:sz w:val="22"/>
                <w:szCs w:val="22"/>
                <w:color w:val="auto"/>
              </w:rPr>
            </w:pP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(867)</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(372)</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2"/>
                <w:szCs w:val="22"/>
                <w:color w:val="auto"/>
              </w:rPr>
            </w:pP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90</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(30,091)</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and prepaid assets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1,893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2,609</w:t>
            </w:r>
          </w:p>
        </w:tc>
      </w:tr>
      <w:tr>
        <w:trPr>
          <w:trHeight w:val="260"/>
        </w:trPr>
        <w:tc>
          <w:tcPr>
            <w:tcW w:w="7980" w:type="dxa"/>
            <w:vAlign w:val="bottom"/>
            <w:gridSpan w:val="2"/>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tcPr>
          <w:p>
            <w:pPr>
              <w:spacing w:after="0"/>
              <w:rPr>
                <w:sz w:val="22"/>
                <w:szCs w:val="22"/>
                <w:color w:val="auto"/>
              </w:rPr>
            </w:pP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(747)</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4,950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1,523</w:t>
            </w:r>
          </w:p>
        </w:tc>
      </w:tr>
      <w:tr>
        <w:trPr>
          <w:trHeight w:val="264"/>
        </w:trPr>
        <w:tc>
          <w:tcPr>
            <w:tcW w:w="7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(2,792)</w:t>
            </w:r>
          </w:p>
        </w:tc>
      </w:tr>
      <w:tr>
        <w:trPr>
          <w:trHeight w:val="25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11,749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(14,063)</w:t>
            </w:r>
          </w:p>
        </w:tc>
      </w:tr>
      <w:tr>
        <w:trPr>
          <w:trHeight w:val="270"/>
        </w:trPr>
        <w:tc>
          <w:tcPr>
            <w:tcW w:w="7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340" w:type="dxa"/>
            <w:vAlign w:val="bottom"/>
          </w:tcPr>
          <w:p>
            <w:pPr>
              <w:spacing w:after="0"/>
              <w:rPr>
                <w:sz w:val="22"/>
                <w:szCs w:val="22"/>
                <w:color w:val="auto"/>
              </w:rPr>
            </w:pP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6,450</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1,404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659</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2"/>
                <w:szCs w:val="22"/>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(1,590)</w:t>
            </w: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4,009</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340" w:type="dxa"/>
            <w:vAlign w:val="bottom"/>
          </w:tcPr>
          <w:p>
            <w:pPr>
              <w:spacing w:after="0"/>
              <w:rPr>
                <w:sz w:val="22"/>
                <w:szCs w:val="2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(4,694)</w:t>
            </w:r>
          </w:p>
        </w:tc>
      </w:tr>
      <w:tr>
        <w:trPr>
          <w:trHeight w:val="273"/>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(410)</w:t>
            </w:r>
          </w:p>
        </w:tc>
      </w:tr>
      <w:tr>
        <w:trPr>
          <w:trHeight w:val="250"/>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4,424</w:t>
            </w:r>
          </w:p>
        </w:tc>
      </w:tr>
      <w:tr>
        <w:trPr>
          <w:trHeight w:val="270"/>
        </w:trPr>
        <w:tc>
          <w:tcPr>
            <w:tcW w:w="7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for purchases of common stock</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w:t>
            </w:r>
          </w:p>
        </w:tc>
      </w:tr>
      <w:tr>
        <w:trPr>
          <w:trHeight w:val="26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2"/>
                <w:szCs w:val="2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83</w:t>
            </w:r>
          </w:p>
        </w:tc>
      </w:tr>
      <w:tr>
        <w:trPr>
          <w:trHeight w:val="273"/>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184</w:t>
            </w:r>
          </w:p>
        </w:tc>
      </w:tr>
      <w:tr>
        <w:trPr>
          <w:trHeight w:val="250"/>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178</w:t>
            </w:r>
          </w:p>
        </w:tc>
      </w:tr>
      <w:tr>
        <w:trPr>
          <w:trHeight w:val="270"/>
        </w:trPr>
        <w:tc>
          <w:tcPr>
            <w:tcW w:w="7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22"/>
                <w:szCs w:val="22"/>
                <w:color w:val="auto"/>
              </w:rPr>
            </w:pPr>
          </w:p>
        </w:tc>
        <w:tc>
          <w:tcPr>
            <w:tcW w:w="1340" w:type="dxa"/>
            <w:vAlign w:val="bottom"/>
          </w:tcPr>
          <w:p>
            <w:pPr>
              <w:jc w:val="right"/>
              <w:ind w:right="260"/>
              <w:spacing w:after="0"/>
              <w:rPr>
                <w:sz w:val="20"/>
                <w:szCs w:val="20"/>
                <w:color w:val="auto"/>
              </w:rPr>
            </w:pPr>
            <w:r>
              <w:rPr>
                <w:rFonts w:ascii="Arial" w:cs="Arial" w:eastAsia="Arial" w:hAnsi="Arial"/>
                <w:sz w:val="16"/>
                <w:szCs w:val="16"/>
                <w:color w:val="auto"/>
              </w:rPr>
              <w:t>11,524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(9,461)</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69,307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74,691</w:t>
            </w:r>
          </w:p>
        </w:tc>
      </w:tr>
      <w:tr>
        <w:trPr>
          <w:trHeight w:val="280"/>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80,831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65,230</w:t>
            </w:r>
          </w:p>
        </w:tc>
      </w:tr>
      <w:tr>
        <w:trPr>
          <w:trHeight w:val="254"/>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Supplemental cash flow disclosure:</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63"/>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1,638</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41"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1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 We operate on a 52-53 week fiscal year ending on the last Saturday in August.</w:t>
      </w:r>
    </w:p>
    <w:p>
      <w:pPr>
        <w:spacing w:after="0" w:line="17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May 26, 2012 and the consolidated results of operations for the third quarters and first nine months of Fiscal 2012 and 2011, and consolidated cash flows for the first nine months of Fiscal 2012 and 2011. The consolidated statement of operations for the first nine months of Fiscal 2012 is not necessarily indicative of the results to be expected for the full year. The consolidated balance sheet data as of August 27, 2011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27, 2011.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On May 12, 2011, the FASB issued ASU 2011-04,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requires measurement uncertainty disclosure in the form of a sensitivity analysis of unobservable inputs to reasonable alternative amounts for all Level 3 recurring fair value measurements. ASU 2011-04 became effective for interim and annual periods beginning on or after December 15, 2011. The Company adopted this guidance in the third quarter of our Fiscal 2012. The adoption of this guidance required additional disclosures, but did not have any impact on our consolidated results of operations, financial position, or cash flows.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On June 16,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ASU 2011-05 is effective for fiscal years beginning after December 15, 2011 (our Fiscal 2013). We do not believe that this will have a significant impact on our consolidated financial statements.</w:t>
      </w:r>
    </w:p>
    <w:p>
      <w:pPr>
        <w:spacing w:after="0" w:line="14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is effective for fiscal years beginning after December 15, 2011 (our Fiscal 2013). We do not believe that this will have a significant impact on our consolidated financial statements.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Acquisition</w:t>
      </w:r>
    </w:p>
    <w:p>
      <w:pPr>
        <w:spacing w:after="0" w:line="21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On December 29, 2010 we purchased, through Towables, substantially all of the assets of SunnyBrook, a manufacturer of travel trailer and fifth wheel RVs. The aggregate consideration paid was $4.7 million in cash, net of cash acquired, including the repayment of $3.3 million of SunnyBrook commercial and shareholder debt on the closing date. The assets acquired included inventory, equipment and other tangible and intangible property and are being used in connection with the operation of manufacturing towable recreation vehicles. Also on December 29, 2010, we entered into a five year operating lease agreement for the SunnyBrook facilities. The operations of Towables are included in our consolidated operating results from the date of its acquisition. Towables has continued to manufacture products under the SunnyBrook brands. In addition, in the first quarter of Fiscal 2012, Towables began diversifying its product line by including Winnebago brand trailer and fifth wheel products. The primary reason for the acquisition was diversification outside of the motorized market while utilizing the Winnebago brand strength in the towable market allowing for the potential of revenue and earnings growth.</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approximate fair value of the net assets acquired at the date of the closing: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December 29, 2010</w:t>
            </w:r>
          </w:p>
        </w:tc>
      </w:tr>
      <w:tr>
        <w:trPr>
          <w:trHeight w:val="256"/>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5,773</w:t>
            </w:r>
          </w:p>
        </w:tc>
      </w:tr>
      <w:tr>
        <w:trPr>
          <w:trHeight w:val="260"/>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2"/>
                <w:szCs w:val="22"/>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337</w:t>
            </w:r>
          </w:p>
        </w:tc>
      </w:tr>
      <w:tr>
        <w:trPr>
          <w:trHeight w:val="280"/>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1,228</w:t>
            </w:r>
          </w:p>
        </w:tc>
      </w:tr>
      <w:tr>
        <w:trPr>
          <w:trHeight w:val="260"/>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220" w:type="dxa"/>
            <w:vAlign w:val="bottom"/>
          </w:tcPr>
          <w:p>
            <w:pPr>
              <w:spacing w:after="0"/>
              <w:rPr>
                <w:sz w:val="22"/>
                <w:szCs w:val="22"/>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535</w:t>
            </w:r>
          </w:p>
        </w:tc>
      </w:tr>
      <w:tr>
        <w:trPr>
          <w:trHeight w:val="280"/>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196</w:t>
            </w:r>
          </w:p>
        </w:tc>
      </w:tr>
      <w:tr>
        <w:trPr>
          <w:trHeight w:val="260"/>
        </w:trPr>
        <w:tc>
          <w:tcPr>
            <w:tcW w:w="9520" w:type="dxa"/>
            <w:vAlign w:val="bottom"/>
            <w:gridSpan w:val="2"/>
          </w:tcPr>
          <w:p>
            <w:pPr>
              <w:ind w:left="40"/>
              <w:spacing w:after="0"/>
              <w:rPr>
                <w:sz w:val="20"/>
                <w:szCs w:val="20"/>
                <w:color w:val="auto"/>
              </w:rPr>
            </w:pPr>
            <w:r>
              <w:rPr>
                <w:rFonts w:ascii="Arial" w:cs="Arial" w:eastAsia="Arial" w:hAnsi="Arial"/>
                <w:sz w:val="16"/>
                <w:szCs w:val="16"/>
                <w:color w:val="auto"/>
              </w:rPr>
              <w:t>Non-compete agreement</w:t>
            </w:r>
          </w:p>
        </w:tc>
        <w:tc>
          <w:tcPr>
            <w:tcW w:w="220" w:type="dxa"/>
            <w:vAlign w:val="bottom"/>
          </w:tcPr>
          <w:p>
            <w:pPr>
              <w:spacing w:after="0"/>
              <w:rPr>
                <w:sz w:val="22"/>
                <w:szCs w:val="22"/>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40</w:t>
            </w:r>
          </w:p>
        </w:tc>
      </w:tr>
      <w:tr>
        <w:trPr>
          <w:trHeight w:val="27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(2,513)</w:t>
            </w:r>
          </w:p>
        </w:tc>
      </w:tr>
      <w:tr>
        <w:trPr>
          <w:trHeight w:val="247"/>
        </w:trPr>
        <w:tc>
          <w:tcPr>
            <w:tcW w:w="9520" w:type="dxa"/>
            <w:vAlign w:val="bottom"/>
            <w:gridSpan w:val="2"/>
          </w:tcPr>
          <w:p>
            <w:pPr>
              <w:ind w:left="260"/>
              <w:spacing w:after="0"/>
              <w:rPr>
                <w:sz w:val="20"/>
                <w:szCs w:val="20"/>
                <w:color w:val="auto"/>
              </w:rPr>
            </w:pPr>
            <w:r>
              <w:rPr>
                <w:rFonts w:ascii="Arial" w:cs="Arial" w:eastAsia="Arial" w:hAnsi="Arial"/>
                <w:sz w:val="16"/>
                <w:szCs w:val="16"/>
                <w:color w:val="auto"/>
              </w:rPr>
              <w:t>Total fair value of net assets acquired</w:t>
            </w:r>
          </w:p>
        </w:tc>
        <w:tc>
          <w:tcPr>
            <w:tcW w:w="220" w:type="dxa"/>
            <w:vAlign w:val="bottom"/>
          </w:tcPr>
          <w:p>
            <w:pPr>
              <w:spacing w:after="0"/>
              <w:rPr>
                <w:sz w:val="21"/>
                <w:szCs w:val="21"/>
                <w:color w:val="auto"/>
              </w:rPr>
            </w:pP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5,596</w:t>
            </w:r>
          </w:p>
        </w:tc>
      </w:tr>
      <w:tr>
        <w:trPr>
          <w:trHeight w:val="27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cash acquired</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(902)</w:t>
            </w:r>
          </w:p>
        </w:tc>
      </w:tr>
      <w:tr>
        <w:trPr>
          <w:trHeight w:val="240"/>
        </w:trPr>
        <w:tc>
          <w:tcPr>
            <w:tcW w:w="9520" w:type="dxa"/>
            <w:vAlign w:val="bottom"/>
            <w:gridSpan w:val="2"/>
          </w:tcPr>
          <w:p>
            <w:pPr>
              <w:ind w:left="260"/>
              <w:spacing w:after="0"/>
              <w:rPr>
                <w:sz w:val="20"/>
                <w:szCs w:val="20"/>
                <w:color w:val="auto"/>
              </w:rPr>
            </w:pPr>
            <w:r>
              <w:rPr>
                <w:rFonts w:ascii="Arial" w:cs="Arial" w:eastAsia="Arial" w:hAnsi="Arial"/>
                <w:sz w:val="16"/>
                <w:szCs w:val="16"/>
                <w:color w:val="auto"/>
              </w:rPr>
              <w:t>Total cash paid for acquisition less cash acquired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4,694</w:t>
            </w:r>
          </w:p>
        </w:tc>
      </w:tr>
      <w:tr>
        <w:trPr>
          <w:trHeight w:val="20"/>
        </w:trPr>
        <w:tc>
          <w:tcPr>
            <w:tcW w:w="9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At December 29, 2010, the amortizable intangible assets had a weighted average useful life of 9.8 years. The dealer network was valued based on the Discounted Cash Flow Method and is being amortized on a straight line basis over 10 years. The trademarks were valued based on the Relief from Royalty Method and are being amortized on a straight line basis over 10 years. The non-compete agreement is being amortized on a straight line basis over 7 years. Goodwill is not subject to amortization and is tax deductible. Pro forma financial information has not been presented due to its insignificance.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Concentration Risk</w:t>
      </w:r>
    </w:p>
    <w:p>
      <w:pPr>
        <w:spacing w:after="0" w:line="21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One dealer, FreedomRoads, LLC, accounted for 26.1% of our consolidated net revenues for the nine months ended May 26, 2012. The loss of this dealer could have a significant adverse effect on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carrying value of cash equivalents approximates fair value as maturities are less than three months. Our cash equivalents are comprised of money market funds traded in an active market with no restrictions.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and Short-Term Investments</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long-term and short-term investments are comprised of ARS. Our long-term ARS related investments (as described in Note 5) are classified as Level 3 as quoted prices were unavailable due to events described in Note 5. Due to limited market information, we utilized a DCF model to derive an estimate of fair value at May 26, 2012.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All of our short-term ARS portfolio is classified as Level 2 as they are also in an inactive market, but inputs other than quoted prices were observable and used to value the securities.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Our assets that fund deferred compensation are marketable equity securities and are measured at fair value using quoted market prices and primarily consist of equity-based mutual funds. They are classified as Level 1 as they are traded in an active market for which closing stock prices are readily available. These securities fund the Executive Share Option Plan, a deferred compensation program. The short-term portion is included in prepaid and other expenses; the long-term portion is included 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third quarter of Fiscal 2012, no impairments were recorded for non-financial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recurring basis at May 26, 2012 and August 27, 2011 according to the valuation techniques we used to determine their fair values: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gridSpan w:val="7"/>
          </w:tcPr>
          <w:p>
            <w:pPr>
              <w:jc w:val="right"/>
              <w:ind w:right="621"/>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320" w:type="dxa"/>
            <w:vAlign w:val="bottom"/>
          </w:tcPr>
          <w:p>
            <w:pPr>
              <w:jc w:val="center"/>
              <w:ind w:right="201"/>
              <w:spacing w:after="0"/>
              <w:rPr>
                <w:sz w:val="20"/>
                <w:szCs w:val="20"/>
                <w:color w:val="auto"/>
              </w:rPr>
            </w:pPr>
            <w:r>
              <w:rPr>
                <w:rFonts w:ascii="Arial" w:cs="Arial" w:eastAsia="Arial" w:hAnsi="Arial"/>
                <w:sz w:val="14"/>
                <w:szCs w:val="14"/>
                <w:b w:val="1"/>
                <w:bCs w:val="1"/>
                <w:color w:val="auto"/>
              </w:rPr>
              <w:t>Level 3</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320" w:type="dxa"/>
            <w:vAlign w:val="bottom"/>
          </w:tcPr>
          <w:p>
            <w:pPr>
              <w:jc w:val="center"/>
              <w:ind w:right="1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Markets for Identical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Observable</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May 26, 2012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 with pending redemptions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w:t>
            </w:r>
          </w:p>
        </w:tc>
        <w:tc>
          <w:tcPr>
            <w:tcW w:w="20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9,091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9,091</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7,526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7,526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Fixed income</w:t>
            </w:r>
          </w:p>
        </w:tc>
        <w:tc>
          <w:tcPr>
            <w:tcW w:w="20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18,264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9,091</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38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right"/>
              <w:ind w:right="621"/>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75"/>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320" w:type="dxa"/>
            <w:vAlign w:val="bottom"/>
          </w:tcPr>
          <w:p>
            <w:pPr>
              <w:jc w:val="center"/>
              <w:ind w:right="201"/>
              <w:spacing w:after="0"/>
              <w:rPr>
                <w:sz w:val="20"/>
                <w:szCs w:val="20"/>
                <w:color w:val="auto"/>
              </w:rPr>
            </w:pPr>
            <w:r>
              <w:rPr>
                <w:rFonts w:ascii="Arial" w:cs="Arial" w:eastAsia="Arial" w:hAnsi="Arial"/>
                <w:sz w:val="14"/>
                <w:szCs w:val="14"/>
                <w:b w:val="1"/>
                <w:bCs w:val="1"/>
                <w:color w:val="auto"/>
              </w:rPr>
              <w:t>Level 3</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320" w:type="dxa"/>
            <w:vAlign w:val="bottom"/>
          </w:tcPr>
          <w:p>
            <w:pPr>
              <w:jc w:val="center"/>
              <w:ind w:right="181"/>
              <w:spacing w:after="0"/>
              <w:rPr>
                <w:sz w:val="20"/>
                <w:szCs w:val="20"/>
                <w:color w:val="auto"/>
              </w:rPr>
            </w:pPr>
            <w:r>
              <w:rPr>
                <w:rFonts w:ascii="Arial" w:cs="Arial" w:eastAsia="Arial" w:hAnsi="Arial"/>
                <w:sz w:val="14"/>
                <w:szCs w:val="14"/>
                <w:b w:val="1"/>
                <w:bCs w:val="1"/>
                <w:color w:val="auto"/>
              </w:rPr>
              <w:t>Significant</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August 27, 2011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Identical 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Student loan ARS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10,627</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10,627</w:t>
            </w:r>
          </w:p>
        </w:tc>
      </w:tr>
      <w:tr>
        <w:trPr>
          <w:trHeight w:val="28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9,362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9,362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Fixed income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22,079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10,627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previous table, that used significant unobservable inputs (Level 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26,</w:t>
            </w:r>
          </w:p>
        </w:tc>
        <w:tc>
          <w:tcPr>
            <w:tcW w:w="4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May 28,</w:t>
            </w:r>
          </w:p>
        </w:tc>
        <w:tc>
          <w:tcPr>
            <w:tcW w:w="3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26,</w:t>
            </w:r>
          </w:p>
        </w:tc>
        <w:tc>
          <w:tcPr>
            <w:tcW w:w="300" w:type="dxa"/>
            <w:vAlign w:val="bottom"/>
          </w:tcPr>
          <w:p>
            <w:pPr>
              <w:spacing w:after="0"/>
              <w:rPr>
                <w:sz w:val="15"/>
                <w:szCs w:val="15"/>
                <w:color w:val="auto"/>
              </w:rPr>
            </w:pPr>
          </w:p>
        </w:tc>
        <w:tc>
          <w:tcPr>
            <w:tcW w:w="1220" w:type="dxa"/>
            <w:vAlign w:val="bottom"/>
          </w:tcPr>
          <w:p>
            <w:pPr>
              <w:jc w:val="right"/>
              <w:ind w:right="442"/>
              <w:spacing w:after="0"/>
              <w:rPr>
                <w:sz w:val="20"/>
                <w:szCs w:val="20"/>
                <w:color w:val="auto"/>
              </w:rPr>
            </w:pPr>
            <w:r>
              <w:rPr>
                <w:rFonts w:ascii="Arial" w:cs="Arial" w:eastAsia="Arial" w:hAnsi="Arial"/>
                <w:sz w:val="14"/>
                <w:szCs w:val="14"/>
                <w:b w:val="1"/>
                <w:bCs w:val="1"/>
                <w:color w:val="auto"/>
              </w:rPr>
              <w:t>May 28,</w:t>
            </w: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2011</w:t>
            </w:r>
          </w:p>
        </w:tc>
      </w:tr>
      <w:tr>
        <w:trPr>
          <w:trHeight w:val="256"/>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9,903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10,891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10,627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17,785</w:t>
            </w:r>
          </w:p>
        </w:tc>
      </w:tr>
      <w:tr>
        <w:trPr>
          <w:trHeight w:val="260"/>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300" w:type="dxa"/>
            <w:vAlign w:val="bottom"/>
          </w:tcPr>
          <w:p>
            <w:pPr>
              <w:spacing w:after="0"/>
              <w:rPr>
                <w:sz w:val="22"/>
                <w:szCs w:val="22"/>
                <w:color w:val="auto"/>
              </w:rPr>
            </w:pP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202"/>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(5,500)</w:t>
            </w:r>
          </w:p>
        </w:tc>
      </w:tr>
      <w:tr>
        <w:trPr>
          <w:trHeight w:val="280"/>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(174)</w:t>
            </w:r>
          </w:p>
        </w:tc>
      </w:tr>
      <w:tr>
        <w:trPr>
          <w:trHeight w:val="264"/>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300" w:type="dxa"/>
            <w:vAlign w:val="bottom"/>
          </w:tcPr>
          <w:p>
            <w:pPr>
              <w:spacing w:after="0"/>
              <w:rPr>
                <w:sz w:val="22"/>
                <w:szCs w:val="22"/>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(1,200)</w:t>
            </w:r>
          </w:p>
        </w:tc>
      </w:tr>
      <w:tr>
        <w:trPr>
          <w:trHeight w:val="240"/>
        </w:trPr>
        <w:tc>
          <w:tcPr>
            <w:tcW w:w="5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9,091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10,911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9,091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10,911</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presents quantitative information regarding unobservable inputs that were significant to the valuation of assets measured at fair value on a recurring basis using Level 3 inputs: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Range</w:t>
            </w:r>
          </w:p>
        </w:tc>
        <w:tc>
          <w:tcPr>
            <w:tcW w:w="600" w:type="dxa"/>
            <w:vAlign w:val="bottom"/>
          </w:tcPr>
          <w:p>
            <w:pPr>
              <w:spacing w:after="0"/>
              <w:rPr>
                <w:sz w:val="16"/>
                <w:szCs w:val="16"/>
                <w:color w:val="auto"/>
              </w:rPr>
            </w:pPr>
          </w:p>
        </w:tc>
      </w:tr>
      <w:tr>
        <w:trPr>
          <w:trHeight w:val="276"/>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Unobservable Input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Low</w:t>
            </w: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High</w:t>
            </w:r>
          </w:p>
        </w:tc>
      </w:tr>
      <w:tr>
        <w:trPr>
          <w:trHeight w:val="256"/>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Student Loan ARS</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3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9,091   Discounted Cash Flow</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Projected ARS Yield</w:t>
            </w:r>
          </w:p>
        </w:tc>
        <w:tc>
          <w:tcPr>
            <w:tcW w:w="110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2.04%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51"/>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Discount for lack of marketability</w:t>
            </w:r>
          </w:p>
        </w:tc>
        <w:tc>
          <w:tcPr>
            <w:tcW w:w="1100" w:type="dxa"/>
            <w:vAlign w:val="bottom"/>
          </w:tcPr>
          <w:p>
            <w:pPr>
              <w:jc w:val="right"/>
              <w:ind w:right="203"/>
              <w:spacing w:after="0"/>
              <w:rPr>
                <w:sz w:val="20"/>
                <w:szCs w:val="20"/>
                <w:color w:val="auto"/>
              </w:rPr>
            </w:pPr>
            <w:r>
              <w:rPr>
                <w:rFonts w:ascii="Arial" w:cs="Arial" w:eastAsia="Arial" w:hAnsi="Arial"/>
                <w:sz w:val="16"/>
                <w:szCs w:val="16"/>
                <w:color w:val="auto"/>
              </w:rPr>
              <w:t>2.94%</w:t>
            </w:r>
          </w:p>
        </w:tc>
        <w:tc>
          <w:tcPr>
            <w:tcW w:w="600" w:type="dxa"/>
            <w:vAlign w:val="bottom"/>
          </w:tcPr>
          <w:p>
            <w:pPr>
              <w:jc w:val="right"/>
              <w:spacing w:after="0"/>
              <w:rPr>
                <w:sz w:val="20"/>
                <w:szCs w:val="20"/>
                <w:color w:val="auto"/>
              </w:rPr>
            </w:pPr>
            <w:r>
              <w:rPr>
                <w:rFonts w:ascii="Arial" w:cs="Arial" w:eastAsia="Arial" w:hAnsi="Arial"/>
                <w:sz w:val="16"/>
                <w:szCs w:val="16"/>
                <w:color w:val="auto"/>
              </w:rPr>
              <w:t>3.55%</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Investments</w:t>
      </w:r>
    </w:p>
    <w:p>
      <w:pPr>
        <w:spacing w:after="0" w:line="198"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(loss)", a component of stockholders' equity.</w:t>
      </w:r>
    </w:p>
    <w:p>
      <w:pPr>
        <w:spacing w:after="0" w:line="165"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At May 26, 2012, we held $10.0 million (par value) of investments comprised of tax-exempt ARS, which are variable-rate debt securities and have a long-term maturity with the interest rate being reset through Dutch auctions that are typically held every 7, 28 or 35 days. Prior to February 2008, these securities traded at par and are currently callable at par at the option of the issuer. Interest is typically paid at the end of each auction period or semiannually. The ARS we hold are AAA to AA+/Aaa rated by Standard &amp; Poor's Ratings Services and Moody's Investors Service, Inc., respectively, with most collateralized by student loans guaranteed by the U.S. Government under the Federal Family Education Loan Program.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w:t>
      </w:r>
    </w:p>
    <w:p>
      <w:pPr>
        <w:sectPr>
          <w:pgSz w:w="11900" w:h="16838" w:orient="portrait"/>
          <w:cols w:equalWidth="0" w:num="1">
            <w:col w:w="11420"/>
          </w:cols>
          <w:pgMar w:left="240" w:top="14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succeed and, as a result, our ability to liquidate our investment and fully recover the par value in the near term may be limited or nonexistent. We have no reason to believe that any of the underlying issuers of our ARS are presently at risk of payment default. We have continued to receive interest payments on the ARS in accordance with their terms. We believe we will ultimately be able to liquidate our ARS related investments without significant loss primarily due to the collateral securing our ARS. However, redemption could take until final maturity of the ARS (up to 30 years) to realize the par value of our investments. Due to the changes and uncertainty in the ARS market, we believe the recovery period for these investments is likely to be longer than 12 months. On June 1, 2012 we received notice of a partial redemption on a particular ARS with payment received on June 4, 2012. As a result, of the total of $10.0 million of ARS investments, we have classified $9.7 million (par value) as long-term with the remaining amount of $250,000 classified as short-term ARS investments as of May 26, 2012.</w:t>
      </w:r>
    </w:p>
    <w:p>
      <w:pPr>
        <w:spacing w:after="0" w:line="371" w:lineRule="exact"/>
        <w:rPr>
          <w:sz w:val="20"/>
          <w:szCs w:val="20"/>
          <w:color w:val="auto"/>
        </w:rPr>
      </w:pPr>
    </w:p>
    <w:p>
      <w:pPr>
        <w:ind w:right="120"/>
        <w:spacing w:after="0" w:line="191" w:lineRule="exact"/>
        <w:rPr>
          <w:sz w:val="20"/>
          <w:szCs w:val="20"/>
          <w:color w:val="auto"/>
        </w:rPr>
      </w:pPr>
      <w:r>
        <w:rPr>
          <w:rFonts w:ascii="Arial" w:cs="Arial" w:eastAsia="Arial" w:hAnsi="Arial"/>
          <w:sz w:val="16"/>
          <w:szCs w:val="16"/>
          <w:color w:val="auto"/>
        </w:rPr>
        <w:t>At May 26, 2012, there was insufficient observable ARS market information available to determine the fair value of our long</w:t>
      </w:r>
      <w:r>
        <w:rPr>
          <w:rFonts w:ascii="MS PGothic" w:cs="MS PGothic" w:eastAsia="MS PGothic" w:hAnsi="MS PGothic"/>
          <w:sz w:val="16"/>
          <w:szCs w:val="16"/>
          <w:color w:val="auto"/>
        </w:rPr>
        <w:t>‑</w:t>
      </w:r>
      <w:r>
        <w:rPr>
          <w:rFonts w:ascii="Arial" w:cs="Arial" w:eastAsia="Arial" w:hAnsi="Arial"/>
          <w:sz w:val="16"/>
          <w:szCs w:val="16"/>
          <w:color w:val="auto"/>
        </w:rPr>
        <w:t>term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at May 26, 2012 we recorded an unrealized temporary impairment of $609,000 in accumulated other comprehensive income related to our long-term ARS investments of $9.7 million (par value).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Inventories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26,</w:t>
            </w:r>
          </w:p>
        </w:tc>
        <w:tc>
          <w:tcPr>
            <w:tcW w:w="280" w:type="dxa"/>
            <w:vAlign w:val="bottom"/>
          </w:tcPr>
          <w:p>
            <w:pPr>
              <w:spacing w:after="0"/>
              <w:rPr>
                <w:sz w:val="14"/>
                <w:szCs w:val="1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31,659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29,656</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340" w:type="dxa"/>
            <w:vAlign w:val="bottom"/>
          </w:tcPr>
          <w:p>
            <w:pPr>
              <w:spacing w:after="0"/>
              <w:rPr>
                <w:sz w:val="22"/>
                <w:szCs w:val="22"/>
                <w:color w:val="auto"/>
              </w:rPr>
            </w:pP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34,039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31,966</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36,387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39,180</w:t>
            </w:r>
          </w:p>
        </w:tc>
      </w:tr>
      <w:tr>
        <w:trPr>
          <w:trHeight w:val="247"/>
        </w:trPr>
        <w:tc>
          <w:tcPr>
            <w:tcW w:w="7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102,085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100,802</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(32,481)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(31,637)</w:t>
            </w:r>
          </w:p>
        </w:tc>
      </w:tr>
      <w:tr>
        <w:trPr>
          <w:trHeight w:val="24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69,604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69,165</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above values of inventories, before reduction for the LIFO reserve, approximates replacement cost at the respective dates. Towables inventory, which is included in the table above and is valued on a first-in, first-out basis, was $10.0 million and $6.5 million as of May 26, 2012 and August 27, 2011,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 and Assets Held for Sale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26,</w:t>
            </w:r>
          </w:p>
        </w:tc>
        <w:tc>
          <w:tcPr>
            <w:tcW w:w="280" w:type="dxa"/>
            <w:vAlign w:val="bottom"/>
          </w:tcPr>
          <w:p>
            <w:pPr>
              <w:spacing w:after="0"/>
              <w:rPr>
                <w:sz w:val="14"/>
                <w:szCs w:val="1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r>
      <w:tr>
        <w:trPr>
          <w:trHeight w:val="25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767</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Buildings</w:t>
            </w:r>
          </w:p>
        </w:tc>
        <w:tc>
          <w:tcPr>
            <w:tcW w:w="340" w:type="dxa"/>
            <w:vAlign w:val="bottom"/>
          </w:tcPr>
          <w:p>
            <w:pPr>
              <w:spacing w:after="0"/>
              <w:rPr>
                <w:sz w:val="22"/>
                <w:szCs w:val="22"/>
                <w:color w:val="auto"/>
              </w:rPr>
            </w:pPr>
          </w:p>
        </w:tc>
        <w:tc>
          <w:tcPr>
            <w:tcW w:w="1340" w:type="dxa"/>
            <w:vAlign w:val="bottom"/>
          </w:tcPr>
          <w:p>
            <w:pPr>
              <w:jc w:val="right"/>
              <w:ind w:right="261"/>
              <w:spacing w:after="0"/>
              <w:rPr>
                <w:sz w:val="20"/>
                <w:szCs w:val="20"/>
                <w:color w:val="auto"/>
              </w:rPr>
            </w:pPr>
            <w:r>
              <w:rPr>
                <w:rFonts w:ascii="Arial" w:cs="Arial" w:eastAsia="Arial" w:hAnsi="Arial"/>
                <w:sz w:val="16"/>
                <w:szCs w:val="16"/>
                <w:color w:val="auto"/>
              </w:rPr>
              <w:t>49,573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49,226</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90,417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90,380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Transportation equipment</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8,849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8,837</w:t>
            </w:r>
          </w:p>
        </w:tc>
      </w:tr>
      <w:tr>
        <w:trPr>
          <w:trHeight w:val="257"/>
        </w:trPr>
        <w:tc>
          <w:tcPr>
            <w:tcW w:w="7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149,596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149,210</w:t>
            </w:r>
          </w:p>
        </w:tc>
      </w:tr>
      <w:tr>
        <w:trPr>
          <w:trHeight w:val="264"/>
        </w:trPr>
        <w:tc>
          <w:tcPr>
            <w:tcW w:w="7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(129,214)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(126,621)</w:t>
            </w:r>
          </w:p>
        </w:tc>
      </w:tr>
      <w:tr>
        <w:trPr>
          <w:trHeight w:val="24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20,382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22,589</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Assets held for sale as of May 26, 2012 of $600,000 consisted of an idled fiberglass manufacturing facility in Hampton, Iowa.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Goodwill and Amortizable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Goodwill and other intangible assets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022"/>
              <w:spacing w:after="0"/>
              <w:rPr>
                <w:sz w:val="20"/>
                <w:szCs w:val="20"/>
                <w:color w:val="auto"/>
              </w:rPr>
            </w:pPr>
            <w:r>
              <w:rPr>
                <w:rFonts w:ascii="Arial" w:cs="Arial" w:eastAsia="Arial" w:hAnsi="Arial"/>
                <w:sz w:val="14"/>
                <w:szCs w:val="14"/>
                <w:b w:val="1"/>
                <w:bCs w:val="1"/>
                <w:color w:val="auto"/>
              </w:rPr>
              <w:t>May 26, 2012</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August 27, 2011</w:t>
            </w:r>
          </w:p>
        </w:tc>
      </w:tr>
      <w:tr>
        <w:trPr>
          <w:trHeight w:val="175"/>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Amortization</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3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34</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Non-compete agreement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Goodwill and other intangible assets are the result of the acquisition of SunnyBrook during the second quarter of Fiscal 2011. Goodwill is not subject to amortization. Amortizable intangible assets are amortized on a straight-line basis. The weighted average remaining amortization period at May 26, 2012 is 8.4 years.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Goodwill is reviewed for impairment annually or whenever events or circumstances indicate a potential impairment. Intangible assets are also subject to impairment tests whenever events or circumstances indicate that the asset's carrying value may exceed its estimated fair value, at which time an impairment would be recorded.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of intangible assets for the next five years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r>
      <w:tr>
        <w:trPr>
          <w:trHeight w:val="256"/>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r>
      <w:tr>
        <w:trPr>
          <w:trHeight w:val="260"/>
        </w:trPr>
        <w:tc>
          <w:tcPr>
            <w:tcW w:w="1160" w:type="dxa"/>
            <w:vAlign w:val="bottom"/>
          </w:tcPr>
          <w:p>
            <w:pPr>
              <w:spacing w:after="0"/>
              <w:rPr>
                <w:sz w:val="22"/>
                <w:szCs w:val="22"/>
                <w:color w:val="auto"/>
              </w:rPr>
            </w:pPr>
          </w:p>
        </w:tc>
        <w:tc>
          <w:tcPr>
            <w:tcW w:w="9240" w:type="dxa"/>
            <w:vAlign w:val="bottom"/>
          </w:tcPr>
          <w:p>
            <w:pPr>
              <w:jc w:val="right"/>
              <w:ind w:right="865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80"/>
        </w:trPr>
        <w:tc>
          <w:tcPr>
            <w:tcW w:w="1160" w:type="dxa"/>
            <w:vAlign w:val="bottom"/>
            <w:shd w:val="clear" w:color="auto" w:fill="CCEEFF"/>
          </w:tcPr>
          <w:p>
            <w:pPr>
              <w:spacing w:after="0"/>
              <w:rPr>
                <w:sz w:val="24"/>
                <w:szCs w:val="24"/>
                <w:color w:val="auto"/>
              </w:rPr>
            </w:pP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60"/>
        </w:trPr>
        <w:tc>
          <w:tcPr>
            <w:tcW w:w="1160" w:type="dxa"/>
            <w:vAlign w:val="bottom"/>
          </w:tcPr>
          <w:p>
            <w:pPr>
              <w:spacing w:after="0"/>
              <w:rPr>
                <w:sz w:val="22"/>
                <w:szCs w:val="22"/>
                <w:color w:val="auto"/>
              </w:rPr>
            </w:pPr>
          </w:p>
        </w:tc>
        <w:tc>
          <w:tcPr>
            <w:tcW w:w="9240" w:type="dxa"/>
            <w:vAlign w:val="bottom"/>
          </w:tcPr>
          <w:p>
            <w:pPr>
              <w:jc w:val="right"/>
              <w:ind w:right="865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80"/>
        </w:trPr>
        <w:tc>
          <w:tcPr>
            <w:tcW w:w="1160" w:type="dxa"/>
            <w:vAlign w:val="bottom"/>
            <w:shd w:val="clear" w:color="auto" w:fill="CCEEFF"/>
          </w:tcPr>
          <w:p>
            <w:pPr>
              <w:spacing w:after="0"/>
              <w:rPr>
                <w:sz w:val="24"/>
                <w:szCs w:val="24"/>
                <w:color w:val="auto"/>
              </w:rPr>
            </w:pPr>
          </w:p>
        </w:tc>
        <w:tc>
          <w:tcPr>
            <w:tcW w:w="9240" w:type="dxa"/>
            <w:vAlign w:val="bottom"/>
            <w:shd w:val="clear" w:color="auto" w:fill="CCEEFF"/>
          </w:tcPr>
          <w:p>
            <w:pPr>
              <w:jc w:val="right"/>
              <w:ind w:right="8659"/>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Credit Facility</w:t>
      </w:r>
    </w:p>
    <w:p>
      <w:pPr>
        <w:spacing w:after="0" w:line="21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No borrowings have been made under the Loan Agreement as of the date of this report.</w:t>
      </w:r>
    </w:p>
    <w:p>
      <w:pPr>
        <w:spacing w:after="0" w:line="176"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Interest on loans made under the Loan Agreement will be based on the greater of LIBOR or a base rate of 2.0% plus a margin of 4.0% or the greater of prime rate or 4.25% plus a margin of 3.0%. The unused line fee associated with the Loan Agreement is 1.25% per annum. Additionally, under certain circumstances, we will be required to pay an early termination fee of 1% of the maximum credit available under the Loan Agreement if we terminate the Loan Agreement prior to October 13, 2012.</w:t>
      </w:r>
    </w:p>
    <w:p>
      <w:pPr>
        <w:spacing w:after="0" w:line="176"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On February 1, 2012 Wells Fargo Bank, National Association purchased the loan portfolio of Burdale Capital Finance, Inc., which included the Loan Agreement. No modifications were made to the Loan Agreement as a result of this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Warranty</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provide our motor home customers a comprehensive 12-month/15,000-mile warranty on the Class A, Class B and Class C motor homes, and a 3-year/36,000-mile structural warranty on Class A and Class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on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on past claim rate experiences and the estimated cost of the repairs.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9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ind w:right="82"/>
              <w:spacing w:after="0"/>
              <w:rPr>
                <w:sz w:val="20"/>
                <w:szCs w:val="20"/>
                <w:color w:val="auto"/>
              </w:rPr>
            </w:pPr>
            <w:r>
              <w:rPr>
                <w:rFonts w:ascii="Arial" w:cs="Arial" w:eastAsia="Arial" w:hAnsi="Arial"/>
                <w:sz w:val="14"/>
                <w:szCs w:val="14"/>
                <w:b w:val="1"/>
                <w:bCs w:val="1"/>
                <w:color w:val="auto"/>
              </w:rPr>
              <w:t>May 26,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May 28,</w:t>
            </w:r>
          </w:p>
        </w:tc>
        <w:tc>
          <w:tcPr>
            <w:tcW w:w="340" w:type="dxa"/>
            <w:vAlign w:val="bottom"/>
          </w:tcPr>
          <w:p>
            <w:pPr>
              <w:spacing w:after="0"/>
              <w:rPr>
                <w:sz w:val="15"/>
                <w:szCs w:val="15"/>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May 26,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ind w:right="521"/>
              <w:spacing w:after="0"/>
              <w:rPr>
                <w:sz w:val="20"/>
                <w:szCs w:val="20"/>
                <w:color w:val="auto"/>
              </w:rPr>
            </w:pPr>
            <w:r>
              <w:rPr>
                <w:rFonts w:ascii="Arial" w:cs="Arial" w:eastAsia="Arial" w:hAnsi="Arial"/>
                <w:sz w:val="14"/>
                <w:szCs w:val="14"/>
                <w:b w:val="1"/>
                <w:bCs w:val="1"/>
                <w:color w:val="auto"/>
              </w:rPr>
              <w:t>May 28,</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8,068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7,335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6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5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1,645</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1,441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362"/>
              <w:spacing w:after="0"/>
              <w:rPr>
                <w:sz w:val="20"/>
                <w:szCs w:val="20"/>
                <w:color w:val="auto"/>
              </w:rPr>
            </w:pPr>
            <w:r>
              <w:rPr>
                <w:rFonts w:ascii="Arial" w:cs="Arial" w:eastAsia="Arial" w:hAnsi="Arial"/>
                <w:sz w:val="16"/>
                <w:szCs w:val="16"/>
                <w:color w:val="auto"/>
              </w:rPr>
              <w:t>3,928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361"/>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7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302"/>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(1,542)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(4,668)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(3,925)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6,595</w:t>
            </w:r>
          </w:p>
        </w:tc>
        <w:tc>
          <w:tcPr>
            <w:tcW w:w="10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7,967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62"/>
              <w:spacing w:after="0"/>
              <w:rPr>
                <w:sz w:val="20"/>
                <w:szCs w:val="20"/>
                <w:color w:val="auto"/>
              </w:rPr>
            </w:pPr>
            <w:r>
              <w:rPr>
                <w:rFonts w:ascii="Arial" w:cs="Arial" w:eastAsia="Arial" w:hAnsi="Arial"/>
                <w:sz w:val="16"/>
                <w:szCs w:val="16"/>
                <w:color w:val="auto"/>
              </w:rPr>
              <w:t>6,595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61"/>
              <w:spacing w:after="0"/>
              <w:rPr>
                <w:sz w:val="20"/>
                <w:szCs w:val="20"/>
                <w:color w:val="auto"/>
              </w:rPr>
            </w:pPr>
            <w:r>
              <w:rPr>
                <w:rFonts w:ascii="Arial" w:cs="Arial" w:eastAsia="Arial" w:hAnsi="Arial"/>
                <w:sz w:val="16"/>
                <w:szCs w:val="16"/>
                <w:color w:val="auto"/>
              </w:rPr>
              <w:t>7,967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gridSpan w:val="4"/>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b w:val="1"/>
                <w:bCs w:val="1"/>
                <w:color w:val="auto"/>
              </w:rPr>
              <w:t>May 26,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401"/>
              <w:spacing w:after="0"/>
              <w:rPr>
                <w:sz w:val="20"/>
                <w:szCs w:val="20"/>
                <w:color w:val="auto"/>
              </w:rPr>
            </w:pPr>
            <w:r>
              <w:rPr>
                <w:rFonts w:ascii="Arial" w:cs="Arial" w:eastAsia="Arial" w:hAnsi="Arial"/>
                <w:sz w:val="14"/>
                <w:szCs w:val="14"/>
                <w:b w:val="1"/>
                <w:bCs w:val="1"/>
                <w:color w:val="auto"/>
              </w:rPr>
              <w:t>August 27,</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5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37,659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41,370</w:t>
            </w:r>
          </w:p>
        </w:tc>
        <w:tc>
          <w:tcPr>
            <w:tcW w:w="0" w:type="dxa"/>
            <w:vAlign w:val="bottom"/>
          </w:tcPr>
          <w:p>
            <w:pPr>
              <w:spacing w:after="0"/>
              <w:rPr>
                <w:sz w:val="1"/>
                <w:szCs w:val="1"/>
                <w:color w:val="auto"/>
              </w:rPr>
            </w:pPr>
          </w:p>
        </w:tc>
      </w:tr>
      <w:tr>
        <w:trPr>
          <w:trHeight w:val="26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42"/>
              <w:spacing w:after="0"/>
              <w:rPr>
                <w:sz w:val="20"/>
                <w:szCs w:val="20"/>
                <w:color w:val="auto"/>
              </w:rPr>
            </w:pPr>
            <w:r>
              <w:rPr>
                <w:rFonts w:ascii="Arial" w:cs="Arial" w:eastAsia="Arial" w:hAnsi="Arial"/>
                <w:sz w:val="16"/>
                <w:szCs w:val="16"/>
                <w:color w:val="auto"/>
              </w:rPr>
              <w:t>23,911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24,622</w:t>
            </w:r>
          </w:p>
        </w:tc>
        <w:tc>
          <w:tcPr>
            <w:tcW w:w="0" w:type="dxa"/>
            <w:vAlign w:val="bottom"/>
          </w:tcPr>
          <w:p>
            <w:pPr>
              <w:spacing w:after="0"/>
              <w:rPr>
                <w:sz w:val="1"/>
                <w:szCs w:val="1"/>
                <w:color w:val="auto"/>
              </w:rPr>
            </w:pPr>
          </w:p>
        </w:tc>
      </w:tr>
      <w:tr>
        <w:trPr>
          <w:trHeight w:val="280"/>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5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6,931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60"/>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42"/>
              <w:spacing w:after="0"/>
              <w:rPr>
                <w:sz w:val="20"/>
                <w:szCs w:val="20"/>
                <w:color w:val="auto"/>
              </w:rPr>
            </w:pPr>
            <w:r>
              <w:rPr>
                <w:rFonts w:ascii="Arial" w:cs="Arial" w:eastAsia="Arial" w:hAnsi="Arial"/>
                <w:sz w:val="16"/>
                <w:szCs w:val="16"/>
                <w:color w:val="auto"/>
              </w:rPr>
              <w:t>2,971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7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5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101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7"/>
        </w:trPr>
        <w:tc>
          <w:tcPr>
            <w:tcW w:w="4960" w:type="dxa"/>
            <w:vAlign w:val="bottom"/>
            <w:gridSpan w:val="3"/>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242"/>
              <w:spacing w:after="0"/>
              <w:rPr>
                <w:sz w:val="20"/>
                <w:szCs w:val="20"/>
                <w:color w:val="auto"/>
              </w:rPr>
            </w:pPr>
            <w:r>
              <w:rPr>
                <w:rFonts w:ascii="Arial" w:cs="Arial" w:eastAsia="Arial" w:hAnsi="Arial"/>
                <w:sz w:val="16"/>
                <w:szCs w:val="16"/>
                <w:color w:val="auto"/>
              </w:rPr>
              <w:t>71,573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78,457</w:t>
            </w:r>
          </w:p>
        </w:tc>
        <w:tc>
          <w:tcPr>
            <w:tcW w:w="0" w:type="dxa"/>
            <w:vAlign w:val="bottom"/>
          </w:tcPr>
          <w:p>
            <w:pPr>
              <w:spacing w:after="0"/>
              <w:rPr>
                <w:sz w:val="1"/>
                <w:szCs w:val="1"/>
                <w:color w:val="auto"/>
              </w:rPr>
            </w:pPr>
          </w:p>
        </w:tc>
      </w:tr>
      <w:tr>
        <w:trPr>
          <w:trHeight w:val="27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(4,415)</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40"/>
        </w:trPr>
        <w:tc>
          <w:tcPr>
            <w:tcW w:w="5660" w:type="dxa"/>
            <w:vAlign w:val="bottom"/>
            <w:gridSpan w:val="4"/>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2"/>
              <w:spacing w:after="0"/>
              <w:rPr>
                <w:sz w:val="20"/>
                <w:szCs w:val="20"/>
                <w:color w:val="auto"/>
              </w:rPr>
            </w:pPr>
            <w:r>
              <w:rPr>
                <w:rFonts w:ascii="Arial" w:cs="Arial" w:eastAsia="Arial" w:hAnsi="Arial"/>
                <w:sz w:val="16"/>
                <w:szCs w:val="16"/>
                <w:color w:val="auto"/>
              </w:rPr>
              <w:t>67,158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74,492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Health Care Benefits</w:t>
      </w:r>
    </w:p>
    <w:p>
      <w:pPr>
        <w:spacing w:after="0" w:line="2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We use a September 1 measurement date for this plan and our postretirement health care plan currently is not funded. 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In January 2012 the employer established dollar caps were reduced by 10%, which reduced our liability for postretirement health care by approximately $4.6 million.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26,</w:t>
            </w:r>
          </w:p>
        </w:tc>
        <w:tc>
          <w:tcPr>
            <w:tcW w:w="280" w:type="dxa"/>
            <w:vAlign w:val="bottom"/>
          </w:tcPr>
          <w:p>
            <w:pPr>
              <w:spacing w:after="0"/>
              <w:rPr>
                <w:sz w:val="15"/>
                <w:szCs w:val="15"/>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28,</w:t>
            </w:r>
          </w:p>
        </w:tc>
        <w:tc>
          <w:tcPr>
            <w:tcW w:w="30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26,</w:t>
            </w:r>
          </w:p>
        </w:tc>
        <w:tc>
          <w:tcPr>
            <w:tcW w:w="280" w:type="dxa"/>
            <w:vAlign w:val="bottom"/>
          </w:tcPr>
          <w:p>
            <w:pPr>
              <w:spacing w:after="0"/>
              <w:rPr>
                <w:sz w:val="15"/>
                <w:szCs w:val="15"/>
                <w:color w:val="auto"/>
              </w:rPr>
            </w:pPr>
          </w:p>
        </w:tc>
        <w:tc>
          <w:tcPr>
            <w:tcW w:w="1200" w:type="dxa"/>
            <w:vAlign w:val="bottom"/>
          </w:tcPr>
          <w:p>
            <w:pPr>
              <w:jc w:val="right"/>
              <w:ind w:right="422"/>
              <w:spacing w:after="0"/>
              <w:rPr>
                <w:sz w:val="20"/>
                <w:szCs w:val="20"/>
                <w:color w:val="auto"/>
              </w:rPr>
            </w:pPr>
            <w:r>
              <w:rPr>
                <w:rFonts w:ascii="Arial" w:cs="Arial" w:eastAsia="Arial" w:hAnsi="Arial"/>
                <w:sz w:val="14"/>
                <w:szCs w:val="14"/>
                <w:b w:val="1"/>
                <w:bCs w:val="1"/>
                <w:color w:val="auto"/>
              </w:rPr>
              <w:t>May 28,</w:t>
            </w:r>
          </w:p>
        </w:tc>
      </w:tr>
      <w:tr>
        <w:trPr>
          <w:trHeight w:val="196"/>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2011</w:t>
            </w:r>
          </w:p>
        </w:tc>
      </w:tr>
      <w:tr>
        <w:trPr>
          <w:trHeight w:val="256"/>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1,397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1,429</w:t>
            </w:r>
          </w:p>
        </w:tc>
      </w:tr>
      <w:tr>
        <w:trPr>
          <w:trHeight w:val="260"/>
        </w:trPr>
        <w:tc>
          <w:tcPr>
            <w:tcW w:w="518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22"/>
                <w:szCs w:val="22"/>
                <w:color w:val="auto"/>
              </w:rPr>
            </w:pPr>
          </w:p>
        </w:tc>
        <w:tc>
          <w:tcPr>
            <w:tcW w:w="1200" w:type="dxa"/>
            <w:vAlign w:val="bottom"/>
          </w:tcPr>
          <w:p>
            <w:pPr>
              <w:jc w:val="right"/>
              <w:ind w:right="36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62"/>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42"/>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62"/>
              <w:spacing w:after="0"/>
              <w:rPr>
                <w:sz w:val="20"/>
                <w:szCs w:val="20"/>
                <w:color w:val="auto"/>
              </w:rPr>
            </w:pPr>
            <w:r>
              <w:rPr>
                <w:rFonts w:ascii="Arial" w:cs="Arial" w:eastAsia="Arial" w:hAnsi="Arial"/>
                <w:sz w:val="16"/>
                <w:szCs w:val="16"/>
                <w:color w:val="auto"/>
              </w:rPr>
              <w:t>456</w:t>
            </w:r>
          </w:p>
        </w:tc>
      </w:tr>
      <w:tr>
        <w:trPr>
          <w:trHeight w:val="273"/>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amortization and deferral</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(2,606)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(2,328)</w:t>
            </w:r>
          </w:p>
        </w:tc>
      </w:tr>
      <w:tr>
        <w:trPr>
          <w:trHeight w:val="240"/>
        </w:trPr>
        <w:tc>
          <w:tcPr>
            <w:tcW w:w="5180" w:type="dxa"/>
            <w:vAlign w:val="bottom"/>
            <w:gridSpan w:val="2"/>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(443)</w:t>
            </w: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4"/>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4"/>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908</w:t>
            </w: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right="36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credit associated with the establishment of caps on the employer portion of benefits in Fiscal 2005 and the 10% cap reduction in Fiscal 2012.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Stock-based Compensation Plans</w:t>
      </w:r>
    </w:p>
    <w:p>
      <w:pPr>
        <w:spacing w:after="0" w:line="21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a 2004 Incentive Compensation Plan approved by shareholders in place which allows us to grant or issue stock awards and other compensation to key employees and to nonemployee directors. On January 11, 2012 our Board of Directors granted 50,000 shares of restricted common stock to Robert J. Olson, retiring CEO, in recognition of his contributions to our success during his 43 years of service. The value of the restricted stock award is determined using the intrinsic value method which, in this case, is based on the number of shares granted and the closing price of our common stock on the date of grant.</w:t>
      </w:r>
    </w:p>
    <w:p>
      <w:pPr>
        <w:spacing w:after="0" w:line="17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Stock-based compensation expense was $114,000 and $877,000 during the third quarters of Fiscal 2012 and Fiscal 2011, respectively. Stock-based compensation expense was $863,000 and $1.0 million during the first nine months of Fiscal 2012 and Fiscal 2011, respectively. Of the $863,000, $398,000 related to the January 11, 2012 grant. The remainder is related to the amortization of previously granted restricted stock awards, as well as nonemployee director stock units issued in lieu of their fees. Compensation expense is recognized over the requisite service period of the award or over a period ending with the employee's eligible retirement date, if earlier.</w:t>
      </w:r>
    </w:p>
    <w:p>
      <w:pPr>
        <w:sectPr>
          <w:pgSz w:w="11900" w:h="16838" w:orient="portrait"/>
          <w:cols w:equalWidth="0" w:num="1">
            <w:col w:w="11420"/>
          </w:cols>
          <w:pgMar w:left="240" w:top="14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Contingent Liabilities and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$169.0 million and $133.4 million at May 26, 2012 and August 27, 2011, respectively.</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Incremental repurchase exposure beyond existing repurchase agreements, related to dealer inventory in states that we have had historical experience of repurchasing inventory, totaled $11.4 million and $5.7 million at May 26, 2012 and August 27, 2011, respectively.</w:t>
      </w:r>
    </w:p>
    <w:p>
      <w:pPr>
        <w:spacing w:after="0" w:line="176"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revenue transactions,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of our product, age of product in dealer inventory, physical condition of the product, location of the dealer, and the financing source. To the extent that dealers are increasing or decreasing their inventories, our overall exposure under repurchase agreements is likewise impacted. The percentage of dealer inventory we estimate we will repurchase (which has ranged in recent years from 5% to 11% on a weighted average basis) and the associated estimated loss (which has ranged in recent years from 7% to 16%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37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on the repurchase exposure as previously described, we established an associated loss reserve of $862,000 as of May 26, 2012 and $1.2 million as of August 27, 2011. The inventory repurchased and the associated losses on the inventory resold presented in the table below during the first nine months of Fiscal 2012 relates to three dealers, two of which were towable dealers.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repurchase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May 26,</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May 28,</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26,</w:t>
            </w:r>
          </w:p>
        </w:tc>
        <w:tc>
          <w:tcPr>
            <w:tcW w:w="260" w:type="dxa"/>
            <w:vAlign w:val="bottom"/>
          </w:tcPr>
          <w:p>
            <w:pPr>
              <w:spacing w:after="0"/>
              <w:rPr>
                <w:sz w:val="15"/>
                <w:szCs w:val="15"/>
                <w:color w:val="auto"/>
              </w:rPr>
            </w:pPr>
          </w:p>
        </w:tc>
        <w:tc>
          <w:tcPr>
            <w:tcW w:w="1100" w:type="dxa"/>
            <w:vAlign w:val="bottom"/>
          </w:tcPr>
          <w:p>
            <w:pPr>
              <w:jc w:val="right"/>
              <w:ind w:right="362"/>
              <w:spacing w:after="0"/>
              <w:rPr>
                <w:sz w:val="20"/>
                <w:szCs w:val="20"/>
                <w:color w:val="auto"/>
              </w:rPr>
            </w:pPr>
            <w:r>
              <w:rPr>
                <w:rFonts w:ascii="Arial" w:cs="Arial" w:eastAsia="Arial" w:hAnsi="Arial"/>
                <w:sz w:val="14"/>
                <w:szCs w:val="14"/>
                <w:b w:val="1"/>
                <w:bCs w:val="1"/>
                <w:color w:val="auto"/>
              </w:rPr>
              <w:t>May 28,</w:t>
            </w:r>
          </w:p>
        </w:tc>
      </w:t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2011</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5620" w:type="dxa"/>
            <w:vAlign w:val="bottom"/>
            <w:gridSpan w:val="2"/>
          </w:tcPr>
          <w:p>
            <w:pPr>
              <w:ind w:left="240"/>
              <w:spacing w:after="0"/>
              <w:rPr>
                <w:sz w:val="20"/>
                <w:szCs w:val="20"/>
                <w:color w:val="auto"/>
              </w:rPr>
            </w:pPr>
            <w:r>
              <w:rPr>
                <w:rFonts w:ascii="Arial" w:cs="Arial" w:eastAsia="Arial" w:hAnsi="Arial"/>
                <w:sz w:val="16"/>
                <w:szCs w:val="16"/>
                <w:color w:val="auto"/>
              </w:rPr>
              <w:t>Units</w:t>
            </w:r>
          </w:p>
        </w:tc>
        <w:tc>
          <w:tcPr>
            <w:tcW w:w="940" w:type="dxa"/>
            <w:vAlign w:val="bottom"/>
          </w:tcPr>
          <w:p>
            <w:pPr>
              <w:spacing w:after="0"/>
              <w:rPr>
                <w:sz w:val="22"/>
                <w:szCs w:val="22"/>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w:t>
            </w:r>
          </w:p>
        </w:tc>
      </w:tr>
      <w:tr>
        <w:trPr>
          <w:trHeight w:val="28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Dollars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658</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Units</w:t>
            </w: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r>
      <w:tr>
        <w:trPr>
          <w:trHeight w:val="260"/>
        </w:trPr>
        <w:tc>
          <w:tcPr>
            <w:tcW w:w="5620" w:type="dxa"/>
            <w:vAlign w:val="bottom"/>
            <w:gridSpan w:val="2"/>
          </w:tcPr>
          <w:p>
            <w:pPr>
              <w:ind w:left="240"/>
              <w:spacing w:after="0"/>
              <w:rPr>
                <w:sz w:val="20"/>
                <w:szCs w:val="20"/>
                <w:color w:val="auto"/>
              </w:rPr>
            </w:pPr>
            <w:r>
              <w:rPr>
                <w:rFonts w:ascii="Arial" w:cs="Arial" w:eastAsia="Arial" w:hAnsi="Arial"/>
                <w:sz w:val="16"/>
                <w:szCs w:val="16"/>
                <w:color w:val="auto"/>
              </w:rPr>
              <w:t>Cash collected</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612</w:t>
            </w:r>
          </w:p>
        </w:tc>
      </w:tr>
      <w:tr>
        <w:trPr>
          <w:trHeight w:val="28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Loss recognized</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w:t>
            </w:r>
          </w:p>
        </w:tc>
      </w:tr>
    </w:tbl>
    <w:p>
      <w:pPr>
        <w:spacing w:after="0" w:line="21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May 26, 2012 would have affected pre-tax income by approximately $255,000.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185"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as of August 27, 2011 and May 26, 2012, we have applied a valuation allowance of $39.3 million and $37.2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8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Due to such carryback claims, our federal returns from Fiscal 2004 to present continue to be subject to review by the IRS.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As of May 26, 2012, our unrecognized tax benefits were $4.9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as tax expense. As of May 26, 2012, we had accrued $2.2 million in interest and penalties which are included in unrecognized tax benefits. We do not anticipate any significant changes in unrecognized tax benefits within the next twelve months. Actual results may differ materially from this estimate.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26,</w:t>
            </w: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28,</w:t>
            </w:r>
          </w:p>
        </w:tc>
        <w:tc>
          <w:tcPr>
            <w:tcW w:w="24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26,</w:t>
            </w:r>
          </w:p>
        </w:tc>
        <w:tc>
          <w:tcPr>
            <w:tcW w:w="240" w:type="dxa"/>
            <w:vAlign w:val="bottom"/>
          </w:tcPr>
          <w:p>
            <w:pPr>
              <w:spacing w:after="0"/>
              <w:rPr>
                <w:sz w:val="15"/>
                <w:szCs w:val="15"/>
                <w:color w:val="auto"/>
              </w:rPr>
            </w:pP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May 28,</w:t>
            </w:r>
          </w:p>
        </w:tc>
      </w:tr>
      <w:tr>
        <w:trPr>
          <w:trHeight w:val="19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2011</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0"/>
        </w:trPr>
        <w:tc>
          <w:tcPr>
            <w:tcW w:w="60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3,941</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4,064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8,296</w:t>
            </w:r>
          </w:p>
        </w:tc>
      </w:tr>
      <w:tr>
        <w:trPr>
          <w:trHeight w:val="280"/>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29,225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29,118</w:t>
            </w:r>
          </w:p>
        </w:tc>
      </w:tr>
      <w:tr>
        <w:trPr>
          <w:trHeight w:val="260"/>
        </w:trPr>
        <w:tc>
          <w:tcPr>
            <w:tcW w:w="6080" w:type="dxa"/>
            <w:vAlign w:val="bottom"/>
            <w:gridSpan w:val="2"/>
          </w:tcPr>
          <w:p>
            <w:pPr>
              <w:ind w:left="120"/>
              <w:spacing w:after="0"/>
              <w:rPr>
                <w:sz w:val="20"/>
                <w:szCs w:val="20"/>
                <w:color w:val="auto"/>
              </w:rPr>
            </w:pPr>
            <w:r>
              <w:rPr>
                <w:rFonts w:ascii="Arial" w:cs="Arial" w:eastAsia="Arial" w:hAnsi="Arial"/>
                <w:sz w:val="16"/>
                <w:szCs w:val="16"/>
                <w:color w:val="auto"/>
              </w:rPr>
              <w:t>Net income per share - 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0.28</w:t>
            </w:r>
          </w:p>
        </w:tc>
      </w:tr>
      <w:tr>
        <w:trPr>
          <w:trHeight w:val="280"/>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8,296</w:t>
            </w:r>
          </w:p>
        </w:tc>
      </w:tr>
      <w:tr>
        <w:trPr>
          <w:trHeight w:val="260"/>
        </w:trPr>
        <w:tc>
          <w:tcPr>
            <w:tcW w:w="608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29,225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29,124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29,171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29,118</w:t>
            </w:r>
          </w:p>
        </w:tc>
      </w:tr>
      <w:tr>
        <w:trPr>
          <w:trHeight w:val="280"/>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Dilutive impact of options and awards outstanding</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r>
      <w:tr>
        <w:trPr>
          <w:trHeight w:val="260"/>
        </w:trPr>
        <w:tc>
          <w:tcPr>
            <w:tcW w:w="608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29,263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29,152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29,243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29,135</w:t>
            </w:r>
          </w:p>
        </w:tc>
      </w:tr>
      <w:tr>
        <w:trPr>
          <w:trHeight w:val="280"/>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 per share - assuming dilution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0.28</w:t>
            </w:r>
          </w:p>
        </w:tc>
      </w:tr>
    </w:tbl>
    <w:p>
      <w:pPr>
        <w:spacing w:after="0" w:line="19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At the end of the third quarters of Fiscal 2012 and Fiscal 2011, there were options outstanding to purchase 772,832 shares and 923,731 shares, respectively, of common stock at a weighted average price of $29.02 and $28.07,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net of tax, consists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26,</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28,</w:t>
            </w:r>
          </w:p>
        </w:tc>
        <w:tc>
          <w:tcPr>
            <w:tcW w:w="2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26,</w:t>
            </w:r>
          </w:p>
        </w:tc>
        <w:tc>
          <w:tcPr>
            <w:tcW w:w="26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Arial" w:cs="Arial" w:eastAsia="Arial" w:hAnsi="Arial"/>
                <w:sz w:val="14"/>
                <w:szCs w:val="14"/>
                <w:b w:val="1"/>
                <w:bCs w:val="1"/>
                <w:color w:val="auto"/>
              </w:rPr>
              <w:t>May 28,</w:t>
            </w: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2011</w:t>
            </w:r>
          </w:p>
        </w:tc>
      </w:tr>
      <w:tr>
        <w:trPr>
          <w:trHeight w:val="256"/>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3,941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4,064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8,296</w:t>
            </w:r>
          </w:p>
        </w:tc>
      </w:tr>
      <w:tr>
        <w:trPr>
          <w:trHeight w:val="260"/>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tcPr>
          <w:p>
            <w:pPr>
              <w:spacing w:after="0"/>
              <w:rPr>
                <w:sz w:val="22"/>
                <w:szCs w:val="22"/>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(3,371)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(1,966)</w:t>
            </w:r>
          </w:p>
        </w:tc>
      </w:tr>
      <w:tr>
        <w:trPr>
          <w:trHeight w:val="28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514</w:t>
            </w:r>
          </w:p>
        </w:tc>
      </w:tr>
      <w:tr>
        <w:trPr>
          <w:trHeight w:val="260"/>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Plan amendment</w:t>
            </w:r>
          </w:p>
        </w:tc>
        <w:tc>
          <w:tcPr>
            <w:tcW w:w="260" w:type="dxa"/>
            <w:vAlign w:val="bottom"/>
          </w:tcPr>
          <w:p>
            <w:pPr>
              <w:spacing w:after="0"/>
              <w:rPr>
                <w:sz w:val="22"/>
                <w:szCs w:val="22"/>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20" w:type="dxa"/>
            <w:vAlign w:val="bottom"/>
          </w:tcPr>
          <w:p>
            <w:pPr>
              <w:jc w:val="right"/>
              <w:ind w:right="242"/>
              <w:spacing w:after="0"/>
              <w:rPr>
                <w:sz w:val="20"/>
                <w:szCs w:val="20"/>
                <w:color w:val="auto"/>
              </w:rPr>
            </w:pPr>
            <w:r>
              <w:rPr>
                <w:rFonts w:ascii="Arial" w:cs="Arial" w:eastAsia="Arial" w:hAnsi="Arial"/>
                <w:sz w:val="16"/>
                <w:szCs w:val="16"/>
                <w:color w:val="auto"/>
              </w:rPr>
              <w:t>4,598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w:t>
            </w:r>
          </w:p>
        </w:tc>
      </w:tr>
      <w:tr>
        <w:trPr>
          <w:trHeight w:val="273"/>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(depreciation) appreciation of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(109)</w:t>
            </w:r>
          </w:p>
        </w:tc>
      </w:tr>
      <w:tr>
        <w:trPr>
          <w:trHeight w:val="240"/>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5,724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6,735</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Subsequent Event</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May 26, 2012 and the date of issuance of the financial statements that would require recognition or disclosure in the financial statements. There were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4" w:lineRule="exact"/>
        <w:rPr>
          <w:sz w:val="20"/>
          <w:szCs w:val="20"/>
          <w:color w:val="auto"/>
        </w:rPr>
      </w:pPr>
    </w:p>
    <w:p>
      <w:pPr>
        <w:jc w:val="both"/>
        <w:ind w:right="1040"/>
        <w:spacing w:after="0" w:line="260" w:lineRule="auto"/>
        <w:rPr>
          <w:sz w:val="20"/>
          <w:szCs w:val="20"/>
          <w:color w:val="auto"/>
        </w:rPr>
      </w:pPr>
      <w:r>
        <w:rPr>
          <w:rFonts w:ascii="Arial" w:cs="Arial" w:eastAsia="Arial" w:hAnsi="Arial"/>
          <w:sz w:val="16"/>
          <w:szCs w:val="16"/>
          <w:color w:val="auto"/>
        </w:rPr>
        <w:t>It is suggested that this management's discussion be read in conjunction with the financial statements contained in this Form 10-Q as well as the Management's Discussion and Analysis and Risk Factors included in our Annual Report on Form 10-K for the fiscal year ended August 27, 2011.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Overview</w:t>
      </w:r>
    </w:p>
    <w:p>
      <w:pPr>
        <w:spacing w:after="0" w:line="21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 homes in vertically integrated manufacturing facilities in Iowa and we produce all travel trailer and fifth wheels ("towables products") in Indiana. We distribute our products primarily through independent dealers throughout the U.S. and Canada, who then retail the products to the end consumer.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retail unit market share, as reported by Stat Surveys,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Through April 30</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64"/>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2009</w:t>
            </w: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22.9%</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11.4%</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16.6%</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22.7%</w:t>
            </w: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19.1%</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4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18.1%</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3"/>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Through April 30</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64"/>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2009</w:t>
            </w: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13.8%</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7.0%</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w:t>
            </w: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4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ind w:left="1140"/>
              <w:spacing w:after="0"/>
              <w:rPr>
                <w:sz w:val="20"/>
                <w:szCs w:val="20"/>
                <w:color w:val="auto"/>
              </w:rPr>
            </w:pPr>
            <w:r>
              <w:rPr>
                <w:rFonts w:ascii="Arial" w:cs="Arial" w:eastAsia="Arial" w:hAnsi="Arial"/>
                <w:sz w:val="14"/>
                <w:szCs w:val="14"/>
                <w:b w:val="1"/>
                <w:bCs w:val="1"/>
                <w:color w:val="auto"/>
              </w:rPr>
              <w:t>Through April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Calendar Year</w:t>
            </w:r>
          </w:p>
        </w:tc>
      </w:tr>
      <w:tr>
        <w:trPr>
          <w:trHeight w:val="39"/>
        </w:trPr>
        <w:tc>
          <w:tcPr>
            <w:tcW w:w="6260" w:type="dxa"/>
            <w:vAlign w:val="bottom"/>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58"/>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Towables:</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r>
      <w:tr>
        <w:trPr>
          <w:trHeight w:val="256"/>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r>
      <w:tr>
        <w:trPr>
          <w:trHeight w:val="264"/>
        </w:trPr>
        <w:tc>
          <w:tcPr>
            <w:tcW w:w="6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0.5%</w:t>
            </w:r>
          </w:p>
        </w:tc>
      </w:tr>
      <w:tr>
        <w:trPr>
          <w:trHeight w:val="24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64"/>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Through April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Calendar Year</w:t>
            </w:r>
          </w:p>
        </w:tc>
      </w:tr>
      <w:tr>
        <w:trPr>
          <w:trHeight w:val="250"/>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Towables:</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r>
      <w:tr>
        <w:trPr>
          <w:trHeight w:val="256"/>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r>
      <w:tr>
        <w:trPr>
          <w:trHeight w:val="264"/>
        </w:trPr>
        <w:tc>
          <w:tcPr>
            <w:tcW w:w="6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0.5%</w:t>
            </w:r>
          </w:p>
        </w:tc>
      </w:tr>
      <w:tr>
        <w:trPr>
          <w:trHeight w:val="24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5"/>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rPr>
              <w:t>Class A, B &amp; C Motor 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40"/>
              <w:spacing w:after="0"/>
              <w:rPr>
                <w:sz w:val="20"/>
                <w:szCs w:val="20"/>
                <w:color w:val="auto"/>
              </w:rPr>
            </w:pPr>
            <w:r>
              <w:rPr>
                <w:rFonts w:ascii="Arial" w:cs="Arial" w:eastAsia="Arial" w:hAnsi="Arial"/>
                <w:sz w:val="14"/>
                <w:szCs w:val="14"/>
                <w:b w:val="1"/>
                <w:bCs w:val="1"/>
                <w:color w:val="auto"/>
              </w:rPr>
              <w:t>Wholesale</w:t>
            </w: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Deliveries</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 2010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1,164</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1,120</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2,044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 2011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1,115</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1,093</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2,066</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 2011</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909</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796</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2,179</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905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70"/>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 2011</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1,283</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1,394</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2,068</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326</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203</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1,028</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4,471</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4,403</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411</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303</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(Jun 2010-May 2011)</w:t>
            </w: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 2011</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1,088</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1,198</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1,958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966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 2012</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1,040</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1,053</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1,945</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435</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1,146</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 2012</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2,074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70"/>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 2012</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1,280</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1,414</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1,940</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646</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652</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1,370</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4,409</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4,537</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2,001</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1,659</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(Jun 2011-May 2012)</w:t>
            </w: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Highlights of our most recent quarter:</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increase in net revenues in the third quarter of Fiscal 2012 was driven by two primary factors: increased towable sales volume and higher average selling prices based upon the mix of RVs delivered. The incremental revenue generated in our fiscal third quarter allowed us to improve our gross margins on a year over year basis and on a consecutive quarter basis. The key factor for the margin improvement related to better fixed cost absorption as we produced more product in the quarter.</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Towables specifically contributed to improved results in our fiscal third quarter, generating operating income that resulted in $.01 of EPS of the fiscal quarter; the first accretive quarter since the acquisition in December 2010. This compares to a $.01 EPS loss attributable to Towables in the same quarter last year. The investments we have made over the past several quarters are beginning to produce positive financial results in the near term and we expect to build on this momentum. The increased towable backlog coupled with the recent strong retail turn rate and relatively low towable dealer inventory validates our belief that there is room to grow this portion of our business in the coming quarters and years.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Industry Outlook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 home industry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6"/>
          </w:tcPr>
          <w:p>
            <w:pPr>
              <w:jc w:val="right"/>
              <w:ind w:right="261"/>
              <w:spacing w:after="0"/>
              <w:rPr>
                <w:sz w:val="20"/>
                <w:szCs w:val="20"/>
                <w:color w:val="auto"/>
              </w:rPr>
            </w:pPr>
            <w:r>
              <w:rPr>
                <w:rFonts w:ascii="Arial" w:cs="Arial" w:eastAsia="Arial" w:hAnsi="Arial"/>
                <w:sz w:val="14"/>
                <w:szCs w:val="14"/>
                <w:b w:val="1"/>
                <w:bCs w:val="1"/>
                <w:color w:val="auto"/>
              </w:rPr>
              <w:t>U.S. and Canada Industry Class A, B &amp; C Motor Homes</w:t>
            </w:r>
          </w:p>
        </w:tc>
        <w:tc>
          <w:tcPr>
            <w:tcW w:w="1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Calendar Year</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Calendar Year</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rPr>
              <w:t>Increase</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2010</w:t>
            </w:r>
          </w:p>
        </w:tc>
        <w:tc>
          <w:tcPr>
            <w:tcW w:w="11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(Decrease)</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6,900</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5,700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1,200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5,100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5,000</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7,800</w:t>
            </w:r>
          </w:p>
        </w:tc>
        <w:tc>
          <w:tcPr>
            <w:tcW w:w="3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7,800</w:t>
            </w:r>
          </w:p>
        </w:tc>
        <w:tc>
          <w:tcPr>
            <w:tcW w:w="11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gridSpan w:val="2"/>
          </w:tcPr>
          <w:p>
            <w:pPr>
              <w:jc w:val="right"/>
              <w:ind w:right="25"/>
              <w:spacing w:after="0"/>
              <w:rPr>
                <w:sz w:val="20"/>
                <w:szCs w:val="20"/>
                <w:color w:val="auto"/>
              </w:rPr>
            </w:pPr>
            <w:r>
              <w:rPr>
                <w:rFonts w:ascii="Arial" w:cs="Arial" w:eastAsia="Arial" w:hAnsi="Arial"/>
                <w:sz w:val="16"/>
                <w:szCs w:val="16"/>
                <w:color w:val="auto"/>
              </w:rPr>
              <w:t>8,200</w:t>
            </w:r>
          </w:p>
        </w:tc>
        <w:tc>
          <w:tcPr>
            <w:tcW w:w="340" w:type="dxa"/>
            <w:vAlign w:val="bottom"/>
          </w:tcPr>
          <w:p>
            <w:pPr>
              <w:spacing w:after="0"/>
              <w:rPr>
                <w:sz w:val="23"/>
                <w:szCs w:val="23"/>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8,400</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(200)</w:t>
            </w: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5,300</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6,200</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(900)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6,100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6,100</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4,800</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5,500</w:t>
            </w: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(700)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4,600</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4,600</w:t>
            </w: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61"/>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24,800</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25,200</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24,000</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24,100</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rPr>
              <w:t>(Decrease)</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2011</w:t>
            </w:r>
          </w:p>
        </w:tc>
        <w:tc>
          <w:tcPr>
            <w:tcW w:w="11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Increase</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6,900</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6,900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5,700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5,100</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600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60"/>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April</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2,500</w:t>
            </w:r>
          </w:p>
        </w:tc>
        <w:tc>
          <w:tcPr>
            <w:tcW w:w="380" w:type="dxa"/>
            <w:vAlign w:val="bottom"/>
          </w:tcPr>
          <w:p>
            <w:pPr>
              <w:spacing w:after="0"/>
              <w:rPr>
                <w:sz w:val="22"/>
                <w:szCs w:val="22"/>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2,800</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(300)</w:t>
            </w:r>
          </w:p>
        </w:tc>
        <w:tc>
          <w:tcPr>
            <w:tcW w:w="1060" w:type="dxa"/>
            <w:vAlign w:val="bottom"/>
          </w:tcPr>
          <w:p>
            <w:pPr>
              <w:jc w:val="right"/>
              <w:spacing w:after="0"/>
              <w:rPr>
                <w:sz w:val="20"/>
                <w:szCs w:val="20"/>
                <w:color w:val="auto"/>
              </w:rPr>
            </w:pPr>
            <w:r>
              <w:rPr>
                <w:rFonts w:ascii="Arial" w:cs="Arial" w:eastAsia="Arial" w:hAnsi="Arial"/>
                <w:sz w:val="16"/>
                <w:szCs w:val="16"/>
                <w:color w:val="auto"/>
              </w:rPr>
              <w:t>(10.7)%</w:t>
            </w:r>
          </w:p>
        </w:tc>
        <w:tc>
          <w:tcPr>
            <w:tcW w:w="980" w:type="dxa"/>
            <w:vAlign w:val="bottom"/>
            <w:gridSpan w:val="2"/>
          </w:tcPr>
          <w:p>
            <w:pPr>
              <w:jc w:val="right"/>
              <w:ind w:right="25"/>
              <w:spacing w:after="0"/>
              <w:rPr>
                <w:sz w:val="20"/>
                <w:szCs w:val="20"/>
                <w:color w:val="auto"/>
              </w:rPr>
            </w:pPr>
            <w:r>
              <w:rPr>
                <w:rFonts w:ascii="Arial" w:cs="Arial" w:eastAsia="Arial" w:hAnsi="Arial"/>
                <w:sz w:val="16"/>
                <w:szCs w:val="16"/>
                <w:color w:val="auto"/>
              </w:rPr>
              <w:t>2,400</w:t>
            </w:r>
          </w:p>
        </w:tc>
        <w:tc>
          <w:tcPr>
            <w:tcW w:w="34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2,700</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(300)</w:t>
            </w:r>
          </w:p>
        </w:tc>
        <w:tc>
          <w:tcPr>
            <w:tcW w:w="108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80"/>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May</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2,800</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2,700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2,800</w:t>
            </w:r>
          </w:p>
        </w:tc>
        <w:tc>
          <w:tcPr>
            <w:tcW w:w="1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380" w:type="dxa"/>
            <w:vAlign w:val="bottom"/>
            <w:gridSpan w:val="2"/>
            <w:vMerge w:val="restart"/>
          </w:tcPr>
          <w:p>
            <w:pPr>
              <w:ind w:left="180"/>
              <w:spacing w:after="0"/>
              <w:rPr>
                <w:sz w:val="20"/>
                <w:szCs w:val="20"/>
                <w:color w:val="auto"/>
              </w:rPr>
            </w:pPr>
            <w:r>
              <w:rPr>
                <w:rFonts w:ascii="Arial" w:cs="Arial" w:eastAsia="Arial" w:hAnsi="Arial"/>
                <w:sz w:val="16"/>
                <w:szCs w:val="16"/>
                <w:color w:val="auto"/>
              </w:rPr>
              <w:t>June</w:t>
            </w: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2,200</w:t>
            </w: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2,300</w:t>
            </w:r>
          </w:p>
        </w:tc>
        <w:tc>
          <w:tcPr>
            <w:tcW w:w="1160" w:type="dxa"/>
            <w:vAlign w:val="bottom"/>
            <w:vMerge w:val="restart"/>
          </w:tcPr>
          <w:p>
            <w:pPr>
              <w:jc w:val="right"/>
              <w:ind w:right="202"/>
              <w:spacing w:after="0"/>
              <w:rPr>
                <w:sz w:val="20"/>
                <w:szCs w:val="20"/>
                <w:color w:val="auto"/>
              </w:rPr>
            </w:pPr>
            <w:r>
              <w:rPr>
                <w:rFonts w:ascii="Arial" w:cs="Arial" w:eastAsia="Arial" w:hAnsi="Arial"/>
                <w:sz w:val="16"/>
                <w:szCs w:val="16"/>
                <w:color w:val="auto"/>
              </w:rPr>
              <w:t>(100)</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2,700</w:t>
            </w: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8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8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6,400</w:t>
            </w:r>
          </w:p>
        </w:tc>
        <w:tc>
          <w:tcPr>
            <w:tcW w:w="3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9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5,300</w:t>
            </w:r>
          </w:p>
        </w:tc>
        <w:tc>
          <w:tcPr>
            <w:tcW w:w="116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1,100</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6,100</w:t>
            </w:r>
          </w:p>
        </w:tc>
        <w:tc>
          <w:tcPr>
            <w:tcW w:w="1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80" w:type="dxa"/>
            <w:vAlign w:val="bottom"/>
            <w:gridSpan w:val="2"/>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w:t>
            </w: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5,900</w:t>
            </w: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4,800</w:t>
            </w:r>
          </w:p>
        </w:tc>
        <w:tc>
          <w:tcPr>
            <w:tcW w:w="1160" w:type="dxa"/>
            <w:vAlign w:val="bottom"/>
            <w:vMerge w:val="restart"/>
          </w:tcPr>
          <w:p>
            <w:pPr>
              <w:jc w:val="right"/>
              <w:ind w:right="262"/>
              <w:spacing w:after="0"/>
              <w:rPr>
                <w:sz w:val="20"/>
                <w:szCs w:val="20"/>
                <w:color w:val="auto"/>
              </w:rPr>
            </w:pPr>
            <w:r>
              <w:rPr>
                <w:rFonts w:ascii="Arial" w:cs="Arial" w:eastAsia="Arial" w:hAnsi="Arial"/>
                <w:sz w:val="16"/>
                <w:szCs w:val="16"/>
                <w:color w:val="auto"/>
              </w:rPr>
              <w:t>1,100</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22.9 %</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4,600</w:t>
            </w: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Borders>
              <w:bottom w:val="single" w:sz="8" w:color="CCEEFF"/>
            </w:tcBorders>
            <w:gridSpan w:val="2"/>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26,700</w:t>
            </w: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24,800</w:t>
            </w:r>
          </w:p>
        </w:tc>
        <w:tc>
          <w:tcPr>
            <w:tcW w:w="11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1,900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24,000</w:t>
            </w:r>
          </w:p>
        </w:tc>
        <w:tc>
          <w:tcPr>
            <w:tcW w:w="1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wholesale shipments as reported by RVIA, rounded to the nearest hundred.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retail registrations as reported by Stat Surveys for the US and Canada combined, rounded to the nearest hundred.</w:t>
      </w:r>
    </w:p>
    <w:p>
      <w:pPr>
        <w:ind w:left="340" w:right="18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Monthly and quarterly 2012 Class A, B and C wholesale shipments are based upon the forecast prepared by Dr. Richard Curtin of the University of Michigan Consumer Survey Research Center for RVIA and reported in the Roadsigns RV Special 2013 Industry Forecast Issue. The revised RVIA annual 2012 wholesale shipment forecast is 26,100 and the annual forecast for 2013 is 27,600.</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Stat Surveys has not issued a projection for 2012 retail demand for this period.</w:t>
      </w:r>
    </w:p>
    <w:p>
      <w:pPr>
        <w:spacing w:after="0" w:line="156"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The size of the motorized retail market for each of the past three calendar years has been less than half of what the industry norms had been prior to the recession that began in December 2007. RVIA, in a recent Roadsigns publications, attributes the flat retail environment primarily to declining home equity. However, RVIA forecasts that motor homes sales are likely to improve at a relatively greater pace in the decade ahead as stricter fuel economy standards reduce the towing capacity of the household vehicle fleet.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6"/>
          </w:tcPr>
          <w:p>
            <w:pPr>
              <w:jc w:val="right"/>
              <w:ind w:right="321"/>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1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ind w:right="522"/>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542"/>
              <w:spacing w:after="0"/>
              <w:rPr>
                <w:sz w:val="20"/>
                <w:szCs w:val="20"/>
                <w:color w:val="auto"/>
              </w:rPr>
            </w:pPr>
            <w:r>
              <w:rPr>
                <w:rFonts w:ascii="Arial" w:cs="Arial" w:eastAsia="Arial" w:hAnsi="Arial"/>
                <w:sz w:val="14"/>
                <w:szCs w:val="14"/>
                <w:b w:val="1"/>
                <w:bCs w:val="1"/>
                <w:color w:val="auto"/>
              </w:rPr>
              <w:t>Calendar Year</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Increase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2010</w:t>
            </w: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(Decrease)</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Increase</w:t>
            </w: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54,200</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49,300</w:t>
            </w:r>
          </w:p>
        </w:tc>
        <w:tc>
          <w:tcPr>
            <w:tcW w:w="1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4,900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9.9 %</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33,400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31,100</w:t>
            </w:r>
          </w:p>
        </w:tc>
        <w:tc>
          <w:tcPr>
            <w:tcW w:w="11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2,300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quarter</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66,000</w:t>
            </w:r>
          </w:p>
        </w:tc>
        <w:tc>
          <w:tcPr>
            <w:tcW w:w="40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62,300</w:t>
            </w:r>
          </w:p>
        </w:tc>
        <w:tc>
          <w:tcPr>
            <w:tcW w:w="1140" w:type="dxa"/>
            <w:vAlign w:val="bottom"/>
          </w:tcPr>
          <w:p>
            <w:pPr>
              <w:jc w:val="right"/>
              <w:ind w:right="222"/>
              <w:spacing w:after="0"/>
              <w:rPr>
                <w:sz w:val="20"/>
                <w:szCs w:val="20"/>
                <w:color w:val="auto"/>
              </w:rPr>
            </w:pPr>
            <w:r>
              <w:rPr>
                <w:rFonts w:ascii="Arial" w:cs="Arial" w:eastAsia="Arial" w:hAnsi="Arial"/>
                <w:sz w:val="16"/>
                <w:szCs w:val="16"/>
                <w:color w:val="auto"/>
              </w:rPr>
              <w:t>3,700</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5.9 %</w:t>
            </w:r>
          </w:p>
        </w:tc>
        <w:tc>
          <w:tcPr>
            <w:tcW w:w="980" w:type="dxa"/>
            <w:vAlign w:val="bottom"/>
            <w:gridSpan w:val="2"/>
          </w:tcPr>
          <w:p>
            <w:pPr>
              <w:jc w:val="right"/>
              <w:ind w:right="25"/>
              <w:spacing w:after="0"/>
              <w:rPr>
                <w:sz w:val="20"/>
                <w:szCs w:val="20"/>
                <w:color w:val="auto"/>
              </w:rPr>
            </w:pPr>
            <w:r>
              <w:rPr>
                <w:rFonts w:ascii="Arial" w:cs="Arial" w:eastAsia="Arial" w:hAnsi="Arial"/>
                <w:sz w:val="16"/>
                <w:szCs w:val="16"/>
                <w:color w:val="auto"/>
              </w:rPr>
              <w:t>75,000</w:t>
            </w:r>
          </w:p>
        </w:tc>
        <w:tc>
          <w:tcPr>
            <w:tcW w:w="3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69,400</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5,600</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47,500</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48,600</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59,400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57,200</w:t>
            </w:r>
          </w:p>
        </w:tc>
        <w:tc>
          <w:tcPr>
            <w:tcW w:w="11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2,200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70"/>
        </w:trPr>
        <w:tc>
          <w:tcPr>
            <w:tcW w:w="2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45,200</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39,000</w:t>
            </w:r>
          </w:p>
        </w:tc>
        <w:tc>
          <w:tcPr>
            <w:tcW w:w="11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6,200</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29,500</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28,300</w:t>
            </w: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1,200</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61"/>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212,900</w:t>
            </w: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199,200</w:t>
            </w:r>
          </w:p>
        </w:tc>
        <w:tc>
          <w:tcPr>
            <w:tcW w:w="1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13,700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6.9 %</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197,300</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186,000</w:t>
            </w:r>
          </w:p>
        </w:tc>
        <w:tc>
          <w:tcPr>
            <w:tcW w:w="11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11,300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Increase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jc w:val="center"/>
              <w:ind w:right="2"/>
              <w:spacing w:after="0"/>
              <w:rPr>
                <w:sz w:val="20"/>
                <w:szCs w:val="20"/>
                <w:color w:val="auto"/>
              </w:rPr>
            </w:pPr>
            <w:r>
              <w:rPr>
                <w:rFonts w:ascii="Arial" w:cs="Arial" w:eastAsia="Arial" w:hAnsi="Arial"/>
                <w:sz w:val="14"/>
                <w:szCs w:val="14"/>
                <w:b w:val="1"/>
                <w:bCs w:val="1"/>
                <w:color w:val="auto"/>
              </w:rPr>
              <w:t>Increase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(Decrease)</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(Decrease)</w:t>
            </w: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quarter</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60,400</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54,200</w:t>
            </w:r>
          </w:p>
        </w:tc>
        <w:tc>
          <w:tcPr>
            <w:tcW w:w="1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6,200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11.4 %</w:t>
            </w:r>
          </w:p>
        </w:tc>
        <w:tc>
          <w:tcPr>
            <w:tcW w:w="9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37,600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33,400</w:t>
            </w:r>
          </w:p>
        </w:tc>
        <w:tc>
          <w:tcPr>
            <w:tcW w:w="11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4,200</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60"/>
        </w:trPr>
        <w:tc>
          <w:tcPr>
            <w:tcW w:w="2340" w:type="dxa"/>
            <w:vAlign w:val="bottom"/>
            <w:gridSpan w:val="2"/>
          </w:tcPr>
          <w:p>
            <w:pPr>
              <w:ind w:left="180"/>
              <w:spacing w:after="0"/>
              <w:rPr>
                <w:sz w:val="20"/>
                <w:szCs w:val="20"/>
                <w:color w:val="auto"/>
              </w:rPr>
            </w:pPr>
            <w:r>
              <w:rPr>
                <w:rFonts w:ascii="Arial" w:cs="Arial" w:eastAsia="Arial" w:hAnsi="Arial"/>
                <w:sz w:val="16"/>
                <w:szCs w:val="16"/>
                <w:color w:val="auto"/>
              </w:rPr>
              <w:t>April</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22,800</w:t>
            </w:r>
          </w:p>
        </w:tc>
        <w:tc>
          <w:tcPr>
            <w:tcW w:w="400" w:type="dxa"/>
            <w:vAlign w:val="bottom"/>
          </w:tcPr>
          <w:p>
            <w:pPr>
              <w:spacing w:after="0"/>
              <w:rPr>
                <w:sz w:val="22"/>
                <w:szCs w:val="22"/>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20,000</w:t>
            </w:r>
          </w:p>
        </w:tc>
        <w:tc>
          <w:tcPr>
            <w:tcW w:w="1140" w:type="dxa"/>
            <w:vAlign w:val="bottom"/>
          </w:tcPr>
          <w:p>
            <w:pPr>
              <w:jc w:val="right"/>
              <w:ind w:right="222"/>
              <w:spacing w:after="0"/>
              <w:rPr>
                <w:sz w:val="20"/>
                <w:szCs w:val="20"/>
                <w:color w:val="auto"/>
              </w:rPr>
            </w:pPr>
            <w:r>
              <w:rPr>
                <w:rFonts w:ascii="Arial" w:cs="Arial" w:eastAsia="Arial" w:hAnsi="Arial"/>
                <w:sz w:val="16"/>
                <w:szCs w:val="16"/>
                <w:color w:val="auto"/>
              </w:rPr>
              <w:t>2,800</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14.0 %</w:t>
            </w:r>
          </w:p>
        </w:tc>
        <w:tc>
          <w:tcPr>
            <w:tcW w:w="980" w:type="dxa"/>
            <w:vAlign w:val="bottom"/>
            <w:gridSpan w:val="2"/>
          </w:tcPr>
          <w:p>
            <w:pPr>
              <w:jc w:val="right"/>
              <w:ind w:right="25"/>
              <w:spacing w:after="0"/>
              <w:rPr>
                <w:sz w:val="20"/>
                <w:szCs w:val="20"/>
                <w:color w:val="auto"/>
              </w:rPr>
            </w:pPr>
            <w:r>
              <w:rPr>
                <w:rFonts w:ascii="Arial" w:cs="Arial" w:eastAsia="Arial" w:hAnsi="Arial"/>
                <w:sz w:val="16"/>
                <w:szCs w:val="16"/>
                <w:color w:val="auto"/>
              </w:rPr>
              <w:t>23,100</w:t>
            </w:r>
          </w:p>
        </w:tc>
        <w:tc>
          <w:tcPr>
            <w:tcW w:w="32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23,200</w:t>
            </w: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May</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24,500</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23,200</w:t>
            </w:r>
          </w:p>
        </w:tc>
        <w:tc>
          <w:tcPr>
            <w:tcW w:w="1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1,300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25,800</w:t>
            </w:r>
          </w:p>
        </w:tc>
        <w:tc>
          <w:tcPr>
            <w:tcW w:w="1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340" w:type="dxa"/>
            <w:vAlign w:val="bottom"/>
            <w:gridSpan w:val="2"/>
            <w:vMerge w:val="restart"/>
          </w:tcPr>
          <w:p>
            <w:pPr>
              <w:ind w:left="120"/>
              <w:spacing w:after="0"/>
              <w:rPr>
                <w:sz w:val="20"/>
                <w:szCs w:val="20"/>
                <w:color w:val="auto"/>
              </w:rPr>
            </w:pPr>
            <w:r>
              <w:rPr>
                <w:rFonts w:ascii="Arial" w:cs="Arial" w:eastAsia="Arial" w:hAnsi="Arial"/>
                <w:sz w:val="16"/>
                <w:szCs w:val="16"/>
                <w:color w:val="auto"/>
              </w:rPr>
              <w:t>June</w:t>
            </w:r>
          </w:p>
        </w:tc>
        <w:tc>
          <w:tcPr>
            <w:tcW w:w="860" w:type="dxa"/>
            <w:vAlign w:val="bottom"/>
            <w:vMerge w:val="restart"/>
          </w:tcPr>
          <w:p>
            <w:pPr>
              <w:jc w:val="right"/>
              <w:ind w:right="20"/>
              <w:spacing w:after="0"/>
              <w:rPr>
                <w:sz w:val="20"/>
                <w:szCs w:val="20"/>
                <w:color w:val="auto"/>
              </w:rPr>
            </w:pPr>
            <w:r>
              <w:rPr>
                <w:rFonts w:ascii="Arial" w:cs="Arial" w:eastAsia="Arial" w:hAnsi="Arial"/>
                <w:sz w:val="16"/>
                <w:szCs w:val="16"/>
                <w:color w:val="auto"/>
              </w:rPr>
              <w:t>22,600</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22,800</w:t>
            </w:r>
          </w:p>
        </w:tc>
        <w:tc>
          <w:tcPr>
            <w:tcW w:w="1140" w:type="dxa"/>
            <w:vAlign w:val="bottom"/>
            <w:vMerge w:val="restart"/>
          </w:tcPr>
          <w:p>
            <w:pPr>
              <w:jc w:val="right"/>
              <w:ind w:right="162"/>
              <w:spacing w:after="0"/>
              <w:rPr>
                <w:sz w:val="20"/>
                <w:szCs w:val="20"/>
                <w:color w:val="auto"/>
              </w:rPr>
            </w:pPr>
            <w:r>
              <w:rPr>
                <w:rFonts w:ascii="Arial" w:cs="Arial" w:eastAsia="Arial" w:hAnsi="Arial"/>
                <w:sz w:val="16"/>
                <w:szCs w:val="16"/>
                <w:color w:val="auto"/>
              </w:rPr>
              <w:t>(200)</w:t>
            </w:r>
          </w:p>
        </w:tc>
        <w:tc>
          <w:tcPr>
            <w:tcW w:w="1160" w:type="dxa"/>
            <w:vAlign w:val="bottom"/>
            <w:vMerge w:val="restart"/>
          </w:tcPr>
          <w:p>
            <w:pPr>
              <w:jc w:val="right"/>
              <w:ind w:right="10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21"/>
              <w:spacing w:after="0"/>
              <w:rPr>
                <w:sz w:val="20"/>
                <w:szCs w:val="20"/>
                <w:color w:val="auto"/>
              </w:rPr>
            </w:pPr>
            <w:r>
              <w:rPr>
                <w:rFonts w:ascii="Arial" w:cs="Arial" w:eastAsia="Arial" w:hAnsi="Arial"/>
                <w:sz w:val="16"/>
                <w:szCs w:val="16"/>
                <w:color w:val="auto"/>
              </w:rPr>
              <w:t>26,000</w:t>
            </w: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4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quarter</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54,700</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9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47,500</w:t>
            </w:r>
          </w:p>
        </w:tc>
        <w:tc>
          <w:tcPr>
            <w:tcW w:w="114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rPr>
              <w:t>7,200</w:t>
            </w:r>
          </w:p>
        </w:tc>
        <w:tc>
          <w:tcPr>
            <w:tcW w:w="116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59,400</w:t>
            </w: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4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40" w:type="dxa"/>
            <w:vAlign w:val="bottom"/>
            <w:gridSpan w:val="2"/>
            <w:vMerge w:val="restart"/>
          </w:tcPr>
          <w:p>
            <w:pPr>
              <w:ind w:left="40"/>
              <w:spacing w:after="0"/>
              <w:rPr>
                <w:sz w:val="20"/>
                <w:szCs w:val="20"/>
                <w:color w:val="auto"/>
              </w:rPr>
            </w:pPr>
            <w:r>
              <w:rPr>
                <w:rFonts w:ascii="Arial" w:cs="Arial" w:eastAsia="Arial" w:hAnsi="Arial"/>
                <w:sz w:val="16"/>
                <w:szCs w:val="16"/>
                <w:color w:val="auto"/>
              </w:rPr>
              <w:t>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quarter</w:t>
            </w:r>
          </w:p>
        </w:tc>
        <w:tc>
          <w:tcPr>
            <w:tcW w:w="860" w:type="dxa"/>
            <w:vAlign w:val="bottom"/>
            <w:vMerge w:val="restart"/>
          </w:tcPr>
          <w:p>
            <w:pPr>
              <w:jc w:val="right"/>
              <w:ind w:right="20"/>
              <w:spacing w:after="0"/>
              <w:rPr>
                <w:sz w:val="20"/>
                <w:szCs w:val="20"/>
                <w:color w:val="auto"/>
              </w:rPr>
            </w:pPr>
            <w:r>
              <w:rPr>
                <w:rFonts w:ascii="Arial" w:cs="Arial" w:eastAsia="Arial" w:hAnsi="Arial"/>
                <w:sz w:val="16"/>
                <w:szCs w:val="16"/>
                <w:color w:val="auto"/>
              </w:rPr>
              <w:t>47,100</w:t>
            </w:r>
          </w:p>
        </w:tc>
        <w:tc>
          <w:tcPr>
            <w:tcW w:w="40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45,200</w:t>
            </w:r>
          </w:p>
        </w:tc>
        <w:tc>
          <w:tcPr>
            <w:tcW w:w="1140" w:type="dxa"/>
            <w:vAlign w:val="bottom"/>
            <w:vMerge w:val="restart"/>
          </w:tcPr>
          <w:p>
            <w:pPr>
              <w:jc w:val="right"/>
              <w:ind w:right="222"/>
              <w:spacing w:after="0"/>
              <w:rPr>
                <w:sz w:val="20"/>
                <w:szCs w:val="20"/>
                <w:color w:val="auto"/>
              </w:rPr>
            </w:pPr>
            <w:r>
              <w:rPr>
                <w:rFonts w:ascii="Arial" w:cs="Arial" w:eastAsia="Arial" w:hAnsi="Arial"/>
                <w:sz w:val="16"/>
                <w:szCs w:val="16"/>
                <w:color w:val="auto"/>
              </w:rPr>
              <w:t>1,900</w:t>
            </w:r>
          </w:p>
        </w:tc>
        <w:tc>
          <w:tcPr>
            <w:tcW w:w="1160" w:type="dxa"/>
            <w:vAlign w:val="bottom"/>
            <w:vMerge w:val="restart"/>
          </w:tcPr>
          <w:p>
            <w:pPr>
              <w:jc w:val="right"/>
              <w:ind w:right="100"/>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vMerge w:val="restart"/>
          </w:tcPr>
          <w:p>
            <w:pPr>
              <w:jc w:val="right"/>
              <w:ind w:right="46"/>
              <w:spacing w:after="0"/>
              <w:rPr>
                <w:sz w:val="20"/>
                <w:szCs w:val="20"/>
                <w:color w:val="auto"/>
              </w:rPr>
            </w:pPr>
            <w:r>
              <w:rPr>
                <w:rFonts w:ascii="Arial" w:cs="Arial" w:eastAsia="Arial" w:hAnsi="Arial"/>
                <w:sz w:val="11"/>
                <w:szCs w:val="11"/>
                <w:color w:val="auto"/>
              </w:rPr>
              <w:t>(4)</w:t>
            </w:r>
          </w:p>
        </w:tc>
        <w:tc>
          <w:tcPr>
            <w:tcW w:w="980" w:type="dxa"/>
            <w:vAlign w:val="bottom"/>
            <w:vMerge w:val="restart"/>
          </w:tcPr>
          <w:p>
            <w:pPr>
              <w:jc w:val="right"/>
              <w:ind w:right="21"/>
              <w:spacing w:after="0"/>
              <w:rPr>
                <w:sz w:val="20"/>
                <w:szCs w:val="20"/>
                <w:color w:val="auto"/>
              </w:rPr>
            </w:pPr>
            <w:r>
              <w:rPr>
                <w:rFonts w:ascii="Arial" w:cs="Arial" w:eastAsia="Arial" w:hAnsi="Arial"/>
                <w:sz w:val="16"/>
                <w:szCs w:val="16"/>
                <w:color w:val="auto"/>
              </w:rPr>
              <w:t>29,500</w:t>
            </w: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40" w:type="dxa"/>
            <w:vAlign w:val="bottom"/>
            <w:tcBorders>
              <w:bottom w:val="single" w:sz="8" w:color="CCEEFF"/>
            </w:tcBorders>
            <w:gridSpan w:val="2"/>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1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232,100</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212,900</w:t>
            </w:r>
          </w:p>
        </w:tc>
        <w:tc>
          <w:tcPr>
            <w:tcW w:w="114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19,200</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197,300</w:t>
            </w:r>
          </w:p>
        </w:tc>
        <w:tc>
          <w:tcPr>
            <w:tcW w:w="1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Towable wholesale shipments as reported by RVIA, rounded to the nearest hundred.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Towable retail registrations as reported by Stat Surveys for the US and Canada combined, rounded to the nearest hundred.</w:t>
      </w:r>
    </w:p>
    <w:p>
      <w:pPr>
        <w:ind w:left="340" w:right="14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Monthly and quarterly 2012 towable wholesale shipments are based upon the forecast prepared by Dr. Richard Curtin of the University of Michigan Consumer Survey Research Center for RVIA and reported in the Roadsigns RV Special 2013 Industry Forecast Issue. The revised RVIA annual 2012 wholesale shipment forecast is 229,100 and the annual forecast for 2013 is 239,400.</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Stat Surveys has not issued a projection for 2012 retail demand for this period.</w:t>
      </w:r>
    </w:p>
    <w:p>
      <w:pPr>
        <w:sectPr>
          <w:pgSz w:w="11900" w:h="16838" w:orient="portrait"/>
          <w:cols w:equalWidth="0" w:num="1">
            <w:col w:w="11420"/>
          </w:cols>
          <w:pgMar w:left="240" w:top="141" w:right="239" w:bottom="116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16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towable retail market has not been as negatively impacted in recent years as the motorized market. The size of the market was nearly nine times larger than the motorized market on a unit basis in Calendar 2011. This is primarily due to the fact that average price of a towable unit is considerably less than a motor home.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Outlook</w:t>
      </w:r>
    </w:p>
    <w:p>
      <w:pPr>
        <w:spacing w:after="0" w:line="21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Based on our profitable operating results for Fiscal 2011, profitable operating results and strong operating cash flow performance thus far in Fiscal 2012, we believe that we have demonstrated our ability to maintain adequate liquidity, cover operations costs, recover fixed assets, and maintain physical capacity at present levels. In Fiscal 2011 we entered into the towable market, providing us the potential to grow revenues and earnings in a market significantly larger than the motorized market.</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believe retail sales will be the key driver to improvement of the recreation vehicle market. We also believe that future dealer buying patterns will continue to be primarily based on retail demand, thus dealers are expected to order approximately one new unit as one is retailed. Our viewpoint is that dealers post-recession are much more cautious about their level of inventory and are more focused on their retail turn rate than they were as a group pre-recession. We plan to continue to focus on those same metrics, closely reviewing the aging of dealer inventory and retail turns by product series. Consistent with our current practice, we will continue to adjust our weekly production rate up or down based on market demand. Negative factors that may hinder retail sales include the current low level of consumer confidence, continued high unemployment levels and uncertainty regarding fuel prices.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3"/>
          </w:tcPr>
          <w:p>
            <w:pPr>
              <w:ind w:left="520"/>
              <w:spacing w:after="0"/>
              <w:rPr>
                <w:sz w:val="20"/>
                <w:szCs w:val="20"/>
                <w:color w:val="auto"/>
              </w:rPr>
            </w:pPr>
            <w:r>
              <w:rPr>
                <w:rFonts w:ascii="Arial" w:cs="Arial" w:eastAsia="Arial" w:hAnsi="Arial"/>
                <w:sz w:val="14"/>
                <w:szCs w:val="14"/>
                <w:b w:val="1"/>
                <w:bCs w:val="1"/>
                <w:color w:val="auto"/>
              </w:rPr>
              <w:t>May 26, 2012</w:t>
            </w:r>
          </w:p>
        </w:tc>
        <w:tc>
          <w:tcPr>
            <w:tcW w:w="240" w:type="dxa"/>
            <w:vAlign w:val="bottom"/>
          </w:tcPr>
          <w:p>
            <w:pPr>
              <w:spacing w:after="0"/>
              <w:rPr>
                <w:sz w:val="22"/>
                <w:szCs w:val="22"/>
                <w:color w:val="auto"/>
              </w:rPr>
            </w:pPr>
          </w:p>
        </w:tc>
        <w:tc>
          <w:tcPr>
            <w:tcW w:w="2220" w:type="dxa"/>
            <w:vAlign w:val="bottom"/>
            <w:gridSpan w:val="3"/>
          </w:tcPr>
          <w:p>
            <w:pPr>
              <w:ind w:left="520"/>
              <w:spacing w:after="0"/>
              <w:rPr>
                <w:sz w:val="20"/>
                <w:szCs w:val="20"/>
                <w:color w:val="auto"/>
              </w:rPr>
            </w:pPr>
            <w:r>
              <w:rPr>
                <w:rFonts w:ascii="Arial" w:cs="Arial" w:eastAsia="Arial" w:hAnsi="Arial"/>
                <w:sz w:val="14"/>
                <w:szCs w:val="14"/>
                <w:b w:val="1"/>
                <w:bCs w:val="1"/>
                <w:color w:val="auto"/>
              </w:rPr>
              <w:t>May 28, 2011</w:t>
            </w:r>
          </w:p>
        </w:tc>
        <w:tc>
          <w:tcPr>
            <w:tcW w:w="200" w:type="dxa"/>
            <w:vAlign w:val="bottom"/>
          </w:tcPr>
          <w:p>
            <w:pPr>
              <w:spacing w:after="0"/>
              <w:rPr>
                <w:sz w:val="22"/>
                <w:szCs w:val="22"/>
                <w:color w:val="auto"/>
              </w:rPr>
            </w:pPr>
          </w:p>
        </w:tc>
        <w:tc>
          <w:tcPr>
            <w:tcW w:w="1180" w:type="dxa"/>
            <w:vAlign w:val="bottom"/>
          </w:tcPr>
          <w:p>
            <w:pPr>
              <w:jc w:val="right"/>
              <w:ind w:right="340"/>
              <w:spacing w:after="0"/>
              <w:rPr>
                <w:sz w:val="20"/>
                <w:szCs w:val="20"/>
                <w:color w:val="auto"/>
              </w:rPr>
            </w:pPr>
            <w:r>
              <w:rPr>
                <w:rFonts w:ascii="Arial" w:cs="Arial" w:eastAsia="Arial" w:hAnsi="Arial"/>
                <w:sz w:val="14"/>
                <w:szCs w:val="14"/>
                <w:b w:val="1"/>
                <w:bCs w:val="1"/>
                <w:color w:val="auto"/>
              </w:rPr>
              <w:t>Increase</w:t>
            </w: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60" w:type="dxa"/>
            <w:vAlign w:val="bottom"/>
            <w:tcBorders>
              <w:top w:val="single" w:sz="8" w:color="auto"/>
              <w:bottom w:val="single" w:sz="8" w:color="auto"/>
            </w:tcBorders>
          </w:tcPr>
          <w:p>
            <w:pPr>
              <w:jc w:val="right"/>
              <w:ind w:right="423"/>
              <w:spacing w:after="0" w:line="25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1280" w:type="dxa"/>
            <w:vAlign w:val="bottom"/>
            <w:tcBorders>
              <w:top w:val="single" w:sz="8" w:color="auto"/>
              <w:bottom w:val="single" w:sz="8" w:color="auto"/>
            </w:tcBorders>
          </w:tcPr>
          <w:p>
            <w:pPr>
              <w:jc w:val="right"/>
              <w:ind w:right="423"/>
              <w:spacing w:after="0" w:line="25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479</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292</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156.1 %</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257</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144</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127.4 %</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736</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436</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145.3 %</w:t>
            </w:r>
          </w:p>
        </w:tc>
        <w:tc>
          <w:tcPr>
            <w:tcW w:w="0" w:type="dxa"/>
            <w:vAlign w:val="bottom"/>
          </w:tcPr>
          <w:p>
            <w:pPr>
              <w:spacing w:after="0"/>
              <w:rPr>
                <w:sz w:val="1"/>
                <w:szCs w:val="1"/>
                <w:color w:val="auto"/>
              </w:rPr>
            </w:pPr>
          </w:p>
        </w:tc>
      </w:tr>
      <w:tr>
        <w:trPr>
          <w:trHeight w:val="260"/>
        </w:trPr>
        <w:tc>
          <w:tcPr>
            <w:tcW w:w="3760" w:type="dxa"/>
            <w:vAlign w:val="bottom"/>
          </w:tcPr>
          <w:p>
            <w:pPr>
              <w:ind w:left="4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120</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260"/>
              <w:spacing w:after="0"/>
              <w:rPr>
                <w:sz w:val="20"/>
                <w:szCs w:val="20"/>
                <w:color w:val="auto"/>
              </w:rPr>
            </w:pPr>
            <w:r>
              <w:rPr>
                <w:rFonts w:ascii="Arial" w:cs="Arial" w:eastAsia="Arial" w:hAnsi="Arial"/>
                <w:sz w:val="16"/>
                <w:szCs w:val="16"/>
                <w:color w:val="auto"/>
              </w:rPr>
              <w:t>(10)</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381</w:t>
            </w: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169</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79.7 %</w:t>
            </w:r>
          </w:p>
        </w:tc>
        <w:tc>
          <w:tcPr>
            <w:tcW w:w="0" w:type="dxa"/>
            <w:vAlign w:val="bottom"/>
          </w:tcPr>
          <w:p>
            <w:pPr>
              <w:spacing w:after="0"/>
              <w:rPr>
                <w:sz w:val="1"/>
                <w:szCs w:val="1"/>
                <w:color w:val="auto"/>
              </w:rPr>
            </w:pPr>
          </w:p>
        </w:tc>
      </w:tr>
      <w:tr>
        <w:trPr>
          <w:trHeight w:val="283"/>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1,237</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595</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92.7 %</w:t>
            </w:r>
          </w:p>
        </w:tc>
        <w:tc>
          <w:tcPr>
            <w:tcW w:w="0" w:type="dxa"/>
            <w:vAlign w:val="bottom"/>
          </w:tcPr>
          <w:p>
            <w:pPr>
              <w:spacing w:after="0"/>
              <w:rPr>
                <w:sz w:val="1"/>
                <w:szCs w:val="1"/>
                <w:color w:val="auto"/>
              </w:rPr>
            </w:pPr>
          </w:p>
        </w:tc>
      </w:tr>
      <w:tr>
        <w:trPr>
          <w:trHeight w:val="251"/>
        </w:trPr>
        <w:tc>
          <w:tcPr>
            <w:tcW w:w="3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301</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183</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155.1 %</w:t>
            </w: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204</w:t>
            </w: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158</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343.5 %</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505</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341</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207.9 %</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131,418</w:t>
            </w: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61,924</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69,494</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112.2 %</w:t>
            </w:r>
          </w:p>
        </w:tc>
        <w:tc>
          <w:tcPr>
            <w:tcW w:w="0" w:type="dxa"/>
            <w:vAlign w:val="bottom"/>
          </w:tcPr>
          <w:p>
            <w:pPr>
              <w:spacing w:after="0"/>
              <w:rPr>
                <w:sz w:val="1"/>
                <w:szCs w:val="1"/>
                <w:color w:val="auto"/>
              </w:rPr>
            </w:pPr>
          </w:p>
        </w:tc>
      </w:tr>
      <w:tr>
        <w:trPr>
          <w:trHeight w:val="251"/>
        </w:trPr>
        <w:tc>
          <w:tcPr>
            <w:tcW w:w="3760" w:type="dxa"/>
            <w:vAlign w:val="bottom"/>
          </w:tcPr>
          <w:p>
            <w:pPr>
              <w:ind w:left="40"/>
              <w:spacing w:after="0"/>
              <w:rPr>
                <w:sz w:val="20"/>
                <w:szCs w:val="20"/>
                <w:color w:val="auto"/>
              </w:rPr>
            </w:pPr>
            <w:r>
              <w:rPr>
                <w:rFonts w:ascii="Arial" w:cs="Arial" w:eastAsia="Arial" w:hAnsi="Arial"/>
                <w:sz w:val="16"/>
                <w:szCs w:val="16"/>
                <w:color w:val="auto"/>
              </w:rPr>
              <w:t>Towable</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12,487</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3,532</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8,955</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253.5 %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ind w:left="340" w:right="160" w:hanging="332"/>
        <w:spacing w:after="0" w:line="242"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During the third quarter of Fiscal 2012, we hosted our Dealer Days event, which was the primary reason our selling expenses increased from the prior year. At this event, we showcased our new product and spent time with our dealer body. The event resulted an improved sales order position for our motorized products and had a particularly positive impact on our Towable backlog.</w:t>
      </w:r>
    </w:p>
    <w:p>
      <w:pPr>
        <w:spacing w:after="0" w:line="16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Based on the positive response we have received to our new model year products, our sales order backlog has shown significant growth. As a result, we have taken steps to gradually increase production rates. Due to the improved backlog and continued low dealer inventories of new products, we are optimistic about the remainder of the fiscal year.</w:t>
      </w:r>
    </w:p>
    <w:p>
      <w:pPr>
        <w:spacing w:after="0" w:line="17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In addition, we are anticipating that in the fourth quarter of Fiscal 2012, we will reach a three-year cumulative income position. This positive factor, along with our future outlook, may eliminate the uncertainty of realizing our deferred tax assets, thus allowing us to significantly reduce our valuation allowance against these assets. If this position is reached, it would result in a one-time, non-cash income tax benefit of approximately $33 million to $35 million in the fourth quarter of Fiscal 2012.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Current Quarter Compared to the Comparable Quarter Last 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 except percent</w:t>
            </w:r>
          </w:p>
        </w:tc>
        <w:tc>
          <w:tcPr>
            <w:tcW w:w="280" w:type="dxa"/>
            <w:vAlign w:val="bottom"/>
          </w:tcPr>
          <w:p>
            <w:pPr>
              <w:spacing w:after="0"/>
              <w:rPr>
                <w:sz w:val="15"/>
                <w:szCs w:val="15"/>
                <w:color w:val="auto"/>
              </w:rPr>
            </w:pPr>
          </w:p>
        </w:tc>
        <w:tc>
          <w:tcPr>
            <w:tcW w:w="1160" w:type="dxa"/>
            <w:vAlign w:val="bottom"/>
          </w:tcPr>
          <w:p>
            <w:pPr>
              <w:jc w:val="right"/>
              <w:ind w:right="400"/>
              <w:spacing w:after="0"/>
              <w:rPr>
                <w:sz w:val="20"/>
                <w:szCs w:val="20"/>
                <w:color w:val="auto"/>
              </w:rPr>
            </w:pPr>
            <w:r>
              <w:rPr>
                <w:rFonts w:ascii="Arial" w:cs="Arial" w:eastAsia="Arial" w:hAnsi="Arial"/>
                <w:sz w:val="14"/>
                <w:szCs w:val="14"/>
                <w:b w:val="1"/>
                <w:bCs w:val="1"/>
                <w:color w:val="auto"/>
              </w:rPr>
              <w:t>May 26,</w:t>
            </w: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Arial" w:cs="Arial" w:eastAsia="Arial" w:hAnsi="Arial"/>
                <w:sz w:val="14"/>
                <w:szCs w:val="14"/>
                <w:b w:val="1"/>
                <w:bCs w:val="1"/>
                <w:color w:val="auto"/>
              </w:rPr>
              <w:t>May 28,</w:t>
            </w:r>
          </w:p>
        </w:tc>
        <w:tc>
          <w:tcPr>
            <w:tcW w:w="1540" w:type="dxa"/>
            <w:vAlign w:val="bottom"/>
            <w:gridSpan w:val="2"/>
          </w:tcPr>
          <w:p>
            <w:pPr>
              <w:ind w:left="5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5"/>
                <w:szCs w:val="15"/>
                <w:color w:val="auto"/>
              </w:rPr>
            </w:pPr>
          </w:p>
        </w:tc>
        <w:tc>
          <w:tcPr>
            <w:tcW w:w="1200" w:type="dxa"/>
            <w:vAlign w:val="bottom"/>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and per share data)</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2011</w:t>
            </w: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25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155,709</w:t>
            </w: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135,568</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20,141</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14.9 %</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143,638</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126,865</w:t>
            </w:r>
          </w:p>
        </w:tc>
        <w:tc>
          <w:tcPr>
            <w:tcW w:w="1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93.6 %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16,773</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13.2 %</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12,071</w:t>
            </w:r>
          </w:p>
        </w:tc>
        <w:tc>
          <w:tcPr>
            <w:tcW w:w="1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8,703</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3,368</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38.7 %</w:t>
            </w:r>
          </w:p>
        </w:tc>
      </w:tr>
      <w:tr>
        <w:trPr>
          <w:trHeight w:val="24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Selling</w:t>
            </w:r>
          </w:p>
        </w:tc>
        <w:tc>
          <w:tcPr>
            <w:tcW w:w="280" w:type="dxa"/>
            <w:vAlign w:val="bottom"/>
          </w:tcPr>
          <w:p>
            <w:pPr>
              <w:spacing w:after="0"/>
              <w:rPr>
                <w:sz w:val="21"/>
                <w:szCs w:val="21"/>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4,331</w:t>
            </w:r>
          </w:p>
        </w:tc>
        <w:tc>
          <w:tcPr>
            <w:tcW w:w="1380" w:type="dxa"/>
            <w:vAlign w:val="bottom"/>
          </w:tcPr>
          <w:p>
            <w:pPr>
              <w:jc w:val="right"/>
              <w:ind w:right="20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3,608</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723</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20.0 %</w:t>
            </w:r>
          </w:p>
        </w:tc>
      </w:tr>
      <w:tr>
        <w:trPr>
          <w:trHeight w:val="28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4,213</w:t>
            </w: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3,952</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261</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6.6 %</w:t>
            </w:r>
          </w:p>
        </w:tc>
      </w:tr>
      <w:tr>
        <w:trPr>
          <w:trHeight w:val="264"/>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Asset impairment</w:t>
            </w:r>
          </w:p>
        </w:tc>
        <w:tc>
          <w:tcPr>
            <w:tcW w:w="280" w:type="dxa"/>
            <w:vAlign w:val="bottom"/>
          </w:tcPr>
          <w:p>
            <w:pPr>
              <w:spacing w:after="0"/>
              <w:rPr>
                <w:sz w:val="22"/>
                <w:szCs w:val="22"/>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605</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(605)</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(100.0)%</w:t>
            </w:r>
          </w:p>
        </w:tc>
      </w:tr>
      <w:tr>
        <w:trPr>
          <w:trHeight w:val="250"/>
        </w:trPr>
        <w:tc>
          <w:tcPr>
            <w:tcW w:w="28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8,544</w:t>
            </w:r>
          </w:p>
        </w:tc>
        <w:tc>
          <w:tcPr>
            <w:tcW w:w="1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8,165</w:t>
            </w:r>
          </w:p>
        </w:tc>
        <w:tc>
          <w:tcPr>
            <w:tcW w:w="14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6.0 %</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379</w:t>
            </w:r>
          </w:p>
        </w:tc>
        <w:tc>
          <w:tcPr>
            <w:tcW w:w="1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4.6 %</w:t>
            </w:r>
          </w:p>
        </w:tc>
      </w:tr>
      <w:tr>
        <w:trPr>
          <w:trHeight w:val="24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1"/>
                <w:szCs w:val="21"/>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3,527</w:t>
            </w:r>
          </w:p>
        </w:tc>
        <w:tc>
          <w:tcPr>
            <w:tcW w:w="1380" w:type="dxa"/>
            <w:vAlign w:val="bottom"/>
          </w:tcPr>
          <w:p>
            <w:pPr>
              <w:jc w:val="right"/>
              <w:ind w:right="20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538</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2,989</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555.6 %</w:t>
            </w:r>
          </w:p>
        </w:tc>
      </w:tr>
      <w:tr>
        <w:trPr>
          <w:trHeight w:val="27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402</w:t>
            </w:r>
          </w:p>
        </w:tc>
        <w:tc>
          <w:tcPr>
            <w:tcW w:w="1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76</w:t>
            </w:r>
          </w:p>
        </w:tc>
        <w:tc>
          <w:tcPr>
            <w:tcW w:w="1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326</w:t>
            </w: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428.9 %</w:t>
            </w:r>
          </w:p>
        </w:tc>
      </w:tr>
      <w:tr>
        <w:trPr>
          <w:trHeight w:val="24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80" w:type="dxa"/>
            <w:vAlign w:val="bottom"/>
          </w:tcPr>
          <w:p>
            <w:pPr>
              <w:spacing w:after="0"/>
              <w:rPr>
                <w:sz w:val="21"/>
                <w:szCs w:val="21"/>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3,929</w:t>
            </w:r>
          </w:p>
        </w:tc>
        <w:tc>
          <w:tcPr>
            <w:tcW w:w="1380" w:type="dxa"/>
            <w:vAlign w:val="bottom"/>
          </w:tcPr>
          <w:p>
            <w:pPr>
              <w:jc w:val="right"/>
              <w:ind w:right="20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614</w:t>
            </w:r>
          </w:p>
        </w:tc>
        <w:tc>
          <w:tcPr>
            <w:tcW w:w="1440" w:type="dxa"/>
            <w:vAlign w:val="bottom"/>
          </w:tcPr>
          <w:p>
            <w:pPr>
              <w:jc w:val="right"/>
              <w:ind w:right="200"/>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3,315</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539.9 %</w:t>
            </w:r>
          </w:p>
        </w:tc>
      </w:tr>
      <w:tr>
        <w:trPr>
          <w:trHeight w:val="27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for taxes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(581)</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569</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97.9 %</w:t>
            </w:r>
          </w:p>
        </w:tc>
      </w:tr>
      <w:tr>
        <w:trPr>
          <w:trHeight w:val="28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3,941</w:t>
            </w:r>
          </w:p>
        </w:tc>
        <w:tc>
          <w:tcPr>
            <w:tcW w:w="13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rPr>
              <w:t>1,195</w:t>
            </w:r>
          </w:p>
        </w:tc>
        <w:tc>
          <w:tcPr>
            <w:tcW w:w="14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rPr>
              <w:t>2,746</w:t>
            </w:r>
          </w:p>
        </w:tc>
        <w:tc>
          <w:tcPr>
            <w:tcW w:w="1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229.8 %</w:t>
            </w:r>
          </w:p>
        </w:tc>
      </w:tr>
      <w:tr>
        <w:trPr>
          <w:trHeight w:val="254"/>
        </w:trPr>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9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0.13</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0.04</w:t>
            </w: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0.09</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225.0 %</w:t>
            </w:r>
          </w:p>
        </w:tc>
      </w:tr>
      <w:tr>
        <w:trPr>
          <w:trHeight w:val="237"/>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29,263</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29,152</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75"/>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60"/>
              <w:spacing w:after="0"/>
              <w:rPr>
                <w:sz w:val="20"/>
                <w:szCs w:val="20"/>
                <w:color w:val="auto"/>
              </w:rPr>
            </w:pPr>
            <w:r>
              <w:rPr>
                <w:rFonts w:ascii="Arial" w:cs="Arial" w:eastAsia="Arial" w:hAnsi="Arial"/>
                <w:sz w:val="14"/>
                <w:szCs w:val="14"/>
                <w:b w:val="1"/>
                <w:bCs w:val="1"/>
                <w:color w:val="auto"/>
              </w:rPr>
              <w:t>May 26,</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5"/>
                <w:szCs w:val="15"/>
                <w:color w:val="auto"/>
              </w:rPr>
            </w:pPr>
          </w:p>
        </w:tc>
        <w:tc>
          <w:tcPr>
            <w:tcW w:w="1180" w:type="dxa"/>
            <w:vAlign w:val="bottom"/>
          </w:tcPr>
          <w:p>
            <w:pPr>
              <w:jc w:val="right"/>
              <w:ind w:right="461"/>
              <w:spacing w:after="0"/>
              <w:rPr>
                <w:sz w:val="20"/>
                <w:szCs w:val="20"/>
                <w:color w:val="auto"/>
              </w:rPr>
            </w:pPr>
            <w:r>
              <w:rPr>
                <w:rFonts w:ascii="Arial" w:cs="Arial" w:eastAsia="Arial" w:hAnsi="Arial"/>
                <w:sz w:val="14"/>
                <w:szCs w:val="14"/>
                <w:b w:val="1"/>
                <w:bCs w:val="1"/>
                <w:color w:val="auto"/>
              </w:rPr>
              <w:t>May 28,</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5"/>
                <w:szCs w:val="15"/>
                <w:color w:val="auto"/>
              </w:rPr>
            </w:pPr>
          </w:p>
        </w:tc>
        <w:tc>
          <w:tcPr>
            <w:tcW w:w="1280" w:type="dxa"/>
            <w:vAlign w:val="bottom"/>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138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2011</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429</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425</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0.9 %</w:t>
            </w:r>
          </w:p>
        </w:tc>
      </w:tr>
      <w:tr>
        <w:trPr>
          <w:trHeight w:val="264"/>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234</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204</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30</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14.7 %</w:t>
            </w:r>
          </w:p>
        </w:tc>
      </w:tr>
      <w:tr>
        <w:trPr>
          <w:trHeight w:val="25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663</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629</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34</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5.4 %</w:t>
            </w: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87</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86</w:t>
            </w:r>
          </w:p>
        </w:tc>
        <w:tc>
          <w:tcPr>
            <w:tcW w:w="1380" w:type="dxa"/>
            <w:vAlign w:val="bottom"/>
          </w:tcPr>
          <w:p>
            <w:pPr>
              <w:jc w:val="right"/>
              <w:ind w:right="280"/>
              <w:spacing w:after="0"/>
              <w:rPr>
                <w:sz w:val="20"/>
                <w:szCs w:val="20"/>
                <w:color w:val="auto"/>
              </w:rPr>
            </w:pPr>
            <w:r>
              <w:rPr>
                <w:rFonts w:ascii="Arial" w:cs="Arial" w:eastAsia="Arial" w:hAnsi="Arial"/>
                <w:sz w:val="16"/>
                <w:szCs w:val="16"/>
                <w:color w:val="auto"/>
              </w:rPr>
              <w:t>NMF</w:t>
            </w:r>
          </w:p>
        </w:tc>
      </w:tr>
      <w:tr>
        <w:trPr>
          <w:trHeight w:val="27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530</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653</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(123)</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(18.8)%</w:t>
            </w:r>
          </w:p>
        </w:tc>
      </w:tr>
      <w:tr>
        <w:trPr>
          <w:trHeight w:val="280"/>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 deliveries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1,280</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1,283</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(3)</w:t>
            </w: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(0.2)%</w:t>
            </w:r>
          </w:p>
        </w:tc>
      </w:tr>
      <w:tr>
        <w:trPr>
          <w:trHeight w:val="254"/>
        </w:trPr>
        <w:tc>
          <w:tcPr>
            <w:tcW w:w="2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Motor home ASP (in thousands)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102</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95</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7.4 %</w:t>
            </w:r>
          </w:p>
        </w:tc>
      </w:tr>
      <w:tr>
        <w:trPr>
          <w:trHeight w:val="280"/>
        </w:trPr>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357</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232</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125</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53.9 %</w:t>
            </w:r>
          </w:p>
        </w:tc>
      </w:tr>
      <w:tr>
        <w:trPr>
          <w:trHeight w:val="27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289</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94</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rPr>
              <w:t>195</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207.4 %</w:t>
            </w:r>
          </w:p>
        </w:tc>
      </w:tr>
      <w:tr>
        <w:trPr>
          <w:trHeight w:val="280"/>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towable deliveries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646</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326</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320</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98.2 %</w:t>
            </w:r>
          </w:p>
        </w:tc>
      </w:tr>
      <w:tr>
        <w:trPr>
          <w:trHeight w:val="254"/>
        </w:trPr>
        <w:tc>
          <w:tcPr>
            <w:tcW w:w="2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1"/>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Towable ASP (in thousands)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25</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22</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3</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13.6 %</w:t>
            </w: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75"/>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May 26,</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May 28,</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1320" w:type="dxa"/>
            <w:vAlign w:val="bottom"/>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320" w:type="dxa"/>
            <w:vAlign w:val="bottom"/>
          </w:tcPr>
          <w:p>
            <w:pPr>
              <w:jc w:val="right"/>
              <w:ind w:right="562"/>
              <w:spacing w:after="0"/>
              <w:rPr>
                <w:sz w:val="20"/>
                <w:szCs w:val="20"/>
                <w:color w:val="auto"/>
              </w:rPr>
            </w:pPr>
            <w:r>
              <w:rPr>
                <w:rFonts w:ascii="Arial" w:cs="Arial" w:eastAsia="Arial" w:hAnsi="Arial"/>
                <w:sz w:val="14"/>
                <w:szCs w:val="14"/>
                <w:b w:val="1"/>
                <w:bCs w:val="1"/>
                <w:color w:val="auto"/>
              </w:rPr>
              <w:t>%</w:t>
            </w:r>
          </w:p>
        </w:tc>
      </w:tr>
      <w:tr>
        <w:trPr>
          <w:trHeight w:val="202"/>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240" w:type="dxa"/>
            <w:vAlign w:val="bottom"/>
          </w:tcPr>
          <w:p>
            <w:pPr>
              <w:spacing w:after="0"/>
              <w:rPr>
                <w:sz w:val="17"/>
                <w:szCs w:val="17"/>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240" w:type="dxa"/>
            <w:vAlign w:val="bottom"/>
          </w:tcPr>
          <w:p>
            <w:pPr>
              <w:spacing w:after="0"/>
              <w:rPr>
                <w:sz w:val="17"/>
                <w:szCs w:val="17"/>
                <w:color w:val="auto"/>
              </w:rPr>
            </w:pPr>
          </w:p>
        </w:tc>
        <w:tc>
          <w:tcPr>
            <w:tcW w:w="1320" w:type="dxa"/>
            <w:vAlign w:val="bottom"/>
          </w:tcPr>
          <w:p>
            <w:pPr>
              <w:jc w:val="right"/>
              <w:ind w:right="362"/>
              <w:spacing w:after="0"/>
              <w:rPr>
                <w:sz w:val="20"/>
                <w:szCs w:val="20"/>
                <w:color w:val="auto"/>
              </w:rPr>
            </w:pPr>
            <w:r>
              <w:rPr>
                <w:rFonts w:ascii="Arial" w:cs="Arial" w:eastAsia="Arial" w:hAnsi="Arial"/>
                <w:sz w:val="14"/>
                <w:szCs w:val="14"/>
                <w:b w:val="1"/>
                <w:bCs w:val="1"/>
                <w:color w:val="auto"/>
              </w:rPr>
              <w:t>(Decrease)</w:t>
            </w:r>
          </w:p>
        </w:tc>
        <w:tc>
          <w:tcPr>
            <w:tcW w:w="1320" w:type="dxa"/>
            <w:vAlign w:val="bottom"/>
          </w:tcPr>
          <w:p>
            <w:pPr>
              <w:jc w:val="right"/>
              <w:ind w:right="36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(2)</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128,016</w:t>
            </w:r>
          </w:p>
        </w:tc>
        <w:tc>
          <w:tcPr>
            <w:tcW w:w="1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82.2%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119,528</w:t>
            </w:r>
          </w:p>
        </w:tc>
        <w:tc>
          <w:tcPr>
            <w:tcW w:w="1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88.2%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8,488</w:t>
            </w:r>
          </w:p>
        </w:tc>
        <w:tc>
          <w:tcPr>
            <w:tcW w:w="132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7.1 %</w:t>
            </w:r>
          </w:p>
        </w:tc>
      </w:tr>
      <w:tr>
        <w:trPr>
          <w:trHeight w:val="270"/>
        </w:trPr>
        <w:tc>
          <w:tcPr>
            <w:tcW w:w="292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16,392</w:t>
            </w:r>
          </w:p>
        </w:tc>
        <w:tc>
          <w:tcPr>
            <w:tcW w:w="1340" w:type="dxa"/>
            <w:vAlign w:val="bottom"/>
          </w:tcPr>
          <w:p>
            <w:pPr>
              <w:jc w:val="right"/>
              <w:ind w:right="202"/>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7,178</w:t>
            </w:r>
          </w:p>
        </w:tc>
        <w:tc>
          <w:tcPr>
            <w:tcW w:w="1340" w:type="dxa"/>
            <w:vAlign w:val="bottom"/>
          </w:tcPr>
          <w:p>
            <w:pPr>
              <w:jc w:val="right"/>
              <w:ind w:right="20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322"/>
              <w:spacing w:after="0"/>
              <w:rPr>
                <w:sz w:val="20"/>
                <w:szCs w:val="20"/>
                <w:color w:val="auto"/>
              </w:rPr>
            </w:pPr>
            <w:r>
              <w:rPr>
                <w:rFonts w:ascii="Arial" w:cs="Arial" w:eastAsia="Arial" w:hAnsi="Arial"/>
                <w:sz w:val="16"/>
                <w:szCs w:val="16"/>
                <w:color w:val="auto"/>
              </w:rPr>
              <w:t>9,214</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128.4 %</w:t>
            </w:r>
          </w:p>
        </w:tc>
      </w:tr>
      <w:tr>
        <w:trPr>
          <w:trHeight w:val="27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2,909</w:t>
            </w:r>
          </w:p>
        </w:tc>
        <w:tc>
          <w:tcPr>
            <w:tcW w:w="13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3,088</w:t>
            </w:r>
          </w:p>
        </w:tc>
        <w:tc>
          <w:tcPr>
            <w:tcW w:w="13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(179)</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(5.8)%</w:t>
            </w:r>
          </w:p>
        </w:tc>
      </w:tr>
      <w:tr>
        <w:trPr>
          <w:trHeight w:val="264"/>
        </w:trPr>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8,392</w:t>
            </w:r>
          </w:p>
        </w:tc>
        <w:tc>
          <w:tcPr>
            <w:tcW w:w="13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5,774</w:t>
            </w:r>
          </w:p>
        </w:tc>
        <w:tc>
          <w:tcPr>
            <w:tcW w:w="13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2,618</w:t>
            </w: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45.3 %</w:t>
            </w:r>
          </w:p>
        </w:tc>
      </w:tr>
      <w:tr>
        <w:trPr>
          <w:trHeight w:val="24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155,709</w:t>
            </w:r>
          </w:p>
        </w:tc>
        <w:tc>
          <w:tcPr>
            <w:tcW w:w="1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135,568</w:t>
            </w:r>
          </w:p>
        </w:tc>
        <w:tc>
          <w:tcPr>
            <w:tcW w:w="1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20,141</w:t>
            </w:r>
          </w:p>
        </w:tc>
        <w:tc>
          <w:tcPr>
            <w:tcW w:w="13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14.9 %</w:t>
            </w: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20" w:hanging="185"/>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Motor home unit revenue less discounts, sales promotions and incentives, and accrued loss on repurchase adjustments.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towable units and parts revenues less discounts, sales promotions and accrued loss on repurchase adjustments.</w:t>
      </w:r>
    </w:p>
    <w:p>
      <w:pPr>
        <w:sectPr>
          <w:pgSz w:w="11900" w:h="16838" w:orient="portrait"/>
          <w:cols w:equalWidth="0" w:num="1">
            <w:col w:w="11420"/>
          </w:cols>
          <w:pgMar w:left="240" w:top="141" w:right="239" w:bottom="701"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701"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third quarter of Fiscal 2012 increased $20.1 million, or 14.9%, compared to the third quarter of Fiscal 2011, primarily due to:</w:t>
      </w:r>
    </w:p>
    <w:p>
      <w:pPr>
        <w:spacing w:after="0" w:line="5" w:lineRule="exact"/>
        <w:rPr>
          <w:sz w:val="20"/>
          <w:szCs w:val="20"/>
          <w:color w:val="auto"/>
        </w:rPr>
      </w:pPr>
    </w:p>
    <w:p>
      <w:pPr>
        <w:ind w:left="340" w:hanging="170"/>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Towables revenues increased $9.2 million in Fiscal 2012. The increase was due to higher sales volumes, increased product offerings and higher ASPs.</w:t>
      </w:r>
    </w:p>
    <w:p>
      <w:pPr>
        <w:spacing w:after="0" w:line="5" w:lineRule="exact"/>
        <w:rPr>
          <w:rFonts w:ascii="Arial" w:cs="Arial" w:eastAsia="Arial" w:hAnsi="Arial"/>
          <w:sz w:val="16"/>
          <w:szCs w:val="16"/>
          <w:color w:val="auto"/>
        </w:rPr>
      </w:pPr>
    </w:p>
    <w:p>
      <w:pPr>
        <w:ind w:left="340" w:hanging="170"/>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Motor home revenues increased $8.5 million mostly due to a 7.4% increase in ASP. Discounts and promotional pricing continued in both quarterly periods.</w:t>
      </w:r>
    </w:p>
    <w:p>
      <w:pPr>
        <w:spacing w:after="0" w:line="19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$143.6 million, or 92.2% of net revenues for the third quarter of Fiscal 2012 compared to $126.9 million, or 93.6% of net revenues for the comparable period a year ago due to the following:</w:t>
      </w:r>
    </w:p>
    <w:p>
      <w:pPr>
        <w:spacing w:after="0" w:line="1" w:lineRule="exact"/>
        <w:rPr>
          <w:sz w:val="20"/>
          <w:szCs w:val="20"/>
          <w:color w:val="auto"/>
        </w:rPr>
      </w:pPr>
    </w:p>
    <w:p>
      <w:pPr>
        <w:ind w:left="340" w:hanging="170"/>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variable costs (material, labor, variable overhead, delivery, and warranty) as a percent of net revenues, increased from 84.8% to 85.6% as a percent of net revenues, which was primarily due to increased material costs.</w:t>
      </w:r>
    </w:p>
    <w:p>
      <w:pPr>
        <w:ind w:left="340" w:right="120" w:hanging="170"/>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from 8.8% to 6.6%, primarily due to increased absorption of fixed overhead as a result of higher production levels.</w:t>
      </w:r>
    </w:p>
    <w:p>
      <w:pPr>
        <w:ind w:left="340" w:hanging="170"/>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6.4% to 7.8% of net revenues.</w:t>
      </w:r>
    </w:p>
    <w:p>
      <w:pPr>
        <w:spacing w:after="0" w:line="194"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Selling expenses increased $723,000, or 20.0% during the third quarter of Fiscal 2012 as compared to the third quarter of Fiscal 2011, and as a percent of net revenues, were 2.8% and 2.7% for the third quarters of Fiscal 2012 and Fiscal 2011, respectively. The expense increase was due primarily to the fact that we hosted our Dealer Days show (we had not held this event since our Fiscal 2008), as well as increased operating expenses associated with Towables.</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General and administrative expenses increased $261,000 or 6.6% during the third quarter of Fiscal 2012 as compared to the third quarter of Fiscal 2011, and as a percentage of net revenues, were 2.7% and 2.9% for the third quarters of Fiscal 2012 and Fiscal 2011, respectively. Incremental employee expenses were partially offset by decreases in legal expenses and stock-based compensation expense in the third quarter of Fiscal 2012 as compared to the same period in Fiscal 2011.</w:t>
      </w:r>
    </w:p>
    <w:p>
      <w:pPr>
        <w:spacing w:after="0" w:line="17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Non-operating income increased $326,000 during the third quarter of Fiscal 2012 when compared to the same period in Fiscal 2011, primarily due to gains from COLI policies.</w:t>
      </w:r>
    </w:p>
    <w:p>
      <w:pPr>
        <w:spacing w:after="0" w:line="1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overall effective income tax benefit rate for the third quarter of Fiscal 2012 was 0.3% compared to the tax benefit rate of 94.6% for the third quarter of Fiscal 2011. Most notably, our effective tax benefit rate for the third quarter of Fiscal 2012 was near zero as most of the income tax expense associated with pre-tax income was offset by income tax benefit associated with a reduction in the valuation allowance resulting from the finalization of the Fiscal 2011 federal and state tax returns. In addition, we recorded tax benefits in the third quarter of Fiscal 2012 associated with reductions to reserves for uncertain tax positions.</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overall effective income tax rate for the third quarter of Fiscal 2011 was a benefit of 94.6% percent as a result of a reduction in the estimated annual effective tax rate. During the third quarter of Fiscal 2011, the estimated annual effective tax rate decreased most notably as a result of the tax-exempt interest income in relation to projected pre-tax income, the sale of CCMF and the increase to the NOL carryforward from the finalization and filing of the Fiscal 2010 federal and state tax returns.</w:t>
      </w:r>
    </w:p>
    <w:p>
      <w:pPr>
        <w:spacing w:after="0" w:line="17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Net income was $3.9 million, or $0.13 per diluted share, for the third quarter of Fiscal 2012 compared to net income of $1.2 million, or $0.04 per diluted share, for the third quarter of Fiscal 2011. See Note 15.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First Nine Months Compared to the Comparable Nine Months Last 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 except percent</w:t>
            </w:r>
          </w:p>
        </w:tc>
        <w:tc>
          <w:tcPr>
            <w:tcW w:w="280" w:type="dxa"/>
            <w:vAlign w:val="bottom"/>
          </w:tcPr>
          <w:p>
            <w:pPr>
              <w:spacing w:after="0"/>
              <w:rPr>
                <w:sz w:val="15"/>
                <w:szCs w:val="15"/>
                <w:color w:val="auto"/>
              </w:rPr>
            </w:pPr>
          </w:p>
        </w:tc>
        <w:tc>
          <w:tcPr>
            <w:tcW w:w="1160" w:type="dxa"/>
            <w:vAlign w:val="bottom"/>
          </w:tcPr>
          <w:p>
            <w:pPr>
              <w:jc w:val="right"/>
              <w:ind w:right="400"/>
              <w:spacing w:after="0"/>
              <w:rPr>
                <w:sz w:val="20"/>
                <w:szCs w:val="20"/>
                <w:color w:val="auto"/>
              </w:rPr>
            </w:pPr>
            <w:r>
              <w:rPr>
                <w:rFonts w:ascii="Arial" w:cs="Arial" w:eastAsia="Arial" w:hAnsi="Arial"/>
                <w:sz w:val="14"/>
                <w:szCs w:val="14"/>
                <w:b w:val="1"/>
                <w:bCs w:val="1"/>
                <w:color w:val="auto"/>
              </w:rPr>
              <w:t>May 26,</w:t>
            </w:r>
          </w:p>
        </w:tc>
        <w:tc>
          <w:tcPr>
            <w:tcW w:w="1540" w:type="dxa"/>
            <w:vAlign w:val="bottom"/>
            <w:gridSpan w:val="2"/>
          </w:tcPr>
          <w:p>
            <w:pPr>
              <w:ind w:left="56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Arial" w:cs="Arial" w:eastAsia="Arial" w:hAnsi="Arial"/>
                <w:sz w:val="14"/>
                <w:szCs w:val="14"/>
                <w:b w:val="1"/>
                <w:bCs w:val="1"/>
                <w:color w:val="auto"/>
              </w:rPr>
              <w:t>May 28,</w:t>
            </w: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5"/>
                <w:szCs w:val="15"/>
                <w:color w:val="auto"/>
              </w:rPr>
            </w:pPr>
          </w:p>
        </w:tc>
        <w:tc>
          <w:tcPr>
            <w:tcW w:w="1200" w:type="dxa"/>
            <w:vAlign w:val="bottom"/>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and per share data)</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2011</w:t>
            </w: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25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419,146</w:t>
            </w: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365,872</w:t>
            </w: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53,274</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14.6 %</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391,733</w:t>
            </w:r>
          </w:p>
        </w:tc>
        <w:tc>
          <w:tcPr>
            <w:tcW w:w="14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93.5 %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334,646</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57,087</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17.1 %</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27,413</w:t>
            </w: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6.5 %</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31,226</w:t>
            </w:r>
          </w:p>
        </w:tc>
        <w:tc>
          <w:tcPr>
            <w:tcW w:w="1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(3,813)</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(12.2)%</w:t>
            </w:r>
          </w:p>
        </w:tc>
      </w:tr>
      <w:tr>
        <w:trPr>
          <w:trHeight w:val="24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Selling</w:t>
            </w:r>
          </w:p>
        </w:tc>
        <w:tc>
          <w:tcPr>
            <w:tcW w:w="280" w:type="dxa"/>
            <w:vAlign w:val="bottom"/>
          </w:tcPr>
          <w:p>
            <w:pPr>
              <w:spacing w:after="0"/>
              <w:rPr>
                <w:sz w:val="21"/>
                <w:szCs w:val="21"/>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12,485</w:t>
            </w: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10,129</w:t>
            </w:r>
          </w:p>
        </w:tc>
        <w:tc>
          <w:tcPr>
            <w:tcW w:w="1380" w:type="dxa"/>
            <w:vAlign w:val="bottom"/>
          </w:tcPr>
          <w:p>
            <w:pPr>
              <w:jc w:val="right"/>
              <w:ind w:right="20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2,356</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23.3 %</w:t>
            </w:r>
          </w:p>
        </w:tc>
      </w:tr>
      <w:tr>
        <w:trPr>
          <w:trHeight w:val="28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11,938</w:t>
            </w:r>
          </w:p>
        </w:tc>
        <w:tc>
          <w:tcPr>
            <w:tcW w:w="14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11,623</w:t>
            </w:r>
          </w:p>
        </w:tc>
        <w:tc>
          <w:tcPr>
            <w:tcW w:w="1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315</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2.7 %</w:t>
            </w:r>
          </w:p>
        </w:tc>
      </w:tr>
      <w:tr>
        <w:trPr>
          <w:trHeight w:val="218"/>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Assets held for sale impairment and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8"/>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(gain), net</w:t>
            </w:r>
          </w:p>
        </w:tc>
        <w:tc>
          <w:tcPr>
            <w:tcW w:w="280" w:type="dxa"/>
            <w:vAlign w:val="bottom"/>
          </w:tcPr>
          <w:p>
            <w:pPr>
              <w:spacing w:after="0"/>
              <w:rPr>
                <w:sz w:val="18"/>
                <w:szCs w:val="18"/>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(39)</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320"/>
              <w:spacing w:after="0"/>
              <w:rPr>
                <w:sz w:val="20"/>
                <w:szCs w:val="20"/>
                <w:color w:val="auto"/>
              </w:rPr>
            </w:pPr>
            <w:r>
              <w:rPr>
                <w:rFonts w:ascii="Arial" w:cs="Arial" w:eastAsia="Arial" w:hAnsi="Arial"/>
                <w:sz w:val="16"/>
                <w:szCs w:val="16"/>
                <w:color w:val="auto"/>
              </w:rPr>
              <w:t>39</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100.0 %</w:t>
            </w:r>
          </w:p>
        </w:tc>
      </w:tr>
      <w:tr>
        <w:trPr>
          <w:trHeight w:val="250"/>
        </w:trPr>
        <w:tc>
          <w:tcPr>
            <w:tcW w:w="28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24,423</w:t>
            </w:r>
          </w:p>
        </w:tc>
        <w:tc>
          <w:tcPr>
            <w:tcW w:w="142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5.8 %</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21,713</w:t>
            </w:r>
          </w:p>
        </w:tc>
        <w:tc>
          <w:tcPr>
            <w:tcW w:w="1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2,710</w:t>
            </w:r>
          </w:p>
        </w:tc>
        <w:tc>
          <w:tcPr>
            <w:tcW w:w="1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12.5 %</w:t>
            </w:r>
          </w:p>
        </w:tc>
      </w:tr>
      <w:tr>
        <w:trPr>
          <w:trHeight w:val="24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1"/>
                <w:szCs w:val="21"/>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2,990</w:t>
            </w: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9,513</w:t>
            </w:r>
          </w:p>
        </w:tc>
        <w:tc>
          <w:tcPr>
            <w:tcW w:w="1380" w:type="dxa"/>
            <w:vAlign w:val="bottom"/>
          </w:tcPr>
          <w:p>
            <w:pPr>
              <w:jc w:val="right"/>
              <w:ind w:right="2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(6,523)</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(68.6)%</w:t>
            </w:r>
          </w:p>
        </w:tc>
      </w:tr>
      <w:tr>
        <w:trPr>
          <w:trHeight w:val="27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549</w:t>
            </w:r>
          </w:p>
        </w:tc>
        <w:tc>
          <w:tcPr>
            <w:tcW w:w="14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550</w:t>
            </w:r>
          </w:p>
        </w:tc>
        <w:tc>
          <w:tcPr>
            <w:tcW w:w="1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r>
      <w:tr>
        <w:trPr>
          <w:trHeight w:val="24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80" w:type="dxa"/>
            <w:vAlign w:val="bottom"/>
          </w:tcPr>
          <w:p>
            <w:pPr>
              <w:spacing w:after="0"/>
              <w:rPr>
                <w:sz w:val="21"/>
                <w:szCs w:val="21"/>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3,539</w:t>
            </w:r>
          </w:p>
        </w:tc>
        <w:tc>
          <w:tcPr>
            <w:tcW w:w="1420" w:type="dxa"/>
            <w:vAlign w:val="bottom"/>
          </w:tcPr>
          <w:p>
            <w:pPr>
              <w:jc w:val="right"/>
              <w:ind w:right="200"/>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10,063</w:t>
            </w:r>
          </w:p>
        </w:tc>
        <w:tc>
          <w:tcPr>
            <w:tcW w:w="1380" w:type="dxa"/>
            <w:vAlign w:val="bottom"/>
          </w:tcPr>
          <w:p>
            <w:pPr>
              <w:jc w:val="right"/>
              <w:ind w:right="20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60"/>
              <w:spacing w:after="0"/>
              <w:rPr>
                <w:sz w:val="20"/>
                <w:szCs w:val="20"/>
                <w:color w:val="auto"/>
              </w:rPr>
            </w:pPr>
            <w:r>
              <w:rPr>
                <w:rFonts w:ascii="Arial" w:cs="Arial" w:eastAsia="Arial" w:hAnsi="Arial"/>
                <w:sz w:val="16"/>
                <w:szCs w:val="16"/>
                <w:color w:val="auto"/>
              </w:rPr>
              <w:t>(6,524)</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(64.8)%</w:t>
            </w:r>
          </w:p>
        </w:tc>
      </w:tr>
      <w:tr>
        <w:trPr>
          <w:trHeight w:val="27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(525)</w:t>
            </w:r>
          </w:p>
        </w:tc>
        <w:tc>
          <w:tcPr>
            <w:tcW w:w="14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1,767</w:t>
            </w:r>
          </w:p>
        </w:tc>
        <w:tc>
          <w:tcPr>
            <w:tcW w:w="1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(2,292)</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(129.7)%</w:t>
            </w:r>
          </w:p>
        </w:tc>
      </w:tr>
      <w:tr>
        <w:trPr>
          <w:trHeight w:val="28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4,064</w:t>
            </w:r>
          </w:p>
        </w:tc>
        <w:tc>
          <w:tcPr>
            <w:tcW w:w="14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8,296</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(4,232)</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(51.0)%</w:t>
            </w:r>
          </w:p>
        </w:tc>
      </w:tr>
      <w:tr>
        <w:trPr>
          <w:trHeight w:val="254"/>
        </w:trPr>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9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0.14</w:t>
            </w:r>
          </w:p>
        </w:tc>
        <w:tc>
          <w:tcPr>
            <w:tcW w:w="1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0.28</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(0.14)</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(50.0)%</w:t>
            </w:r>
          </w:p>
        </w:tc>
      </w:tr>
      <w:tr>
        <w:trPr>
          <w:trHeight w:val="237"/>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29,243</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29,135</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ectPr>
          <w:pgSz w:w="11900" w:h="16838" w:orient="portrait"/>
          <w:cols w:equalWidth="0" w:num="1">
            <w:col w:w="11420"/>
          </w:cols>
          <w:pgMar w:left="240" w:top="141"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75"/>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60"/>
              <w:spacing w:after="0"/>
              <w:rPr>
                <w:sz w:val="20"/>
                <w:szCs w:val="20"/>
                <w:color w:val="auto"/>
              </w:rPr>
            </w:pPr>
            <w:r>
              <w:rPr>
                <w:rFonts w:ascii="Arial" w:cs="Arial" w:eastAsia="Arial" w:hAnsi="Arial"/>
                <w:sz w:val="14"/>
                <w:szCs w:val="14"/>
                <w:b w:val="1"/>
                <w:bCs w:val="1"/>
                <w:color w:val="auto"/>
              </w:rPr>
              <w:t>May 26,</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5"/>
                <w:szCs w:val="15"/>
                <w:color w:val="auto"/>
              </w:rPr>
            </w:pPr>
          </w:p>
        </w:tc>
        <w:tc>
          <w:tcPr>
            <w:tcW w:w="1180" w:type="dxa"/>
            <w:vAlign w:val="bottom"/>
          </w:tcPr>
          <w:p>
            <w:pPr>
              <w:jc w:val="right"/>
              <w:ind w:right="461"/>
              <w:spacing w:after="0"/>
              <w:rPr>
                <w:sz w:val="20"/>
                <w:szCs w:val="20"/>
                <w:color w:val="auto"/>
              </w:rPr>
            </w:pPr>
            <w:r>
              <w:rPr>
                <w:rFonts w:ascii="Arial" w:cs="Arial" w:eastAsia="Arial" w:hAnsi="Arial"/>
                <w:sz w:val="14"/>
                <w:szCs w:val="14"/>
                <w:b w:val="1"/>
                <w:bCs w:val="1"/>
                <w:color w:val="auto"/>
              </w:rPr>
              <w:t>May 28,</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5"/>
                <w:szCs w:val="15"/>
                <w:color w:val="auto"/>
              </w:rPr>
            </w:pPr>
          </w:p>
        </w:tc>
        <w:tc>
          <w:tcPr>
            <w:tcW w:w="1280" w:type="dxa"/>
            <w:vAlign w:val="bottom"/>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138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2011</w:t>
            </w: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Mix*</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(Decrease)</w:t>
            </w: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1,163</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1,145</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18</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1.6 %</w:t>
            </w:r>
          </w:p>
        </w:tc>
      </w:tr>
      <w:tr>
        <w:trPr>
          <w:trHeight w:val="264"/>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701</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692</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9</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1.3 %</w:t>
            </w:r>
          </w:p>
        </w:tc>
      </w:tr>
      <w:tr>
        <w:trPr>
          <w:trHeight w:val="257"/>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1,864</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1,837</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27</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1.5 %</w:t>
            </w: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215</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213</w:t>
            </w:r>
          </w:p>
        </w:tc>
        <w:tc>
          <w:tcPr>
            <w:tcW w:w="1380" w:type="dxa"/>
            <w:vAlign w:val="bottom"/>
          </w:tcPr>
          <w:p>
            <w:pPr>
              <w:jc w:val="right"/>
              <w:ind w:right="280"/>
              <w:spacing w:after="0"/>
              <w:rPr>
                <w:sz w:val="20"/>
                <w:szCs w:val="20"/>
                <w:color w:val="auto"/>
              </w:rPr>
            </w:pPr>
            <w:r>
              <w:rPr>
                <w:rFonts w:ascii="Arial" w:cs="Arial" w:eastAsia="Arial" w:hAnsi="Arial"/>
                <w:sz w:val="16"/>
                <w:szCs w:val="16"/>
                <w:color w:val="auto"/>
              </w:rPr>
              <w:t>NMF</w:t>
            </w:r>
          </w:p>
        </w:tc>
      </w:tr>
      <w:tr>
        <w:trPr>
          <w:trHeight w:val="27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1,242</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1,468</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(226)</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(15.4)%</w:t>
            </w:r>
          </w:p>
        </w:tc>
      </w:tr>
      <w:tr>
        <w:trPr>
          <w:trHeight w:val="280"/>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 deliveries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3,321</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3,307</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14</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0.4 %</w:t>
            </w:r>
          </w:p>
        </w:tc>
      </w:tr>
      <w:tr>
        <w:trPr>
          <w:trHeight w:val="173"/>
        </w:trPr>
        <w:tc>
          <w:tcPr>
            <w:tcW w:w="2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Motor home ASP (in thousands)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106</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101</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5</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5.0 %</w:t>
            </w:r>
          </w:p>
        </w:tc>
      </w:tr>
      <w:tr>
        <w:trPr>
          <w:trHeight w:val="199"/>
        </w:trPr>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6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928</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296</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632</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213.5 %</w:t>
            </w:r>
          </w:p>
        </w:tc>
      </w:tr>
      <w:tr>
        <w:trPr>
          <w:trHeight w:val="273"/>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715</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115</w:t>
            </w: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600</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521.7 %</w:t>
            </w:r>
          </w:p>
        </w:tc>
      </w:tr>
      <w:tr>
        <w:trPr>
          <w:trHeight w:val="280"/>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towable deliveries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1,643</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411</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1,232</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299.8 %</w:t>
            </w:r>
          </w:p>
        </w:tc>
      </w:tr>
      <w:tr>
        <w:trPr>
          <w:trHeight w:val="254"/>
        </w:trPr>
        <w:tc>
          <w:tcPr>
            <w:tcW w:w="2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1"/>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Towable ASP (in thousands)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25</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21</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80"/>
              <w:spacing w:after="0"/>
              <w:rPr>
                <w:sz w:val="20"/>
                <w:szCs w:val="20"/>
                <w:color w:val="auto"/>
              </w:rPr>
            </w:pPr>
            <w:r>
              <w:rPr>
                <w:rFonts w:ascii="Arial" w:cs="Arial" w:eastAsia="Arial" w:hAnsi="Arial"/>
                <w:sz w:val="16"/>
                <w:szCs w:val="16"/>
                <w:color w:val="auto"/>
              </w:rPr>
              <w:t>4</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19.0 %</w:t>
            </w: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75"/>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May 26,</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May 28,</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1320" w:type="dxa"/>
            <w:vAlign w:val="bottom"/>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320" w:type="dxa"/>
            <w:vAlign w:val="bottom"/>
          </w:tcPr>
          <w:p>
            <w:pPr>
              <w:jc w:val="right"/>
              <w:ind w:right="562"/>
              <w:spacing w:after="0"/>
              <w:rPr>
                <w:sz w:val="20"/>
                <w:szCs w:val="20"/>
                <w:color w:val="auto"/>
              </w:rPr>
            </w:pPr>
            <w:r>
              <w:rPr>
                <w:rFonts w:ascii="Arial" w:cs="Arial" w:eastAsia="Arial" w:hAnsi="Arial"/>
                <w:sz w:val="14"/>
                <w:szCs w:val="14"/>
                <w:b w:val="1"/>
                <w:bCs w:val="1"/>
                <w:color w:val="auto"/>
              </w:rPr>
              <w:t>%</w:t>
            </w:r>
          </w:p>
        </w:tc>
      </w:tr>
      <w:tr>
        <w:trPr>
          <w:trHeight w:val="202"/>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240" w:type="dxa"/>
            <w:vAlign w:val="bottom"/>
          </w:tcPr>
          <w:p>
            <w:pPr>
              <w:spacing w:after="0"/>
              <w:rPr>
                <w:sz w:val="17"/>
                <w:szCs w:val="17"/>
                <w:color w:val="auto"/>
              </w:rPr>
            </w:pPr>
          </w:p>
        </w:tc>
        <w:tc>
          <w:tcPr>
            <w:tcW w:w="1140" w:type="dxa"/>
            <w:vAlign w:val="bottom"/>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Revenues</w:t>
            </w:r>
            <w:r>
              <w:rPr>
                <w:rFonts w:ascii="Arial" w:cs="Arial" w:eastAsia="Arial" w:hAnsi="Arial"/>
                <w:sz w:val="17"/>
                <w:szCs w:val="17"/>
                <w:b w:val="1"/>
                <w:bCs w:val="1"/>
                <w:color w:val="auto"/>
                <w:w w:val="97"/>
                <w:vertAlign w:val="superscript"/>
              </w:rPr>
              <w:t>(1)</w:t>
            </w:r>
          </w:p>
        </w:tc>
        <w:tc>
          <w:tcPr>
            <w:tcW w:w="240" w:type="dxa"/>
            <w:vAlign w:val="bottom"/>
          </w:tcPr>
          <w:p>
            <w:pPr>
              <w:spacing w:after="0"/>
              <w:rPr>
                <w:sz w:val="17"/>
                <w:szCs w:val="17"/>
                <w:color w:val="auto"/>
              </w:rPr>
            </w:pPr>
          </w:p>
        </w:tc>
        <w:tc>
          <w:tcPr>
            <w:tcW w:w="1320" w:type="dxa"/>
            <w:vAlign w:val="bottom"/>
          </w:tcPr>
          <w:p>
            <w:pPr>
              <w:jc w:val="right"/>
              <w:ind w:right="362"/>
              <w:spacing w:after="0"/>
              <w:rPr>
                <w:sz w:val="20"/>
                <w:szCs w:val="20"/>
                <w:color w:val="auto"/>
              </w:rPr>
            </w:pPr>
            <w:r>
              <w:rPr>
                <w:rFonts w:ascii="Arial" w:cs="Arial" w:eastAsia="Arial" w:hAnsi="Arial"/>
                <w:sz w:val="14"/>
                <w:szCs w:val="14"/>
                <w:b w:val="1"/>
                <w:bCs w:val="1"/>
                <w:color w:val="auto"/>
              </w:rPr>
              <w:t>(Decrease)</w:t>
            </w:r>
          </w:p>
        </w:tc>
        <w:tc>
          <w:tcPr>
            <w:tcW w:w="1320" w:type="dxa"/>
            <w:vAlign w:val="bottom"/>
          </w:tcPr>
          <w:p>
            <w:pPr>
              <w:jc w:val="right"/>
              <w:ind w:right="36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(2)</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347,510</w:t>
            </w:r>
          </w:p>
        </w:tc>
        <w:tc>
          <w:tcPr>
            <w:tcW w:w="1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82.9%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330,831</w:t>
            </w:r>
          </w:p>
        </w:tc>
        <w:tc>
          <w:tcPr>
            <w:tcW w:w="1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90.4%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16,679</w:t>
            </w:r>
          </w:p>
        </w:tc>
        <w:tc>
          <w:tcPr>
            <w:tcW w:w="132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5.0 %</w:t>
            </w:r>
          </w:p>
        </w:tc>
      </w:tr>
      <w:tr>
        <w:trPr>
          <w:trHeight w:val="270"/>
        </w:trPr>
        <w:tc>
          <w:tcPr>
            <w:tcW w:w="292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40,948</w:t>
            </w:r>
          </w:p>
        </w:tc>
        <w:tc>
          <w:tcPr>
            <w:tcW w:w="1340" w:type="dxa"/>
            <w:vAlign w:val="bottom"/>
          </w:tcPr>
          <w:p>
            <w:pPr>
              <w:jc w:val="right"/>
              <w:ind w:right="20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8,956</w:t>
            </w:r>
          </w:p>
        </w:tc>
        <w:tc>
          <w:tcPr>
            <w:tcW w:w="1340" w:type="dxa"/>
            <w:vAlign w:val="bottom"/>
          </w:tcPr>
          <w:p>
            <w:pPr>
              <w:jc w:val="right"/>
              <w:ind w:right="20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322"/>
              <w:spacing w:after="0"/>
              <w:rPr>
                <w:sz w:val="20"/>
                <w:szCs w:val="20"/>
                <w:color w:val="auto"/>
              </w:rPr>
            </w:pPr>
            <w:r>
              <w:rPr>
                <w:rFonts w:ascii="Arial" w:cs="Arial" w:eastAsia="Arial" w:hAnsi="Arial"/>
                <w:sz w:val="16"/>
                <w:szCs w:val="16"/>
                <w:color w:val="auto"/>
              </w:rPr>
              <w:t>31,992</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357.2 %</w:t>
            </w:r>
          </w:p>
        </w:tc>
      </w:tr>
      <w:tr>
        <w:trPr>
          <w:trHeight w:val="27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8,695</w:t>
            </w:r>
          </w:p>
        </w:tc>
        <w:tc>
          <w:tcPr>
            <w:tcW w:w="13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9,030</w:t>
            </w:r>
          </w:p>
        </w:tc>
        <w:tc>
          <w:tcPr>
            <w:tcW w:w="13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(335)</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(3.7)%</w:t>
            </w:r>
          </w:p>
        </w:tc>
      </w:tr>
      <w:tr>
        <w:trPr>
          <w:trHeight w:val="264"/>
        </w:trPr>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21,993</w:t>
            </w:r>
          </w:p>
        </w:tc>
        <w:tc>
          <w:tcPr>
            <w:tcW w:w="13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17,055</w:t>
            </w:r>
          </w:p>
        </w:tc>
        <w:tc>
          <w:tcPr>
            <w:tcW w:w="13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4,938</w:t>
            </w: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29.0 %</w:t>
            </w:r>
          </w:p>
        </w:tc>
      </w:tr>
      <w:tr>
        <w:trPr>
          <w:trHeight w:val="24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419,146</w:t>
            </w:r>
          </w:p>
        </w:tc>
        <w:tc>
          <w:tcPr>
            <w:tcW w:w="1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365,872</w:t>
            </w:r>
          </w:p>
        </w:tc>
        <w:tc>
          <w:tcPr>
            <w:tcW w:w="1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53,274</w:t>
            </w:r>
          </w:p>
        </w:tc>
        <w:tc>
          <w:tcPr>
            <w:tcW w:w="13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14.6 %</w:t>
            </w: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20" w:hanging="185"/>
        <w:spacing w:after="0"/>
        <w:tabs>
          <w:tab w:leader="none" w:pos="220"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Motor home unit revenue less discounts, sales promotions and incentives, and accrued loss on repurchase adjustments.</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towable units and parts revenues less discounts, sales promotions and accrued loss on repurchase adjustments.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first nine months of Fiscal 2012 increased $53.3 million, or 14.6%, compared to the first nine months of Fiscal 2011, primarily due to:</w:t>
      </w:r>
    </w:p>
    <w:p>
      <w:pPr>
        <w:spacing w:after="0" w:line="5" w:lineRule="exact"/>
        <w:rPr>
          <w:sz w:val="20"/>
          <w:szCs w:val="20"/>
          <w:color w:val="auto"/>
        </w:rPr>
      </w:pPr>
    </w:p>
    <w:p>
      <w:pPr>
        <w:ind w:left="340" w:right="160" w:hanging="170"/>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Towables revenues were $40.9 million in the first nine months of Fiscal 2012. SunnyBrook, which was acquired in the second quarter of Fiscal 2011, had revenues $9.0 million in the first nine months of Fiscal 2011.</w:t>
      </w:r>
    </w:p>
    <w:p>
      <w:pPr>
        <w:ind w:left="340" w:right="140" w:hanging="170"/>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Motor home revenues primarily increased $16.7 million due to a 5.0% increase in ASP. This increase was primarily due to a shift to higher-priced Class A motor homes, although ASPs in general were negatively impacted by increased discounts and promotional pricing.</w:t>
      </w:r>
    </w:p>
    <w:p>
      <w:pPr>
        <w:spacing w:after="0" w:line="169"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Cost of goods sold was $391.7 million, or 93.5% of net revenues for the first nine months of Fiscal 2012 compared to $334.6 million, or 91.5% of net revenues for the comparable period a year ago due to the following:</w:t>
      </w:r>
    </w:p>
    <w:p>
      <w:pPr>
        <w:spacing w:after="0" w:line="1" w:lineRule="exact"/>
        <w:rPr>
          <w:sz w:val="20"/>
          <w:szCs w:val="20"/>
          <w:color w:val="auto"/>
        </w:rPr>
      </w:pPr>
    </w:p>
    <w:p>
      <w:pPr>
        <w:ind w:left="340" w:right="520" w:hanging="170"/>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increase in cost of goods sold was a result of the $3.5 million favorable inventory adjustment recorded in Fiscal 2011. The adjustment favorably impacted our material, labor, variable overhead and fixed overhead costs as a percentage of net revenues in the first nine months of Fiscal 2011.</w:t>
      </w:r>
    </w:p>
    <w:p>
      <w:pPr>
        <w:ind w:left="340" w:right="100" w:hanging="170"/>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variable costs (material, labor, variable overhead, delivery, and warranty) as a percent of net revenues, increased from 83.2% last year to 85.9% this year. Increased discounts and promotional pricing and inflationary commodity pressures also contributed to the increase in cost of goods sold as a percentage of net revenues.</w:t>
      </w:r>
    </w:p>
    <w:p>
      <w:pPr>
        <w:spacing w:after="0" w:line="1" w:lineRule="exact"/>
        <w:rPr>
          <w:rFonts w:ascii="Arial" w:cs="Arial" w:eastAsia="Arial" w:hAnsi="Arial"/>
          <w:sz w:val="16"/>
          <w:szCs w:val="16"/>
          <w:color w:val="auto"/>
        </w:rPr>
      </w:pPr>
    </w:p>
    <w:p>
      <w:pPr>
        <w:ind w:left="340" w:right="500" w:hanging="170"/>
        <w:spacing w:after="0" w:line="249"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7.6% of net revenues compared to 8.3% last year. This difference was primarily due to increased absorption of fixed expenses as a result of higher production volumes.</w:t>
      </w:r>
    </w:p>
    <w:p>
      <w:pPr>
        <w:spacing w:after="0" w:line="8" w:lineRule="exact"/>
        <w:rPr>
          <w:rFonts w:ascii="Arial" w:cs="Arial" w:eastAsia="Arial" w:hAnsi="Arial"/>
          <w:sz w:val="16"/>
          <w:szCs w:val="16"/>
          <w:color w:val="auto"/>
        </w:rPr>
      </w:pPr>
    </w:p>
    <w:p>
      <w:pPr>
        <w:ind w:left="340" w:right="100" w:hanging="170"/>
        <w:spacing w:after="0" w:line="26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6"/>
          <w:szCs w:val="16"/>
          <w:color w:val="auto"/>
        </w:rPr>
        <w:t>All factors considered, gross profit decreased from 8.5% to 6.5% of net revenues. Excluding the effect of the physical inventory adjustment in Fiscal 2011, gross profit would have been 7.6% for the first nine months of Fiscal 2011.</w:t>
      </w:r>
    </w:p>
    <w:p>
      <w:pPr>
        <w:spacing w:after="0" w:line="176"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Selling expenses increased $2.4 million, or 23.3% during the first nine months of Fiscal 2012 and, as a percent of net revenues were 3.0% and 2.8% for the first nine months of Fiscal 2012 and Fiscal 2011, respectively. The expense increase was due primarily to operating expenses associated with Towables and our Dealer Days show in Fiscal 2012.</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General and administrative expenses increased $315,000 during the first nine months of Fiscal 2012 and, as a percentage of net revenues were 2.8% and 3.2% for the first nine months of Fiscal 2012 and Fiscal 2011, respectively. Increases in operating expenses associated with Towables and employee-related expenses in the first nine months of Fiscal 2012 were partially offset by decreases in legal and product liability expenses when compared to the same period in Fiscal 2011.</w:t>
      </w:r>
    </w:p>
    <w:p>
      <w:pPr>
        <w:spacing w:after="0" w:line="17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During the first nine months of Fiscal 2011 we realized a gain of $644,000 on the sale of CCMF, an asset held for sale, and an impairment of $605,000 on our Hampton facility.</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Non-operating income was essentially the same in both nine-month periods. In the first nine months of Fiscal 2012, increased COLI policy gains were partially offset by lower investment income.</w:t>
      </w:r>
    </w:p>
    <w:p>
      <w:pPr>
        <w:spacing w:after="0" w:line="169"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The overall effective income tax benefit rate for the first nine months of Fiscal 2012 was 14.8% compared to the tax benefit rate of 17.6% for the first nine months of Fiscal 2011. Most notably, our effective tax benefit rate for the first nine months of Fiscal 2012 was the result of a lower level of book income recorded for such period compared to the same prior year period as well as income tax expense associated with pre-tax income being offset by income tax benefit associated with reductions in valuation allowances resulting from the finalization of the Fiscal 2011 federal and state tax returns. In addition, we recorded tax benefits associated with reductions to reserves for uncertain tax positions.</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tax benefit rate of 17.6% in the first nine months of Fiscal 2011 was primarily the result of higher book income, thus resulting in lower reductions in tax expense as a percentage of book income, the sale of CCMF, and the increase to the NOL carryforward from the finalization of the Fiscal 2010 federal and state tax returns.</w:t>
      </w:r>
    </w:p>
    <w:p>
      <w:pPr>
        <w:spacing w:after="0" w:line="17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Net income was $4.1 million, or $0.14 per diluted share, for the first nine months of Fiscal 2012 compared to $8.3 million, or $0.28 per diluted share, for the first nine months of Fiscal 2011. See Note 15.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totaled $80.8 million and $69.3 million as of May 26, 2012 and August 27,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Significant liquidity events in the first nine months of Fiscal 2012 include:</w:t>
      </w:r>
    </w:p>
    <w:p>
      <w:pPr>
        <w:spacing w:after="0" w:line="5" w:lineRule="exact"/>
        <w:rPr>
          <w:sz w:val="20"/>
          <w:szCs w:val="20"/>
          <w:color w:val="auto"/>
        </w:rPr>
      </w:pPr>
    </w:p>
    <w:p>
      <w:pPr>
        <w:ind w:left="340" w:hanging="170"/>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flow from operating activities of $11.7 million, of which $4.1 million was from net income.</w:t>
      </w:r>
    </w:p>
    <w:p>
      <w:pPr>
        <w:spacing w:after="0" w:line="5" w:lineRule="exact"/>
        <w:rPr>
          <w:rFonts w:ascii="Arial" w:cs="Arial" w:eastAsia="Arial" w:hAnsi="Arial"/>
          <w:sz w:val="16"/>
          <w:szCs w:val="16"/>
          <w:color w:val="auto"/>
        </w:rPr>
      </w:pPr>
    </w:p>
    <w:p>
      <w:pPr>
        <w:ind w:left="340" w:hanging="170"/>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ARS redemptions at par of $750,000. We have $10.0 million ARS at par value as of May 26, 2012. See further discussion in Note 5.</w:t>
      </w:r>
    </w:p>
    <w:p>
      <w:pPr>
        <w:spacing w:after="0" w:line="19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also have in place a $20.0 million revolving credit facility expiring on October 13, 2012, unless terminated earlier, which allows us to borrow up to $12.5 million without financial covenant restrictions if there is adequate asset coverage. (See further discussion in Note 9.) We had sufficient asset coverage in accounts receivable and inventory as of May 26, 2012 to access the entire $12.5 million.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 Due to the current credit facility expiring in early Fiscal 2013, we are reviewing financing alternatives that may be available to us at the time of expiration.</w:t>
      </w:r>
    </w:p>
    <w:p>
      <w:pPr>
        <w:spacing w:after="0" w:line="17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source of liquidity in addition to the alternatives already in place.</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Working capital at May 26, 2012 and August 27, 2011 was $118.7 million and $113.5 million, respectively, an increase of $5.2 million. We currently expect cash on hand, funds generated from operations (if any) and the availability under the credit facility to be sufficient to cover both short-term and long-term operation requirements. We anticipate capital expenditures during the balance of Fiscal 2012 of approximately $1.1 million, primarily for manufacturing equipment and facilities which will be funded with cash on hand.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Cash provided by operating activities was $11.7 million for the nine months ended May 26, 2012 compared to cash used in operating activities of $14.1 million for the nine months ended May 28, 2011. In the current fiscal year, the combination of net income and non-cash charges (e.g., depreciation, stock-based compensation) provided $9.1 million of operating cash compared to $15.4 million in the prior year period. In the first nine months of Fiscal 2012, changes in assets and liabilities provided $2.6 million of operating cash. In the first nine months of Fiscal 2011, a significant increase in inventory of $30.1 million was partially offset by net income of $8.3 million.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In the nine months ended May 26, 2012, cash provided by investing activities was due to $750,000 of ARS redemptions proceeds and proceeds of life insurance of $1.4 million, partially offset by capital spending of $1.5 million. During the nine months ended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May 28, 2011, cash provided by investing activities of $4.4 million was due to ARS redemptions of $6.5 million, proceeds of the sale of CCMF of $3.7 million, partially offset by the acquisition of SunnyBrook for $4.7 million and capital spending of $1.6 million.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Cash used in financing activities was $310,000 for the nine months ended May 26, 2012 compared to cash provided by financing activities of $178,000 for the nine months ended May 28, 2011.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Events</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During the third quarter of Fiscal 2012, we received an unsolicited, non-binding and highly-conditional proposal from North Street Capital, LP (“North Street”) to acquire all outstanding shares of our common stock at $11.00 per share in cash. Our management has reviewed with our Board of Directors the information provided by North Street in connection with the offer and has determined that, as of the date of this filing, it has not received sufficient information to deem the offer as credible.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27, 2011.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27,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5.</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1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$60.0 million. There is no time restriction on this authorization. During the third quarter of Fiscal 2012, there were 11,171 shares repurchased pursuant to this authorization, at an aggregate cost of approximately $108,000. These shares were repurchased from employees who vested in Company shares during the quarter and elected to pay their payroll tax via share repurchases as opposed to cash. As of May 26, 2012, there was approximately</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$58.9 million remaining under this authorization.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third quarter of Fiscal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2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gridSpan w:val="2"/>
          </w:tcPr>
          <w:p>
            <w:pPr>
              <w:jc w:val="center"/>
              <w:ind w:right="66"/>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02/26/12 - 03/31/12</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9.67</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w:t>
            </w:r>
          </w:p>
        </w:tc>
        <w:tc>
          <w:tcPr>
            <w:tcW w:w="54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58,902,000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04/01/12 - 04/28/12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58,902,000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04/29/12 - 05/26/12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58,902,000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11,171</w:t>
            </w:r>
          </w:p>
        </w:tc>
        <w:tc>
          <w:tcPr>
            <w:tcW w:w="5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58,902,000</w:t>
            </w: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(1) Shares purchased for payment of employee taxes upon restricted share vesting.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June 29, 2012.</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June 29, 2012.</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dated June 29, 2012.</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dated June 29, 2012.</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6"/>
          <w:szCs w:val="16"/>
          <w:color w:val="auto"/>
        </w:rPr>
        <w:t>XBRL Instance Document</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101.SCH*</w:t>
        <w:tab/>
        <w:t>XBRL Taxonomy Extension Schema Document</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101.DEF*</w:t>
        <w:tab/>
        <w:t>XBRL Taxonomy Extension Definitions Linkbase Document</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101.PRE*</w:t>
        <w:tab/>
        <w:t>XBRL Taxonomy Extension Presentation Linkbase Document</w:t>
      </w:r>
    </w:p>
    <w:p>
      <w:pPr>
        <w:spacing w:after="0" w:line="167" w:lineRule="exact"/>
        <w:rPr>
          <w:sz w:val="20"/>
          <w:szCs w:val="20"/>
          <w:color w:val="auto"/>
        </w:rPr>
      </w:pPr>
    </w:p>
    <w:p>
      <w:pPr>
        <w:ind w:right="80" w:firstLine="8"/>
        <w:spacing w:after="0" w:line="251" w:lineRule="auto"/>
        <w:tabs>
          <w:tab w:leader="none" w:pos="1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Attached as Exhibit 101 to this report are the following financial statements from our Quarterly Report on Form 10-Q for the quarter ended May 26, 2012 formatted in XBRL: (i) the Unaudited Consolidated Balance Sheets, (ii) the Unaudited Consolidated Statements of Operations, (iii) the Unaudited Consolidated Statements of Cash Flows, and (iv) related notes to these financial statements tagged as blocks of text.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WINNEBAGO INDUSTRIES, INC.</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740" w:val="left"/>
          <w:tab w:leader="none" w:pos="3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29, 2012</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Randy J. Potts</w:t>
      </w:r>
    </w:p>
    <w:p>
      <w:pPr>
        <w:spacing w:after="0" w:line="5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Chairman of the Board, Chief Executive Officer and President</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740" w:val="left"/>
          <w:tab w:leader="none" w:pos="3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29, 2012</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Chief Financial Officer (Principal Financial and Accounting Officer)</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20"/>
          <w:szCs w:val="20"/>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 Randy J. Potts certify that:</w:t>
      </w:r>
    </w:p>
    <w:p>
      <w:pPr>
        <w:spacing w:after="0" w:line="19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660" w:right="18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1300" w:right="360" w:hanging="320"/>
        <w:spacing w:after="0" w:line="253"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1300" w:right="240" w:hanging="320"/>
        <w:spacing w:after="0" w:line="253"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660" w:right="280" w:hanging="328"/>
        <w:spacing w:after="0" w:line="26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300" w:right="380" w:hanging="320"/>
        <w:spacing w:after="0" w:line="260"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11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29, 2012</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Chairman of the Board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 and President</w:t>
      </w:r>
    </w:p>
    <w:p>
      <w:pPr>
        <w:sectPr>
          <w:pgSz w:w="11900" w:h="16838" w:orient="portrait"/>
          <w:cols w:equalWidth="0" w:num="1">
            <w:col w:w="11400"/>
          </w:cols>
          <w:pgMar w:left="240" w:top="571"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0"/>
          <w:szCs w:val="20"/>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1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660" w:right="180" w:hanging="328"/>
        <w:spacing w:after="0" w:line="25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1300" w:right="36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1300" w:right="24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660" w:right="280" w:hanging="328"/>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300" w:right="380" w:hanging="320"/>
        <w:spacing w:after="0" w:line="260"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11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29, 2012</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00"/>
          </w:cols>
          <w:pgMar w:left="240" w:top="571"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38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May 26, 2012, I, Randy J. Potts certify that pursuant to 18 U.S.C. §1350 as adopted pursuant to §906 of the Sarbanes-Oxley Act of 2002, that:</w:t>
      </w:r>
    </w:p>
    <w:p>
      <w:pPr>
        <w:spacing w:after="0" w:line="169" w:lineRule="exact"/>
        <w:rPr>
          <w:sz w:val="20"/>
          <w:szCs w:val="20"/>
          <w:color w:val="auto"/>
        </w:rPr>
      </w:pPr>
    </w:p>
    <w:p>
      <w:pPr>
        <w:ind w:left="660" w:right="180" w:hanging="328"/>
        <w:spacing w:after="0" w:line="25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quarter ended May 26, 2012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383" w:lineRule="exact"/>
        <w:rPr>
          <w:sz w:val="20"/>
          <w:szCs w:val="20"/>
          <w:color w:val="auto"/>
        </w:rPr>
      </w:pPr>
    </w:p>
    <w:p>
      <w:pPr>
        <w:ind w:left="40"/>
        <w:spacing w:after="0"/>
        <w:tabs>
          <w:tab w:leader="none" w:pos="11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29, 2012</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Chairman of the Board,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 and President</w:t>
      </w:r>
    </w:p>
    <w:p>
      <w:pPr>
        <w:sectPr>
          <w:pgSz w:w="11900" w:h="16838" w:orient="portrait"/>
          <w:cols w:equalWidth="0" w:num="1">
            <w:col w:w="11360"/>
          </w:cols>
          <w:pgMar w:left="240" w:top="571" w:right="2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20"/>
          <w:szCs w:val="20"/>
          <w:b w:val="1"/>
          <w:bCs w:val="1"/>
          <w:color w:val="auto"/>
        </w:rPr>
        <w:t>Exhibit 32.2</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May 26, 2012, I, Sarah N. Nielsen, Chief Financial Officer of Winnebago Industries, Inc., certify that pursuant to 18 U.S.C. §1350 as adopted pursuant to §906 of the Sarbanes-Oxley Act of 2002, that:</w:t>
      </w:r>
    </w:p>
    <w:p>
      <w:pPr>
        <w:spacing w:after="0" w:line="182" w:lineRule="exact"/>
        <w:rPr>
          <w:sz w:val="20"/>
          <w:szCs w:val="20"/>
          <w:color w:val="auto"/>
        </w:rPr>
      </w:pPr>
    </w:p>
    <w:p>
      <w:pPr>
        <w:ind w:left="660" w:right="180" w:hanging="328"/>
        <w:spacing w:after="0" w:line="27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This Quarterly Report on Form 10-Q (“periodic report”) of Winnebago Industries, Inc. (the “issuer”), for the quarter ended May 26, 2012 as filed with the Securities and Exchange Commission on the date of this certificate, which this statement accompanies, fully complies with the requirements of Section 13(a) or 15(d) of the Securities Exchange Act of 1934, and</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386" w:lineRule="exact"/>
        <w:rPr>
          <w:sz w:val="20"/>
          <w:szCs w:val="20"/>
          <w:color w:val="auto"/>
        </w:rPr>
      </w:pPr>
    </w:p>
    <w:p>
      <w:pPr>
        <w:ind w:left="40"/>
        <w:spacing w:after="0"/>
        <w:tabs>
          <w:tab w:leader="none" w:pos="114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29, 2012</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360"/>
      </w:cols>
      <w:pgMar w:left="240" w:top="5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2019-12-09T08:17:18Z</dcterms:created>
  <dcterms:modified xsi:type="dcterms:W3CDTF">2019-12-09T08:17:18Z</dcterms:modified>
</cp:coreProperties>
</file>