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Fisher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WASHINGTON</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539,157.00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539,157.00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539,157.00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13200 PIONEER TRAIL, SUITE 150, EDEN PRAIRIE, MINNESOTA, 55347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Fisher Investmentrs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Fisher Investments 13100 Skyline Blvd. Woodside, CA 94062&amp;#8208;4527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1,642,107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Percentage of Outstanding Shares: 1.846%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4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Sole Voting Power: 539,157</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Shared Voting Power: N/A</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Sole Dispositive Power: 539,157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Shared Dispositive Power: N/A</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478"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Fisher Asset Management, LLC</w:t>
      </w:r>
    </w:p>
    <w:p>
      <w:pPr>
        <w:spacing w:after="0" w:line="152"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Michael Rhodes</w:t>
      </w:r>
    </w:p>
    <w:p>
      <w:pPr>
        <w:spacing w:after="0" w:line="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Name/Title: Senior Compliance Analyst</w:t>
      </w:r>
    </w:p>
    <w:p>
      <w:pPr>
        <w:spacing w:after="0" w:line="44" w:lineRule="exact"/>
        <w:rPr>
          <w:sz w:val="20"/>
          <w:szCs w:val="20"/>
          <w:color w:val="auto"/>
        </w:rPr>
      </w:pPr>
    </w:p>
    <w:p>
      <w:pPr>
        <w:ind w:left="3660"/>
        <w:spacing w:after="0"/>
        <w:tabs>
          <w:tab w:leader="none" w:pos="4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02/05/2024</w:t>
      </w:r>
    </w:p>
    <w:sectPr>
      <w:pgSz w:w="11900" w:h="16838" w:orient="portrait"/>
      <w:cols w:equalWidth="0" w:num="1">
        <w:col w:w="11140"/>
      </w:cols>
      <w:pgMar w:left="360" w:top="111" w:right="399" w:bottom="47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0"/>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2024-03-19T15:22:09Z</dcterms:created>
  <dcterms:modified xsi:type="dcterms:W3CDTF">2024-03-19T15:22:09Z</dcterms:modified>
</cp:coreProperties>
</file>