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72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June 22,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855345</wp:posOffset>
            </wp:positionV>
            <wp:extent cx="13804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169545</wp:posOffset>
            </wp:positionV>
            <wp:extent cx="3267075" cy="462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6707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26" w:lineRule="exact"/>
        <w:rPr>
          <w:sz w:val="24"/>
          <w:szCs w:val="24"/>
          <w:color w:val="auto"/>
        </w:rPr>
      </w:pPr>
    </w:p>
    <w:tbl>
      <w:tblPr>
        <w:tblLayout w:type="fixed"/>
        <w:tblInd w:w="1120" w:type="dxa"/>
        <w:tblCellMar>
          <w:top w:w="0" w:type="dxa"/>
          <w:left w:w="0" w:type="dxa"/>
          <w:bottom w:w="0" w:type="dxa"/>
          <w:right w:w="0" w:type="dxa"/>
        </w:tblCellMar>
      </w:tblPr>
      <w:tr>
        <w:trPr>
          <w:trHeight w:val="24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500" w:type="dxa"/>
            <w:vAlign w:val="bottom"/>
            <w:tcBorders>
              <w:bottom w:val="single" w:sz="8" w:color="auto"/>
            </w:tcBorders>
          </w:tcPr>
          <w:p>
            <w:pPr>
              <w:jc w:val="right"/>
              <w:ind w:right="734"/>
              <w:spacing w:after="0"/>
              <w:rPr>
                <w:sz w:val="20"/>
                <w:szCs w:val="20"/>
                <w:color w:val="auto"/>
              </w:rPr>
            </w:pPr>
            <w:r>
              <w:rPr>
                <w:rFonts w:ascii="Arial" w:cs="Arial" w:eastAsia="Arial" w:hAnsi="Arial"/>
                <w:sz w:val="18"/>
                <w:szCs w:val="18"/>
                <w:b w:val="1"/>
                <w:bCs w:val="1"/>
                <w:color w:val="auto"/>
              </w:rPr>
              <w:t>001-06403</w:t>
            </w:r>
          </w:p>
        </w:tc>
        <w:tc>
          <w:tcPr>
            <w:tcW w:w="10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tcPr>
          <w:p>
            <w:pPr>
              <w:jc w:val="right"/>
              <w:ind w:right="1116"/>
              <w:spacing w:after="0"/>
              <w:rPr>
                <w:sz w:val="20"/>
                <w:szCs w:val="20"/>
                <w:color w:val="auto"/>
              </w:rPr>
            </w:pPr>
            <w:r>
              <w:rPr>
                <w:rFonts w:ascii="Arial" w:cs="Arial" w:eastAsia="Arial" w:hAnsi="Arial"/>
                <w:sz w:val="18"/>
                <w:szCs w:val="18"/>
                <w:b w:val="1"/>
                <w:bCs w:val="1"/>
                <w:color w:val="auto"/>
              </w:rPr>
              <w:t>42-0802678</w:t>
            </w:r>
          </w:p>
        </w:tc>
      </w:tr>
      <w:tr>
        <w:trPr>
          <w:trHeight w:val="218"/>
        </w:trPr>
        <w:tc>
          <w:tcPr>
            <w:tcW w:w="3340" w:type="dxa"/>
            <w:vAlign w:val="bottom"/>
          </w:tcPr>
          <w:p>
            <w:pPr>
              <w:jc w:val="center"/>
              <w:spacing w:after="0"/>
              <w:rPr>
                <w:sz w:val="20"/>
                <w:szCs w:val="20"/>
                <w:color w:val="auto"/>
              </w:rPr>
            </w:pPr>
            <w:r>
              <w:rPr>
                <w:rFonts w:ascii="Arial" w:cs="Arial" w:eastAsia="Arial" w:hAnsi="Arial"/>
                <w:sz w:val="16"/>
                <w:szCs w:val="16"/>
                <w:color w:val="auto"/>
              </w:rPr>
              <w:t>(State or Other Jurisdiction</w:t>
            </w:r>
          </w:p>
        </w:tc>
        <w:tc>
          <w:tcPr>
            <w:tcW w:w="2600" w:type="dxa"/>
            <w:vAlign w:val="bottom"/>
            <w:gridSpan w:val="2"/>
          </w:tcPr>
          <w:p>
            <w:pPr>
              <w:jc w:val="center"/>
              <w:ind w:right="100"/>
              <w:spacing w:after="0"/>
              <w:rPr>
                <w:sz w:val="20"/>
                <w:szCs w:val="20"/>
                <w:color w:val="auto"/>
              </w:rPr>
            </w:pPr>
            <w:r>
              <w:rPr>
                <w:rFonts w:ascii="Arial" w:cs="Arial" w:eastAsia="Arial" w:hAnsi="Arial"/>
                <w:sz w:val="16"/>
                <w:szCs w:val="16"/>
                <w:color w:val="auto"/>
              </w:rPr>
              <w:t>(Commission File Number)</w:t>
            </w:r>
          </w:p>
        </w:tc>
        <w:tc>
          <w:tcPr>
            <w:tcW w:w="3260" w:type="dxa"/>
            <w:vAlign w:val="bottom"/>
          </w:tcPr>
          <w:p>
            <w:pPr>
              <w:jc w:val="center"/>
              <w:ind w:right="16"/>
              <w:spacing w:after="0"/>
              <w:rPr>
                <w:sz w:val="20"/>
                <w:szCs w:val="20"/>
                <w:color w:val="auto"/>
              </w:rPr>
            </w:pPr>
            <w:r>
              <w:rPr>
                <w:rFonts w:ascii="Arial" w:cs="Arial" w:eastAsia="Arial" w:hAnsi="Arial"/>
                <w:sz w:val="16"/>
                <w:szCs w:val="16"/>
                <w:color w:val="auto"/>
                <w:w w:val="99"/>
              </w:rPr>
              <w:t>(IRS Employer</w:t>
            </w:r>
          </w:p>
        </w:tc>
      </w:tr>
      <w:tr>
        <w:trPr>
          <w:trHeight w:val="195"/>
        </w:trPr>
        <w:tc>
          <w:tcPr>
            <w:tcW w:w="3340" w:type="dxa"/>
            <w:vAlign w:val="bottom"/>
          </w:tcPr>
          <w:p>
            <w:pPr>
              <w:jc w:val="center"/>
              <w:spacing w:after="0"/>
              <w:rPr>
                <w:sz w:val="20"/>
                <w:szCs w:val="20"/>
                <w:color w:val="auto"/>
              </w:rPr>
            </w:pPr>
            <w:r>
              <w:rPr>
                <w:rFonts w:ascii="Arial" w:cs="Arial" w:eastAsia="Arial" w:hAnsi="Arial"/>
                <w:sz w:val="16"/>
                <w:szCs w:val="16"/>
                <w:color w:val="auto"/>
              </w:rPr>
              <w:t>of Incorporation)</w:t>
            </w: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tcPr>
          <w:p>
            <w:pPr>
              <w:jc w:val="center"/>
              <w:ind w:right="36"/>
              <w:spacing w:after="0"/>
              <w:rPr>
                <w:sz w:val="20"/>
                <w:szCs w:val="20"/>
                <w:color w:val="auto"/>
              </w:rPr>
            </w:pPr>
            <w:r>
              <w:rPr>
                <w:rFonts w:ascii="Arial" w:cs="Arial" w:eastAsia="Arial" w:hAnsi="Arial"/>
                <w:sz w:val="16"/>
                <w:szCs w:val="16"/>
                <w:color w:val="auto"/>
              </w:rPr>
              <w:t>Identification No.)</w:t>
            </w:r>
          </w:p>
        </w:tc>
      </w:tr>
      <w:tr>
        <w:trPr>
          <w:trHeight w:val="52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1356"/>
              <w:spacing w:after="0"/>
              <w:rPr>
                <w:sz w:val="20"/>
                <w:szCs w:val="20"/>
                <w:color w:val="auto"/>
              </w:rPr>
            </w:pPr>
            <w:r>
              <w:rPr>
                <w:rFonts w:ascii="Arial" w:cs="Arial" w:eastAsia="Arial" w:hAnsi="Arial"/>
                <w:sz w:val="18"/>
                <w:szCs w:val="18"/>
                <w:b w:val="1"/>
                <w:bCs w:val="1"/>
                <w:color w:val="auto"/>
              </w:rPr>
              <w:t>50436</w:t>
            </w:r>
          </w:p>
        </w:tc>
      </w:tr>
      <w:tr>
        <w:trPr>
          <w:trHeight w:val="224"/>
        </w:trPr>
        <w:tc>
          <w:tcPr>
            <w:tcW w:w="3340" w:type="dxa"/>
            <w:vAlign w:val="bottom"/>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tcPr>
          <w:p>
            <w:pPr>
              <w:jc w:val="center"/>
              <w:ind w:right="16"/>
              <w:spacing w:after="0"/>
              <w:rPr>
                <w:sz w:val="20"/>
                <w:szCs w:val="20"/>
                <w:color w:val="auto"/>
              </w:rPr>
            </w:pPr>
            <w:r>
              <w:rPr>
                <w:rFonts w:ascii="Arial" w:cs="Arial" w:eastAsia="Arial" w:hAnsi="Arial"/>
                <w:sz w:val="16"/>
                <w:szCs w:val="16"/>
                <w:color w:val="auto"/>
              </w:rPr>
              <w:t>(Zip Code)</w:t>
            </w:r>
          </w:p>
        </w:tc>
      </w:tr>
      <w:tr>
        <w:trPr>
          <w:trHeight w:val="473"/>
        </w:trPr>
        <w:tc>
          <w:tcPr>
            <w:tcW w:w="5940" w:type="dxa"/>
            <w:vAlign w:val="bottom"/>
            <w:gridSpan w:val="3"/>
          </w:tcPr>
          <w:p>
            <w:pPr>
              <w:ind w:left="2180"/>
              <w:spacing w:after="0"/>
              <w:rPr>
                <w:sz w:val="20"/>
                <w:szCs w:val="20"/>
                <w:color w:val="auto"/>
              </w:rPr>
            </w:pPr>
            <w:r>
              <w:rPr>
                <w:rFonts w:ascii="Arial" w:cs="Arial" w:eastAsia="Arial" w:hAnsi="Arial"/>
                <w:sz w:val="16"/>
                <w:szCs w:val="16"/>
                <w:color w:val="auto"/>
              </w:rPr>
              <w:t>Registrant's telephone number, including area code</w:t>
            </w:r>
          </w:p>
        </w:tc>
        <w:tc>
          <w:tcPr>
            <w:tcW w:w="3260" w:type="dxa"/>
            <w:vAlign w:val="bottom"/>
          </w:tcPr>
          <w:p>
            <w:pPr>
              <w:jc w:val="right"/>
              <w:ind w:right="2096"/>
              <w:spacing w:after="0"/>
              <w:rPr>
                <w:sz w:val="20"/>
                <w:szCs w:val="20"/>
                <w:color w:val="auto"/>
              </w:rPr>
            </w:pPr>
            <w:r>
              <w:rPr>
                <w:rFonts w:ascii="Arial" w:cs="Arial" w:eastAsia="Arial" w:hAnsi="Arial"/>
                <w:sz w:val="16"/>
                <w:szCs w:val="16"/>
                <w:b w:val="1"/>
                <w:bCs w:val="1"/>
                <w:color w:val="auto"/>
              </w:rPr>
              <w:t>641-585-3535</w:t>
            </w:r>
          </w:p>
        </w:tc>
      </w:tr>
    </w:tbl>
    <w:p>
      <w:pPr>
        <w:spacing w:after="0" w:line="183" w:lineRule="exact"/>
        <w:rPr>
          <w:sz w:val="24"/>
          <w:szCs w:val="24"/>
          <w:color w:val="auto"/>
        </w:rPr>
      </w:pPr>
    </w:p>
    <w:p>
      <w:pPr>
        <w:ind w:left="256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633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9" w:lineRule="exact"/>
        <w:rPr>
          <w:sz w:val="24"/>
          <w:szCs w:val="24"/>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654050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568325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84" w:right="2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2.02 Results of Operations and Financial Condition.</w:t>
      </w:r>
    </w:p>
    <w:p>
      <w:pPr>
        <w:spacing w:after="0" w:line="245"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Winnebago Industries, Inc. is filing herewith a press release issued on June 22, 2016, as Exhibit 99.1 which is incorporated by reference herein. The press release was issued to report earnings for the third quarter of Fiscal 2016 ended May 28, 2016.</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7.01 Regulation FD Disclosure; 8.01 Other Events.</w:t>
      </w:r>
    </w:p>
    <w:p>
      <w:pPr>
        <w:spacing w:after="0" w:line="218" w:lineRule="exact"/>
        <w:rPr>
          <w:sz w:val="20"/>
          <w:szCs w:val="20"/>
          <w:color w:val="auto"/>
        </w:rPr>
      </w:pPr>
    </w:p>
    <w:p>
      <w:pPr>
        <w:jc w:val="both"/>
        <w:ind w:right="80"/>
        <w:spacing w:after="0" w:line="253" w:lineRule="auto"/>
        <w:rPr>
          <w:sz w:val="20"/>
          <w:szCs w:val="20"/>
          <w:color w:val="auto"/>
        </w:rPr>
      </w:pPr>
      <w:r>
        <w:rPr>
          <w:rFonts w:ascii="Arial" w:cs="Arial" w:eastAsia="Arial" w:hAnsi="Arial"/>
          <w:sz w:val="16"/>
          <w:szCs w:val="16"/>
          <w:color w:val="auto"/>
        </w:rPr>
        <w:t>Winnebago Industries, Inc. (Winnebago Industries) is filing herewith a press release issued on June 22, 2016, as Exhibit 99.1 which is included herein. The press release was issued to report that on June 15, 2016, the Board of Winnebago Industries, Inc. approved a quarterly cash dividend of $0.10 per share of common stock, payable on July 27, 2016 to shareholders of record at the close of business on July 13, 2016.</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18" w:lineRule="exact"/>
        <w:rPr>
          <w:sz w:val="20"/>
          <w:szCs w:val="20"/>
          <w:color w:val="auto"/>
        </w:rPr>
      </w:pPr>
    </w:p>
    <w:p>
      <w:pPr>
        <w:ind w:left="380" w:hanging="372"/>
        <w:spacing w:after="0"/>
        <w:tabs>
          <w:tab w:leader="none" w:pos="380" w:val="left"/>
        </w:tabs>
        <w:numPr>
          <w:ilvl w:val="0"/>
          <w:numId w:val="2"/>
        </w:numPr>
        <w:rPr>
          <w:rFonts w:ascii="Arial" w:cs="Arial" w:eastAsia="Arial" w:hAnsi="Arial"/>
          <w:sz w:val="16"/>
          <w:szCs w:val="16"/>
          <w:color w:val="auto"/>
        </w:rPr>
      </w:pPr>
      <w:r>
        <w:rPr>
          <w:rFonts w:ascii="Arial" w:cs="Arial" w:eastAsia="Arial" w:hAnsi="Arial"/>
          <w:sz w:val="16"/>
          <w:szCs w:val="16"/>
          <w:color w:val="auto"/>
        </w:rPr>
        <w:t>Exhibits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Exhibit</w:t>
      </w:r>
    </w:p>
    <w:p>
      <w:pPr>
        <w:spacing w:after="0" w:line="25"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6"/>
          <w:szCs w:val="16"/>
          <w:b w:val="1"/>
          <w:bCs w:val="1"/>
          <w:color w:val="auto"/>
        </w:rPr>
        <w:t>Number</w:t>
        <w:tab/>
        <w:t>Description</w:t>
      </w:r>
    </w:p>
    <w:p>
      <w:pPr>
        <w:spacing w:after="0" w:line="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6"/>
          <w:szCs w:val="16"/>
          <w:color w:val="auto"/>
        </w:rPr>
        <w:t>Press release of Winnebago Industries, Inc. dated June 22, 2016.</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9"/>
        <w:spacing w:after="0"/>
        <w:rPr>
          <w:sz w:val="20"/>
          <w:szCs w:val="20"/>
          <w:color w:val="auto"/>
        </w:rPr>
      </w:pPr>
      <w:r>
        <w:rPr>
          <w:rFonts w:ascii="Arial" w:cs="Arial" w:eastAsia="Arial" w:hAnsi="Arial"/>
          <w:sz w:val="20"/>
          <w:szCs w:val="20"/>
          <w:b w:val="1"/>
          <w:bCs w:val="1"/>
          <w:color w:val="auto"/>
        </w:rPr>
        <w:t>SIGNATURES</w:t>
      </w:r>
    </w:p>
    <w:p>
      <w:pPr>
        <w:spacing w:after="0" w:line="17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22"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p>
      <w:pPr>
        <w:spacing w:after="0" w:line="80"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(Registrant)</w:t>
      </w:r>
    </w:p>
    <w:p>
      <w:pPr>
        <w:spacing w:after="0" w:line="370" w:lineRule="exact"/>
        <w:rPr>
          <w:sz w:val="20"/>
          <w:szCs w:val="20"/>
          <w:color w:val="auto"/>
        </w:rPr>
      </w:pPr>
    </w:p>
    <w:tbl>
      <w:tblPr>
        <w:tblLayout w:type="fixed"/>
        <w:tblInd w:w="40" w:type="dxa"/>
        <w:tblCellMar>
          <w:top w:w="0" w:type="dxa"/>
          <w:left w:w="0" w:type="dxa"/>
          <w:bottom w:w="0" w:type="dxa"/>
          <w:right w:w="0" w:type="dxa"/>
        </w:tblCellMar>
      </w:tblPr>
      <w:tr>
        <w:trPr>
          <w:trHeight w:val="208"/>
        </w:trPr>
        <w:tc>
          <w:tcPr>
            <w:tcW w:w="2520" w:type="dxa"/>
            <w:vAlign w:val="bottom"/>
          </w:tcPr>
          <w:p>
            <w:pPr>
              <w:spacing w:after="0"/>
              <w:rPr>
                <w:sz w:val="20"/>
                <w:szCs w:val="20"/>
                <w:color w:val="auto"/>
              </w:rPr>
            </w:pPr>
            <w:r>
              <w:rPr>
                <w:rFonts w:ascii="Arial" w:cs="Arial" w:eastAsia="Arial" w:hAnsi="Arial"/>
                <w:sz w:val="16"/>
                <w:szCs w:val="16"/>
                <w:color w:val="auto"/>
              </w:rPr>
              <w:t>Date:   June 22, 2016</w:t>
            </w:r>
          </w:p>
        </w:tc>
        <w:tc>
          <w:tcPr>
            <w:tcW w:w="1540" w:type="dxa"/>
            <w:vAlign w:val="bottom"/>
          </w:tcPr>
          <w:p>
            <w:pPr>
              <w:ind w:left="900"/>
              <w:spacing w:after="0"/>
              <w:rPr>
                <w:sz w:val="20"/>
                <w:szCs w:val="20"/>
                <w:color w:val="auto"/>
              </w:rPr>
            </w:pPr>
            <w:r>
              <w:rPr>
                <w:rFonts w:ascii="Arial" w:cs="Arial" w:eastAsia="Arial" w:hAnsi="Arial"/>
                <w:sz w:val="16"/>
                <w:szCs w:val="16"/>
                <w:color w:val="auto"/>
              </w:rPr>
              <w:t>By:</w:t>
            </w:r>
          </w:p>
        </w:tc>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Scott C. Folkers</w:t>
            </w:r>
          </w:p>
        </w:tc>
      </w:tr>
      <w:tr>
        <w:trPr>
          <w:trHeight w:val="237"/>
        </w:trPr>
        <w:tc>
          <w:tcPr>
            <w:tcW w:w="2520" w:type="dxa"/>
            <w:vAlign w:val="bottom"/>
          </w:tcPr>
          <w:p>
            <w:pPr>
              <w:spacing w:after="0"/>
              <w:rPr>
                <w:sz w:val="20"/>
                <w:szCs w:val="20"/>
                <w:color w:val="auto"/>
              </w:rPr>
            </w:pPr>
          </w:p>
        </w:tc>
        <w:tc>
          <w:tcPr>
            <w:tcW w:w="1540" w:type="dxa"/>
            <w:vAlign w:val="bottom"/>
          </w:tcPr>
          <w:p>
            <w:pPr>
              <w:ind w:left="900"/>
              <w:spacing w:after="0"/>
              <w:rPr>
                <w:sz w:val="20"/>
                <w:szCs w:val="20"/>
                <w:color w:val="auto"/>
              </w:rPr>
            </w:pPr>
            <w:r>
              <w:rPr>
                <w:rFonts w:ascii="Arial" w:cs="Arial" w:eastAsia="Arial" w:hAnsi="Arial"/>
                <w:sz w:val="16"/>
                <w:szCs w:val="16"/>
                <w:color w:val="auto"/>
              </w:rPr>
              <w:t>Name:</w:t>
            </w:r>
          </w:p>
        </w:tc>
        <w:tc>
          <w:tcPr>
            <w:tcW w:w="4920" w:type="dxa"/>
            <w:vAlign w:val="bottom"/>
          </w:tcPr>
          <w:p>
            <w:pPr>
              <w:ind w:left="20"/>
              <w:spacing w:after="0"/>
              <w:rPr>
                <w:sz w:val="20"/>
                <w:szCs w:val="20"/>
                <w:color w:val="auto"/>
              </w:rPr>
            </w:pPr>
            <w:r>
              <w:rPr>
                <w:rFonts w:ascii="Arial" w:cs="Arial" w:eastAsia="Arial" w:hAnsi="Arial"/>
                <w:sz w:val="16"/>
                <w:szCs w:val="16"/>
                <w:color w:val="auto"/>
              </w:rPr>
              <w:t>Scott C. Folkers</w:t>
            </w:r>
          </w:p>
        </w:tc>
      </w:tr>
      <w:tr>
        <w:trPr>
          <w:trHeight w:val="270"/>
        </w:trPr>
        <w:tc>
          <w:tcPr>
            <w:tcW w:w="2520" w:type="dxa"/>
            <w:vAlign w:val="bottom"/>
          </w:tcPr>
          <w:p>
            <w:pPr>
              <w:spacing w:after="0"/>
              <w:rPr>
                <w:sz w:val="23"/>
                <w:szCs w:val="23"/>
                <w:color w:val="auto"/>
              </w:rPr>
            </w:pPr>
          </w:p>
        </w:tc>
        <w:tc>
          <w:tcPr>
            <w:tcW w:w="1540" w:type="dxa"/>
            <w:vAlign w:val="bottom"/>
          </w:tcPr>
          <w:p>
            <w:pPr>
              <w:ind w:left="900"/>
              <w:spacing w:after="0"/>
              <w:rPr>
                <w:sz w:val="20"/>
                <w:szCs w:val="20"/>
                <w:color w:val="auto"/>
              </w:rPr>
            </w:pPr>
            <w:r>
              <w:rPr>
                <w:rFonts w:ascii="Arial" w:cs="Arial" w:eastAsia="Arial" w:hAnsi="Arial"/>
                <w:sz w:val="16"/>
                <w:szCs w:val="16"/>
                <w:color w:val="auto"/>
              </w:rPr>
              <w:t>Title:</w:t>
            </w:r>
          </w:p>
        </w:tc>
        <w:tc>
          <w:tcPr>
            <w:tcW w:w="4920" w:type="dxa"/>
            <w:vAlign w:val="bottom"/>
          </w:tcPr>
          <w:p>
            <w:pPr>
              <w:ind w:left="20"/>
              <w:spacing w:after="0"/>
              <w:rPr>
                <w:sz w:val="20"/>
                <w:szCs w:val="20"/>
                <w:color w:val="auto"/>
              </w:rPr>
            </w:pPr>
            <w:r>
              <w:rPr>
                <w:rFonts w:ascii="Arial" w:cs="Arial" w:eastAsia="Arial" w:hAnsi="Arial"/>
                <w:sz w:val="16"/>
                <w:szCs w:val="16"/>
                <w:color w:val="auto"/>
              </w:rPr>
              <w:t>Vice President, General Counsel and Secretary</w:t>
            </w:r>
          </w:p>
        </w:tc>
      </w:tr>
    </w:tbl>
    <w:p>
      <w:pPr>
        <w:sectPr>
          <w:pgSz w:w="11900" w:h="16838" w:orient="portrait"/>
          <w:cols w:equalWidth="0" w:num="1">
            <w:col w:w="11220"/>
          </w:cols>
          <w:pgMar w:left="240" w:top="571" w:right="439" w:bottom="1440" w:gutter="0" w:footer="0" w:header="0"/>
        </w:sectPr>
      </w:pPr>
    </w:p>
    <w:bookmarkStart w:id="2" w:name="page3"/>
    <w:bookmarkEnd w:id="2"/>
    <w:p>
      <w:pPr>
        <w:ind w:left="5460"/>
        <w:spacing w:after="0"/>
        <w:rPr>
          <w:sz w:val="20"/>
          <w:szCs w:val="20"/>
          <w:color w:val="auto"/>
        </w:rPr>
      </w:pPr>
      <w:r>
        <w:rPr>
          <w:rFonts w:ascii="Arial" w:cs="Arial" w:eastAsia="Arial" w:hAnsi="Arial"/>
          <w:sz w:val="63"/>
          <w:szCs w:val="63"/>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-389255</wp:posOffset>
            </wp:positionV>
            <wp:extent cx="2306955" cy="3346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06955" cy="33464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Contact: Samantha Dugan - Investor Relations - 641-585-6160 - sdugan@wgo.net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Media Contact: Sam Jefson - Public Relations Specialist - 641-585-6803 - sjefson@wgo.net</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WINNEBAGO INDUSTRIES ANNOUNCES THIRD-QUARTER FISCAL 2016 RESULTS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 Gross Margins Expand by 70 Basis Points on a YTD basis--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 Board of Directors Approved Regular Quarterly Cash Dividend of $0.10 Per Share --</w:t>
      </w:r>
    </w:p>
    <w:p>
      <w:pPr>
        <w:spacing w:after="0" w:line="200" w:lineRule="exact"/>
        <w:rPr>
          <w:sz w:val="20"/>
          <w:szCs w:val="20"/>
          <w:color w:val="auto"/>
        </w:rPr>
      </w:pPr>
    </w:p>
    <w:p>
      <w:pPr>
        <w:spacing w:after="0" w:line="365" w:lineRule="exact"/>
        <w:rPr>
          <w:sz w:val="20"/>
          <w:szCs w:val="20"/>
          <w:color w:val="auto"/>
        </w:rPr>
      </w:pPr>
    </w:p>
    <w:p>
      <w:pPr>
        <w:ind w:right="400"/>
        <w:spacing w:after="0" w:line="366" w:lineRule="auto"/>
        <w:rPr>
          <w:sz w:val="20"/>
          <w:szCs w:val="20"/>
          <w:color w:val="auto"/>
        </w:rPr>
      </w:pPr>
      <w:r>
        <w:rPr>
          <w:rFonts w:ascii="Arial" w:cs="Arial" w:eastAsia="Arial" w:hAnsi="Arial"/>
          <w:sz w:val="16"/>
          <w:szCs w:val="16"/>
          <w:color w:val="auto"/>
        </w:rPr>
        <w:t>FOREST CITY, IOWA, June 22, 2016 - Winnebago Industries, Inc. (NYSE:WGO), a leading United States recreation vehicle manufacturer, today reported financial results for the Company's third quarter of Fiscal 2016.</w:t>
      </w: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Third Quarter Fiscal 2016 Results</w:t>
      </w:r>
    </w:p>
    <w:p>
      <w:pPr>
        <w:spacing w:after="0" w:line="86" w:lineRule="exact"/>
        <w:rPr>
          <w:sz w:val="20"/>
          <w:szCs w:val="20"/>
          <w:color w:val="auto"/>
        </w:rPr>
      </w:pPr>
    </w:p>
    <w:p>
      <w:pPr>
        <w:ind w:right="120"/>
        <w:spacing w:after="0" w:line="356" w:lineRule="auto"/>
        <w:rPr>
          <w:sz w:val="20"/>
          <w:szCs w:val="20"/>
          <w:color w:val="auto"/>
        </w:rPr>
      </w:pPr>
      <w:r>
        <w:rPr>
          <w:rFonts w:ascii="Arial" w:cs="Arial" w:eastAsia="Arial" w:hAnsi="Arial"/>
          <w:sz w:val="16"/>
          <w:szCs w:val="16"/>
          <w:color w:val="auto"/>
        </w:rPr>
        <w:t>Revenues for the Fiscal 2016 third quarter ended May 28, 2016, were $272.1 million, an increase of 2.1%, compared to $266.5 million for the Fiscal 2015 period. Operating income was $20.6 million for the current quarter, an improvement of 27.8% compared to $16.1 million in the third quarter of last year. Fiscal 2016 third quarter net income was $14.4 million, or $0.53 per diluted share, an increase of 25.5% compared to $11.5 million, or $0.43 per diluted share, in the same period last year.</w:t>
      </w:r>
    </w:p>
    <w:p>
      <w:pPr>
        <w:spacing w:after="0" w:line="259" w:lineRule="exact"/>
        <w:rPr>
          <w:sz w:val="20"/>
          <w:szCs w:val="20"/>
          <w:color w:val="auto"/>
        </w:rPr>
      </w:pPr>
    </w:p>
    <w:p>
      <w:pPr>
        <w:ind w:right="20"/>
        <w:spacing w:after="0" w:line="355" w:lineRule="auto"/>
        <w:rPr>
          <w:sz w:val="20"/>
          <w:szCs w:val="20"/>
          <w:color w:val="auto"/>
        </w:rPr>
      </w:pPr>
      <w:r>
        <w:rPr>
          <w:rFonts w:ascii="Arial" w:cs="Arial" w:eastAsia="Arial" w:hAnsi="Arial"/>
          <w:sz w:val="16"/>
          <w:szCs w:val="16"/>
          <w:color w:val="auto"/>
        </w:rPr>
        <w:t>President and Chief Executive Officer Michael Happe commented, “Continued strong growth in our towables business, combined with a moderate climb in our motorized shipments drove increased revenues for the quarter. The motorized team made solid progress this past quarter in driving a higher level of manufacturing output and addressing the heavy order backlog we carried into the spring, while also working to deliver more consistent levels of product quality. Our towables plan of widening the product line-up, increasing points of distribution, and elevating our service levels is also gaining further traction. Both businesses had positive retail trends versus a year ago, with motorized registrations in our third quarter pushing toward a high single-digit percentage comparison and towables driving a retail increase of more than 40%.</w:t>
      </w:r>
    </w:p>
    <w:p>
      <w:pPr>
        <w:spacing w:after="0" w:line="258" w:lineRule="exact"/>
        <w:rPr>
          <w:sz w:val="20"/>
          <w:szCs w:val="20"/>
          <w:color w:val="auto"/>
        </w:rPr>
      </w:pPr>
    </w:p>
    <w:p>
      <w:pPr>
        <w:spacing w:after="0" w:line="355" w:lineRule="auto"/>
        <w:rPr>
          <w:sz w:val="20"/>
          <w:szCs w:val="20"/>
          <w:color w:val="auto"/>
        </w:rPr>
      </w:pPr>
      <w:r>
        <w:rPr>
          <w:rFonts w:ascii="Arial" w:cs="Arial" w:eastAsia="Arial" w:hAnsi="Arial"/>
          <w:sz w:val="16"/>
          <w:szCs w:val="16"/>
          <w:color w:val="auto"/>
        </w:rPr>
        <w:t>"In addition to growing revenues, our team has been successful in driving a steady increase in gross margin percentage, with particular focus on reducing labor variances and material costs. We are also pleased to have reached a positive legal settlement in the third quarter on our Australian trademark case that will allow us to refocus our efforts on exclusively expanding the Winnebago brand and market share in that region. In the fourth quarter, we will look to put the finishing touches on a refreshed vision for Winnebago’s future, build stronger momentum around new product introductions for Fiscal 2017, and ensure the investments we are making in new systems, facilities, talent, and business processes are positioned to produce a strong future return for this iconic brand.”</w:t>
      </w:r>
    </w:p>
    <w:p>
      <w:pPr>
        <w:spacing w:after="0" w:line="260" w:lineRule="exact"/>
        <w:rPr>
          <w:sz w:val="20"/>
          <w:szCs w:val="20"/>
          <w:color w:val="auto"/>
        </w:rPr>
      </w:pPr>
    </w:p>
    <w:p>
      <w:pPr>
        <w:ind w:right="80"/>
        <w:spacing w:after="0" w:line="359" w:lineRule="auto"/>
        <w:rPr>
          <w:sz w:val="20"/>
          <w:szCs w:val="20"/>
          <w:color w:val="auto"/>
        </w:rPr>
      </w:pPr>
      <w:r>
        <w:rPr>
          <w:rFonts w:ascii="Arial" w:cs="Arial" w:eastAsia="Arial" w:hAnsi="Arial"/>
          <w:sz w:val="16"/>
          <w:szCs w:val="16"/>
          <w:color w:val="auto"/>
        </w:rPr>
        <w:t>Third quarter Fiscal 2016 consolidated revenues improved year over year due primarily to higher shipments of 12.4% in motorized units and 62.4% in towables. Current quarter revenues were impacted by the Company's exit of aluminum extrusion sales to outside customers offset by accelerated deliveries of rental units into the third quarter, which also impacted backlog.</w:t>
      </w:r>
    </w:p>
    <w:p>
      <w:pPr>
        <w:spacing w:after="0" w:line="255" w:lineRule="exact"/>
        <w:rPr>
          <w:sz w:val="20"/>
          <w:szCs w:val="20"/>
          <w:color w:val="auto"/>
        </w:rPr>
      </w:pPr>
    </w:p>
    <w:p>
      <w:pPr>
        <w:ind w:right="60"/>
        <w:spacing w:after="0" w:line="366" w:lineRule="auto"/>
        <w:rPr>
          <w:sz w:val="20"/>
          <w:szCs w:val="20"/>
          <w:color w:val="auto"/>
        </w:rPr>
      </w:pPr>
      <w:r>
        <w:rPr>
          <w:rFonts w:ascii="Arial" w:cs="Arial" w:eastAsia="Arial" w:hAnsi="Arial"/>
          <w:sz w:val="16"/>
          <w:szCs w:val="16"/>
          <w:color w:val="auto"/>
        </w:rPr>
        <w:t>Third quarter gross margin improved year over year, primarily due to our strategic sourcing initiative resulting in lower raw material costs and favorable product mix, partially offset by higher warranty expense.</w:t>
      </w:r>
    </w:p>
    <w:p>
      <w:pPr>
        <w:sectPr>
          <w:pgSz w:w="11900" w:h="16838" w:orient="portrait"/>
          <w:cols w:equalWidth="0" w:num="1">
            <w:col w:w="11400"/>
          </w:cols>
          <w:pgMar w:left="240" w:top="799" w:right="259" w:bottom="1440" w:gutter="0" w:footer="0" w:header="0"/>
        </w:sectPr>
      </w:pPr>
    </w:p>
    <w:bookmarkStart w:id="3" w:name="page4"/>
    <w:bookmarkEnd w:id="3"/>
    <w:p>
      <w:pPr>
        <w:spacing w:after="0"/>
        <w:rPr>
          <w:sz w:val="20"/>
          <w:szCs w:val="20"/>
          <w:color w:val="auto"/>
        </w:rPr>
      </w:pPr>
      <w:r>
        <w:rPr>
          <w:rFonts w:ascii="Arial" w:cs="Arial" w:eastAsia="Arial" w:hAnsi="Arial"/>
          <w:sz w:val="16"/>
          <w:szCs w:val="16"/>
          <w:u w:val="single" w:color="auto"/>
          <w:color w:val="auto"/>
        </w:rPr>
        <w:t>Quarterly Cash Dividend</w:t>
      </w:r>
    </w:p>
    <w:p>
      <w:pPr>
        <w:spacing w:after="0" w:line="86" w:lineRule="exact"/>
        <w:rPr>
          <w:sz w:val="20"/>
          <w:szCs w:val="20"/>
          <w:color w:val="auto"/>
        </w:rPr>
      </w:pPr>
    </w:p>
    <w:p>
      <w:pPr>
        <w:ind w:right="20"/>
        <w:spacing w:after="0" w:line="366" w:lineRule="auto"/>
        <w:rPr>
          <w:sz w:val="20"/>
          <w:szCs w:val="20"/>
          <w:color w:val="auto"/>
        </w:rPr>
      </w:pPr>
      <w:r>
        <w:rPr>
          <w:rFonts w:ascii="Arial" w:cs="Arial" w:eastAsia="Arial" w:hAnsi="Arial"/>
          <w:sz w:val="16"/>
          <w:szCs w:val="16"/>
          <w:color w:val="auto"/>
        </w:rPr>
        <w:t>On June 15, 2016, the Company’s board of directors approved a quarterly cash dividend of $0.10 per share payable on July 27, 2016, to common stockholders of record at the close of business on July 13, 2016.</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Conference Call</w:t>
      </w:r>
    </w:p>
    <w:p>
      <w:pPr>
        <w:spacing w:after="0" w:line="86" w:lineRule="exact"/>
        <w:rPr>
          <w:sz w:val="20"/>
          <w:szCs w:val="20"/>
          <w:color w:val="auto"/>
        </w:rPr>
      </w:pPr>
    </w:p>
    <w:p>
      <w:pPr>
        <w:ind w:right="140"/>
        <w:spacing w:after="0" w:line="359" w:lineRule="auto"/>
        <w:rPr>
          <w:sz w:val="20"/>
          <w:szCs w:val="20"/>
          <w:color w:val="auto"/>
        </w:rPr>
      </w:pPr>
      <w:r>
        <w:rPr>
          <w:rFonts w:ascii="Arial" w:cs="Arial" w:eastAsia="Arial" w:hAnsi="Arial"/>
          <w:sz w:val="16"/>
          <w:szCs w:val="16"/>
          <w:color w:val="auto"/>
        </w:rPr>
        <w:t>Winnebago Industries, Inc. will conduct a conference call to discuss third quarter Fiscal 2016 results at 9:00 a.m. Central Time today. Members of the news media, investors and the general public are invited to access a live broadcast of the conference call via the Investor Relations page of the Company's website at http://investor.wgo.net. The event will be archived and available for replay for the next 90 days.</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About Winnebago Industries</w:t>
      </w:r>
    </w:p>
    <w:p>
      <w:pPr>
        <w:spacing w:after="0" w:line="86" w:lineRule="exact"/>
        <w:rPr>
          <w:sz w:val="20"/>
          <w:szCs w:val="20"/>
          <w:color w:val="auto"/>
        </w:rPr>
      </w:pPr>
    </w:p>
    <w:p>
      <w:pPr>
        <w:spacing w:after="0" w:line="355" w:lineRule="auto"/>
        <w:rPr>
          <w:sz w:val="20"/>
          <w:szCs w:val="20"/>
          <w:color w:val="auto"/>
        </w:rPr>
      </w:pPr>
      <w:r>
        <w:rPr>
          <w:rFonts w:ascii="Arial" w:cs="Arial" w:eastAsia="Arial" w:hAnsi="Arial"/>
          <w:sz w:val="16"/>
          <w:szCs w:val="16"/>
          <w:color w:val="auto"/>
        </w:rPr>
        <w:t xml:space="preserve">Winnebago Industries, Inc. is a leading U.S. manufacturer of recreation vehicles, which are used primarily in leisure travel and outdoor recreation activities. The Company builds quality motorhomes, travel trailers and fifth wheel products. Winnebago Industries has received the Quality Circle Award from the Recreation Vehicle Dealers Association every year since 1996. The Company's common stock is listed on the New York and Chicago Stock Exchanges and traded under the symbol WGO. Options for the Company's common stock are traded on the Chicago Board Options Exchange. For access to Winnebago Industries' investor relations material or to add your name to an automatic email list for Company news releases, visit </w:t>
      </w:r>
      <w:r>
        <w:rPr>
          <w:rFonts w:ascii="Arial" w:cs="Arial" w:eastAsia="Arial" w:hAnsi="Arial"/>
          <w:sz w:val="16"/>
          <w:szCs w:val="16"/>
          <w:u w:val="single" w:color="auto"/>
          <w:color w:val="auto"/>
        </w:rPr>
        <w:t>http://investor.wgo.net.</w:t>
      </w:r>
    </w:p>
    <w:p>
      <w:pPr>
        <w:spacing w:after="0" w:line="260" w:lineRule="exact"/>
        <w:rPr>
          <w:sz w:val="20"/>
          <w:szCs w:val="20"/>
          <w:color w:val="auto"/>
        </w:rPr>
      </w:pPr>
    </w:p>
    <w:p>
      <w:pPr>
        <w:ind w:right="20"/>
        <w:spacing w:after="0" w:line="352"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increases in interest rates, availability of credit, low consumer confidence, availability of labor, significant increase in repurchase obligations, inadequate liquidity or capital resources, availability and price of fuel, a slowdown in the economy, increased material and component costs, availability of chassis and other key component parts, sales order cancellations, slower than anticipated sales of new or existing products, new product introductions by competitors, the effect of global tensions, integration of operations relating to mergers and acquisitions activities, any unexpected expenses related to ERP and other factors.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The Company disclaims any obligation or undertaking to disseminate any updates or revisions to any forward looking statements contained in this release or to reflect any changes in the Company's expectations after the date of this release or any change in events, conditions or circumstances on which any statement is based, except as required by law.</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 #</w:t>
      </w:r>
    </w:p>
    <w:p>
      <w:pPr>
        <w:sectPr>
          <w:pgSz w:w="11900" w:h="16838" w:orient="portrait"/>
          <w:cols w:equalWidth="0" w:num="1">
            <w:col w:w="11420"/>
          </w:cols>
          <w:pgMar w:left="240" w:top="64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percent and per share data)</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Quarter Ended</w:t>
            </w:r>
          </w:p>
        </w:tc>
        <w:tc>
          <w:tcPr>
            <w:tcW w:w="8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44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3"/>
          </w:tcPr>
          <w:p>
            <w:pPr>
              <w:ind w:left="760"/>
              <w:spacing w:after="0"/>
              <w:rPr>
                <w:sz w:val="20"/>
                <w:szCs w:val="20"/>
                <w:color w:val="auto"/>
              </w:rPr>
            </w:pPr>
            <w:r>
              <w:rPr>
                <w:rFonts w:ascii="Arial" w:cs="Arial" w:eastAsia="Arial" w:hAnsi="Arial"/>
                <w:sz w:val="16"/>
                <w:szCs w:val="16"/>
                <w:b w:val="1"/>
                <w:bCs w:val="1"/>
                <w:color w:val="auto"/>
              </w:rPr>
              <w:t>May 28, 2016</w:t>
            </w:r>
          </w:p>
        </w:tc>
        <w:tc>
          <w:tcPr>
            <w:tcW w:w="980" w:type="dxa"/>
            <w:vAlign w:val="bottom"/>
            <w:tcBorders>
              <w:bottom w:val="single" w:sz="8" w:color="auto"/>
            </w:tcBorders>
          </w:tcPr>
          <w:p>
            <w:pPr>
              <w:spacing w:after="0"/>
              <w:rPr>
                <w:sz w:val="22"/>
                <w:szCs w:val="22"/>
                <w:color w:val="auto"/>
              </w:rPr>
            </w:pPr>
          </w:p>
        </w:tc>
        <w:tc>
          <w:tcPr>
            <w:tcW w:w="4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3"/>
          </w:tcPr>
          <w:p>
            <w:pPr>
              <w:ind w:left="660"/>
              <w:spacing w:after="0"/>
              <w:rPr>
                <w:sz w:val="20"/>
                <w:szCs w:val="20"/>
                <w:color w:val="auto"/>
              </w:rPr>
            </w:pPr>
            <w:r>
              <w:rPr>
                <w:rFonts w:ascii="Arial" w:cs="Arial" w:eastAsia="Arial" w:hAnsi="Arial"/>
                <w:sz w:val="16"/>
                <w:szCs w:val="16"/>
                <w:b w:val="1"/>
                <w:bCs w:val="1"/>
                <w:color w:val="auto"/>
              </w:rPr>
              <w:t>May 30, 2015</w:t>
            </w:r>
          </w:p>
        </w:tc>
        <w:tc>
          <w:tcPr>
            <w:tcW w:w="9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272,077</w:t>
            </w:r>
          </w:p>
        </w:tc>
        <w:tc>
          <w:tcPr>
            <w:tcW w:w="3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42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266,510</w:t>
            </w:r>
          </w:p>
        </w:tc>
        <w:tc>
          <w:tcPr>
            <w:tcW w:w="34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64"/>
        </w:trPr>
        <w:tc>
          <w:tcPr>
            <w:tcW w:w="44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goods sold</w:t>
            </w:r>
          </w:p>
        </w:tc>
        <w:tc>
          <w:tcPr>
            <w:tcW w:w="3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241,820</w:t>
            </w:r>
          </w:p>
        </w:tc>
        <w:tc>
          <w:tcPr>
            <w:tcW w:w="32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88.9%</w:t>
            </w:r>
          </w:p>
        </w:tc>
        <w:tc>
          <w:tcPr>
            <w:tcW w:w="4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238,327</w:t>
            </w:r>
          </w:p>
        </w:tc>
        <w:tc>
          <w:tcPr>
            <w:tcW w:w="34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89.4%</w:t>
            </w:r>
          </w:p>
        </w:tc>
        <w:tc>
          <w:tcPr>
            <w:tcW w:w="0" w:type="dxa"/>
            <w:vAlign w:val="bottom"/>
          </w:tcPr>
          <w:p>
            <w:pPr>
              <w:spacing w:after="0"/>
              <w:rPr>
                <w:sz w:val="1"/>
                <w:szCs w:val="1"/>
                <w:color w:val="auto"/>
              </w:rPr>
            </w:pPr>
          </w:p>
        </w:tc>
      </w:tr>
      <w:tr>
        <w:trPr>
          <w:trHeight w:val="257"/>
        </w:trPr>
        <w:tc>
          <w:tcPr>
            <w:tcW w:w="44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Gross profit</w:t>
            </w:r>
          </w:p>
        </w:tc>
        <w:tc>
          <w:tcPr>
            <w:tcW w:w="3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30,257</w:t>
            </w:r>
          </w:p>
        </w:tc>
        <w:tc>
          <w:tcPr>
            <w:tcW w:w="320" w:type="dxa"/>
            <w:vAlign w:val="bottom"/>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11.1%</w:t>
            </w:r>
          </w:p>
        </w:tc>
        <w:tc>
          <w:tcPr>
            <w:tcW w:w="42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28,183</w:t>
            </w:r>
          </w:p>
        </w:tc>
        <w:tc>
          <w:tcPr>
            <w:tcW w:w="340" w:type="dxa"/>
            <w:vAlign w:val="bottom"/>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54"/>
        </w:trPr>
        <w:tc>
          <w:tcPr>
            <w:tcW w:w="448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3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4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Selling</w:t>
            </w:r>
          </w:p>
        </w:tc>
        <w:tc>
          <w:tcPr>
            <w:tcW w:w="3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4,770</w:t>
            </w:r>
          </w:p>
        </w:tc>
        <w:tc>
          <w:tcPr>
            <w:tcW w:w="3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1.8%</w:t>
            </w:r>
          </w:p>
        </w:tc>
        <w:tc>
          <w:tcPr>
            <w:tcW w:w="4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5,150</w:t>
            </w:r>
          </w:p>
        </w:tc>
        <w:tc>
          <w:tcPr>
            <w:tcW w:w="3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60"/>
        </w:trPr>
        <w:tc>
          <w:tcPr>
            <w:tcW w:w="4480" w:type="dxa"/>
            <w:vAlign w:val="bottom"/>
          </w:tcPr>
          <w:p>
            <w:pPr>
              <w:ind w:left="280"/>
              <w:spacing w:after="0"/>
              <w:rPr>
                <w:sz w:val="20"/>
                <w:szCs w:val="20"/>
                <w:color w:val="auto"/>
              </w:rPr>
            </w:pPr>
            <w:r>
              <w:rPr>
                <w:rFonts w:ascii="Arial" w:cs="Arial" w:eastAsia="Arial" w:hAnsi="Arial"/>
                <w:sz w:val="16"/>
                <w:szCs w:val="16"/>
                <w:color w:val="auto"/>
              </w:rPr>
              <w:t>General and administrative</w:t>
            </w:r>
          </w:p>
        </w:tc>
        <w:tc>
          <w:tcPr>
            <w:tcW w:w="38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4,894</w:t>
            </w: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1.8%</w:t>
            </w:r>
          </w:p>
        </w:tc>
        <w:tc>
          <w:tcPr>
            <w:tcW w:w="4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6,453</w:t>
            </w:r>
          </w:p>
        </w:tc>
        <w:tc>
          <w:tcPr>
            <w:tcW w:w="3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73"/>
        </w:trPr>
        <w:tc>
          <w:tcPr>
            <w:tcW w:w="44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Impairment of fixed assets</w:t>
            </w:r>
          </w:p>
        </w:tc>
        <w:tc>
          <w:tcPr>
            <w:tcW w:w="380" w:type="dxa"/>
            <w:vAlign w:val="bottom"/>
            <w:shd w:val="clear" w:color="auto" w:fill="CCEEFF"/>
          </w:tcPr>
          <w:p>
            <w:pPr>
              <w:spacing w:after="0"/>
              <w:rPr>
                <w:sz w:val="23"/>
                <w:szCs w:val="23"/>
                <w:color w:val="auto"/>
              </w:rPr>
            </w:pPr>
          </w:p>
        </w:tc>
        <w:tc>
          <w:tcPr>
            <w:tcW w:w="1900" w:type="dxa"/>
            <w:vAlign w:val="bottom"/>
            <w:gridSpan w:val="3"/>
            <w:shd w:val="clear" w:color="auto" w:fill="CCEEFF"/>
          </w:tcPr>
          <w:p>
            <w:pPr>
              <w:jc w:val="right"/>
              <w:ind w:right="1060"/>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462</w:t>
            </w:r>
          </w:p>
        </w:tc>
        <w:tc>
          <w:tcPr>
            <w:tcW w:w="3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operating expenses</w:t>
            </w:r>
          </w:p>
        </w:tc>
        <w:tc>
          <w:tcPr>
            <w:tcW w:w="3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9,664</w:t>
            </w:r>
          </w:p>
        </w:tc>
        <w:tc>
          <w:tcPr>
            <w:tcW w:w="320" w:type="dxa"/>
            <w:vAlign w:val="bottom"/>
            <w:tcBorders>
              <w:bottom w:val="single" w:sz="8" w:color="CCEEFF"/>
            </w:tcBorders>
          </w:tcPr>
          <w:p>
            <w:pPr>
              <w:spacing w:after="0"/>
              <w:rPr>
                <w:sz w:val="21"/>
                <w:szCs w:val="21"/>
                <w:color w:val="auto"/>
              </w:rPr>
            </w:pPr>
          </w:p>
        </w:tc>
        <w:tc>
          <w:tcPr>
            <w:tcW w:w="64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3.6%</w:t>
            </w:r>
          </w:p>
        </w:tc>
        <w:tc>
          <w:tcPr>
            <w:tcW w:w="420" w:type="dxa"/>
            <w:vAlign w:val="bottom"/>
            <w:tcBorders>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12,065</w:t>
            </w:r>
          </w:p>
        </w:tc>
        <w:tc>
          <w:tcPr>
            <w:tcW w:w="340" w:type="dxa"/>
            <w:vAlign w:val="bottom"/>
            <w:tcBorders>
              <w:bottom w:val="single" w:sz="8" w:color="CCEEFF"/>
            </w:tcBorders>
          </w:tcPr>
          <w:p>
            <w:pPr>
              <w:spacing w:after="0"/>
              <w:rPr>
                <w:sz w:val="21"/>
                <w:szCs w:val="21"/>
                <w:color w:val="auto"/>
              </w:rPr>
            </w:pPr>
          </w:p>
        </w:tc>
        <w:tc>
          <w:tcPr>
            <w:tcW w:w="62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57"/>
        </w:trPr>
        <w:tc>
          <w:tcPr>
            <w:tcW w:w="4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3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20,593</w:t>
            </w:r>
          </w:p>
        </w:tc>
        <w:tc>
          <w:tcPr>
            <w:tcW w:w="3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7.6%</w:t>
            </w:r>
          </w:p>
        </w:tc>
        <w:tc>
          <w:tcPr>
            <w:tcW w:w="4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16,118</w:t>
            </w:r>
          </w:p>
        </w:tc>
        <w:tc>
          <w:tcPr>
            <w:tcW w:w="34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64"/>
        </w:trPr>
        <w:tc>
          <w:tcPr>
            <w:tcW w:w="4480" w:type="dxa"/>
            <w:vAlign w:val="bottom"/>
          </w:tcPr>
          <w:p>
            <w:pPr>
              <w:ind w:left="40"/>
              <w:spacing w:after="0"/>
              <w:rPr>
                <w:sz w:val="20"/>
                <w:szCs w:val="20"/>
                <w:color w:val="auto"/>
              </w:rPr>
            </w:pPr>
            <w:r>
              <w:rPr>
                <w:rFonts w:ascii="Arial" w:cs="Arial" w:eastAsia="Arial" w:hAnsi="Arial"/>
                <w:sz w:val="16"/>
                <w:szCs w:val="16"/>
                <w:color w:val="auto"/>
              </w:rPr>
              <w:t>Non-operating income</w:t>
            </w:r>
          </w:p>
        </w:tc>
        <w:tc>
          <w:tcPr>
            <w:tcW w:w="38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77</w:t>
            </w: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2"/>
                <w:szCs w:val="22"/>
                <w:color w:val="auto"/>
              </w:rPr>
            </w:pPr>
          </w:p>
        </w:tc>
        <w:tc>
          <w:tcPr>
            <w:tcW w:w="1780" w:type="dxa"/>
            <w:vAlign w:val="bottom"/>
            <w:gridSpan w:val="3"/>
          </w:tcPr>
          <w:p>
            <w:pPr>
              <w:jc w:val="right"/>
              <w:ind w:right="10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44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38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20,670</w:t>
            </w:r>
          </w:p>
        </w:tc>
        <w:tc>
          <w:tcPr>
            <w:tcW w:w="320" w:type="dxa"/>
            <w:vAlign w:val="bottom"/>
            <w:tcBorders>
              <w:top w:val="single" w:sz="8" w:color="CCEEFF"/>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7.6%</w:t>
            </w:r>
          </w:p>
        </w:tc>
        <w:tc>
          <w:tcPr>
            <w:tcW w:w="420" w:type="dxa"/>
            <w:vAlign w:val="bottom"/>
            <w:tcBorders>
              <w:top w:val="single" w:sz="8" w:color="CCEEFF"/>
            </w:tcBorders>
            <w:shd w:val="clear" w:color="auto" w:fill="CCEEFF"/>
          </w:tcPr>
          <w:p>
            <w:pPr>
              <w:spacing w:after="0"/>
              <w:rPr>
                <w:sz w:val="22"/>
                <w:szCs w:val="22"/>
                <w:color w:val="auto"/>
              </w:rPr>
            </w:pPr>
          </w:p>
        </w:tc>
        <w:tc>
          <w:tcPr>
            <w:tcW w:w="50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16,118</w:t>
            </w:r>
          </w:p>
        </w:tc>
        <w:tc>
          <w:tcPr>
            <w:tcW w:w="340" w:type="dxa"/>
            <w:vAlign w:val="bottom"/>
            <w:tcBorders>
              <w:top w:val="single" w:sz="8" w:color="CCEEFF"/>
            </w:tcBorders>
            <w:shd w:val="clear" w:color="auto" w:fill="CCEEFF"/>
          </w:tcPr>
          <w:p>
            <w:pPr>
              <w:spacing w:after="0"/>
              <w:rPr>
                <w:sz w:val="22"/>
                <w:szCs w:val="22"/>
                <w:color w:val="auto"/>
              </w:rPr>
            </w:pPr>
          </w:p>
        </w:tc>
        <w:tc>
          <w:tcPr>
            <w:tcW w:w="62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64"/>
        </w:trPr>
        <w:tc>
          <w:tcPr>
            <w:tcW w:w="44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Provision for taxes</w:t>
            </w:r>
          </w:p>
        </w:tc>
        <w:tc>
          <w:tcPr>
            <w:tcW w:w="3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6,232</w:t>
            </w:r>
          </w:p>
        </w:tc>
        <w:tc>
          <w:tcPr>
            <w:tcW w:w="32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2.3%</w:t>
            </w:r>
          </w:p>
        </w:tc>
        <w:tc>
          <w:tcPr>
            <w:tcW w:w="4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4,616</w:t>
            </w:r>
          </w:p>
        </w:tc>
        <w:tc>
          <w:tcPr>
            <w:tcW w:w="34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4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14,438</w:t>
            </w:r>
          </w:p>
        </w:tc>
        <w:tc>
          <w:tcPr>
            <w:tcW w:w="3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5.3%</w:t>
            </w:r>
          </w:p>
        </w:tc>
        <w:tc>
          <w:tcPr>
            <w:tcW w:w="4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11,502</w:t>
            </w:r>
          </w:p>
        </w:tc>
        <w:tc>
          <w:tcPr>
            <w:tcW w:w="3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0"/>
        </w:trPr>
        <w:tc>
          <w:tcPr>
            <w:tcW w:w="4480" w:type="dxa"/>
            <w:vAlign w:val="bottom"/>
            <w:vMerge w:val="restart"/>
          </w:tcPr>
          <w:p>
            <w:pPr>
              <w:ind w:left="40"/>
              <w:spacing w:after="0"/>
              <w:rPr>
                <w:sz w:val="20"/>
                <w:szCs w:val="20"/>
                <w:color w:val="auto"/>
              </w:rPr>
            </w:pPr>
            <w:r>
              <w:rPr>
                <w:rFonts w:ascii="Arial" w:cs="Arial" w:eastAsia="Arial" w:hAnsi="Arial"/>
                <w:sz w:val="16"/>
                <w:szCs w:val="16"/>
                <w:color w:val="auto"/>
              </w:rPr>
              <w:t>Income per common share:</w:t>
            </w: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48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4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0.54</w:t>
            </w:r>
          </w:p>
        </w:tc>
        <w:tc>
          <w:tcPr>
            <w:tcW w:w="3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0.43</w:t>
            </w:r>
          </w:p>
        </w:tc>
        <w:tc>
          <w:tcPr>
            <w:tcW w:w="3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480" w:type="dxa"/>
            <w:vAlign w:val="bottom"/>
          </w:tcPr>
          <w:p>
            <w:pPr>
              <w:ind w:left="240"/>
              <w:spacing w:after="0"/>
              <w:rPr>
                <w:sz w:val="20"/>
                <w:szCs w:val="20"/>
                <w:color w:val="auto"/>
              </w:rPr>
            </w:pPr>
            <w:r>
              <w:rPr>
                <w:rFonts w:ascii="Arial" w:cs="Arial" w:eastAsia="Arial" w:hAnsi="Arial"/>
                <w:sz w:val="16"/>
                <w:szCs w:val="16"/>
                <w:color w:val="auto"/>
              </w:rPr>
              <w:t>Diluted</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0.53</w:t>
            </w: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0.43</w:t>
            </w:r>
          </w:p>
        </w:tc>
        <w:tc>
          <w:tcPr>
            <w:tcW w:w="3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3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480" w:type="dxa"/>
            <w:vAlign w:val="bottom"/>
          </w:tcPr>
          <w:p>
            <w:pPr>
              <w:ind w:left="240"/>
              <w:spacing w:after="0"/>
              <w:rPr>
                <w:sz w:val="20"/>
                <w:szCs w:val="20"/>
                <w:color w:val="auto"/>
              </w:rPr>
            </w:pPr>
            <w:r>
              <w:rPr>
                <w:rFonts w:ascii="Arial" w:cs="Arial" w:eastAsia="Arial" w:hAnsi="Arial"/>
                <w:sz w:val="16"/>
                <w:szCs w:val="16"/>
                <w:color w:val="auto"/>
              </w:rPr>
              <w:t>Basic</w:t>
            </w:r>
          </w:p>
        </w:tc>
        <w:tc>
          <w:tcPr>
            <w:tcW w:w="38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26,892</w:t>
            </w: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26,932</w:t>
            </w:r>
          </w:p>
        </w:tc>
        <w:tc>
          <w:tcPr>
            <w:tcW w:w="3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3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27,004</w:t>
            </w:r>
          </w:p>
        </w:tc>
        <w:tc>
          <w:tcPr>
            <w:tcW w:w="3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27,030</w:t>
            </w:r>
          </w:p>
        </w:tc>
        <w:tc>
          <w:tcPr>
            <w:tcW w:w="3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4480" w:type="dxa"/>
            <w:vAlign w:val="bottom"/>
          </w:tcPr>
          <w:p>
            <w:pPr>
              <w:spacing w:after="0"/>
              <w:rPr>
                <w:sz w:val="20"/>
                <w:szCs w:val="20"/>
                <w:color w:val="auto"/>
              </w:rPr>
            </w:pPr>
            <w:r>
              <w:rPr>
                <w:rFonts w:ascii="Arial" w:cs="Arial" w:eastAsia="Arial" w:hAnsi="Arial"/>
                <w:sz w:val="16"/>
                <w:szCs w:val="16"/>
                <w:color w:val="auto"/>
              </w:rPr>
              <w:t>Percentages may not add due to rounding differences.</w:t>
            </w: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Nine Months Ended</w:t>
            </w:r>
          </w:p>
        </w:tc>
        <w:tc>
          <w:tcPr>
            <w:tcW w:w="7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44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3"/>
          </w:tcPr>
          <w:p>
            <w:pPr>
              <w:ind w:left="780"/>
              <w:spacing w:after="0"/>
              <w:rPr>
                <w:sz w:val="20"/>
                <w:szCs w:val="20"/>
                <w:color w:val="auto"/>
              </w:rPr>
            </w:pPr>
            <w:r>
              <w:rPr>
                <w:rFonts w:ascii="Arial" w:cs="Arial" w:eastAsia="Arial" w:hAnsi="Arial"/>
                <w:sz w:val="16"/>
                <w:szCs w:val="16"/>
                <w:b w:val="1"/>
                <w:bCs w:val="1"/>
                <w:color w:val="auto"/>
              </w:rPr>
              <w:t>May 28, 2016</w:t>
            </w:r>
          </w:p>
        </w:tc>
        <w:tc>
          <w:tcPr>
            <w:tcW w:w="980" w:type="dxa"/>
            <w:vAlign w:val="bottom"/>
            <w:tcBorders>
              <w:bottom w:val="single" w:sz="8" w:color="auto"/>
            </w:tcBorders>
          </w:tcPr>
          <w:p>
            <w:pPr>
              <w:spacing w:after="0"/>
              <w:rPr>
                <w:sz w:val="22"/>
                <w:szCs w:val="22"/>
                <w:color w:val="auto"/>
              </w:rPr>
            </w:pPr>
          </w:p>
        </w:tc>
        <w:tc>
          <w:tcPr>
            <w:tcW w:w="4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3"/>
          </w:tcPr>
          <w:p>
            <w:pPr>
              <w:ind w:left="540"/>
              <w:spacing w:after="0"/>
              <w:rPr>
                <w:sz w:val="20"/>
                <w:szCs w:val="20"/>
                <w:color w:val="auto"/>
              </w:rPr>
            </w:pPr>
            <w:r>
              <w:rPr>
                <w:rFonts w:ascii="Arial" w:cs="Arial" w:eastAsia="Arial" w:hAnsi="Arial"/>
                <w:sz w:val="16"/>
                <w:szCs w:val="16"/>
                <w:b w:val="1"/>
                <w:bCs w:val="1"/>
                <w:color w:val="auto"/>
              </w:rPr>
              <w:t>May 30, 2015</w:t>
            </w:r>
          </w:p>
        </w:tc>
        <w:tc>
          <w:tcPr>
            <w:tcW w:w="9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711,972</w:t>
            </w:r>
          </w:p>
        </w:tc>
        <w:tc>
          <w:tcPr>
            <w:tcW w:w="3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42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725,456</w:t>
            </w:r>
          </w:p>
        </w:tc>
        <w:tc>
          <w:tcPr>
            <w:tcW w:w="3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64"/>
        </w:trPr>
        <w:tc>
          <w:tcPr>
            <w:tcW w:w="44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goods sold</w:t>
            </w:r>
          </w:p>
        </w:tc>
        <w:tc>
          <w:tcPr>
            <w:tcW w:w="3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631,191</w:t>
            </w:r>
          </w:p>
        </w:tc>
        <w:tc>
          <w:tcPr>
            <w:tcW w:w="34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88.7%</w:t>
            </w:r>
          </w:p>
        </w:tc>
        <w:tc>
          <w:tcPr>
            <w:tcW w:w="4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648,629</w:t>
            </w:r>
          </w:p>
        </w:tc>
        <w:tc>
          <w:tcPr>
            <w:tcW w:w="32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89.4%</w:t>
            </w:r>
          </w:p>
        </w:tc>
        <w:tc>
          <w:tcPr>
            <w:tcW w:w="0" w:type="dxa"/>
            <w:vAlign w:val="bottom"/>
          </w:tcPr>
          <w:p>
            <w:pPr>
              <w:spacing w:after="0"/>
              <w:rPr>
                <w:sz w:val="1"/>
                <w:szCs w:val="1"/>
                <w:color w:val="auto"/>
              </w:rPr>
            </w:pPr>
          </w:p>
        </w:tc>
      </w:tr>
      <w:tr>
        <w:trPr>
          <w:trHeight w:val="257"/>
        </w:trPr>
        <w:tc>
          <w:tcPr>
            <w:tcW w:w="44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Gross profit</w:t>
            </w:r>
          </w:p>
        </w:tc>
        <w:tc>
          <w:tcPr>
            <w:tcW w:w="3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80,781</w:t>
            </w:r>
          </w:p>
        </w:tc>
        <w:tc>
          <w:tcPr>
            <w:tcW w:w="340" w:type="dxa"/>
            <w:vAlign w:val="bottom"/>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11.3%</w:t>
            </w:r>
          </w:p>
        </w:tc>
        <w:tc>
          <w:tcPr>
            <w:tcW w:w="420" w:type="dxa"/>
            <w:vAlign w:val="bottom"/>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76,827</w:t>
            </w:r>
          </w:p>
        </w:tc>
        <w:tc>
          <w:tcPr>
            <w:tcW w:w="320" w:type="dxa"/>
            <w:vAlign w:val="bottom"/>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54"/>
        </w:trPr>
        <w:tc>
          <w:tcPr>
            <w:tcW w:w="446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3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4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Selling</w:t>
            </w:r>
          </w:p>
        </w:tc>
        <w:tc>
          <w:tcPr>
            <w:tcW w:w="3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14,714</w:t>
            </w:r>
          </w:p>
        </w:tc>
        <w:tc>
          <w:tcPr>
            <w:tcW w:w="3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2.1%</w:t>
            </w:r>
          </w:p>
        </w:tc>
        <w:tc>
          <w:tcPr>
            <w:tcW w:w="4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14,703</w:t>
            </w:r>
          </w:p>
        </w:tc>
        <w:tc>
          <w:tcPr>
            <w:tcW w:w="3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60"/>
        </w:trPr>
        <w:tc>
          <w:tcPr>
            <w:tcW w:w="4460" w:type="dxa"/>
            <w:vAlign w:val="bottom"/>
          </w:tcPr>
          <w:p>
            <w:pPr>
              <w:ind w:left="280"/>
              <w:spacing w:after="0"/>
              <w:rPr>
                <w:sz w:val="20"/>
                <w:szCs w:val="20"/>
                <w:color w:val="auto"/>
              </w:rPr>
            </w:pPr>
            <w:r>
              <w:rPr>
                <w:rFonts w:ascii="Arial" w:cs="Arial" w:eastAsia="Arial" w:hAnsi="Arial"/>
                <w:sz w:val="16"/>
                <w:szCs w:val="16"/>
                <w:color w:val="auto"/>
              </w:rPr>
              <w:t>General and administrative</w:t>
            </w:r>
          </w:p>
        </w:tc>
        <w:tc>
          <w:tcPr>
            <w:tcW w:w="38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19,212</w:t>
            </w:r>
          </w:p>
        </w:tc>
        <w:tc>
          <w:tcPr>
            <w:tcW w:w="3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2.7%</w:t>
            </w:r>
          </w:p>
        </w:tc>
        <w:tc>
          <w:tcPr>
            <w:tcW w:w="4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19,154</w:t>
            </w: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73"/>
        </w:trPr>
        <w:tc>
          <w:tcPr>
            <w:tcW w:w="44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Impairment of fixed assets</w:t>
            </w:r>
          </w:p>
        </w:tc>
        <w:tc>
          <w:tcPr>
            <w:tcW w:w="380" w:type="dxa"/>
            <w:vAlign w:val="bottom"/>
            <w:shd w:val="clear" w:color="auto" w:fill="CCEEFF"/>
          </w:tcPr>
          <w:p>
            <w:pPr>
              <w:spacing w:after="0"/>
              <w:rPr>
                <w:sz w:val="23"/>
                <w:szCs w:val="23"/>
                <w:color w:val="auto"/>
              </w:rPr>
            </w:pPr>
          </w:p>
        </w:tc>
        <w:tc>
          <w:tcPr>
            <w:tcW w:w="1900" w:type="dxa"/>
            <w:vAlign w:val="bottom"/>
            <w:gridSpan w:val="3"/>
            <w:shd w:val="clear" w:color="auto" w:fill="CCEEFF"/>
          </w:tcPr>
          <w:p>
            <w:pPr>
              <w:jc w:val="right"/>
              <w:ind w:right="1060"/>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462</w:t>
            </w:r>
          </w:p>
        </w:tc>
        <w:tc>
          <w:tcPr>
            <w:tcW w:w="3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operating expenses</w:t>
            </w:r>
          </w:p>
        </w:tc>
        <w:tc>
          <w:tcPr>
            <w:tcW w:w="3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33,926</w:t>
            </w:r>
          </w:p>
        </w:tc>
        <w:tc>
          <w:tcPr>
            <w:tcW w:w="340" w:type="dxa"/>
            <w:vAlign w:val="bottom"/>
            <w:tcBorders>
              <w:bottom w:val="single" w:sz="8" w:color="CCEEFF"/>
            </w:tcBorders>
          </w:tcPr>
          <w:p>
            <w:pPr>
              <w:spacing w:after="0"/>
              <w:rPr>
                <w:sz w:val="21"/>
                <w:szCs w:val="21"/>
                <w:color w:val="auto"/>
              </w:rPr>
            </w:pPr>
          </w:p>
        </w:tc>
        <w:tc>
          <w:tcPr>
            <w:tcW w:w="62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4.8%</w:t>
            </w:r>
          </w:p>
        </w:tc>
        <w:tc>
          <w:tcPr>
            <w:tcW w:w="420" w:type="dxa"/>
            <w:vAlign w:val="bottom"/>
            <w:tcBorders>
              <w:bottom w:val="single" w:sz="8" w:color="CCEEFF"/>
            </w:tcBorders>
          </w:tcPr>
          <w:p>
            <w:pPr>
              <w:spacing w:after="0"/>
              <w:rPr>
                <w:sz w:val="21"/>
                <w:szCs w:val="21"/>
                <w:color w:val="auto"/>
              </w:rPr>
            </w:pPr>
          </w:p>
        </w:tc>
        <w:tc>
          <w:tcPr>
            <w:tcW w:w="60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34,319</w:t>
            </w:r>
          </w:p>
        </w:tc>
        <w:tc>
          <w:tcPr>
            <w:tcW w:w="320" w:type="dxa"/>
            <w:vAlign w:val="bottom"/>
            <w:tcBorders>
              <w:bottom w:val="single" w:sz="8" w:color="CCEEFF"/>
            </w:tcBorders>
          </w:tcPr>
          <w:p>
            <w:pPr>
              <w:spacing w:after="0"/>
              <w:rPr>
                <w:sz w:val="21"/>
                <w:szCs w:val="21"/>
                <w:color w:val="auto"/>
              </w:rPr>
            </w:pPr>
          </w:p>
        </w:tc>
        <w:tc>
          <w:tcPr>
            <w:tcW w:w="64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57"/>
        </w:trPr>
        <w:tc>
          <w:tcPr>
            <w:tcW w:w="4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3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46,855</w:t>
            </w:r>
          </w:p>
        </w:tc>
        <w:tc>
          <w:tcPr>
            <w:tcW w:w="34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6.6%</w:t>
            </w:r>
          </w:p>
        </w:tc>
        <w:tc>
          <w:tcPr>
            <w:tcW w:w="4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42,508</w:t>
            </w:r>
          </w:p>
        </w:tc>
        <w:tc>
          <w:tcPr>
            <w:tcW w:w="3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64"/>
        </w:trPr>
        <w:tc>
          <w:tcPr>
            <w:tcW w:w="4460" w:type="dxa"/>
            <w:vAlign w:val="bottom"/>
          </w:tcPr>
          <w:p>
            <w:pPr>
              <w:ind w:left="40"/>
              <w:spacing w:after="0"/>
              <w:rPr>
                <w:sz w:val="20"/>
                <w:szCs w:val="20"/>
                <w:color w:val="auto"/>
              </w:rPr>
            </w:pPr>
            <w:r>
              <w:rPr>
                <w:rFonts w:ascii="Arial" w:cs="Arial" w:eastAsia="Arial" w:hAnsi="Arial"/>
                <w:sz w:val="16"/>
                <w:szCs w:val="16"/>
                <w:color w:val="auto"/>
              </w:rPr>
              <w:t>Non-operating income</w:t>
            </w:r>
          </w:p>
        </w:tc>
        <w:tc>
          <w:tcPr>
            <w:tcW w:w="38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194</w:t>
            </w:r>
          </w:p>
        </w:tc>
        <w:tc>
          <w:tcPr>
            <w:tcW w:w="3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22"/>
                <w:szCs w:val="22"/>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35</w:t>
            </w: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44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38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47,049</w:t>
            </w:r>
          </w:p>
        </w:tc>
        <w:tc>
          <w:tcPr>
            <w:tcW w:w="340" w:type="dxa"/>
            <w:vAlign w:val="bottom"/>
            <w:tcBorders>
              <w:top w:val="single" w:sz="8" w:color="CCEEFF"/>
            </w:tcBorders>
            <w:shd w:val="clear" w:color="auto" w:fill="CCEEFF"/>
          </w:tcPr>
          <w:p>
            <w:pPr>
              <w:spacing w:after="0"/>
              <w:rPr>
                <w:sz w:val="22"/>
                <w:szCs w:val="22"/>
                <w:color w:val="auto"/>
              </w:rPr>
            </w:pPr>
          </w:p>
        </w:tc>
        <w:tc>
          <w:tcPr>
            <w:tcW w:w="62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6.6%</w:t>
            </w:r>
          </w:p>
        </w:tc>
        <w:tc>
          <w:tcPr>
            <w:tcW w:w="420" w:type="dxa"/>
            <w:vAlign w:val="bottom"/>
            <w:tcBorders>
              <w:top w:val="single" w:sz="8" w:color="CCEEFF"/>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42,543</w:t>
            </w:r>
          </w:p>
        </w:tc>
        <w:tc>
          <w:tcPr>
            <w:tcW w:w="320" w:type="dxa"/>
            <w:vAlign w:val="bottom"/>
            <w:tcBorders>
              <w:top w:val="single" w:sz="8" w:color="CCEEFF"/>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64"/>
        </w:trPr>
        <w:tc>
          <w:tcPr>
            <w:tcW w:w="44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Provision for taxes</w:t>
            </w:r>
          </w:p>
        </w:tc>
        <w:tc>
          <w:tcPr>
            <w:tcW w:w="3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14,699</w:t>
            </w:r>
          </w:p>
        </w:tc>
        <w:tc>
          <w:tcPr>
            <w:tcW w:w="34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2.1%</w:t>
            </w:r>
          </w:p>
        </w:tc>
        <w:tc>
          <w:tcPr>
            <w:tcW w:w="4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13,050</w:t>
            </w:r>
          </w:p>
        </w:tc>
        <w:tc>
          <w:tcPr>
            <w:tcW w:w="32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4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32,350</w:t>
            </w:r>
          </w:p>
        </w:tc>
        <w:tc>
          <w:tcPr>
            <w:tcW w:w="3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4.5%</w:t>
            </w:r>
          </w:p>
        </w:tc>
        <w:tc>
          <w:tcPr>
            <w:tcW w:w="4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29,493</w:t>
            </w:r>
          </w:p>
        </w:tc>
        <w:tc>
          <w:tcPr>
            <w:tcW w:w="3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0"/>
        </w:trPr>
        <w:tc>
          <w:tcPr>
            <w:tcW w:w="4460" w:type="dxa"/>
            <w:vAlign w:val="bottom"/>
            <w:vMerge w:val="restart"/>
          </w:tcPr>
          <w:p>
            <w:pPr>
              <w:ind w:left="40"/>
              <w:spacing w:after="0"/>
              <w:rPr>
                <w:sz w:val="20"/>
                <w:szCs w:val="20"/>
                <w:color w:val="auto"/>
              </w:rPr>
            </w:pPr>
            <w:r>
              <w:rPr>
                <w:rFonts w:ascii="Arial" w:cs="Arial" w:eastAsia="Arial" w:hAnsi="Arial"/>
                <w:sz w:val="16"/>
                <w:szCs w:val="16"/>
                <w:color w:val="auto"/>
              </w:rPr>
              <w:t>Income per common share:</w:t>
            </w: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46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44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1.20</w:t>
            </w:r>
          </w:p>
        </w:tc>
        <w:tc>
          <w:tcPr>
            <w:tcW w:w="3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1.09</w:t>
            </w:r>
          </w:p>
        </w:tc>
        <w:tc>
          <w:tcPr>
            <w:tcW w:w="3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460" w:type="dxa"/>
            <w:vAlign w:val="bottom"/>
          </w:tcPr>
          <w:p>
            <w:pPr>
              <w:ind w:left="240"/>
              <w:spacing w:after="0"/>
              <w:rPr>
                <w:sz w:val="20"/>
                <w:szCs w:val="20"/>
                <w:color w:val="auto"/>
              </w:rPr>
            </w:pPr>
            <w:r>
              <w:rPr>
                <w:rFonts w:ascii="Arial" w:cs="Arial" w:eastAsia="Arial" w:hAnsi="Arial"/>
                <w:sz w:val="16"/>
                <w:szCs w:val="16"/>
                <w:color w:val="auto"/>
              </w:rPr>
              <w:t>Diluted</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1.20</w:t>
            </w:r>
          </w:p>
        </w:tc>
        <w:tc>
          <w:tcPr>
            <w:tcW w:w="3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1.09</w:t>
            </w: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3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460" w:type="dxa"/>
            <w:vAlign w:val="bottom"/>
          </w:tcPr>
          <w:p>
            <w:pPr>
              <w:ind w:left="240"/>
              <w:spacing w:after="0"/>
              <w:rPr>
                <w:sz w:val="20"/>
                <w:szCs w:val="20"/>
                <w:color w:val="auto"/>
              </w:rPr>
            </w:pPr>
            <w:r>
              <w:rPr>
                <w:rFonts w:ascii="Arial" w:cs="Arial" w:eastAsia="Arial" w:hAnsi="Arial"/>
                <w:sz w:val="16"/>
                <w:szCs w:val="16"/>
                <w:color w:val="auto"/>
              </w:rPr>
              <w:t>Basic</w:t>
            </w:r>
          </w:p>
        </w:tc>
        <w:tc>
          <w:tcPr>
            <w:tcW w:w="38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26,935</w:t>
            </w:r>
          </w:p>
        </w:tc>
        <w:tc>
          <w:tcPr>
            <w:tcW w:w="3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26,942</w:t>
            </w: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4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3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27,029</w:t>
            </w:r>
          </w:p>
        </w:tc>
        <w:tc>
          <w:tcPr>
            <w:tcW w:w="3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27,042</w:t>
            </w:r>
          </w:p>
        </w:tc>
        <w:tc>
          <w:tcPr>
            <w:tcW w:w="3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Percentages may not add due to rounding differences.</w:t>
      </w:r>
    </w:p>
    <w:p>
      <w:pPr>
        <w:sectPr>
          <w:pgSz w:w="11900" w:h="16838" w:orient="portrait"/>
          <w:cols w:equalWidth="0" w:num="1">
            <w:col w:w="11420"/>
          </w:cols>
          <w:pgMar w:left="240" w:top="576"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gridSpan w:val="2"/>
          </w:tcPr>
          <w:p>
            <w:pPr>
              <w:ind w:left="160"/>
              <w:spacing w:after="0"/>
              <w:rPr>
                <w:sz w:val="20"/>
                <w:szCs w:val="20"/>
                <w:color w:val="auto"/>
              </w:rPr>
            </w:pPr>
            <w:r>
              <w:rPr>
                <w:rFonts w:ascii="Arial" w:cs="Arial" w:eastAsia="Arial" w:hAnsi="Arial"/>
                <w:sz w:val="18"/>
                <w:szCs w:val="18"/>
                <w:b w:val="1"/>
                <w:bCs w:val="1"/>
                <w:color w:val="auto"/>
              </w:rPr>
              <w:t>May 28,</w:t>
            </w:r>
          </w:p>
        </w:tc>
        <w:tc>
          <w:tcPr>
            <w:tcW w:w="280" w:type="dxa"/>
            <w:vAlign w:val="bottom"/>
          </w:tcPr>
          <w:p>
            <w:pPr>
              <w:spacing w:after="0"/>
              <w:rPr>
                <w:sz w:val="17"/>
                <w:szCs w:val="17"/>
                <w:color w:val="auto"/>
              </w:rPr>
            </w:pPr>
          </w:p>
        </w:tc>
        <w:tc>
          <w:tcPr>
            <w:tcW w:w="1320" w:type="dxa"/>
            <w:vAlign w:val="bottom"/>
          </w:tcPr>
          <w:p>
            <w:pPr>
              <w:jc w:val="right"/>
              <w:ind w:right="418"/>
              <w:spacing w:after="0"/>
              <w:rPr>
                <w:sz w:val="20"/>
                <w:szCs w:val="20"/>
                <w:color w:val="auto"/>
              </w:rPr>
            </w:pPr>
            <w:r>
              <w:rPr>
                <w:rFonts w:ascii="Arial" w:cs="Arial" w:eastAsia="Arial" w:hAnsi="Arial"/>
                <w:sz w:val="18"/>
                <w:szCs w:val="18"/>
                <w:b w:val="1"/>
                <w:bCs w:val="1"/>
                <w:color w:val="auto"/>
              </w:rPr>
              <w:t>Aug 29,</w:t>
            </w:r>
          </w:p>
        </w:tc>
      </w:tr>
      <w:tr>
        <w:trPr>
          <w:trHeight w:val="246"/>
        </w:trPr>
        <w:tc>
          <w:tcPr>
            <w:tcW w:w="79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98"/>
              <w:spacing w:after="0"/>
              <w:rPr>
                <w:sz w:val="20"/>
                <w:szCs w:val="20"/>
                <w:color w:val="auto"/>
              </w:rPr>
            </w:pPr>
            <w:r>
              <w:rPr>
                <w:rFonts w:ascii="Arial" w:cs="Arial" w:eastAsia="Arial" w:hAnsi="Arial"/>
                <w:sz w:val="18"/>
                <w:szCs w:val="18"/>
                <w:b w:val="1"/>
                <w:bCs w:val="1"/>
                <w:color w:val="auto"/>
              </w:rPr>
              <w:t>2016</w:t>
            </w:r>
          </w:p>
        </w:tc>
        <w:tc>
          <w:tcPr>
            <w:tcW w:w="3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18"/>
              <w:spacing w:after="0"/>
              <w:rPr>
                <w:sz w:val="20"/>
                <w:szCs w:val="20"/>
                <w:color w:val="auto"/>
              </w:rPr>
            </w:pPr>
            <w:r>
              <w:rPr>
                <w:rFonts w:ascii="Arial" w:cs="Arial" w:eastAsia="Arial" w:hAnsi="Arial"/>
                <w:sz w:val="18"/>
                <w:szCs w:val="18"/>
                <w:b w:val="1"/>
                <w:bCs w:val="1"/>
                <w:color w:val="auto"/>
              </w:rPr>
              <w:t>2015</w:t>
            </w: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80"/>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71,253</w:t>
            </w:r>
          </w:p>
        </w:tc>
        <w:tc>
          <w:tcPr>
            <w:tcW w:w="34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70,239</w:t>
            </w:r>
          </w:p>
        </w:tc>
      </w:tr>
      <w:tr>
        <w:trPr>
          <w:trHeight w:val="260"/>
        </w:trPr>
        <w:tc>
          <w:tcPr>
            <w:tcW w:w="7900" w:type="dxa"/>
            <w:vAlign w:val="bottom"/>
          </w:tcPr>
          <w:p>
            <w:pPr>
              <w:ind w:left="280"/>
              <w:spacing w:after="0"/>
              <w:rPr>
                <w:sz w:val="20"/>
                <w:szCs w:val="20"/>
                <w:color w:val="auto"/>
              </w:rPr>
            </w:pPr>
            <w:r>
              <w:rPr>
                <w:rFonts w:ascii="Arial" w:cs="Arial" w:eastAsia="Arial" w:hAnsi="Arial"/>
                <w:sz w:val="16"/>
                <w:szCs w:val="16"/>
                <w:color w:val="auto"/>
              </w:rPr>
              <w:t>Receivables, net</w:t>
            </w:r>
          </w:p>
        </w:tc>
        <w:tc>
          <w:tcPr>
            <w:tcW w:w="280" w:type="dxa"/>
            <w:vAlign w:val="bottom"/>
          </w:tcPr>
          <w:p>
            <w:pPr>
              <w:spacing w:after="0"/>
              <w:rPr>
                <w:sz w:val="22"/>
                <w:szCs w:val="22"/>
                <w:color w:val="auto"/>
              </w:rPr>
            </w:pPr>
          </w:p>
        </w:tc>
        <w:tc>
          <w:tcPr>
            <w:tcW w:w="1300" w:type="dxa"/>
            <w:vAlign w:val="bottom"/>
          </w:tcPr>
          <w:p>
            <w:pPr>
              <w:jc w:val="right"/>
              <w:ind w:right="18"/>
              <w:spacing w:after="0"/>
              <w:rPr>
                <w:sz w:val="20"/>
                <w:szCs w:val="20"/>
                <w:color w:val="auto"/>
              </w:rPr>
            </w:pPr>
            <w:r>
              <w:rPr>
                <w:rFonts w:ascii="Arial" w:cs="Arial" w:eastAsia="Arial" w:hAnsi="Arial"/>
                <w:sz w:val="16"/>
                <w:szCs w:val="16"/>
                <w:color w:val="auto"/>
              </w:rPr>
              <w:t>65,474</w:t>
            </w: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ind w:right="18"/>
              <w:spacing w:after="0"/>
              <w:rPr>
                <w:sz w:val="20"/>
                <w:szCs w:val="20"/>
                <w:color w:val="auto"/>
              </w:rPr>
            </w:pPr>
            <w:r>
              <w:rPr>
                <w:rFonts w:ascii="Arial" w:cs="Arial" w:eastAsia="Arial" w:hAnsi="Arial"/>
                <w:sz w:val="16"/>
                <w:szCs w:val="16"/>
                <w:color w:val="auto"/>
              </w:rPr>
              <w:t>66,936</w:t>
            </w:r>
          </w:p>
        </w:tc>
      </w:tr>
      <w:tr>
        <w:trPr>
          <w:trHeight w:val="280"/>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130,136</w:t>
            </w:r>
          </w:p>
        </w:tc>
        <w:tc>
          <w:tcPr>
            <w:tcW w:w="3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112,165</w:t>
            </w:r>
          </w:p>
        </w:tc>
      </w:tr>
      <w:tr>
        <w:trPr>
          <w:trHeight w:val="260"/>
        </w:trPr>
        <w:tc>
          <w:tcPr>
            <w:tcW w:w="7900" w:type="dxa"/>
            <w:vAlign w:val="bottom"/>
          </w:tcPr>
          <w:p>
            <w:pPr>
              <w:ind w:left="280"/>
              <w:spacing w:after="0"/>
              <w:rPr>
                <w:sz w:val="20"/>
                <w:szCs w:val="20"/>
                <w:color w:val="auto"/>
              </w:rPr>
            </w:pPr>
            <w:r>
              <w:rPr>
                <w:rFonts w:ascii="Arial" w:cs="Arial" w:eastAsia="Arial" w:hAnsi="Arial"/>
                <w:sz w:val="16"/>
                <w:szCs w:val="16"/>
                <w:color w:val="auto"/>
              </w:rPr>
              <w:t>Prepaid expenses and other assets</w:t>
            </w:r>
          </w:p>
        </w:tc>
        <w:tc>
          <w:tcPr>
            <w:tcW w:w="280" w:type="dxa"/>
            <w:vAlign w:val="bottom"/>
          </w:tcPr>
          <w:p>
            <w:pPr>
              <w:spacing w:after="0"/>
              <w:rPr>
                <w:sz w:val="22"/>
                <w:szCs w:val="22"/>
                <w:color w:val="auto"/>
              </w:rPr>
            </w:pPr>
          </w:p>
        </w:tc>
        <w:tc>
          <w:tcPr>
            <w:tcW w:w="1300" w:type="dxa"/>
            <w:vAlign w:val="bottom"/>
          </w:tcPr>
          <w:p>
            <w:pPr>
              <w:jc w:val="right"/>
              <w:ind w:right="18"/>
              <w:spacing w:after="0"/>
              <w:rPr>
                <w:sz w:val="20"/>
                <w:szCs w:val="20"/>
                <w:color w:val="auto"/>
              </w:rPr>
            </w:pPr>
            <w:r>
              <w:rPr>
                <w:rFonts w:ascii="Arial" w:cs="Arial" w:eastAsia="Arial" w:hAnsi="Arial"/>
                <w:sz w:val="16"/>
                <w:szCs w:val="16"/>
                <w:color w:val="auto"/>
              </w:rPr>
              <w:t>6,670</w:t>
            </w: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ind w:right="18"/>
              <w:spacing w:after="0"/>
              <w:rPr>
                <w:sz w:val="20"/>
                <w:szCs w:val="20"/>
                <w:color w:val="auto"/>
              </w:rPr>
            </w:pPr>
            <w:r>
              <w:rPr>
                <w:rFonts w:ascii="Arial" w:cs="Arial" w:eastAsia="Arial" w:hAnsi="Arial"/>
                <w:sz w:val="16"/>
                <w:szCs w:val="16"/>
                <w:color w:val="auto"/>
              </w:rPr>
              <w:t>6,882</w:t>
            </w:r>
          </w:p>
        </w:tc>
      </w:tr>
      <w:tr>
        <w:trPr>
          <w:trHeight w:val="273"/>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Deferred income taxes</w:t>
            </w:r>
          </w:p>
        </w:tc>
        <w:tc>
          <w:tcPr>
            <w:tcW w:w="280" w:type="dxa"/>
            <w:vAlign w:val="bottom"/>
            <w:shd w:val="clear" w:color="auto" w:fill="CCEEFF"/>
          </w:tcPr>
          <w:p>
            <w:pPr>
              <w:spacing w:after="0"/>
              <w:rPr>
                <w:sz w:val="23"/>
                <w:szCs w:val="23"/>
                <w:color w:val="auto"/>
              </w:rPr>
            </w:pPr>
          </w:p>
        </w:tc>
        <w:tc>
          <w:tcPr>
            <w:tcW w:w="16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9,995</w:t>
            </w:r>
          </w:p>
        </w:tc>
      </w:tr>
      <w:tr>
        <w:trPr>
          <w:trHeight w:val="247"/>
        </w:trPr>
        <w:tc>
          <w:tcPr>
            <w:tcW w:w="7900" w:type="dxa"/>
            <w:vAlign w:val="bottom"/>
          </w:tcPr>
          <w:p>
            <w:pPr>
              <w:ind w:left="500"/>
              <w:spacing w:after="0"/>
              <w:rPr>
                <w:sz w:val="20"/>
                <w:szCs w:val="20"/>
                <w:color w:val="auto"/>
              </w:rPr>
            </w:pPr>
            <w:r>
              <w:rPr>
                <w:rFonts w:ascii="Arial" w:cs="Arial" w:eastAsia="Arial" w:hAnsi="Arial"/>
                <w:sz w:val="16"/>
                <w:szCs w:val="16"/>
                <w:color w:val="auto"/>
              </w:rPr>
              <w:t>Total current assets</w:t>
            </w:r>
          </w:p>
        </w:tc>
        <w:tc>
          <w:tcPr>
            <w:tcW w:w="2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273,533</w:t>
            </w:r>
          </w:p>
        </w:tc>
        <w:tc>
          <w:tcPr>
            <w:tcW w:w="34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266,217</w:t>
            </w: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property and equipment, net</w:t>
            </w: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52,799</w:t>
            </w:r>
          </w:p>
        </w:tc>
        <w:tc>
          <w:tcPr>
            <w:tcW w:w="3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37,250</w:t>
            </w: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Investment in life insurance</w:t>
            </w:r>
          </w:p>
        </w:tc>
        <w:tc>
          <w:tcPr>
            <w:tcW w:w="280" w:type="dxa"/>
            <w:vAlign w:val="bottom"/>
          </w:tcPr>
          <w:p>
            <w:pPr>
              <w:spacing w:after="0"/>
              <w:rPr>
                <w:sz w:val="22"/>
                <w:szCs w:val="22"/>
                <w:color w:val="auto"/>
              </w:rPr>
            </w:pPr>
          </w:p>
        </w:tc>
        <w:tc>
          <w:tcPr>
            <w:tcW w:w="1300" w:type="dxa"/>
            <w:vAlign w:val="bottom"/>
          </w:tcPr>
          <w:p>
            <w:pPr>
              <w:jc w:val="right"/>
              <w:ind w:right="18"/>
              <w:spacing w:after="0"/>
              <w:rPr>
                <w:sz w:val="20"/>
                <w:szCs w:val="20"/>
                <w:color w:val="auto"/>
              </w:rPr>
            </w:pPr>
            <w:r>
              <w:rPr>
                <w:rFonts w:ascii="Arial" w:cs="Arial" w:eastAsia="Arial" w:hAnsi="Arial"/>
                <w:sz w:val="16"/>
                <w:szCs w:val="16"/>
                <w:color w:val="auto"/>
              </w:rPr>
              <w:t>26,739</w:t>
            </w: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ind w:right="18"/>
              <w:spacing w:after="0"/>
              <w:rPr>
                <w:sz w:val="20"/>
                <w:szCs w:val="20"/>
                <w:color w:val="auto"/>
              </w:rPr>
            </w:pPr>
            <w:r>
              <w:rPr>
                <w:rFonts w:ascii="Arial" w:cs="Arial" w:eastAsia="Arial" w:hAnsi="Arial"/>
                <w:sz w:val="16"/>
                <w:szCs w:val="16"/>
                <w:color w:val="auto"/>
              </w:rPr>
              <w:t>26,172</w:t>
            </w: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17,946</w:t>
            </w:r>
          </w:p>
        </w:tc>
        <w:tc>
          <w:tcPr>
            <w:tcW w:w="3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21,994</w:t>
            </w: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9,020</w:t>
            </w:r>
          </w:p>
        </w:tc>
        <w:tc>
          <w:tcPr>
            <w:tcW w:w="3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10,541</w:t>
            </w:r>
          </w:p>
        </w:tc>
      </w:tr>
      <w:tr>
        <w:trPr>
          <w:trHeight w:val="240"/>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380,037</w:t>
            </w:r>
          </w:p>
        </w:tc>
        <w:tc>
          <w:tcPr>
            <w:tcW w:w="3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362,174</w:t>
            </w:r>
          </w:p>
        </w:tc>
      </w:tr>
      <w:tr>
        <w:trPr>
          <w:trHeight w:val="20"/>
        </w:trPr>
        <w:tc>
          <w:tcPr>
            <w:tcW w:w="7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54"/>
        </w:trPr>
        <w:tc>
          <w:tcPr>
            <w:tcW w:w="7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LIABILITIES AND SHAREHOLDERS' EQUITY</w:t>
            </w: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2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80"/>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47,748</w:t>
            </w:r>
          </w:p>
        </w:tc>
        <w:tc>
          <w:tcPr>
            <w:tcW w:w="34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33,158</w:t>
            </w:r>
          </w:p>
        </w:tc>
      </w:tr>
      <w:tr>
        <w:trPr>
          <w:trHeight w:val="260"/>
        </w:trPr>
        <w:tc>
          <w:tcPr>
            <w:tcW w:w="7900" w:type="dxa"/>
            <w:vAlign w:val="bottom"/>
          </w:tcPr>
          <w:p>
            <w:pPr>
              <w:ind w:left="280"/>
              <w:spacing w:after="0"/>
              <w:rPr>
                <w:sz w:val="20"/>
                <w:szCs w:val="20"/>
                <w:color w:val="auto"/>
              </w:rPr>
            </w:pPr>
            <w:r>
              <w:rPr>
                <w:rFonts w:ascii="Arial" w:cs="Arial" w:eastAsia="Arial" w:hAnsi="Arial"/>
                <w:sz w:val="16"/>
                <w:szCs w:val="16"/>
                <w:color w:val="auto"/>
              </w:rPr>
              <w:t>Income taxes payable</w:t>
            </w:r>
          </w:p>
        </w:tc>
        <w:tc>
          <w:tcPr>
            <w:tcW w:w="280" w:type="dxa"/>
            <w:vAlign w:val="bottom"/>
          </w:tcPr>
          <w:p>
            <w:pPr>
              <w:spacing w:after="0"/>
              <w:rPr>
                <w:sz w:val="22"/>
                <w:szCs w:val="22"/>
                <w:color w:val="auto"/>
              </w:rPr>
            </w:pPr>
          </w:p>
        </w:tc>
        <w:tc>
          <w:tcPr>
            <w:tcW w:w="16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20" w:type="dxa"/>
            <w:vAlign w:val="bottom"/>
          </w:tcPr>
          <w:p>
            <w:pPr>
              <w:jc w:val="right"/>
              <w:ind w:right="18"/>
              <w:spacing w:after="0"/>
              <w:rPr>
                <w:sz w:val="20"/>
                <w:szCs w:val="20"/>
                <w:color w:val="auto"/>
              </w:rPr>
            </w:pPr>
            <w:r>
              <w:rPr>
                <w:rFonts w:ascii="Arial" w:cs="Arial" w:eastAsia="Arial" w:hAnsi="Arial"/>
                <w:sz w:val="16"/>
                <w:szCs w:val="16"/>
                <w:color w:val="auto"/>
              </w:rPr>
              <w:t>2,314</w:t>
            </w:r>
          </w:p>
        </w:tc>
      </w:tr>
      <w:tr>
        <w:trPr>
          <w:trHeight w:val="273"/>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Accrued expenses</w:t>
            </w:r>
          </w:p>
        </w:tc>
        <w:tc>
          <w:tcPr>
            <w:tcW w:w="2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45,050</w:t>
            </w:r>
          </w:p>
        </w:tc>
        <w:tc>
          <w:tcPr>
            <w:tcW w:w="34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46,138</w:t>
            </w:r>
          </w:p>
        </w:tc>
      </w:tr>
      <w:tr>
        <w:trPr>
          <w:trHeight w:val="250"/>
        </w:trPr>
        <w:tc>
          <w:tcPr>
            <w:tcW w:w="790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current liabilities</w:t>
            </w: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92,798</w:t>
            </w:r>
          </w:p>
        </w:tc>
        <w:tc>
          <w:tcPr>
            <w:tcW w:w="34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81,610</w:t>
            </w: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Non-current liabilities:</w:t>
            </w: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60"/>
        </w:trPr>
        <w:tc>
          <w:tcPr>
            <w:tcW w:w="7900" w:type="dxa"/>
            <w:vAlign w:val="bottom"/>
          </w:tcPr>
          <w:p>
            <w:pPr>
              <w:ind w:left="280"/>
              <w:spacing w:after="0"/>
              <w:rPr>
                <w:sz w:val="20"/>
                <w:szCs w:val="20"/>
                <w:color w:val="auto"/>
              </w:rPr>
            </w:pPr>
            <w:r>
              <w:rPr>
                <w:rFonts w:ascii="Arial" w:cs="Arial" w:eastAsia="Arial" w:hAnsi="Arial"/>
                <w:sz w:val="16"/>
                <w:szCs w:val="16"/>
                <w:color w:val="auto"/>
              </w:rPr>
              <w:t>Unrecognized tax benefits</w:t>
            </w:r>
          </w:p>
        </w:tc>
        <w:tc>
          <w:tcPr>
            <w:tcW w:w="280" w:type="dxa"/>
            <w:vAlign w:val="bottom"/>
          </w:tcPr>
          <w:p>
            <w:pPr>
              <w:spacing w:after="0"/>
              <w:rPr>
                <w:sz w:val="22"/>
                <w:szCs w:val="22"/>
                <w:color w:val="auto"/>
              </w:rPr>
            </w:pPr>
          </w:p>
        </w:tc>
        <w:tc>
          <w:tcPr>
            <w:tcW w:w="1300" w:type="dxa"/>
            <w:vAlign w:val="bottom"/>
          </w:tcPr>
          <w:p>
            <w:pPr>
              <w:jc w:val="right"/>
              <w:ind w:right="18"/>
              <w:spacing w:after="0"/>
              <w:rPr>
                <w:sz w:val="20"/>
                <w:szCs w:val="20"/>
                <w:color w:val="auto"/>
              </w:rPr>
            </w:pPr>
            <w:r>
              <w:rPr>
                <w:rFonts w:ascii="Arial" w:cs="Arial" w:eastAsia="Arial" w:hAnsi="Arial"/>
                <w:sz w:val="16"/>
                <w:szCs w:val="16"/>
                <w:color w:val="auto"/>
              </w:rPr>
              <w:t>2,333</w:t>
            </w: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ind w:right="18"/>
              <w:spacing w:after="0"/>
              <w:rPr>
                <w:sz w:val="20"/>
                <w:szCs w:val="20"/>
                <w:color w:val="auto"/>
              </w:rPr>
            </w:pPr>
            <w:r>
              <w:rPr>
                <w:rFonts w:ascii="Arial" w:cs="Arial" w:eastAsia="Arial" w:hAnsi="Arial"/>
                <w:sz w:val="16"/>
                <w:szCs w:val="16"/>
                <w:color w:val="auto"/>
              </w:rPr>
              <w:t>2,511</w:t>
            </w:r>
          </w:p>
        </w:tc>
      </w:tr>
      <w:tr>
        <w:trPr>
          <w:trHeight w:val="273"/>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Postretirement health care and deferred compensation benefits, net of current portion</w:t>
            </w:r>
          </w:p>
        </w:tc>
        <w:tc>
          <w:tcPr>
            <w:tcW w:w="2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25,988</w:t>
            </w:r>
          </w:p>
        </w:tc>
        <w:tc>
          <w:tcPr>
            <w:tcW w:w="34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57,090</w:t>
            </w:r>
          </w:p>
        </w:tc>
      </w:tr>
      <w:tr>
        <w:trPr>
          <w:trHeight w:val="247"/>
        </w:trPr>
        <w:tc>
          <w:tcPr>
            <w:tcW w:w="7900" w:type="dxa"/>
            <w:vAlign w:val="bottom"/>
          </w:tcPr>
          <w:p>
            <w:pPr>
              <w:ind w:left="500"/>
              <w:spacing w:after="0"/>
              <w:rPr>
                <w:sz w:val="20"/>
                <w:szCs w:val="20"/>
                <w:color w:val="auto"/>
              </w:rPr>
            </w:pPr>
            <w:r>
              <w:rPr>
                <w:rFonts w:ascii="Arial" w:cs="Arial" w:eastAsia="Arial" w:hAnsi="Arial"/>
                <w:sz w:val="16"/>
                <w:szCs w:val="16"/>
                <w:color w:val="auto"/>
              </w:rPr>
              <w:t>Total non-current liabilities</w:t>
            </w:r>
          </w:p>
        </w:tc>
        <w:tc>
          <w:tcPr>
            <w:tcW w:w="280" w:type="dxa"/>
            <w:vAlign w:val="bottom"/>
          </w:tcPr>
          <w:p>
            <w:pPr>
              <w:spacing w:after="0"/>
              <w:rPr>
                <w:sz w:val="21"/>
                <w:szCs w:val="21"/>
                <w:color w:val="auto"/>
              </w:rPr>
            </w:pPr>
          </w:p>
        </w:tc>
        <w:tc>
          <w:tcPr>
            <w:tcW w:w="1300" w:type="dxa"/>
            <w:vAlign w:val="bottom"/>
          </w:tcPr>
          <w:p>
            <w:pPr>
              <w:jc w:val="right"/>
              <w:ind w:right="18"/>
              <w:spacing w:after="0"/>
              <w:rPr>
                <w:sz w:val="20"/>
                <w:szCs w:val="20"/>
                <w:color w:val="auto"/>
              </w:rPr>
            </w:pPr>
            <w:r>
              <w:rPr>
                <w:rFonts w:ascii="Arial" w:cs="Arial" w:eastAsia="Arial" w:hAnsi="Arial"/>
                <w:sz w:val="16"/>
                <w:szCs w:val="16"/>
                <w:color w:val="auto"/>
              </w:rPr>
              <w:t>28,321</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8"/>
              <w:spacing w:after="0"/>
              <w:rPr>
                <w:sz w:val="20"/>
                <w:szCs w:val="20"/>
                <w:color w:val="auto"/>
              </w:rPr>
            </w:pPr>
            <w:r>
              <w:rPr>
                <w:rFonts w:ascii="Arial" w:cs="Arial" w:eastAsia="Arial" w:hAnsi="Arial"/>
                <w:sz w:val="16"/>
                <w:szCs w:val="16"/>
                <w:color w:val="auto"/>
              </w:rPr>
              <w:t>59,601</w:t>
            </w:r>
          </w:p>
        </w:tc>
      </w:tr>
      <w:tr>
        <w:trPr>
          <w:trHeight w:val="273"/>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Shareholders' equity</w:t>
            </w:r>
          </w:p>
        </w:tc>
        <w:tc>
          <w:tcPr>
            <w:tcW w:w="2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258,918</w:t>
            </w:r>
          </w:p>
        </w:tc>
        <w:tc>
          <w:tcPr>
            <w:tcW w:w="34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220,963</w:t>
            </w:r>
          </w:p>
        </w:tc>
      </w:tr>
      <w:tr>
        <w:trPr>
          <w:trHeight w:val="240"/>
        </w:trPr>
        <w:tc>
          <w:tcPr>
            <w:tcW w:w="7900" w:type="dxa"/>
            <w:vAlign w:val="bottom"/>
          </w:tcPr>
          <w:p>
            <w:pPr>
              <w:ind w:left="720"/>
              <w:spacing w:after="0"/>
              <w:rPr>
                <w:sz w:val="20"/>
                <w:szCs w:val="20"/>
                <w:color w:val="auto"/>
              </w:rPr>
            </w:pPr>
            <w:r>
              <w:rPr>
                <w:rFonts w:ascii="Arial" w:cs="Arial" w:eastAsia="Arial" w:hAnsi="Arial"/>
                <w:sz w:val="16"/>
                <w:szCs w:val="16"/>
                <w:color w:val="auto"/>
              </w:rPr>
              <w:t>Total liabilities and shareholders' equity</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380,037</w:t>
            </w:r>
          </w:p>
        </w:tc>
        <w:tc>
          <w:tcPr>
            <w:tcW w:w="34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362,174</w:t>
            </w:r>
          </w:p>
        </w:tc>
      </w:tr>
      <w:tr>
        <w:trPr>
          <w:trHeight w:val="20"/>
        </w:trPr>
        <w:tc>
          <w:tcPr>
            <w:tcW w:w="7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576"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2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gridSpan w:val="3"/>
          </w:tcPr>
          <w:p>
            <w:pPr>
              <w:jc w:val="right"/>
              <w:ind w:right="638"/>
              <w:spacing w:after="0"/>
              <w:rPr>
                <w:sz w:val="20"/>
                <w:szCs w:val="20"/>
                <w:color w:val="auto"/>
              </w:rPr>
            </w:pPr>
            <w:r>
              <w:rPr>
                <w:rFonts w:ascii="Arial" w:cs="Arial" w:eastAsia="Arial" w:hAnsi="Arial"/>
                <w:sz w:val="18"/>
                <w:szCs w:val="18"/>
                <w:b w:val="1"/>
                <w:bCs w:val="1"/>
                <w:color w:val="auto"/>
              </w:rPr>
              <w:t>Nine Months Ended</w:t>
            </w:r>
          </w:p>
        </w:tc>
      </w:tr>
      <w:tr>
        <w:trPr>
          <w:trHeight w:val="207"/>
        </w:trPr>
        <w:tc>
          <w:tcPr>
            <w:tcW w:w="8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ind w:right="318"/>
              <w:spacing w:after="0"/>
              <w:rPr>
                <w:sz w:val="20"/>
                <w:szCs w:val="20"/>
                <w:color w:val="auto"/>
              </w:rPr>
            </w:pPr>
            <w:r>
              <w:rPr>
                <w:rFonts w:ascii="Arial" w:cs="Arial" w:eastAsia="Arial" w:hAnsi="Arial"/>
                <w:sz w:val="18"/>
                <w:szCs w:val="18"/>
                <w:b w:val="1"/>
                <w:bCs w:val="1"/>
                <w:color w:val="auto"/>
              </w:rPr>
              <w:t>May 28,</w:t>
            </w:r>
          </w:p>
        </w:tc>
        <w:tc>
          <w:tcPr>
            <w:tcW w:w="340" w:type="dxa"/>
            <w:vAlign w:val="bottom"/>
          </w:tcPr>
          <w:p>
            <w:pPr>
              <w:spacing w:after="0"/>
              <w:rPr>
                <w:sz w:val="17"/>
                <w:szCs w:val="17"/>
                <w:color w:val="auto"/>
              </w:rPr>
            </w:pPr>
          </w:p>
        </w:tc>
        <w:tc>
          <w:tcPr>
            <w:tcW w:w="1300" w:type="dxa"/>
            <w:vAlign w:val="bottom"/>
          </w:tcPr>
          <w:p>
            <w:pPr>
              <w:jc w:val="right"/>
              <w:ind w:right="398"/>
              <w:spacing w:after="0"/>
              <w:rPr>
                <w:sz w:val="20"/>
                <w:szCs w:val="20"/>
                <w:color w:val="auto"/>
              </w:rPr>
            </w:pPr>
            <w:r>
              <w:rPr>
                <w:rFonts w:ascii="Arial" w:cs="Arial" w:eastAsia="Arial" w:hAnsi="Arial"/>
                <w:sz w:val="18"/>
                <w:szCs w:val="18"/>
                <w:b w:val="1"/>
                <w:bCs w:val="1"/>
                <w:color w:val="auto"/>
              </w:rPr>
              <w:t>May 30,</w:t>
            </w:r>
          </w:p>
        </w:tc>
      </w:tr>
      <w:tr>
        <w:trPr>
          <w:trHeight w:val="246"/>
        </w:trPr>
        <w:tc>
          <w:tcPr>
            <w:tcW w:w="82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18"/>
              <w:spacing w:after="0"/>
              <w:rPr>
                <w:sz w:val="20"/>
                <w:szCs w:val="20"/>
                <w:color w:val="auto"/>
              </w:rPr>
            </w:pPr>
            <w:r>
              <w:rPr>
                <w:rFonts w:ascii="Arial" w:cs="Arial" w:eastAsia="Arial" w:hAnsi="Arial"/>
                <w:sz w:val="18"/>
                <w:szCs w:val="18"/>
                <w:b w:val="1"/>
                <w:bCs w:val="1"/>
                <w:color w:val="auto"/>
              </w:rPr>
              <w:t>2016</w:t>
            </w:r>
          </w:p>
        </w:tc>
        <w:tc>
          <w:tcPr>
            <w:tcW w:w="3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98"/>
              <w:spacing w:after="0"/>
              <w:rPr>
                <w:sz w:val="20"/>
                <w:szCs w:val="20"/>
                <w:color w:val="auto"/>
              </w:rPr>
            </w:pPr>
            <w:r>
              <w:rPr>
                <w:rFonts w:ascii="Arial" w:cs="Arial" w:eastAsia="Arial" w:hAnsi="Arial"/>
                <w:sz w:val="18"/>
                <w:szCs w:val="18"/>
                <w:b w:val="1"/>
                <w:bCs w:val="1"/>
                <w:color w:val="auto"/>
              </w:rPr>
              <w:t>2015</w:t>
            </w:r>
          </w:p>
        </w:tc>
      </w:tr>
      <w:tr>
        <w:trPr>
          <w:trHeight w:val="270"/>
        </w:trPr>
        <w:tc>
          <w:tcPr>
            <w:tcW w:w="8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33"/>
        </w:trPr>
        <w:tc>
          <w:tcPr>
            <w:tcW w:w="8280" w:type="dxa"/>
            <w:vAlign w:val="bottom"/>
          </w:tcPr>
          <w:p>
            <w:pPr>
              <w:ind w:left="280"/>
              <w:spacing w:after="0"/>
              <w:rPr>
                <w:sz w:val="20"/>
                <w:szCs w:val="20"/>
                <w:color w:val="auto"/>
              </w:rPr>
            </w:pPr>
            <w:r>
              <w:rPr>
                <w:rFonts w:ascii="Arial" w:cs="Arial" w:eastAsia="Arial" w:hAnsi="Arial"/>
                <w:sz w:val="16"/>
                <w:szCs w:val="16"/>
                <w:color w:val="auto"/>
              </w:rPr>
              <w:t>Net income</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58"/>
              <w:spacing w:after="0"/>
              <w:rPr>
                <w:sz w:val="20"/>
                <w:szCs w:val="20"/>
                <w:color w:val="auto"/>
              </w:rPr>
            </w:pPr>
            <w:r>
              <w:rPr>
                <w:rFonts w:ascii="Arial" w:cs="Arial" w:eastAsia="Arial" w:hAnsi="Arial"/>
                <w:sz w:val="16"/>
                <w:szCs w:val="16"/>
                <w:color w:val="auto"/>
              </w:rPr>
              <w:t>32,350</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38"/>
              <w:spacing w:after="0"/>
              <w:rPr>
                <w:sz w:val="20"/>
                <w:szCs w:val="20"/>
                <w:color w:val="auto"/>
              </w:rPr>
            </w:pPr>
            <w:r>
              <w:rPr>
                <w:rFonts w:ascii="Arial" w:cs="Arial" w:eastAsia="Arial" w:hAnsi="Arial"/>
                <w:sz w:val="16"/>
                <w:szCs w:val="16"/>
                <w:color w:val="auto"/>
              </w:rPr>
              <w:t>29,493</w:t>
            </w:r>
          </w:p>
        </w:tc>
      </w:tr>
      <w:tr>
        <w:trPr>
          <w:trHeight w:val="280"/>
        </w:trPr>
        <w:tc>
          <w:tcPr>
            <w:tcW w:w="8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33"/>
        </w:trPr>
        <w:tc>
          <w:tcPr>
            <w:tcW w:w="828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20"/>
                <w:szCs w:val="20"/>
                <w:color w:val="auto"/>
              </w:rPr>
            </w:pPr>
          </w:p>
        </w:tc>
        <w:tc>
          <w:tcPr>
            <w:tcW w:w="1220" w:type="dxa"/>
            <w:vAlign w:val="bottom"/>
          </w:tcPr>
          <w:p>
            <w:pPr>
              <w:jc w:val="right"/>
              <w:ind w:right="58"/>
              <w:spacing w:after="0"/>
              <w:rPr>
                <w:sz w:val="20"/>
                <w:szCs w:val="20"/>
                <w:color w:val="auto"/>
              </w:rPr>
            </w:pPr>
            <w:r>
              <w:rPr>
                <w:rFonts w:ascii="Arial" w:cs="Arial" w:eastAsia="Arial" w:hAnsi="Arial"/>
                <w:sz w:val="16"/>
                <w:szCs w:val="16"/>
                <w:color w:val="auto"/>
              </w:rPr>
              <w:t>4,243</w:t>
            </w:r>
          </w:p>
        </w:tc>
        <w:tc>
          <w:tcPr>
            <w:tcW w:w="340" w:type="dxa"/>
            <w:vAlign w:val="bottom"/>
          </w:tcPr>
          <w:p>
            <w:pPr>
              <w:spacing w:after="0"/>
              <w:rPr>
                <w:sz w:val="20"/>
                <w:szCs w:val="20"/>
                <w:color w:val="auto"/>
              </w:rPr>
            </w:pPr>
          </w:p>
        </w:tc>
        <w:tc>
          <w:tcPr>
            <w:tcW w:w="1300" w:type="dxa"/>
            <w:vAlign w:val="bottom"/>
          </w:tcPr>
          <w:p>
            <w:pPr>
              <w:jc w:val="right"/>
              <w:ind w:right="138"/>
              <w:spacing w:after="0"/>
              <w:rPr>
                <w:sz w:val="20"/>
                <w:szCs w:val="20"/>
                <w:color w:val="auto"/>
              </w:rPr>
            </w:pPr>
            <w:r>
              <w:rPr>
                <w:rFonts w:ascii="Arial" w:cs="Arial" w:eastAsia="Arial" w:hAnsi="Arial"/>
                <w:sz w:val="16"/>
                <w:szCs w:val="16"/>
                <w:color w:val="auto"/>
              </w:rPr>
              <w:t>3,284</w:t>
            </w:r>
          </w:p>
        </w:tc>
      </w:tr>
      <w:tr>
        <w:trPr>
          <w:trHeight w:val="253"/>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LIFO expense</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1,280</w:t>
            </w:r>
          </w:p>
        </w:tc>
        <w:tc>
          <w:tcPr>
            <w:tcW w:w="3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1,041</w:t>
            </w:r>
          </w:p>
        </w:tc>
      </w:tr>
      <w:tr>
        <w:trPr>
          <w:trHeight w:val="233"/>
        </w:trPr>
        <w:tc>
          <w:tcPr>
            <w:tcW w:w="8280" w:type="dxa"/>
            <w:vAlign w:val="bottom"/>
          </w:tcPr>
          <w:p>
            <w:pPr>
              <w:ind w:left="280"/>
              <w:spacing w:after="0"/>
              <w:rPr>
                <w:sz w:val="20"/>
                <w:szCs w:val="20"/>
                <w:color w:val="auto"/>
              </w:rPr>
            </w:pPr>
            <w:r>
              <w:rPr>
                <w:rFonts w:ascii="Arial" w:cs="Arial" w:eastAsia="Arial" w:hAnsi="Arial"/>
                <w:sz w:val="16"/>
                <w:szCs w:val="16"/>
                <w:color w:val="auto"/>
              </w:rPr>
              <w:t>Asset impairment</w:t>
            </w:r>
          </w:p>
        </w:tc>
        <w:tc>
          <w:tcPr>
            <w:tcW w:w="280" w:type="dxa"/>
            <w:vAlign w:val="bottom"/>
          </w:tcPr>
          <w:p>
            <w:pPr>
              <w:spacing w:after="0"/>
              <w:rPr>
                <w:sz w:val="20"/>
                <w:szCs w:val="20"/>
                <w:color w:val="auto"/>
              </w:rPr>
            </w:pPr>
          </w:p>
        </w:tc>
        <w:tc>
          <w:tcPr>
            <w:tcW w:w="122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300" w:type="dxa"/>
            <w:vAlign w:val="bottom"/>
          </w:tcPr>
          <w:p>
            <w:pPr>
              <w:jc w:val="right"/>
              <w:ind w:right="138"/>
              <w:spacing w:after="0"/>
              <w:rPr>
                <w:sz w:val="20"/>
                <w:szCs w:val="20"/>
                <w:color w:val="auto"/>
              </w:rPr>
            </w:pPr>
            <w:r>
              <w:rPr>
                <w:rFonts w:ascii="Arial" w:cs="Arial" w:eastAsia="Arial" w:hAnsi="Arial"/>
                <w:sz w:val="16"/>
                <w:szCs w:val="16"/>
                <w:color w:val="auto"/>
              </w:rPr>
              <w:t>462</w:t>
            </w:r>
          </w:p>
        </w:tc>
      </w:tr>
      <w:tr>
        <w:trPr>
          <w:trHeight w:val="253"/>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Stock-based compensation</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1,818</w:t>
            </w:r>
          </w:p>
        </w:tc>
        <w:tc>
          <w:tcPr>
            <w:tcW w:w="3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1,739</w:t>
            </w:r>
          </w:p>
        </w:tc>
      </w:tr>
      <w:tr>
        <w:trPr>
          <w:trHeight w:val="233"/>
        </w:trPr>
        <w:tc>
          <w:tcPr>
            <w:tcW w:w="8280" w:type="dxa"/>
            <w:vAlign w:val="bottom"/>
          </w:tcPr>
          <w:p>
            <w:pPr>
              <w:ind w:left="280"/>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20"/>
                <w:szCs w:val="20"/>
                <w:color w:val="auto"/>
              </w:rPr>
            </w:pPr>
          </w:p>
        </w:tc>
        <w:tc>
          <w:tcPr>
            <w:tcW w:w="1220" w:type="dxa"/>
            <w:vAlign w:val="bottom"/>
          </w:tcPr>
          <w:p>
            <w:pPr>
              <w:jc w:val="right"/>
              <w:ind w:right="58"/>
              <w:spacing w:after="0"/>
              <w:rPr>
                <w:sz w:val="20"/>
                <w:szCs w:val="20"/>
                <w:color w:val="auto"/>
              </w:rPr>
            </w:pPr>
            <w:r>
              <w:rPr>
                <w:rFonts w:ascii="Arial" w:cs="Arial" w:eastAsia="Arial" w:hAnsi="Arial"/>
                <w:sz w:val="16"/>
                <w:szCs w:val="16"/>
                <w:color w:val="auto"/>
              </w:rPr>
              <w:t>2,717</w:t>
            </w:r>
          </w:p>
        </w:tc>
        <w:tc>
          <w:tcPr>
            <w:tcW w:w="340" w:type="dxa"/>
            <w:vAlign w:val="bottom"/>
          </w:tcPr>
          <w:p>
            <w:pPr>
              <w:spacing w:after="0"/>
              <w:rPr>
                <w:sz w:val="20"/>
                <w:szCs w:val="20"/>
                <w:color w:val="auto"/>
              </w:rPr>
            </w:pPr>
          </w:p>
        </w:tc>
        <w:tc>
          <w:tcPr>
            <w:tcW w:w="1300" w:type="dxa"/>
            <w:vAlign w:val="bottom"/>
          </w:tcPr>
          <w:p>
            <w:pPr>
              <w:jc w:val="right"/>
              <w:ind w:right="138"/>
              <w:spacing w:after="0"/>
              <w:rPr>
                <w:sz w:val="20"/>
                <w:szCs w:val="20"/>
                <w:color w:val="auto"/>
              </w:rPr>
            </w:pPr>
            <w:r>
              <w:rPr>
                <w:rFonts w:ascii="Arial" w:cs="Arial" w:eastAsia="Arial" w:hAnsi="Arial"/>
                <w:sz w:val="16"/>
                <w:szCs w:val="16"/>
                <w:color w:val="auto"/>
              </w:rPr>
              <w:t>2,793</w:t>
            </w:r>
          </w:p>
        </w:tc>
      </w:tr>
      <w:tr>
        <w:trPr>
          <w:trHeight w:val="253"/>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Postretirement benefit income and deferred compensation expenses</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(3,053)</w:t>
            </w:r>
          </w:p>
        </w:tc>
        <w:tc>
          <w:tcPr>
            <w:tcW w:w="3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(587)</w:t>
            </w:r>
          </w:p>
        </w:tc>
      </w:tr>
      <w:tr>
        <w:trPr>
          <w:trHeight w:val="233"/>
        </w:trPr>
        <w:tc>
          <w:tcPr>
            <w:tcW w:w="8280" w:type="dxa"/>
            <w:vAlign w:val="bottom"/>
          </w:tcPr>
          <w:p>
            <w:pPr>
              <w:ind w:left="280"/>
              <w:spacing w:after="0"/>
              <w:rPr>
                <w:sz w:val="20"/>
                <w:szCs w:val="20"/>
                <w:color w:val="auto"/>
              </w:rPr>
            </w:pPr>
            <w:r>
              <w:rPr>
                <w:rFonts w:ascii="Arial" w:cs="Arial" w:eastAsia="Arial" w:hAnsi="Arial"/>
                <w:sz w:val="16"/>
                <w:szCs w:val="16"/>
                <w:color w:val="auto"/>
              </w:rPr>
              <w:t>Provision for doubtful accounts</w:t>
            </w:r>
          </w:p>
        </w:tc>
        <w:tc>
          <w:tcPr>
            <w:tcW w:w="280" w:type="dxa"/>
            <w:vAlign w:val="bottom"/>
          </w:tcPr>
          <w:p>
            <w:pPr>
              <w:spacing w:after="0"/>
              <w:rPr>
                <w:sz w:val="20"/>
                <w:szCs w:val="20"/>
                <w:color w:val="auto"/>
              </w:rPr>
            </w:pPr>
          </w:p>
        </w:tc>
        <w:tc>
          <w:tcPr>
            <w:tcW w:w="1220" w:type="dxa"/>
            <w:vAlign w:val="bottom"/>
          </w:tcPr>
          <w:p>
            <w:pPr>
              <w:jc w:val="right"/>
              <w:ind w:right="58"/>
              <w:spacing w:after="0"/>
              <w:rPr>
                <w:sz w:val="20"/>
                <w:szCs w:val="20"/>
                <w:color w:val="auto"/>
              </w:rPr>
            </w:pPr>
            <w:r>
              <w:rPr>
                <w:rFonts w:ascii="Arial" w:cs="Arial" w:eastAsia="Arial" w:hAnsi="Arial"/>
                <w:sz w:val="16"/>
                <w:szCs w:val="16"/>
                <w:color w:val="auto"/>
              </w:rPr>
              <w:t>37</w:t>
            </w:r>
          </w:p>
        </w:tc>
        <w:tc>
          <w:tcPr>
            <w:tcW w:w="340" w:type="dxa"/>
            <w:vAlign w:val="bottom"/>
          </w:tcPr>
          <w:p>
            <w:pPr>
              <w:spacing w:after="0"/>
              <w:rPr>
                <w:sz w:val="20"/>
                <w:szCs w:val="20"/>
                <w:color w:val="auto"/>
              </w:rPr>
            </w:pPr>
          </w:p>
        </w:tc>
        <w:tc>
          <w:tcPr>
            <w:tcW w:w="1300" w:type="dxa"/>
            <w:vAlign w:val="bottom"/>
          </w:tcPr>
          <w:p>
            <w:pPr>
              <w:jc w:val="right"/>
              <w:ind w:right="138"/>
              <w:spacing w:after="0"/>
              <w:rPr>
                <w:sz w:val="20"/>
                <w:szCs w:val="20"/>
                <w:color w:val="auto"/>
              </w:rPr>
            </w:pPr>
            <w:r>
              <w:rPr>
                <w:rFonts w:ascii="Arial" w:cs="Arial" w:eastAsia="Arial" w:hAnsi="Arial"/>
                <w:sz w:val="16"/>
                <w:szCs w:val="16"/>
                <w:color w:val="auto"/>
              </w:rPr>
              <w:t>—</w:t>
            </w:r>
          </w:p>
        </w:tc>
      </w:tr>
      <w:tr>
        <w:trPr>
          <w:trHeight w:val="253"/>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Loss (gain) on disposal of property</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10</w:t>
            </w:r>
          </w:p>
        </w:tc>
        <w:tc>
          <w:tcPr>
            <w:tcW w:w="3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(20)</w:t>
            </w:r>
          </w:p>
        </w:tc>
      </w:tr>
      <w:tr>
        <w:trPr>
          <w:trHeight w:val="233"/>
        </w:trPr>
        <w:tc>
          <w:tcPr>
            <w:tcW w:w="8280" w:type="dxa"/>
            <w:vAlign w:val="bottom"/>
          </w:tcPr>
          <w:p>
            <w:pPr>
              <w:ind w:left="280"/>
              <w:spacing w:after="0"/>
              <w:rPr>
                <w:sz w:val="20"/>
                <w:szCs w:val="20"/>
                <w:color w:val="auto"/>
              </w:rPr>
            </w:pPr>
            <w:r>
              <w:rPr>
                <w:rFonts w:ascii="Arial" w:cs="Arial" w:eastAsia="Arial" w:hAnsi="Arial"/>
                <w:sz w:val="16"/>
                <w:szCs w:val="16"/>
                <w:color w:val="auto"/>
              </w:rPr>
              <w:t>Gain on life insurance</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(118)</w:t>
            </w:r>
          </w:p>
        </w:tc>
        <w:tc>
          <w:tcPr>
            <w:tcW w:w="340" w:type="dxa"/>
            <w:vAlign w:val="bottom"/>
          </w:tcPr>
          <w:p>
            <w:pPr>
              <w:spacing w:after="0"/>
              <w:rPr>
                <w:sz w:val="20"/>
                <w:szCs w:val="20"/>
                <w:color w:val="auto"/>
              </w:rPr>
            </w:pPr>
          </w:p>
        </w:tc>
        <w:tc>
          <w:tcPr>
            <w:tcW w:w="1300" w:type="dxa"/>
            <w:vAlign w:val="bottom"/>
          </w:tcPr>
          <w:p>
            <w:pPr>
              <w:jc w:val="right"/>
              <w:ind w:right="138"/>
              <w:spacing w:after="0"/>
              <w:rPr>
                <w:sz w:val="20"/>
                <w:szCs w:val="20"/>
                <w:color w:val="auto"/>
              </w:rPr>
            </w:pPr>
            <w:r>
              <w:rPr>
                <w:rFonts w:ascii="Arial" w:cs="Arial" w:eastAsia="Arial" w:hAnsi="Arial"/>
                <w:sz w:val="16"/>
                <w:szCs w:val="16"/>
                <w:color w:val="auto"/>
              </w:rPr>
              <w:t>—</w:t>
            </w:r>
          </w:p>
        </w:tc>
      </w:tr>
      <w:tr>
        <w:trPr>
          <w:trHeight w:val="253"/>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Increase in cash surrender value of life insurance policies</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w:t>
            </w:r>
          </w:p>
        </w:tc>
        <w:tc>
          <w:tcPr>
            <w:tcW w:w="3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(657)</w:t>
            </w:r>
          </w:p>
        </w:tc>
      </w:tr>
      <w:tr>
        <w:trPr>
          <w:trHeight w:val="260"/>
        </w:trPr>
        <w:tc>
          <w:tcPr>
            <w:tcW w:w="8280" w:type="dxa"/>
            <w:vAlign w:val="bottom"/>
          </w:tcPr>
          <w:p>
            <w:pPr>
              <w:ind w:left="40"/>
              <w:spacing w:after="0"/>
              <w:rPr>
                <w:sz w:val="20"/>
                <w:szCs w:val="20"/>
                <w:color w:val="auto"/>
              </w:rPr>
            </w:pPr>
            <w:r>
              <w:rPr>
                <w:rFonts w:ascii="Arial" w:cs="Arial" w:eastAsia="Arial" w:hAnsi="Arial"/>
                <w:sz w:val="16"/>
                <w:szCs w:val="16"/>
                <w:color w:val="auto"/>
              </w:rPr>
              <w:t>Change in assets and liabilities:</w:t>
            </w: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53"/>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(19,251)</w:t>
            </w:r>
          </w:p>
        </w:tc>
        <w:tc>
          <w:tcPr>
            <w:tcW w:w="3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(10,768)</w:t>
            </w:r>
          </w:p>
        </w:tc>
      </w:tr>
      <w:tr>
        <w:trPr>
          <w:trHeight w:val="233"/>
        </w:trPr>
        <w:tc>
          <w:tcPr>
            <w:tcW w:w="8280" w:type="dxa"/>
            <w:vAlign w:val="bottom"/>
          </w:tcPr>
          <w:p>
            <w:pPr>
              <w:ind w:left="280"/>
              <w:spacing w:after="0"/>
              <w:rPr>
                <w:sz w:val="20"/>
                <w:szCs w:val="20"/>
                <w:color w:val="auto"/>
              </w:rPr>
            </w:pPr>
            <w:r>
              <w:rPr>
                <w:rFonts w:ascii="Arial" w:cs="Arial" w:eastAsia="Arial" w:hAnsi="Arial"/>
                <w:sz w:val="16"/>
                <w:szCs w:val="16"/>
                <w:color w:val="auto"/>
              </w:rPr>
              <w:t>Receivables, prepaid and other assets</w:t>
            </w:r>
          </w:p>
        </w:tc>
        <w:tc>
          <w:tcPr>
            <w:tcW w:w="280" w:type="dxa"/>
            <w:vAlign w:val="bottom"/>
          </w:tcPr>
          <w:p>
            <w:pPr>
              <w:spacing w:after="0"/>
              <w:rPr>
                <w:sz w:val="20"/>
                <w:szCs w:val="20"/>
                <w:color w:val="auto"/>
              </w:rPr>
            </w:pPr>
          </w:p>
        </w:tc>
        <w:tc>
          <w:tcPr>
            <w:tcW w:w="1220" w:type="dxa"/>
            <w:vAlign w:val="bottom"/>
          </w:tcPr>
          <w:p>
            <w:pPr>
              <w:jc w:val="right"/>
              <w:ind w:right="58"/>
              <w:spacing w:after="0"/>
              <w:rPr>
                <w:sz w:val="20"/>
                <w:szCs w:val="20"/>
                <w:color w:val="auto"/>
              </w:rPr>
            </w:pPr>
            <w:r>
              <w:rPr>
                <w:rFonts w:ascii="Arial" w:cs="Arial" w:eastAsia="Arial" w:hAnsi="Arial"/>
                <w:sz w:val="16"/>
                <w:szCs w:val="16"/>
                <w:color w:val="auto"/>
              </w:rPr>
              <w:t>1,905</w:t>
            </w:r>
          </w:p>
        </w:tc>
        <w:tc>
          <w:tcPr>
            <w:tcW w:w="340" w:type="dxa"/>
            <w:vAlign w:val="bottom"/>
          </w:tcPr>
          <w:p>
            <w:pPr>
              <w:spacing w:after="0"/>
              <w:rPr>
                <w:sz w:val="20"/>
                <w:szCs w:val="20"/>
                <w:color w:val="auto"/>
              </w:rPr>
            </w:pPr>
          </w:p>
        </w:tc>
        <w:tc>
          <w:tcPr>
            <w:tcW w:w="1300" w:type="dxa"/>
            <w:vAlign w:val="bottom"/>
          </w:tcPr>
          <w:p>
            <w:pPr>
              <w:jc w:val="right"/>
              <w:ind w:right="138"/>
              <w:spacing w:after="0"/>
              <w:rPr>
                <w:sz w:val="20"/>
                <w:szCs w:val="20"/>
                <w:color w:val="auto"/>
              </w:rPr>
            </w:pPr>
            <w:r>
              <w:rPr>
                <w:rFonts w:ascii="Arial" w:cs="Arial" w:eastAsia="Arial" w:hAnsi="Arial"/>
                <w:sz w:val="16"/>
                <w:szCs w:val="16"/>
                <w:color w:val="auto"/>
              </w:rPr>
              <w:t>3,581</w:t>
            </w:r>
          </w:p>
        </w:tc>
      </w:tr>
      <w:tr>
        <w:trPr>
          <w:trHeight w:val="253"/>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Investment in operating leases, net of repurchase obligations</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(72)</w:t>
            </w:r>
          </w:p>
        </w:tc>
      </w:tr>
      <w:tr>
        <w:trPr>
          <w:trHeight w:val="233"/>
        </w:trPr>
        <w:tc>
          <w:tcPr>
            <w:tcW w:w="8280" w:type="dxa"/>
            <w:vAlign w:val="bottom"/>
          </w:tcPr>
          <w:p>
            <w:pPr>
              <w:ind w:left="280"/>
              <w:spacing w:after="0"/>
              <w:rPr>
                <w:sz w:val="20"/>
                <w:szCs w:val="20"/>
                <w:color w:val="auto"/>
              </w:rPr>
            </w:pPr>
            <w:r>
              <w:rPr>
                <w:rFonts w:ascii="Arial" w:cs="Arial" w:eastAsia="Arial" w:hAnsi="Arial"/>
                <w:sz w:val="16"/>
                <w:szCs w:val="16"/>
                <w:color w:val="auto"/>
              </w:rPr>
              <w:t>Income taxes and unrecognized tax benefits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(766)</w:t>
            </w:r>
          </w:p>
        </w:tc>
        <w:tc>
          <w:tcPr>
            <w:tcW w:w="340" w:type="dxa"/>
            <w:vAlign w:val="bottom"/>
          </w:tcPr>
          <w:p>
            <w:pPr>
              <w:spacing w:after="0"/>
              <w:rPr>
                <w:sz w:val="20"/>
                <w:szCs w:val="20"/>
                <w:color w:val="auto"/>
              </w:rPr>
            </w:pPr>
          </w:p>
        </w:tc>
        <w:tc>
          <w:tcPr>
            <w:tcW w:w="1300" w:type="dxa"/>
            <w:vAlign w:val="bottom"/>
          </w:tcPr>
          <w:p>
            <w:pPr>
              <w:jc w:val="right"/>
              <w:ind w:right="78"/>
              <w:spacing w:after="0"/>
              <w:rPr>
                <w:sz w:val="20"/>
                <w:szCs w:val="20"/>
                <w:color w:val="auto"/>
              </w:rPr>
            </w:pPr>
            <w:r>
              <w:rPr>
                <w:rFonts w:ascii="Arial" w:cs="Arial" w:eastAsia="Arial" w:hAnsi="Arial"/>
                <w:sz w:val="16"/>
                <w:szCs w:val="16"/>
                <w:color w:val="auto"/>
              </w:rPr>
              <w:t>(2,375)</w:t>
            </w:r>
          </w:p>
        </w:tc>
      </w:tr>
      <w:tr>
        <w:trPr>
          <w:trHeight w:val="253"/>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Accounts payable and accrued expenses</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14,345</w:t>
            </w:r>
          </w:p>
        </w:tc>
        <w:tc>
          <w:tcPr>
            <w:tcW w:w="3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(6,308)</w:t>
            </w:r>
          </w:p>
        </w:tc>
      </w:tr>
      <w:tr>
        <w:trPr>
          <w:trHeight w:val="237"/>
        </w:trPr>
        <w:tc>
          <w:tcPr>
            <w:tcW w:w="82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Postretirement and deferred compensation benefits</w:t>
            </w: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(3,167)</w:t>
            </w: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(3,049)</w:t>
            </w:r>
          </w:p>
        </w:tc>
      </w:tr>
      <w:tr>
        <w:trPr>
          <w:trHeight w:val="237"/>
        </w:trPr>
        <w:tc>
          <w:tcPr>
            <w:tcW w:w="8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31,741</w:t>
            </w:r>
          </w:p>
        </w:tc>
        <w:tc>
          <w:tcPr>
            <w:tcW w:w="3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6"/>
                <w:szCs w:val="16"/>
                <w:color w:val="auto"/>
              </w:rPr>
              <w:t>18,557</w:t>
            </w:r>
          </w:p>
        </w:tc>
      </w:tr>
      <w:tr>
        <w:trPr>
          <w:trHeight w:val="162"/>
        </w:trPr>
        <w:tc>
          <w:tcPr>
            <w:tcW w:w="8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70"/>
        </w:trPr>
        <w:tc>
          <w:tcPr>
            <w:tcW w:w="8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Investing activities:</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33"/>
        </w:trPr>
        <w:tc>
          <w:tcPr>
            <w:tcW w:w="8280" w:type="dxa"/>
            <w:vAlign w:val="bottom"/>
          </w:tcPr>
          <w:p>
            <w:pPr>
              <w:ind w:left="280"/>
              <w:spacing w:after="0"/>
              <w:rPr>
                <w:sz w:val="20"/>
                <w:szCs w:val="20"/>
                <w:color w:val="auto"/>
              </w:rPr>
            </w:pPr>
            <w:r>
              <w:rPr>
                <w:rFonts w:ascii="Arial" w:cs="Arial" w:eastAsia="Arial" w:hAnsi="Arial"/>
                <w:sz w:val="16"/>
                <w:szCs w:val="16"/>
                <w:color w:val="auto"/>
              </w:rPr>
              <w:t>Purchases of property, plant and equipment</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(19,928)</w:t>
            </w:r>
          </w:p>
        </w:tc>
        <w:tc>
          <w:tcPr>
            <w:tcW w:w="340" w:type="dxa"/>
            <w:vAlign w:val="bottom"/>
          </w:tcPr>
          <w:p>
            <w:pPr>
              <w:spacing w:after="0"/>
              <w:rPr>
                <w:sz w:val="20"/>
                <w:szCs w:val="20"/>
                <w:color w:val="auto"/>
              </w:rPr>
            </w:pPr>
          </w:p>
        </w:tc>
        <w:tc>
          <w:tcPr>
            <w:tcW w:w="1300" w:type="dxa"/>
            <w:vAlign w:val="bottom"/>
          </w:tcPr>
          <w:p>
            <w:pPr>
              <w:jc w:val="right"/>
              <w:ind w:right="78"/>
              <w:spacing w:after="0"/>
              <w:rPr>
                <w:sz w:val="20"/>
                <w:szCs w:val="20"/>
                <w:color w:val="auto"/>
              </w:rPr>
            </w:pPr>
            <w:r>
              <w:rPr>
                <w:rFonts w:ascii="Arial" w:cs="Arial" w:eastAsia="Arial" w:hAnsi="Arial"/>
                <w:sz w:val="16"/>
                <w:szCs w:val="16"/>
                <w:color w:val="auto"/>
              </w:rPr>
              <w:t>(14,174)</w:t>
            </w:r>
          </w:p>
        </w:tc>
      </w:tr>
      <w:tr>
        <w:trPr>
          <w:trHeight w:val="253"/>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Proceeds from the sale of property</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21</w:t>
            </w:r>
          </w:p>
        </w:tc>
        <w:tc>
          <w:tcPr>
            <w:tcW w:w="3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43</w:t>
            </w:r>
          </w:p>
        </w:tc>
      </w:tr>
      <w:tr>
        <w:trPr>
          <w:trHeight w:val="233"/>
        </w:trPr>
        <w:tc>
          <w:tcPr>
            <w:tcW w:w="8280" w:type="dxa"/>
            <w:vAlign w:val="bottom"/>
          </w:tcPr>
          <w:p>
            <w:pPr>
              <w:ind w:left="280"/>
              <w:spacing w:after="0"/>
              <w:rPr>
                <w:sz w:val="20"/>
                <w:szCs w:val="20"/>
                <w:color w:val="auto"/>
              </w:rPr>
            </w:pPr>
            <w:r>
              <w:rPr>
                <w:rFonts w:ascii="Arial" w:cs="Arial" w:eastAsia="Arial" w:hAnsi="Arial"/>
                <w:sz w:val="16"/>
                <w:szCs w:val="16"/>
                <w:color w:val="auto"/>
              </w:rPr>
              <w:t>Proceeds from life insurance</w:t>
            </w:r>
          </w:p>
        </w:tc>
        <w:tc>
          <w:tcPr>
            <w:tcW w:w="280" w:type="dxa"/>
            <w:vAlign w:val="bottom"/>
          </w:tcPr>
          <w:p>
            <w:pPr>
              <w:spacing w:after="0"/>
              <w:rPr>
                <w:sz w:val="20"/>
                <w:szCs w:val="20"/>
                <w:color w:val="auto"/>
              </w:rPr>
            </w:pPr>
          </w:p>
        </w:tc>
        <w:tc>
          <w:tcPr>
            <w:tcW w:w="1220" w:type="dxa"/>
            <w:vAlign w:val="bottom"/>
          </w:tcPr>
          <w:p>
            <w:pPr>
              <w:jc w:val="right"/>
              <w:ind w:right="58"/>
              <w:spacing w:after="0"/>
              <w:rPr>
                <w:sz w:val="20"/>
                <w:szCs w:val="20"/>
                <w:color w:val="auto"/>
              </w:rPr>
            </w:pPr>
            <w:r>
              <w:rPr>
                <w:rFonts w:ascii="Arial" w:cs="Arial" w:eastAsia="Arial" w:hAnsi="Arial"/>
                <w:sz w:val="16"/>
                <w:szCs w:val="16"/>
                <w:color w:val="auto"/>
              </w:rPr>
              <w:t>295</w:t>
            </w:r>
          </w:p>
        </w:tc>
        <w:tc>
          <w:tcPr>
            <w:tcW w:w="340" w:type="dxa"/>
            <w:vAlign w:val="bottom"/>
          </w:tcPr>
          <w:p>
            <w:pPr>
              <w:spacing w:after="0"/>
              <w:rPr>
                <w:sz w:val="20"/>
                <w:szCs w:val="20"/>
                <w:color w:val="auto"/>
              </w:rPr>
            </w:pPr>
          </w:p>
        </w:tc>
        <w:tc>
          <w:tcPr>
            <w:tcW w:w="1300" w:type="dxa"/>
            <w:vAlign w:val="bottom"/>
          </w:tcPr>
          <w:p>
            <w:pPr>
              <w:jc w:val="right"/>
              <w:ind w:right="138"/>
              <w:spacing w:after="0"/>
              <w:rPr>
                <w:sz w:val="20"/>
                <w:szCs w:val="20"/>
                <w:color w:val="auto"/>
              </w:rPr>
            </w:pPr>
            <w:r>
              <w:rPr>
                <w:rFonts w:ascii="Arial" w:cs="Arial" w:eastAsia="Arial" w:hAnsi="Arial"/>
                <w:sz w:val="16"/>
                <w:szCs w:val="16"/>
                <w:color w:val="auto"/>
              </w:rPr>
              <w:t>—</w:t>
            </w:r>
          </w:p>
        </w:tc>
      </w:tr>
      <w:tr>
        <w:trPr>
          <w:trHeight w:val="246"/>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76</w:t>
            </w:r>
          </w:p>
        </w:tc>
        <w:tc>
          <w:tcPr>
            <w:tcW w:w="3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6"/>
                <w:szCs w:val="16"/>
                <w:color w:val="auto"/>
              </w:rPr>
              <w:t>435</w:t>
            </w:r>
          </w:p>
        </w:tc>
      </w:tr>
      <w:tr>
        <w:trPr>
          <w:trHeight w:val="237"/>
        </w:trPr>
        <w:tc>
          <w:tcPr>
            <w:tcW w:w="82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(19,536)</w:t>
            </w: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(13,696)</w:t>
            </w:r>
          </w:p>
        </w:tc>
      </w:tr>
      <w:tr>
        <w:trPr>
          <w:trHeight w:val="284"/>
        </w:trPr>
        <w:tc>
          <w:tcPr>
            <w:tcW w:w="82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60"/>
        </w:trPr>
        <w:tc>
          <w:tcPr>
            <w:tcW w:w="8280" w:type="dxa"/>
            <w:vAlign w:val="bottom"/>
          </w:tcPr>
          <w:p>
            <w:pPr>
              <w:ind w:left="40"/>
              <w:spacing w:after="0"/>
              <w:rPr>
                <w:sz w:val="20"/>
                <w:szCs w:val="20"/>
                <w:color w:val="auto"/>
              </w:rPr>
            </w:pPr>
            <w:r>
              <w:rPr>
                <w:rFonts w:ascii="Arial" w:cs="Arial" w:eastAsia="Arial" w:hAnsi="Arial"/>
                <w:sz w:val="16"/>
                <w:szCs w:val="16"/>
                <w:color w:val="auto"/>
              </w:rPr>
              <w:t>Financing activities:</w:t>
            </w: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53"/>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Payments for purchase of common stock</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(3,058)</w:t>
            </w:r>
          </w:p>
        </w:tc>
        <w:tc>
          <w:tcPr>
            <w:tcW w:w="3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(6,166)</w:t>
            </w:r>
          </w:p>
        </w:tc>
      </w:tr>
      <w:tr>
        <w:trPr>
          <w:trHeight w:val="233"/>
        </w:trPr>
        <w:tc>
          <w:tcPr>
            <w:tcW w:w="8280" w:type="dxa"/>
            <w:vAlign w:val="bottom"/>
          </w:tcPr>
          <w:p>
            <w:pPr>
              <w:ind w:left="280"/>
              <w:spacing w:after="0"/>
              <w:rPr>
                <w:sz w:val="20"/>
                <w:szCs w:val="20"/>
                <w:color w:val="auto"/>
              </w:rPr>
            </w:pPr>
            <w:r>
              <w:rPr>
                <w:rFonts w:ascii="Arial" w:cs="Arial" w:eastAsia="Arial" w:hAnsi="Arial"/>
                <w:sz w:val="16"/>
                <w:szCs w:val="16"/>
                <w:color w:val="auto"/>
              </w:rPr>
              <w:t>Payments of cash dividends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(8,173)</w:t>
            </w:r>
          </w:p>
        </w:tc>
        <w:tc>
          <w:tcPr>
            <w:tcW w:w="340" w:type="dxa"/>
            <w:vAlign w:val="bottom"/>
          </w:tcPr>
          <w:p>
            <w:pPr>
              <w:spacing w:after="0"/>
              <w:rPr>
                <w:sz w:val="20"/>
                <w:szCs w:val="20"/>
                <w:color w:val="auto"/>
              </w:rPr>
            </w:pPr>
          </w:p>
        </w:tc>
        <w:tc>
          <w:tcPr>
            <w:tcW w:w="1300" w:type="dxa"/>
            <w:vAlign w:val="bottom"/>
          </w:tcPr>
          <w:p>
            <w:pPr>
              <w:jc w:val="right"/>
              <w:ind w:right="78"/>
              <w:spacing w:after="0"/>
              <w:rPr>
                <w:sz w:val="20"/>
                <w:szCs w:val="20"/>
                <w:color w:val="auto"/>
              </w:rPr>
            </w:pPr>
            <w:r>
              <w:rPr>
                <w:rFonts w:ascii="Arial" w:cs="Arial" w:eastAsia="Arial" w:hAnsi="Arial"/>
                <w:sz w:val="16"/>
                <w:szCs w:val="16"/>
                <w:color w:val="auto"/>
              </w:rPr>
              <w:t>(7,324)</w:t>
            </w:r>
          </w:p>
        </w:tc>
      </w:tr>
      <w:tr>
        <w:trPr>
          <w:trHeight w:val="253"/>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Borrowings on loans</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22,000</w:t>
            </w:r>
          </w:p>
        </w:tc>
      </w:tr>
      <w:tr>
        <w:trPr>
          <w:trHeight w:val="233"/>
        </w:trPr>
        <w:tc>
          <w:tcPr>
            <w:tcW w:w="8280" w:type="dxa"/>
            <w:vAlign w:val="bottom"/>
          </w:tcPr>
          <w:p>
            <w:pPr>
              <w:ind w:left="280"/>
              <w:spacing w:after="0"/>
              <w:rPr>
                <w:sz w:val="20"/>
                <w:szCs w:val="20"/>
                <w:color w:val="auto"/>
              </w:rPr>
            </w:pPr>
            <w:r>
              <w:rPr>
                <w:rFonts w:ascii="Arial" w:cs="Arial" w:eastAsia="Arial" w:hAnsi="Arial"/>
                <w:sz w:val="16"/>
                <w:szCs w:val="16"/>
                <w:color w:val="auto"/>
              </w:rPr>
              <w:t>Repayment of loans</w:t>
            </w:r>
          </w:p>
        </w:tc>
        <w:tc>
          <w:tcPr>
            <w:tcW w:w="280" w:type="dxa"/>
            <w:vAlign w:val="bottom"/>
          </w:tcPr>
          <w:p>
            <w:pPr>
              <w:spacing w:after="0"/>
              <w:rPr>
                <w:sz w:val="20"/>
                <w:szCs w:val="20"/>
                <w:color w:val="auto"/>
              </w:rPr>
            </w:pPr>
          </w:p>
        </w:tc>
        <w:tc>
          <w:tcPr>
            <w:tcW w:w="122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300" w:type="dxa"/>
            <w:vAlign w:val="bottom"/>
          </w:tcPr>
          <w:p>
            <w:pPr>
              <w:jc w:val="right"/>
              <w:ind w:right="78"/>
              <w:spacing w:after="0"/>
              <w:rPr>
                <w:sz w:val="20"/>
                <w:szCs w:val="20"/>
                <w:color w:val="auto"/>
              </w:rPr>
            </w:pPr>
            <w:r>
              <w:rPr>
                <w:rFonts w:ascii="Arial" w:cs="Arial" w:eastAsia="Arial" w:hAnsi="Arial"/>
                <w:sz w:val="16"/>
                <w:szCs w:val="16"/>
                <w:color w:val="auto"/>
              </w:rPr>
              <w:t>(22,000)</w:t>
            </w:r>
          </w:p>
        </w:tc>
      </w:tr>
      <w:tr>
        <w:trPr>
          <w:trHeight w:val="246"/>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40</w:t>
            </w:r>
          </w:p>
        </w:tc>
        <w:tc>
          <w:tcPr>
            <w:tcW w:w="3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6"/>
                <w:szCs w:val="16"/>
                <w:color w:val="auto"/>
              </w:rPr>
              <w:t>40</w:t>
            </w:r>
          </w:p>
        </w:tc>
      </w:tr>
      <w:tr>
        <w:trPr>
          <w:trHeight w:val="237"/>
        </w:trPr>
        <w:tc>
          <w:tcPr>
            <w:tcW w:w="82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cash used in financing activities</w:t>
            </w: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(11,191)</w:t>
            </w: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(13,450)</w:t>
            </w:r>
          </w:p>
        </w:tc>
      </w:tr>
      <w:tr>
        <w:trPr>
          <w:trHeight w:val="284"/>
        </w:trPr>
        <w:tc>
          <w:tcPr>
            <w:tcW w:w="82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33"/>
        </w:trPr>
        <w:tc>
          <w:tcPr>
            <w:tcW w:w="8280" w:type="dxa"/>
            <w:vAlign w:val="bottom"/>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280" w:type="dxa"/>
            <w:vAlign w:val="bottom"/>
          </w:tcPr>
          <w:p>
            <w:pPr>
              <w:spacing w:after="0"/>
              <w:rPr>
                <w:sz w:val="20"/>
                <w:szCs w:val="20"/>
                <w:color w:val="auto"/>
              </w:rPr>
            </w:pPr>
          </w:p>
        </w:tc>
        <w:tc>
          <w:tcPr>
            <w:tcW w:w="1220" w:type="dxa"/>
            <w:vAlign w:val="bottom"/>
          </w:tcPr>
          <w:p>
            <w:pPr>
              <w:jc w:val="right"/>
              <w:ind w:right="58"/>
              <w:spacing w:after="0"/>
              <w:rPr>
                <w:sz w:val="20"/>
                <w:szCs w:val="20"/>
                <w:color w:val="auto"/>
              </w:rPr>
            </w:pPr>
            <w:r>
              <w:rPr>
                <w:rFonts w:ascii="Arial" w:cs="Arial" w:eastAsia="Arial" w:hAnsi="Arial"/>
                <w:sz w:val="16"/>
                <w:szCs w:val="16"/>
                <w:color w:val="auto"/>
              </w:rPr>
              <w:t>1,014</w:t>
            </w:r>
          </w:p>
        </w:tc>
        <w:tc>
          <w:tcPr>
            <w:tcW w:w="340" w:type="dxa"/>
            <w:vAlign w:val="bottom"/>
          </w:tcPr>
          <w:p>
            <w:pPr>
              <w:spacing w:after="0"/>
              <w:rPr>
                <w:sz w:val="20"/>
                <w:szCs w:val="20"/>
                <w:color w:val="auto"/>
              </w:rPr>
            </w:pPr>
          </w:p>
        </w:tc>
        <w:tc>
          <w:tcPr>
            <w:tcW w:w="1300" w:type="dxa"/>
            <w:vAlign w:val="bottom"/>
          </w:tcPr>
          <w:p>
            <w:pPr>
              <w:jc w:val="right"/>
              <w:ind w:right="78"/>
              <w:spacing w:after="0"/>
              <w:rPr>
                <w:sz w:val="20"/>
                <w:szCs w:val="20"/>
                <w:color w:val="auto"/>
              </w:rPr>
            </w:pPr>
            <w:r>
              <w:rPr>
                <w:rFonts w:ascii="Arial" w:cs="Arial" w:eastAsia="Arial" w:hAnsi="Arial"/>
                <w:sz w:val="16"/>
                <w:szCs w:val="16"/>
                <w:color w:val="auto"/>
              </w:rPr>
              <w:t>(8,589)</w:t>
            </w:r>
          </w:p>
        </w:tc>
      </w:tr>
      <w:tr>
        <w:trPr>
          <w:trHeight w:val="246"/>
        </w:trPr>
        <w:tc>
          <w:tcPr>
            <w:tcW w:w="8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70,239</w:t>
            </w:r>
          </w:p>
        </w:tc>
        <w:tc>
          <w:tcPr>
            <w:tcW w:w="3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6"/>
                <w:szCs w:val="16"/>
                <w:color w:val="auto"/>
              </w:rPr>
              <w:t>57,804</w:t>
            </w:r>
          </w:p>
        </w:tc>
      </w:tr>
      <w:tr>
        <w:trPr>
          <w:trHeight w:val="280"/>
        </w:trPr>
        <w:tc>
          <w:tcPr>
            <w:tcW w:w="82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71,253</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color w:val="auto"/>
              </w:rPr>
              <w:t>49,215</w:t>
            </w:r>
          </w:p>
        </w:tc>
      </w:tr>
      <w:tr>
        <w:trPr>
          <w:trHeight w:val="267"/>
        </w:trPr>
        <w:tc>
          <w:tcPr>
            <w:tcW w:w="82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0"/>
        </w:trPr>
        <w:tc>
          <w:tcPr>
            <w:tcW w:w="8280" w:type="dxa"/>
            <w:vAlign w:val="bottom"/>
          </w:tcPr>
          <w:p>
            <w:pPr>
              <w:ind w:left="40"/>
              <w:spacing w:after="0"/>
              <w:rPr>
                <w:sz w:val="20"/>
                <w:szCs w:val="20"/>
                <w:color w:val="auto"/>
              </w:rPr>
            </w:pPr>
            <w:r>
              <w:rPr>
                <w:rFonts w:ascii="Arial" w:cs="Arial" w:eastAsia="Arial" w:hAnsi="Arial"/>
                <w:sz w:val="16"/>
                <w:szCs w:val="16"/>
                <w:color w:val="auto"/>
              </w:rPr>
              <w:t>Supplemental cash flow disclosure:</w:t>
            </w: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53"/>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Income taxes paid, net</w:t>
            </w:r>
          </w:p>
        </w:tc>
        <w:tc>
          <w:tcPr>
            <w:tcW w:w="280" w:type="dxa"/>
            <w:vAlign w:val="bottom"/>
            <w:shd w:val="clear" w:color="auto" w:fill="BFE4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BFE4FF"/>
          </w:tcPr>
          <w:p>
            <w:pPr>
              <w:jc w:val="right"/>
              <w:ind w:right="58"/>
              <w:spacing w:after="0"/>
              <w:rPr>
                <w:sz w:val="20"/>
                <w:szCs w:val="20"/>
                <w:color w:val="auto"/>
              </w:rPr>
            </w:pPr>
            <w:r>
              <w:rPr>
                <w:rFonts w:ascii="Arial" w:cs="Arial" w:eastAsia="Arial" w:hAnsi="Arial"/>
                <w:sz w:val="16"/>
                <w:szCs w:val="16"/>
                <w:color w:val="auto"/>
              </w:rPr>
              <w:t>13,137</w:t>
            </w:r>
          </w:p>
        </w:tc>
        <w:tc>
          <w:tcPr>
            <w:tcW w:w="340" w:type="dxa"/>
            <w:vAlign w:val="bottom"/>
            <w:shd w:val="clear" w:color="auto" w:fill="BFE4FF"/>
          </w:tcPr>
          <w:p>
            <w:pPr>
              <w:jc w:val="right"/>
              <w:ind w:right="59"/>
              <w:spacing w:after="0"/>
              <w:rPr>
                <w:sz w:val="20"/>
                <w:szCs w:val="20"/>
                <w:color w:val="auto"/>
              </w:rPr>
            </w:pPr>
            <w:r>
              <w:rPr>
                <w:rFonts w:ascii="Arial" w:cs="Arial" w:eastAsia="Arial" w:hAnsi="Arial"/>
                <w:sz w:val="16"/>
                <w:szCs w:val="16"/>
                <w:color w:val="auto"/>
              </w:rPr>
              <w:t>$</w:t>
            </w:r>
          </w:p>
        </w:tc>
        <w:tc>
          <w:tcPr>
            <w:tcW w:w="1300" w:type="dxa"/>
            <w:vAlign w:val="bottom"/>
            <w:shd w:val="clear" w:color="auto" w:fill="BFE4FF"/>
          </w:tcPr>
          <w:p>
            <w:pPr>
              <w:jc w:val="right"/>
              <w:ind w:right="138"/>
              <w:spacing w:after="0"/>
              <w:rPr>
                <w:sz w:val="20"/>
                <w:szCs w:val="20"/>
                <w:color w:val="auto"/>
              </w:rPr>
            </w:pPr>
            <w:r>
              <w:rPr>
                <w:rFonts w:ascii="Arial" w:cs="Arial" w:eastAsia="Arial" w:hAnsi="Arial"/>
                <w:sz w:val="16"/>
                <w:szCs w:val="16"/>
                <w:color w:val="auto"/>
              </w:rPr>
              <w:t>12,361</w:t>
            </w:r>
          </w:p>
        </w:tc>
      </w:tr>
      <w:tr>
        <w:trPr>
          <w:trHeight w:val="233"/>
        </w:trPr>
        <w:tc>
          <w:tcPr>
            <w:tcW w:w="8280" w:type="dxa"/>
            <w:vAlign w:val="bottom"/>
          </w:tcPr>
          <w:p>
            <w:pPr>
              <w:ind w:left="280"/>
              <w:spacing w:after="0"/>
              <w:rPr>
                <w:sz w:val="20"/>
                <w:szCs w:val="20"/>
                <w:color w:val="auto"/>
              </w:rPr>
            </w:pPr>
            <w:r>
              <w:rPr>
                <w:rFonts w:ascii="Arial" w:cs="Arial" w:eastAsia="Arial" w:hAnsi="Arial"/>
                <w:sz w:val="16"/>
                <w:szCs w:val="16"/>
                <w:color w:val="auto"/>
              </w:rPr>
              <w:t>Interest paid</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38"/>
              <w:spacing w:after="0"/>
              <w:rPr>
                <w:sz w:val="20"/>
                <w:szCs w:val="20"/>
                <w:color w:val="auto"/>
              </w:rPr>
            </w:pPr>
            <w:r>
              <w:rPr>
                <w:rFonts w:ascii="Arial" w:cs="Arial" w:eastAsia="Arial" w:hAnsi="Arial"/>
                <w:sz w:val="16"/>
                <w:szCs w:val="16"/>
                <w:color w:val="auto"/>
              </w:rPr>
              <w:t>10</w:t>
            </w:r>
          </w:p>
        </w:tc>
      </w:tr>
      <w:tr>
        <w:trPr>
          <w:trHeight w:val="293"/>
        </w:trPr>
        <w:tc>
          <w:tcPr>
            <w:tcW w:w="82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60"/>
        </w:trPr>
        <w:tc>
          <w:tcPr>
            <w:tcW w:w="8280" w:type="dxa"/>
            <w:vAlign w:val="bottom"/>
          </w:tcPr>
          <w:p>
            <w:pPr>
              <w:ind w:left="40"/>
              <w:spacing w:after="0"/>
              <w:rPr>
                <w:sz w:val="20"/>
                <w:szCs w:val="20"/>
                <w:color w:val="auto"/>
              </w:rPr>
            </w:pPr>
            <w:r>
              <w:rPr>
                <w:rFonts w:ascii="Arial" w:cs="Arial" w:eastAsia="Arial" w:hAnsi="Arial"/>
                <w:sz w:val="16"/>
                <w:szCs w:val="16"/>
                <w:color w:val="auto"/>
              </w:rPr>
              <w:t>Non-cash transactions:</w:t>
            </w: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53"/>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Capital expenditures in accounts payable</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397</w:t>
            </w:r>
          </w:p>
        </w:tc>
        <w:tc>
          <w:tcPr>
            <w:tcW w:w="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r>
    </w:tbl>
    <w:p>
      <w:pPr>
        <w:sectPr>
          <w:pgSz w:w="11900" w:h="16838" w:orient="portrait"/>
          <w:cols w:equalWidth="0" w:num="1">
            <w:col w:w="11420"/>
          </w:cols>
          <w:pgMar w:left="240" w:top="576"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Deliveries</w:t>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322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3"/>
          </w:tcPr>
          <w:p>
            <w:pPr>
              <w:jc w:val="right"/>
              <w:ind w:right="719"/>
              <w:spacing w:after="0"/>
              <w:rPr>
                <w:sz w:val="20"/>
                <w:szCs w:val="20"/>
                <w:color w:val="auto"/>
              </w:rPr>
            </w:pPr>
            <w:r>
              <w:rPr>
                <w:rFonts w:ascii="Arial" w:cs="Arial" w:eastAsia="Arial" w:hAnsi="Arial"/>
                <w:sz w:val="16"/>
                <w:szCs w:val="16"/>
                <w:b w:val="1"/>
                <w:bCs w:val="1"/>
                <w:color w:val="auto"/>
              </w:rPr>
              <w:t>Quarter Ended</w:t>
            </w:r>
          </w:p>
        </w:tc>
        <w:tc>
          <w:tcPr>
            <w:tcW w:w="13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959"/>
              <w:spacing w:after="0"/>
              <w:rPr>
                <w:sz w:val="20"/>
                <w:szCs w:val="20"/>
                <w:color w:val="auto"/>
              </w:rPr>
            </w:pPr>
            <w:r>
              <w:rPr>
                <w:rFonts w:ascii="Arial" w:cs="Arial" w:eastAsia="Arial" w:hAnsi="Arial"/>
                <w:sz w:val="16"/>
                <w:szCs w:val="16"/>
                <w:b w:val="1"/>
                <w:bCs w:val="1"/>
                <w:color w:val="auto"/>
                <w:w w:val="98"/>
              </w:rPr>
              <w:t>Change</w:t>
            </w:r>
          </w:p>
        </w:tc>
      </w:tr>
      <w:tr>
        <w:trPr>
          <w:trHeight w:val="198"/>
        </w:trPr>
        <w:tc>
          <w:tcPr>
            <w:tcW w:w="3220" w:type="dxa"/>
            <w:vAlign w:val="bottom"/>
          </w:tcPr>
          <w:p>
            <w:pPr>
              <w:spacing w:after="0"/>
              <w:rPr>
                <w:sz w:val="17"/>
                <w:szCs w:val="17"/>
                <w:color w:val="auto"/>
              </w:rPr>
            </w:pPr>
          </w:p>
        </w:tc>
        <w:tc>
          <w:tcPr>
            <w:tcW w:w="1300" w:type="dxa"/>
            <w:vAlign w:val="bottom"/>
          </w:tcPr>
          <w:p>
            <w:pPr>
              <w:jc w:val="right"/>
              <w:ind w:right="379"/>
              <w:spacing w:after="0"/>
              <w:rPr>
                <w:sz w:val="20"/>
                <w:szCs w:val="20"/>
                <w:color w:val="auto"/>
              </w:rPr>
            </w:pPr>
            <w:r>
              <w:rPr>
                <w:rFonts w:ascii="Arial" w:cs="Arial" w:eastAsia="Arial" w:hAnsi="Arial"/>
                <w:sz w:val="16"/>
                <w:szCs w:val="16"/>
                <w:b w:val="1"/>
                <w:bCs w:val="1"/>
                <w:color w:val="auto"/>
              </w:rPr>
              <w:t>May 28,</w:t>
            </w:r>
          </w:p>
        </w:tc>
        <w:tc>
          <w:tcPr>
            <w:tcW w:w="1420" w:type="dxa"/>
            <w:vAlign w:val="bottom"/>
            <w:gridSpan w:val="2"/>
          </w:tcPr>
          <w:p>
            <w:pPr>
              <w:ind w:left="280"/>
              <w:spacing w:after="0"/>
              <w:rPr>
                <w:sz w:val="20"/>
                <w:szCs w:val="20"/>
                <w:color w:val="auto"/>
              </w:rPr>
            </w:pPr>
            <w:r>
              <w:rPr>
                <w:rFonts w:ascii="Arial" w:cs="Arial" w:eastAsia="Arial" w:hAnsi="Arial"/>
                <w:sz w:val="16"/>
                <w:szCs w:val="16"/>
                <w:b w:val="1"/>
                <w:bCs w:val="1"/>
                <w:color w:val="auto"/>
              </w:rPr>
              <w:t>Product</w:t>
            </w:r>
          </w:p>
        </w:tc>
        <w:tc>
          <w:tcPr>
            <w:tcW w:w="1320" w:type="dxa"/>
            <w:vAlign w:val="bottom"/>
          </w:tcPr>
          <w:p>
            <w:pPr>
              <w:jc w:val="right"/>
              <w:ind w:right="459"/>
              <w:spacing w:after="0"/>
              <w:rPr>
                <w:sz w:val="20"/>
                <w:szCs w:val="20"/>
                <w:color w:val="auto"/>
              </w:rPr>
            </w:pPr>
            <w:r>
              <w:rPr>
                <w:rFonts w:ascii="Arial" w:cs="Arial" w:eastAsia="Arial" w:hAnsi="Arial"/>
                <w:sz w:val="16"/>
                <w:szCs w:val="16"/>
                <w:b w:val="1"/>
                <w:bCs w:val="1"/>
                <w:color w:val="auto"/>
              </w:rPr>
              <w:t>May 30,</w:t>
            </w:r>
          </w:p>
        </w:tc>
        <w:tc>
          <w:tcPr>
            <w:tcW w:w="1400" w:type="dxa"/>
            <w:vAlign w:val="bottom"/>
            <w:gridSpan w:val="2"/>
          </w:tcPr>
          <w:p>
            <w:pPr>
              <w:ind w:left="260"/>
              <w:spacing w:after="0"/>
              <w:rPr>
                <w:sz w:val="20"/>
                <w:szCs w:val="20"/>
                <w:color w:val="auto"/>
              </w:rPr>
            </w:pPr>
            <w:r>
              <w:rPr>
                <w:rFonts w:ascii="Arial" w:cs="Arial" w:eastAsia="Arial" w:hAnsi="Arial"/>
                <w:sz w:val="16"/>
                <w:szCs w:val="16"/>
                <w:b w:val="1"/>
                <w:bCs w:val="1"/>
                <w:color w:val="auto"/>
              </w:rPr>
              <w:t>Product</w:t>
            </w:r>
          </w:p>
        </w:tc>
        <w:tc>
          <w:tcPr>
            <w:tcW w:w="1080" w:type="dxa"/>
            <w:vAlign w:val="bottom"/>
          </w:tcPr>
          <w:p>
            <w:pPr>
              <w:spacing w:after="0"/>
              <w:rPr>
                <w:sz w:val="17"/>
                <w:szCs w:val="17"/>
                <w:color w:val="auto"/>
              </w:rPr>
            </w:pPr>
          </w:p>
        </w:tc>
        <w:tc>
          <w:tcPr>
            <w:tcW w:w="1640" w:type="dxa"/>
            <w:vAlign w:val="bottom"/>
          </w:tcPr>
          <w:p>
            <w:pPr>
              <w:jc w:val="right"/>
              <w:ind w:right="539"/>
              <w:spacing w:after="0"/>
              <w:rPr>
                <w:sz w:val="20"/>
                <w:szCs w:val="20"/>
                <w:color w:val="auto"/>
              </w:rPr>
            </w:pPr>
            <w:r>
              <w:rPr>
                <w:rFonts w:ascii="Arial" w:cs="Arial" w:eastAsia="Arial" w:hAnsi="Arial"/>
                <w:sz w:val="16"/>
                <w:szCs w:val="16"/>
                <w:b w:val="1"/>
                <w:bCs w:val="1"/>
                <w:color w:val="auto"/>
              </w:rPr>
              <w:t>%</w:t>
            </w:r>
          </w:p>
        </w:tc>
      </w:tr>
      <w:tr>
        <w:trPr>
          <w:trHeight w:val="234"/>
        </w:trPr>
        <w:tc>
          <w:tcPr>
            <w:tcW w:w="3220" w:type="dxa"/>
            <w:vAlign w:val="bottom"/>
          </w:tcPr>
          <w:p>
            <w:pPr>
              <w:ind w:left="20"/>
              <w:spacing w:after="0"/>
              <w:rPr>
                <w:sz w:val="20"/>
                <w:szCs w:val="20"/>
                <w:color w:val="auto"/>
              </w:rPr>
            </w:pPr>
            <w:r>
              <w:rPr>
                <w:rFonts w:ascii="Arial" w:cs="Arial" w:eastAsia="Arial" w:hAnsi="Arial"/>
                <w:sz w:val="16"/>
                <w:szCs w:val="16"/>
                <w:b w:val="1"/>
                <w:bCs w:val="1"/>
                <w:color w:val="auto"/>
              </w:rPr>
              <w:t>(In units)</w:t>
            </w:r>
          </w:p>
        </w:tc>
        <w:tc>
          <w:tcPr>
            <w:tcW w:w="1300" w:type="dxa"/>
            <w:vAlign w:val="bottom"/>
          </w:tcPr>
          <w:p>
            <w:pPr>
              <w:jc w:val="right"/>
              <w:ind w:right="459"/>
              <w:spacing w:after="0"/>
              <w:rPr>
                <w:sz w:val="20"/>
                <w:szCs w:val="20"/>
                <w:color w:val="auto"/>
              </w:rPr>
            </w:pPr>
            <w:r>
              <w:rPr>
                <w:rFonts w:ascii="Arial" w:cs="Arial" w:eastAsia="Arial" w:hAnsi="Arial"/>
                <w:sz w:val="16"/>
                <w:szCs w:val="16"/>
                <w:b w:val="1"/>
                <w:bCs w:val="1"/>
                <w:color w:val="auto"/>
              </w:rPr>
              <w:t>2016</w:t>
            </w:r>
          </w:p>
        </w:tc>
        <w:tc>
          <w:tcPr>
            <w:tcW w:w="1420" w:type="dxa"/>
            <w:vAlign w:val="bottom"/>
            <w:gridSpan w:val="2"/>
          </w:tcPr>
          <w:p>
            <w:pPr>
              <w:ind w:left="260"/>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3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2015</w:t>
            </w:r>
          </w:p>
        </w:tc>
        <w:tc>
          <w:tcPr>
            <w:tcW w:w="1400" w:type="dxa"/>
            <w:vAlign w:val="bottom"/>
            <w:gridSpan w:val="2"/>
          </w:tcPr>
          <w:p>
            <w:pPr>
              <w:ind w:left="240"/>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080" w:type="dxa"/>
            <w:vAlign w:val="bottom"/>
          </w:tcPr>
          <w:p>
            <w:pPr>
              <w:jc w:val="right"/>
              <w:ind w:right="139"/>
              <w:spacing w:after="0"/>
              <w:rPr>
                <w:sz w:val="20"/>
                <w:szCs w:val="20"/>
                <w:color w:val="auto"/>
              </w:rPr>
            </w:pPr>
            <w:r>
              <w:rPr>
                <w:rFonts w:ascii="Arial" w:cs="Arial" w:eastAsia="Arial" w:hAnsi="Arial"/>
                <w:sz w:val="16"/>
                <w:szCs w:val="16"/>
                <w:b w:val="1"/>
                <w:bCs w:val="1"/>
                <w:color w:val="auto"/>
              </w:rPr>
              <w:t>Units</w:t>
            </w:r>
          </w:p>
        </w:tc>
        <w:tc>
          <w:tcPr>
            <w:tcW w:w="1640" w:type="dxa"/>
            <w:vAlign w:val="bottom"/>
          </w:tcPr>
          <w:p>
            <w:pPr>
              <w:jc w:val="right"/>
              <w:ind w:right="319"/>
              <w:spacing w:after="0"/>
              <w:rPr>
                <w:sz w:val="20"/>
                <w:szCs w:val="20"/>
                <w:color w:val="auto"/>
              </w:rPr>
            </w:pPr>
            <w:r>
              <w:rPr>
                <w:rFonts w:ascii="Arial" w:cs="Arial" w:eastAsia="Arial" w:hAnsi="Arial"/>
                <w:sz w:val="16"/>
                <w:szCs w:val="16"/>
                <w:b w:val="1"/>
                <w:bCs w:val="1"/>
                <w:color w:val="auto"/>
              </w:rPr>
              <w:t>Change</w:t>
            </w:r>
          </w:p>
        </w:tc>
      </w:tr>
      <w:tr>
        <w:trPr>
          <w:trHeight w:val="250"/>
        </w:trPr>
        <w:tc>
          <w:tcPr>
            <w:tcW w:w="3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Class A</w:t>
            </w:r>
          </w:p>
        </w:tc>
        <w:tc>
          <w:tcPr>
            <w:tcW w:w="130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654</w:t>
            </w:r>
          </w:p>
        </w:tc>
        <w:tc>
          <w:tcPr>
            <w:tcW w:w="130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22.4%</w:t>
            </w:r>
          </w:p>
        </w:tc>
        <w:tc>
          <w:tcPr>
            <w:tcW w:w="120" w:type="dxa"/>
            <w:vAlign w:val="bottom"/>
            <w:tcBorders>
              <w:top w:val="single" w:sz="8" w:color="CCEEFF"/>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886</w:t>
            </w:r>
          </w:p>
        </w:tc>
        <w:tc>
          <w:tcPr>
            <w:tcW w:w="130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34.1%</w:t>
            </w:r>
          </w:p>
        </w:tc>
        <w:tc>
          <w:tcPr>
            <w:tcW w:w="100" w:type="dxa"/>
            <w:vAlign w:val="bottom"/>
            <w:tcBorders>
              <w:top w:val="single" w:sz="8" w:color="CCEEFF"/>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164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(26.2)%</w:t>
            </w:r>
          </w:p>
        </w:tc>
      </w:tr>
      <w:tr>
        <w:trPr>
          <w:trHeight w:val="260"/>
        </w:trPr>
        <w:tc>
          <w:tcPr>
            <w:tcW w:w="3220" w:type="dxa"/>
            <w:vAlign w:val="bottom"/>
          </w:tcPr>
          <w:p>
            <w:pPr>
              <w:ind w:left="20"/>
              <w:spacing w:after="0"/>
              <w:rPr>
                <w:sz w:val="20"/>
                <w:szCs w:val="20"/>
                <w:color w:val="auto"/>
              </w:rPr>
            </w:pPr>
            <w:r>
              <w:rPr>
                <w:rFonts w:ascii="Arial" w:cs="Arial" w:eastAsia="Arial" w:hAnsi="Arial"/>
                <w:sz w:val="16"/>
                <w:szCs w:val="16"/>
                <w:color w:val="auto"/>
              </w:rPr>
              <w:t>Class B</w:t>
            </w: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334</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22"/>
                <w:szCs w:val="22"/>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270</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64</w:t>
            </w:r>
          </w:p>
        </w:tc>
        <w:tc>
          <w:tcPr>
            <w:tcW w:w="1640" w:type="dxa"/>
            <w:vAlign w:val="bottom"/>
          </w:tcPr>
          <w:p>
            <w:pPr>
              <w:jc w:val="right"/>
              <w:ind w:right="79"/>
              <w:spacing w:after="0"/>
              <w:rPr>
                <w:sz w:val="20"/>
                <w:szCs w:val="20"/>
                <w:color w:val="auto"/>
              </w:rPr>
            </w:pPr>
            <w:r>
              <w:rPr>
                <w:rFonts w:ascii="Arial" w:cs="Arial" w:eastAsia="Arial" w:hAnsi="Arial"/>
                <w:sz w:val="16"/>
                <w:szCs w:val="16"/>
                <w:color w:val="auto"/>
              </w:rPr>
              <w:t>23.7 %</w:t>
            </w:r>
          </w:p>
        </w:tc>
      </w:tr>
      <w:tr>
        <w:trPr>
          <w:trHeight w:val="273"/>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C</w:t>
            </w:r>
          </w:p>
        </w:tc>
        <w:tc>
          <w:tcPr>
            <w:tcW w:w="13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1,929</w:t>
            </w: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66.1%</w:t>
            </w:r>
          </w:p>
        </w:tc>
        <w:tc>
          <w:tcPr>
            <w:tcW w:w="120" w:type="dxa"/>
            <w:vAlign w:val="bottom"/>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1,440</w:t>
            </w: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55.5%</w:t>
            </w:r>
          </w:p>
        </w:tc>
        <w:tc>
          <w:tcPr>
            <w:tcW w:w="100" w:type="dxa"/>
            <w:vAlign w:val="bottom"/>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489</w:t>
            </w:r>
          </w:p>
        </w:tc>
        <w:tc>
          <w:tcPr>
            <w:tcW w:w="16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34.0 %</w:t>
            </w:r>
          </w:p>
        </w:tc>
      </w:tr>
      <w:tr>
        <w:trPr>
          <w:trHeight w:val="280"/>
        </w:trPr>
        <w:tc>
          <w:tcPr>
            <w:tcW w:w="32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motorhomes</w:t>
            </w:r>
          </w:p>
        </w:tc>
        <w:tc>
          <w:tcPr>
            <w:tcW w:w="13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2,917</w:t>
            </w: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tcPr>
          <w:p>
            <w:pPr>
              <w:spacing w:after="0"/>
              <w:rPr>
                <w:sz w:val="24"/>
                <w:szCs w:val="24"/>
                <w:color w:val="auto"/>
              </w:rPr>
            </w:pPr>
          </w:p>
        </w:tc>
        <w:tc>
          <w:tcPr>
            <w:tcW w:w="13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2,596</w:t>
            </w: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w:t>
            </w:r>
          </w:p>
        </w:tc>
        <w:tc>
          <w:tcPr>
            <w:tcW w:w="16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12.4 %</w:t>
            </w:r>
          </w:p>
        </w:tc>
      </w:tr>
      <w:tr>
        <w:trPr>
          <w:trHeight w:val="254"/>
        </w:trPr>
        <w:tc>
          <w:tcPr>
            <w:tcW w:w="32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r>
      <w:tr>
        <w:trPr>
          <w:trHeight w:val="260"/>
        </w:trPr>
        <w:tc>
          <w:tcPr>
            <w:tcW w:w="3220" w:type="dxa"/>
            <w:vAlign w:val="bottom"/>
          </w:tcPr>
          <w:p>
            <w:pPr>
              <w:ind w:left="20"/>
              <w:spacing w:after="0"/>
              <w:rPr>
                <w:sz w:val="20"/>
                <w:szCs w:val="20"/>
                <w:color w:val="auto"/>
              </w:rPr>
            </w:pPr>
            <w:r>
              <w:rPr>
                <w:rFonts w:ascii="Arial" w:cs="Arial" w:eastAsia="Arial" w:hAnsi="Arial"/>
                <w:sz w:val="16"/>
                <w:szCs w:val="16"/>
                <w:color w:val="auto"/>
              </w:rPr>
              <w:t>Travel trailer</w:t>
            </w: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1,042</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86.5%</w:t>
            </w:r>
          </w:p>
        </w:tc>
        <w:tc>
          <w:tcPr>
            <w:tcW w:w="120" w:type="dxa"/>
            <w:vAlign w:val="bottom"/>
          </w:tcPr>
          <w:p>
            <w:pPr>
              <w:spacing w:after="0"/>
              <w:rPr>
                <w:sz w:val="22"/>
                <w:szCs w:val="22"/>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598</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80.6%</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444</w:t>
            </w:r>
          </w:p>
        </w:tc>
        <w:tc>
          <w:tcPr>
            <w:tcW w:w="1640" w:type="dxa"/>
            <w:vAlign w:val="bottom"/>
          </w:tcPr>
          <w:p>
            <w:pPr>
              <w:jc w:val="right"/>
              <w:ind w:right="79"/>
              <w:spacing w:after="0"/>
              <w:rPr>
                <w:sz w:val="20"/>
                <w:szCs w:val="20"/>
                <w:color w:val="auto"/>
              </w:rPr>
            </w:pPr>
            <w:r>
              <w:rPr>
                <w:rFonts w:ascii="Arial" w:cs="Arial" w:eastAsia="Arial" w:hAnsi="Arial"/>
                <w:sz w:val="16"/>
                <w:szCs w:val="16"/>
                <w:color w:val="auto"/>
              </w:rPr>
              <w:t>74.2 %</w:t>
            </w:r>
          </w:p>
        </w:tc>
      </w:tr>
      <w:tr>
        <w:trPr>
          <w:trHeight w:val="273"/>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Fifth wheel</w:t>
            </w:r>
          </w:p>
        </w:tc>
        <w:tc>
          <w:tcPr>
            <w:tcW w:w="13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163</w:t>
            </w: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13.5%</w:t>
            </w:r>
          </w:p>
        </w:tc>
        <w:tc>
          <w:tcPr>
            <w:tcW w:w="120" w:type="dxa"/>
            <w:vAlign w:val="bottom"/>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144</w:t>
            </w: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19.4%</w:t>
            </w:r>
          </w:p>
        </w:tc>
        <w:tc>
          <w:tcPr>
            <w:tcW w:w="100" w:type="dxa"/>
            <w:vAlign w:val="bottom"/>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6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13.2 %</w:t>
            </w:r>
          </w:p>
        </w:tc>
      </w:tr>
      <w:tr>
        <w:trPr>
          <w:trHeight w:val="237"/>
        </w:trPr>
        <w:tc>
          <w:tcPr>
            <w:tcW w:w="3220" w:type="dxa"/>
            <w:vAlign w:val="bottom"/>
          </w:tcPr>
          <w:p>
            <w:pPr>
              <w:ind w:left="200"/>
              <w:spacing w:after="0"/>
              <w:rPr>
                <w:sz w:val="20"/>
                <w:szCs w:val="20"/>
                <w:color w:val="auto"/>
              </w:rPr>
            </w:pPr>
            <w:r>
              <w:rPr>
                <w:rFonts w:ascii="Arial" w:cs="Arial" w:eastAsia="Arial" w:hAnsi="Arial"/>
                <w:sz w:val="16"/>
                <w:szCs w:val="16"/>
                <w:color w:val="auto"/>
              </w:rPr>
              <w:t>Total Towables</w:t>
            </w: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1,205</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742</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463</w:t>
            </w:r>
          </w:p>
        </w:tc>
        <w:tc>
          <w:tcPr>
            <w:tcW w:w="1640" w:type="dxa"/>
            <w:vAlign w:val="bottom"/>
          </w:tcPr>
          <w:p>
            <w:pPr>
              <w:jc w:val="right"/>
              <w:ind w:right="79"/>
              <w:spacing w:after="0"/>
              <w:rPr>
                <w:sz w:val="20"/>
                <w:szCs w:val="20"/>
                <w:color w:val="auto"/>
              </w:rPr>
            </w:pPr>
            <w:r>
              <w:rPr>
                <w:rFonts w:ascii="Arial" w:cs="Arial" w:eastAsia="Arial" w:hAnsi="Arial"/>
                <w:sz w:val="16"/>
                <w:szCs w:val="16"/>
                <w:color w:val="auto"/>
              </w:rPr>
              <w:t>62.4 %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3810</wp:posOffset>
            </wp:positionV>
            <wp:extent cx="518858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88585" cy="26035"/>
                    </a:xfrm>
                    <a:prstGeom prst="rect">
                      <a:avLst/>
                    </a:prstGeom>
                    <a:noFill/>
                  </pic:spPr>
                </pic:pic>
              </a:graphicData>
            </a:graphic>
          </wp:anchor>
        </w:drawing>
      </w:r>
    </w:p>
    <w:p>
      <w:pPr>
        <w:spacing w:after="0" w:line="20" w:lineRule="exact"/>
        <w:rPr>
          <w:sz w:val="20"/>
          <w:szCs w:val="20"/>
          <w:color w:val="auto"/>
        </w:rPr>
      </w:pPr>
    </w:p>
    <w:p>
      <w:pPr>
        <w:ind w:left="140" w:hanging="132"/>
        <w:spacing w:after="0"/>
        <w:tabs>
          <w:tab w:leader="none" w:pos="140" w:val="left"/>
        </w:tabs>
        <w:numPr>
          <w:ilvl w:val="0"/>
          <w:numId w:val="3"/>
        </w:numPr>
        <w:rPr>
          <w:rFonts w:ascii="Arial" w:cs="Arial" w:eastAsia="Arial" w:hAnsi="Arial"/>
          <w:sz w:val="16"/>
          <w:szCs w:val="16"/>
          <w:color w:val="auto"/>
          <w:vertAlign w:val="superscript"/>
        </w:rPr>
      </w:pPr>
      <w:r>
        <w:rPr>
          <w:rFonts w:ascii="Arial" w:cs="Arial" w:eastAsia="Arial" w:hAnsi="Arial"/>
          <w:sz w:val="13"/>
          <w:szCs w:val="13"/>
          <w:color w:val="auto"/>
        </w:rPr>
        <w:t>Percentages may not add due to rounding differences.</w:t>
      </w:r>
    </w:p>
    <w:p>
      <w:pPr>
        <w:spacing w:after="0" w:line="394"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Unaudited Backlog</w:t>
      </w:r>
      <w:r>
        <w:rPr>
          <w:rFonts w:ascii="Arial" w:cs="Arial" w:eastAsia="Arial" w:hAnsi="Arial"/>
          <w:sz w:val="21"/>
          <w:szCs w:val="21"/>
          <w:b w:val="1"/>
          <w:bCs w:val="1"/>
          <w:color w:val="auto"/>
          <w:vertAlign w:val="superscript"/>
        </w:rPr>
        <w:t>(1)</w:t>
      </w:r>
    </w:p>
    <w:p>
      <w:pPr>
        <w:spacing w:after="0" w:line="168"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59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As Of</w:t>
            </w:r>
          </w:p>
        </w:tc>
        <w:tc>
          <w:tcPr>
            <w:tcW w:w="9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198"/>
        </w:trPr>
        <w:tc>
          <w:tcPr>
            <w:tcW w:w="5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279"/>
              <w:spacing w:after="0"/>
              <w:rPr>
                <w:sz w:val="20"/>
                <w:szCs w:val="20"/>
                <w:color w:val="auto"/>
              </w:rPr>
            </w:pPr>
            <w:r>
              <w:rPr>
                <w:rFonts w:ascii="Arial" w:cs="Arial" w:eastAsia="Arial" w:hAnsi="Arial"/>
                <w:sz w:val="16"/>
                <w:szCs w:val="16"/>
                <w:b w:val="1"/>
                <w:bCs w:val="1"/>
                <w:color w:val="auto"/>
              </w:rPr>
              <w:t>May 28,</w:t>
            </w:r>
          </w:p>
        </w:tc>
        <w:tc>
          <w:tcPr>
            <w:tcW w:w="340" w:type="dxa"/>
            <w:vAlign w:val="bottom"/>
          </w:tcPr>
          <w:p>
            <w:pPr>
              <w:spacing w:after="0"/>
              <w:rPr>
                <w:sz w:val="17"/>
                <w:szCs w:val="17"/>
                <w:color w:val="auto"/>
              </w:rPr>
            </w:pPr>
          </w:p>
        </w:tc>
        <w:tc>
          <w:tcPr>
            <w:tcW w:w="1100" w:type="dxa"/>
            <w:vAlign w:val="bottom"/>
            <w:gridSpan w:val="2"/>
          </w:tcPr>
          <w:p>
            <w:pPr>
              <w:ind w:left="60"/>
              <w:spacing w:after="0"/>
              <w:rPr>
                <w:sz w:val="20"/>
                <w:szCs w:val="20"/>
                <w:color w:val="auto"/>
              </w:rPr>
            </w:pPr>
            <w:r>
              <w:rPr>
                <w:rFonts w:ascii="Arial" w:cs="Arial" w:eastAsia="Arial" w:hAnsi="Arial"/>
                <w:sz w:val="16"/>
                <w:szCs w:val="16"/>
                <w:b w:val="1"/>
                <w:bCs w:val="1"/>
                <w:color w:val="auto"/>
              </w:rPr>
              <w:t>May 30,</w:t>
            </w:r>
          </w:p>
        </w:tc>
        <w:tc>
          <w:tcPr>
            <w:tcW w:w="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8"/>
        </w:trPr>
        <w:tc>
          <w:tcPr>
            <w:tcW w:w="59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2016</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Change</w:t>
            </w:r>
          </w:p>
        </w:tc>
        <w:tc>
          <w:tcPr>
            <w:tcW w:w="920" w:type="dxa"/>
            <w:vAlign w:val="bottom"/>
            <w:tcBorders>
              <w:bottom w:val="single" w:sz="8" w:color="auto"/>
            </w:tcBorders>
          </w:tcPr>
          <w:p>
            <w:pPr>
              <w:spacing w:after="0"/>
              <w:rPr>
                <w:sz w:val="19"/>
                <w:szCs w:val="19"/>
                <w:color w:val="auto"/>
              </w:rPr>
            </w:pPr>
          </w:p>
        </w:tc>
      </w:tr>
      <w:tr>
        <w:trPr>
          <w:trHeight w:val="270"/>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Motorhomes</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1,513</w:t>
            </w:r>
          </w:p>
        </w:tc>
        <w:tc>
          <w:tcPr>
            <w:tcW w:w="3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2,279</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(766)</w:t>
            </w: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(33.6)%</w:t>
            </w:r>
          </w:p>
        </w:tc>
      </w:tr>
      <w:tr>
        <w:trPr>
          <w:trHeight w:val="260"/>
        </w:trPr>
        <w:tc>
          <w:tcPr>
            <w:tcW w:w="5900" w:type="dxa"/>
            <w:vAlign w:val="bottom"/>
          </w:tcPr>
          <w:p>
            <w:pPr>
              <w:ind w:left="20"/>
              <w:spacing w:after="0"/>
              <w:rPr>
                <w:sz w:val="20"/>
                <w:szCs w:val="20"/>
                <w:color w:val="auto"/>
              </w:rPr>
            </w:pPr>
            <w:r>
              <w:rPr>
                <w:rFonts w:ascii="Arial" w:cs="Arial" w:eastAsia="Arial" w:hAnsi="Arial"/>
                <w:sz w:val="16"/>
                <w:szCs w:val="16"/>
                <w:color w:val="auto"/>
              </w:rPr>
              <w:t>Towables</w:t>
            </w:r>
          </w:p>
        </w:tc>
        <w:tc>
          <w:tcPr>
            <w:tcW w:w="220" w:type="dxa"/>
            <w:vAlign w:val="bottom"/>
          </w:tcPr>
          <w:p>
            <w:pPr>
              <w:spacing w:after="0"/>
              <w:rPr>
                <w:sz w:val="22"/>
                <w:szCs w:val="22"/>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412</w:t>
            </w:r>
          </w:p>
        </w:tc>
        <w:tc>
          <w:tcPr>
            <w:tcW w:w="34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179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540" w:type="dxa"/>
            <w:vAlign w:val="bottom"/>
          </w:tcPr>
          <w:p>
            <w:pPr>
              <w:jc w:val="right"/>
              <w:ind w:right="679"/>
              <w:spacing w:after="0"/>
              <w:rPr>
                <w:sz w:val="20"/>
                <w:szCs w:val="20"/>
                <w:color w:val="auto"/>
              </w:rPr>
            </w:pPr>
            <w:r>
              <w:rPr>
                <w:rFonts w:ascii="Arial" w:cs="Arial" w:eastAsia="Arial" w:hAnsi="Arial"/>
                <w:sz w:val="16"/>
                <w:szCs w:val="16"/>
                <w:color w:val="auto"/>
              </w:rPr>
              <w:t>233</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130.2 %</w:t>
            </w:r>
          </w:p>
        </w:tc>
      </w:tr>
      <w:tr>
        <w:trPr>
          <w:trHeight w:val="280"/>
        </w:trPr>
        <w:tc>
          <w:tcPr>
            <w:tcW w:w="59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60"/>
        </w:trPr>
        <w:tc>
          <w:tcPr>
            <w:tcW w:w="5900" w:type="dxa"/>
            <w:vAlign w:val="bottom"/>
          </w:tcPr>
          <w:p>
            <w:pPr>
              <w:ind w:left="20"/>
              <w:spacing w:after="0"/>
              <w:rPr>
                <w:sz w:val="20"/>
                <w:szCs w:val="20"/>
                <w:color w:val="auto"/>
              </w:rPr>
            </w:pPr>
            <w:r>
              <w:rPr>
                <w:rFonts w:ascii="Arial" w:cs="Arial" w:eastAsia="Arial" w:hAnsi="Arial"/>
                <w:sz w:val="16"/>
                <w:szCs w:val="16"/>
                <w:b w:val="1"/>
                <w:bCs w:val="1"/>
                <w:color w:val="auto"/>
              </w:rPr>
              <w:t>Approximate backlog revenue dollars (in 000's):</w:t>
            </w: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80"/>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Motorhomes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134,495</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196,915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(62,420)</w:t>
            </w: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(31.7)%</w:t>
            </w:r>
          </w:p>
        </w:tc>
      </w:tr>
      <w:tr>
        <w:trPr>
          <w:trHeight w:val="251"/>
        </w:trPr>
        <w:tc>
          <w:tcPr>
            <w:tcW w:w="5900" w:type="dxa"/>
            <w:vAlign w:val="bottom"/>
          </w:tcPr>
          <w:p>
            <w:pPr>
              <w:ind w:left="20"/>
              <w:spacing w:after="0"/>
              <w:rPr>
                <w:sz w:val="20"/>
                <w:szCs w:val="20"/>
                <w:color w:val="auto"/>
              </w:rPr>
            </w:pPr>
            <w:r>
              <w:rPr>
                <w:rFonts w:ascii="Arial" w:cs="Arial" w:eastAsia="Arial" w:hAnsi="Arial"/>
                <w:sz w:val="16"/>
                <w:szCs w:val="16"/>
                <w:color w:val="auto"/>
              </w:rPr>
              <w:t>Towables</w:t>
            </w:r>
          </w:p>
        </w:tc>
        <w:tc>
          <w:tcPr>
            <w:tcW w:w="220" w:type="dxa"/>
            <w:vAlign w:val="bottom"/>
          </w:tcPr>
          <w:p>
            <w:pPr>
              <w:spacing w:after="0"/>
              <w:rPr>
                <w:sz w:val="21"/>
                <w:szCs w:val="21"/>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8,058</w:t>
            </w:r>
          </w:p>
        </w:tc>
        <w:tc>
          <w:tcPr>
            <w:tcW w:w="34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4,512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40" w:type="dxa"/>
            <w:vAlign w:val="bottom"/>
          </w:tcPr>
          <w:p>
            <w:pPr>
              <w:jc w:val="right"/>
              <w:ind w:right="679"/>
              <w:spacing w:after="0"/>
              <w:rPr>
                <w:sz w:val="20"/>
                <w:szCs w:val="20"/>
                <w:color w:val="auto"/>
              </w:rPr>
            </w:pPr>
            <w:r>
              <w:rPr>
                <w:rFonts w:ascii="Arial" w:cs="Arial" w:eastAsia="Arial" w:hAnsi="Arial"/>
                <w:sz w:val="16"/>
                <w:szCs w:val="16"/>
                <w:color w:val="auto"/>
              </w:rPr>
              <w:t>3,546</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78.6 %</w:t>
            </w:r>
          </w:p>
        </w:tc>
      </w:tr>
    </w:tbl>
    <w:p>
      <w:pPr>
        <w:spacing w:after="0" w:line="24" w:lineRule="exact"/>
        <w:rPr>
          <w:sz w:val="20"/>
          <w:szCs w:val="20"/>
          <w:color w:val="auto"/>
        </w:rPr>
      </w:pPr>
    </w:p>
    <w:p>
      <w:pPr>
        <w:ind w:left="340" w:right="100" w:hanging="332"/>
        <w:spacing w:after="0" w:line="218" w:lineRule="auto"/>
        <w:tabs>
          <w:tab w:leader="none" w:pos="34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We include in our backlog all accepted purchase orders from dealers to be shipped within the next six months. Orders in backlog can be canceled or postponed at the option of the dealer at any time without penalty and, therefore, backlog may not necessarily be an accurate measure of future sales.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Dealer Inventory</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5920" w:type="dxa"/>
            <w:vAlign w:val="bottom"/>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Units As Of</w:t>
            </w:r>
          </w:p>
        </w:tc>
        <w:tc>
          <w:tcPr>
            <w:tcW w:w="1140" w:type="dxa"/>
            <w:vAlign w:val="bottom"/>
            <w:tcBorders>
              <w:bottom w:val="single" w:sz="8" w:color="auto"/>
            </w:tcBorders>
          </w:tcPr>
          <w:p>
            <w:pPr>
              <w:spacing w:after="0"/>
              <w:rPr>
                <w:sz w:val="19"/>
                <w:szCs w:val="19"/>
                <w:color w:val="auto"/>
              </w:rPr>
            </w:pPr>
          </w:p>
        </w:tc>
        <w:tc>
          <w:tcPr>
            <w:tcW w:w="15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198"/>
        </w:trPr>
        <w:tc>
          <w:tcPr>
            <w:tcW w:w="5920" w:type="dxa"/>
            <w:vAlign w:val="bottom"/>
          </w:tcPr>
          <w:p>
            <w:pPr>
              <w:spacing w:after="0"/>
              <w:rPr>
                <w:sz w:val="17"/>
                <w:szCs w:val="17"/>
                <w:color w:val="auto"/>
              </w:rPr>
            </w:pPr>
          </w:p>
        </w:tc>
        <w:tc>
          <w:tcPr>
            <w:tcW w:w="2000" w:type="dxa"/>
            <w:vAlign w:val="bottom"/>
          </w:tcPr>
          <w:p>
            <w:pPr>
              <w:jc w:val="right"/>
              <w:ind w:right="919"/>
              <w:spacing w:after="0"/>
              <w:rPr>
                <w:sz w:val="20"/>
                <w:szCs w:val="20"/>
                <w:color w:val="auto"/>
              </w:rPr>
            </w:pPr>
            <w:r>
              <w:rPr>
                <w:rFonts w:ascii="Arial" w:cs="Arial" w:eastAsia="Arial" w:hAnsi="Arial"/>
                <w:sz w:val="16"/>
                <w:szCs w:val="16"/>
                <w:b w:val="1"/>
                <w:bCs w:val="1"/>
                <w:color w:val="auto"/>
              </w:rPr>
              <w:t>May 28,</w:t>
            </w:r>
          </w:p>
        </w:tc>
        <w:tc>
          <w:tcPr>
            <w:tcW w:w="1140" w:type="dxa"/>
            <w:vAlign w:val="bottom"/>
          </w:tcPr>
          <w:p>
            <w:pPr>
              <w:jc w:val="right"/>
              <w:ind w:right="419"/>
              <w:spacing w:after="0"/>
              <w:rPr>
                <w:sz w:val="20"/>
                <w:szCs w:val="20"/>
                <w:color w:val="auto"/>
              </w:rPr>
            </w:pPr>
            <w:r>
              <w:rPr>
                <w:rFonts w:ascii="Arial" w:cs="Arial" w:eastAsia="Arial" w:hAnsi="Arial"/>
                <w:sz w:val="16"/>
                <w:szCs w:val="16"/>
                <w:b w:val="1"/>
                <w:bCs w:val="1"/>
                <w:color w:val="auto"/>
              </w:rPr>
              <w:t>May 30,</w:t>
            </w:r>
          </w:p>
        </w:tc>
        <w:tc>
          <w:tcPr>
            <w:tcW w:w="15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28"/>
        </w:trPr>
        <w:tc>
          <w:tcPr>
            <w:tcW w:w="59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ind w:right="1019"/>
              <w:spacing w:after="0"/>
              <w:rPr>
                <w:sz w:val="20"/>
                <w:szCs w:val="20"/>
                <w:color w:val="auto"/>
              </w:rPr>
            </w:pPr>
            <w:r>
              <w:rPr>
                <w:rFonts w:ascii="Arial" w:cs="Arial" w:eastAsia="Arial" w:hAnsi="Arial"/>
                <w:sz w:val="16"/>
                <w:szCs w:val="16"/>
                <w:b w:val="1"/>
                <w:bCs w:val="1"/>
                <w:color w:val="auto"/>
              </w:rPr>
              <w:t>2016</w:t>
            </w: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2015</w:t>
            </w:r>
          </w:p>
        </w:tc>
        <w:tc>
          <w:tcPr>
            <w:tcW w:w="1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Change</w:t>
            </w:r>
          </w:p>
        </w:tc>
        <w:tc>
          <w:tcPr>
            <w:tcW w:w="740" w:type="dxa"/>
            <w:vAlign w:val="bottom"/>
            <w:tcBorders>
              <w:bottom w:val="single" w:sz="8" w:color="auto"/>
            </w:tcBorders>
          </w:tcPr>
          <w:p>
            <w:pPr>
              <w:spacing w:after="0"/>
              <w:rPr>
                <w:sz w:val="19"/>
                <w:szCs w:val="19"/>
                <w:color w:val="auto"/>
              </w:rPr>
            </w:pPr>
          </w:p>
        </w:tc>
      </w:tr>
      <w:tr>
        <w:trPr>
          <w:trHeight w:val="270"/>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Motorhomes</w:t>
            </w:r>
          </w:p>
        </w:tc>
        <w:tc>
          <w:tcPr>
            <w:tcW w:w="200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4,585</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4,501</w:t>
            </w:r>
          </w:p>
        </w:tc>
        <w:tc>
          <w:tcPr>
            <w:tcW w:w="158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84</w:t>
            </w: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w:t>
            </w:r>
          </w:p>
        </w:tc>
      </w:tr>
      <w:tr>
        <w:trPr>
          <w:trHeight w:val="251"/>
        </w:trPr>
        <w:tc>
          <w:tcPr>
            <w:tcW w:w="5920" w:type="dxa"/>
            <w:vAlign w:val="bottom"/>
          </w:tcPr>
          <w:p>
            <w:pPr>
              <w:ind w:left="20"/>
              <w:spacing w:after="0"/>
              <w:rPr>
                <w:sz w:val="20"/>
                <w:szCs w:val="20"/>
                <w:color w:val="auto"/>
              </w:rPr>
            </w:pPr>
            <w:r>
              <w:rPr>
                <w:rFonts w:ascii="Arial" w:cs="Arial" w:eastAsia="Arial" w:hAnsi="Arial"/>
                <w:sz w:val="16"/>
                <w:szCs w:val="16"/>
                <w:color w:val="auto"/>
              </w:rPr>
              <w:t>Towables</w:t>
            </w:r>
          </w:p>
        </w:tc>
        <w:tc>
          <w:tcPr>
            <w:tcW w:w="2000" w:type="dxa"/>
            <w:vAlign w:val="bottom"/>
          </w:tcPr>
          <w:p>
            <w:pPr>
              <w:jc w:val="right"/>
              <w:ind w:right="579"/>
              <w:spacing w:after="0"/>
              <w:rPr>
                <w:sz w:val="20"/>
                <w:szCs w:val="20"/>
                <w:color w:val="auto"/>
              </w:rPr>
            </w:pPr>
            <w:r>
              <w:rPr>
                <w:rFonts w:ascii="Arial" w:cs="Arial" w:eastAsia="Arial" w:hAnsi="Arial"/>
                <w:sz w:val="16"/>
                <w:szCs w:val="16"/>
                <w:color w:val="auto"/>
              </w:rPr>
              <w:t>2,358</w:t>
            </w: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1,823</w:t>
            </w:r>
          </w:p>
        </w:tc>
        <w:tc>
          <w:tcPr>
            <w:tcW w:w="1580" w:type="dxa"/>
            <w:vAlign w:val="bottom"/>
          </w:tcPr>
          <w:p>
            <w:pPr>
              <w:jc w:val="right"/>
              <w:ind w:right="499"/>
              <w:spacing w:after="0"/>
              <w:rPr>
                <w:sz w:val="20"/>
                <w:szCs w:val="20"/>
                <w:color w:val="auto"/>
              </w:rPr>
            </w:pPr>
            <w:r>
              <w:rPr>
                <w:rFonts w:ascii="Arial" w:cs="Arial" w:eastAsia="Arial" w:hAnsi="Arial"/>
                <w:sz w:val="16"/>
                <w:szCs w:val="16"/>
                <w:color w:val="auto"/>
              </w:rPr>
              <w:t>535</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29.3%</w:t>
            </w:r>
          </w:p>
        </w:tc>
      </w:tr>
    </w:tbl>
    <w:p>
      <w:pPr>
        <w:spacing w:after="0" w:line="1" w:lineRule="exact"/>
        <w:rPr>
          <w:sz w:val="20"/>
          <w:szCs w:val="20"/>
          <w:color w:val="auto"/>
        </w:rPr>
      </w:pPr>
    </w:p>
    <w:sectPr>
      <w:pgSz w:w="11900" w:h="16838" w:orient="portrait"/>
      <w:cols w:equalWidth="0" w:num="1">
        <w:col w:w="11400"/>
      </w:cols>
      <w:pgMar w:left="240" w:top="576"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2019-12-05T12:37:42Z</dcterms:created>
  <dcterms:modified xsi:type="dcterms:W3CDTF">2019-12-05T12:37:42Z</dcterms:modified>
</cp:coreProperties>
</file>