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241935</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1207135</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6350</wp:posOffset>
            </wp:positionV>
            <wp:extent cx="2066925" cy="917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17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336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(State or Other Jurisdiction</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33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70"/>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59"/>
        </w:trPr>
        <w:tc>
          <w:tcPr>
            <w:tcW w:w="5840" w:type="dxa"/>
            <w:vAlign w:val="bottom"/>
            <w:gridSpan w:val="2"/>
          </w:tcPr>
          <w:p>
            <w:pPr>
              <w:ind w:left="2120"/>
              <w:spacing w:after="0"/>
              <w:rPr>
                <w:sz w:val="20"/>
                <w:szCs w:val="20"/>
                <w:color w:val="auto"/>
              </w:rPr>
            </w:pPr>
            <w:r>
              <w:rPr>
                <w:rFonts w:ascii="Arial" w:cs="Arial" w:eastAsia="Arial" w:hAnsi="Arial"/>
                <w:sz w:val="18"/>
                <w:szCs w:val="18"/>
                <w:color w:val="auto"/>
                <w:w w:val="90"/>
              </w:rPr>
              <w:t>Registrant's telephone number, including area code</w:t>
            </w:r>
          </w:p>
        </w:tc>
        <w:tc>
          <w:tcPr>
            <w:tcW w:w="3360" w:type="dxa"/>
            <w:vAlign w:val="bottom"/>
          </w:tcPr>
          <w:p>
            <w:pPr>
              <w:jc w:val="right"/>
              <w:ind w:right="205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5888355</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sz w:val="24"/>
          <w:szCs w:val="24"/>
          <w:color w:val="auto"/>
        </w:rPr>
      </w:pPr>
    </w:p>
    <w:p>
      <w:pPr>
        <w:spacing w:after="0"/>
        <w:tabs>
          <w:tab w:leader="none" w:pos="1100" w:val="left"/>
        </w:tabs>
        <w:rPr>
          <w:sz w:val="20"/>
          <w:szCs w:val="20"/>
          <w:color w:val="auto"/>
        </w:rPr>
      </w:pPr>
      <w:r>
        <w:rPr>
          <w:rFonts w:ascii="Arial" w:cs="Arial" w:eastAsia="Arial" w:hAnsi="Arial"/>
          <w:sz w:val="18"/>
          <w:szCs w:val="18"/>
          <w:color w:val="auto"/>
        </w:rPr>
        <w:t>o &amp;n bsp;</w:t>
      </w:r>
      <w:r>
        <w:rPr>
          <w:sz w:val="20"/>
          <w:szCs w:val="20"/>
          <w:color w:val="auto"/>
        </w:rPr>
        <w:tab/>
      </w: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left="560" w:hanging="552"/>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1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October 14, 2010, as Exhibit 99.1 which is included herein. The press release was issued to report earnings for the fourth quarter and fiscal 2010 ended August 28, 2010.</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84" w:lineRule="exact"/>
        <w:rPr>
          <w:sz w:val="20"/>
          <w:szCs w:val="20"/>
          <w:color w:val="auto"/>
        </w:rPr>
      </w:pPr>
    </w:p>
    <w:p>
      <w:pPr>
        <w:ind w:left="520" w:hanging="463"/>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20" w:lineRule="exact"/>
        <w:rPr>
          <w:sz w:val="20"/>
          <w:szCs w:val="20"/>
          <w:color w:val="auto"/>
        </w:rPr>
      </w:pPr>
    </w:p>
    <w:p>
      <w:pPr>
        <w:ind w:left="80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14, 2010.</w:t>
      </w:r>
    </w:p>
    <w:p>
      <w:pPr>
        <w:sectPr>
          <w:pgSz w:w="11900" w:h="16838" w:orient="portrait"/>
          <w:cols w:equalWidth="0" w:num="1">
            <w:col w:w="11160"/>
          </w:cols>
          <w:pgMar w:left="240" w:top="620"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(Registrant)</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2800" w:type="dxa"/>
            <w:vAlign w:val="bottom"/>
          </w:tcPr>
          <w:p>
            <w:pPr>
              <w:spacing w:after="0"/>
              <w:rPr>
                <w:sz w:val="20"/>
                <w:szCs w:val="20"/>
                <w:color w:val="auto"/>
              </w:rPr>
            </w:pPr>
            <w:r>
              <w:rPr>
                <w:rFonts w:ascii="Arial" w:cs="Arial" w:eastAsia="Arial" w:hAnsi="Arial"/>
                <w:sz w:val="18"/>
                <w:szCs w:val="18"/>
                <w:color w:val="auto"/>
              </w:rPr>
              <w:t>Date:  October 14, 2010</w:t>
            </w:r>
          </w:p>
        </w:tc>
        <w:tc>
          <w:tcPr>
            <w:tcW w:w="1480" w:type="dxa"/>
            <w:vAlign w:val="bottom"/>
          </w:tcPr>
          <w:p>
            <w:pPr>
              <w:ind w:left="8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Robert J. Olson</w:t>
            </w:r>
          </w:p>
        </w:tc>
      </w:tr>
      <w:tr>
        <w:trPr>
          <w:trHeight w:val="243"/>
        </w:trPr>
        <w:tc>
          <w:tcPr>
            <w:tcW w:w="2800" w:type="dxa"/>
            <w:vAlign w:val="bottom"/>
          </w:tcPr>
          <w:p>
            <w:pPr>
              <w:spacing w:after="0"/>
              <w:rPr>
                <w:sz w:val="21"/>
                <w:szCs w:val="21"/>
                <w:color w:val="auto"/>
              </w:rPr>
            </w:pPr>
          </w:p>
        </w:tc>
        <w:tc>
          <w:tcPr>
            <w:tcW w:w="1480" w:type="dxa"/>
            <w:vAlign w:val="bottom"/>
          </w:tcPr>
          <w:p>
            <w:pPr>
              <w:ind w:left="800"/>
              <w:spacing w:after="0"/>
              <w:rPr>
                <w:sz w:val="20"/>
                <w:szCs w:val="20"/>
                <w:color w:val="auto"/>
              </w:rPr>
            </w:pPr>
            <w:r>
              <w:rPr>
                <w:rFonts w:ascii="Arial" w:cs="Arial" w:eastAsia="Arial" w:hAnsi="Arial"/>
                <w:sz w:val="18"/>
                <w:szCs w:val="18"/>
                <w:color w:val="auto"/>
              </w:rPr>
              <w:t>Name:</w:t>
            </w:r>
          </w:p>
        </w:tc>
        <w:tc>
          <w:tcPr>
            <w:tcW w:w="5180" w:type="dxa"/>
            <w:vAlign w:val="bottom"/>
          </w:tcPr>
          <w:p>
            <w:pPr>
              <w:ind w:left="40"/>
              <w:spacing w:after="0"/>
              <w:rPr>
                <w:sz w:val="20"/>
                <w:szCs w:val="20"/>
                <w:color w:val="auto"/>
              </w:rPr>
            </w:pPr>
            <w:r>
              <w:rPr>
                <w:rFonts w:ascii="Arial" w:cs="Arial" w:eastAsia="Arial" w:hAnsi="Arial"/>
                <w:sz w:val="18"/>
                <w:szCs w:val="18"/>
                <w:color w:val="auto"/>
              </w:rPr>
              <w:t>Robert J. Olson</w:t>
            </w:r>
          </w:p>
        </w:tc>
      </w:tr>
      <w:tr>
        <w:trPr>
          <w:trHeight w:val="270"/>
        </w:trPr>
        <w:tc>
          <w:tcPr>
            <w:tcW w:w="2800" w:type="dxa"/>
            <w:vAlign w:val="bottom"/>
          </w:tcPr>
          <w:p>
            <w:pPr>
              <w:ind w:left="620"/>
              <w:spacing w:after="0"/>
              <w:rPr>
                <w:sz w:val="20"/>
                <w:szCs w:val="20"/>
                <w:color w:val="auto"/>
              </w:rPr>
            </w:pPr>
            <w:r>
              <w:rPr>
                <w:rFonts w:ascii="Arial" w:cs="Arial" w:eastAsia="Arial" w:hAnsi="Arial"/>
                <w:sz w:val="18"/>
                <w:szCs w:val="18"/>
                <w:color w:val="auto"/>
              </w:rPr>
              <w:t>&amp;nbs p;</w:t>
            </w:r>
          </w:p>
        </w:tc>
        <w:tc>
          <w:tcPr>
            <w:tcW w:w="1480" w:type="dxa"/>
            <w:vAlign w:val="bottom"/>
          </w:tcPr>
          <w:p>
            <w:pPr>
              <w:ind w:left="800"/>
              <w:spacing w:after="0"/>
              <w:rPr>
                <w:sz w:val="20"/>
                <w:szCs w:val="20"/>
                <w:color w:val="auto"/>
              </w:rPr>
            </w:pPr>
            <w:r>
              <w:rPr>
                <w:rFonts w:ascii="Arial" w:cs="Arial" w:eastAsia="Arial" w:hAnsi="Arial"/>
                <w:sz w:val="18"/>
                <w:szCs w:val="18"/>
                <w:color w:val="auto"/>
              </w:rPr>
              <w:t>Title:</w:t>
            </w:r>
          </w:p>
        </w:tc>
        <w:tc>
          <w:tcPr>
            <w:tcW w:w="5180" w:type="dxa"/>
            <w:vAlign w:val="bottom"/>
          </w:tcPr>
          <w:p>
            <w:pPr>
              <w:ind w:left="40"/>
              <w:spacing w:after="0"/>
              <w:rPr>
                <w:sz w:val="20"/>
                <w:szCs w:val="20"/>
                <w:color w:val="auto"/>
              </w:rPr>
            </w:pPr>
            <w:r>
              <w:rPr>
                <w:rFonts w:ascii="Arial" w:cs="Arial" w:eastAsia="Arial" w:hAnsi="Arial"/>
                <w:sz w:val="18"/>
                <w:szCs w:val="18"/>
                <w:color w:val="auto"/>
              </w:rPr>
              <w:t>Chairman of the Board, Chief Executive Officer and President</w:t>
            </w:r>
          </w:p>
        </w:tc>
      </w:tr>
    </w:tbl>
    <w:p>
      <w:pPr>
        <w:sectPr>
          <w:pgSz w:w="11900" w:h="16838" w:orient="portrait"/>
          <w:cols w:equalWidth="0" w:num="1">
            <w:col w:w="11120"/>
          </w:cols>
          <w:pgMar w:left="240" w:top="620" w:right="539" w:bottom="1440" w:gutter="0" w:footer="0" w:header="0"/>
        </w:sectPr>
      </w:pPr>
    </w:p>
    <w:bookmarkStart w:id="3" w:name="page4"/>
    <w:bookmarkEnd w:id="3"/>
    <w:p>
      <w:pPr>
        <w:ind w:left="416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14, 2010.</w:t>
      </w:r>
    </w:p>
    <w:p>
      <w:pPr>
        <w:sectPr>
          <w:pgSz w:w="11900" w:h="16838" w:orient="portrait"/>
          <w:cols w:equalWidth="0" w:num="1">
            <w:col w:w="9459"/>
          </w:cols>
          <w:pgMar w:left="1000" w:top="620"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WINNEBAGO INDUSTRIES REPORTS RESULTS FOR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FOURTH QUARTER AND FISCAL 2010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Operating Income of $5.0 million for the Fourth Quarter --</w:t>
      </w:r>
    </w:p>
    <w:p>
      <w:pPr>
        <w:spacing w:after="0" w:line="200" w:lineRule="exact"/>
        <w:rPr>
          <w:sz w:val="20"/>
          <w:szCs w:val="20"/>
          <w:color w:val="auto"/>
        </w:rPr>
      </w:pPr>
    </w:p>
    <w:p>
      <w:pPr>
        <w:spacing w:after="0" w:line="322" w:lineRule="exact"/>
        <w:rPr>
          <w:sz w:val="20"/>
          <w:szCs w:val="20"/>
          <w:color w:val="auto"/>
        </w:rPr>
      </w:pPr>
    </w:p>
    <w:p>
      <w:pPr>
        <w:ind w:right="520"/>
        <w:spacing w:after="0" w:line="291" w:lineRule="auto"/>
        <w:rPr>
          <w:sz w:val="20"/>
          <w:szCs w:val="20"/>
          <w:color w:val="auto"/>
        </w:rPr>
      </w:pPr>
      <w:r>
        <w:rPr>
          <w:rFonts w:ascii="Arial" w:cs="Arial" w:eastAsia="Arial" w:hAnsi="Arial"/>
          <w:sz w:val="17"/>
          <w:szCs w:val="17"/>
          <w:color w:val="auto"/>
        </w:rPr>
        <w:t>FOREST CITY, IOWA, October 14, 2010- Winnebago Industries, Inc. (NYSE:WGO), one of the leading United States (U.S.) motor home manufacturers, today reported continued improvement in financial results during the Company's fourth quarter and fiscal year 20 10.</w:t>
      </w:r>
    </w:p>
    <w:p>
      <w:pPr>
        <w:spacing w:after="0" w:line="2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Revenues for the fourth quarter ended August 28, 2010 were $123.1 million, an increase of 107.1 percent, versus $59.5 million for the fourth quarter of Fiscal 2009. The Company reported an operating profit of $5.0 million for the quarter, versus an operating loss of $9.2 million for the fourth quarter of Fiscal 2009. Net income for the fourth quarter was $4.9 million versus a net loss of $50.2 million for the fourth quarter of Fiscal 2009. On a diluted per share basis, the Company had net income of $0.17 for the fourth quarter of Fiscal 2010 versus a net loss of $1.73 for the fourth quarter of Fiscal 2009. The net loss for the fourth quarter of Fiscal 2009 included a non-cash charge of $41.1 million, or $1.41 per diluted share, related to the establishment of a full valuation allowance against the Company's deferred tax assets.</w:t>
      </w:r>
    </w:p>
    <w:p>
      <w:pPr>
        <w:spacing w:after="0" w:line="24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fourth quarter was positively impacted by increased motor home deliveries, particularly in the Class A categ ory, resulting in more fixed cost absorption and improved labor efficiencies. There also was a positive benefit to cost of goods sold from the liquidation of last-in, first-out (LIFO) inventory values due to further reduction in inventory levels. This had the effect of increasing gross profit by $750,000.</w:t>
      </w:r>
    </w:p>
    <w:p>
      <w:pPr>
        <w:spacing w:after="0" w:line="24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Revenues for Fiscal 2010 were $449.5 million, an increase of 112.5 percent, versus revenues of $211 .5 million for Fiscal 2009. The Company reported an operating income of $0.5 million for Fiscal 2010, versus an operating loss of $59.5 million for Fiscal 2009. Net income for Fiscal 2010 was $10.2 million, or $0.35 per diluted share, versus a loss of $78.8 million, or $2.71 per diluted share for Fiscal 2009. The $9.5 million of tax benefit recorded in Fiscal 2010 primarily relates to $5.8 million of tax benefits associated with the carryback of Fiscal 2009 net operating losses permitted by tax law changes and tax benefits associated with various tax planning initiatives and tax settlements.</w:t>
      </w:r>
    </w:p>
    <w:p>
      <w:pPr>
        <w:spacing w:after="0" w:line="24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“Results for the fourth quarter and Fiscal 2010 were greatly improved in revenues and gross profit, and we were pleased to have profitability at the operating level for both the fourth quarter and the full year,” said Winnebago Industries' Chairman, CEO and President Bob Ol son. "Increased motor home delivery volume continues to be a driving force behind our improved results, however, we remain cautious until we see continued retail growth."</w:t>
      </w: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Dealer inventory increased 20.7 percent with 2,044 Class A, B and C motor homes on our dealers' lots as of August 28, 2010, compared to 1,694 on August 29, 2009. Olson continued, "Dealer inventory has remained at a consistent level since our second quarter of Fiscal 2010 and we continue to believe that level of inventory is appropriate in today's market environment. Dealers and their lending institutions continue to keep a close eye on the size and age of their inventories to ensure that the supply is current and is consistent with retail demand."</w:t>
      </w:r>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Winnebago Industries' sales order backlog was 818 Class A, B and C motor homes as of August 28, 2010, a decrease of 13.0 percent compared to the end of the fourth quarter of Fiscal 2009. "During the fourth quarter, we launched 2011 model year products and our dealers have expressed excitement about the new 2011 products, particularly the newly redesigned Winnebago Tour and Itasca Ellipse," said O lson. "As testament to the strength of our new 2011 product offerings, retail sales of Winnebago Industries' products at the September 2010 Pennsylvania RV and Camping Show in Hershey, PA, were 36 percent higher than the previous year, and particularly strong in Class A diesel sales. We are pleased with the results of this show particularly since it is the largest retail show in the country and a key show early in the new model year."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w:t>
      </w:r>
    </w:p>
    <w:p>
      <w:pPr>
        <w:spacing w:after="0" w:line="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Winnebago Industries, Inc. will conduct a conference call in conjunction with this release at 9 a.m. Central Time today, Thursday, October 14, 2010. Members of the news media, investors and the general publ ic are invited to access a live broadcast of the conference call via the Investor Relations page of the Company's website at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The event will be archived and available for replay for the next 90 days.</w:t>
      </w:r>
    </w:p>
    <w:p>
      <w:pPr>
        <w:sectPr>
          <w:pgSz w:w="11900" w:h="16838" w:orient="portrait"/>
          <w:cols w:equalWidth="0" w:num="1">
            <w:col w:w="11360"/>
          </w:cols>
          <w:pgMar w:left="240" w:top="638"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About Winnebago Industries</w:t>
      </w:r>
    </w:p>
    <w:p>
      <w:pPr>
        <w:spacing w:after="0" w:line="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 d.com/investor.html</w:t>
      </w:r>
      <w:r>
        <w:rPr>
          <w:rFonts w:ascii="Arial" w:cs="Arial" w:eastAsia="Arial" w:hAnsi="Arial"/>
          <w:sz w:val="18"/>
          <w:szCs w:val="18"/>
          <w:color w:val="auto"/>
        </w:rPr>
        <w:t>.</w:t>
      </w:r>
    </w:p>
    <w:p>
      <w:pPr>
        <w:spacing w:after="0" w:line="248"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new product introductions by competitors, low consumer confidence, a further or continued slowdown in the economy, interest rates and availability of credit, inadequate liquidity or capital resources, significant increase in repurchase obligations, availability and price of fuel, availability of chassis and other key component parts, sales order cancellations, slower th an anticipated sales of new or existing products,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420"/>
          </w:cols>
          <w:pgMar w:left="240" w:top="63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7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17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gridSpan w:val="2"/>
          </w:tcPr>
          <w:p>
            <w:pPr>
              <w:jc w:val="center"/>
              <w:ind w:right="470"/>
              <w:spacing w:after="0"/>
              <w:rPr>
                <w:sz w:val="20"/>
                <w:szCs w:val="20"/>
                <w:color w:val="auto"/>
              </w:rPr>
            </w:pPr>
            <w:r>
              <w:rPr>
                <w:rFonts w:ascii="Arial" w:cs="Arial" w:eastAsia="Arial" w:hAnsi="Arial"/>
                <w:sz w:val="18"/>
                <w:szCs w:val="18"/>
                <w:b w:val="1"/>
                <w:bCs w:val="1"/>
                <w:color w:val="auto"/>
                <w:w w:val="99"/>
              </w:rPr>
              <w:t>August 29,</w:t>
            </w: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8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August 28, 2010</w:t>
            </w:r>
          </w:p>
        </w:tc>
        <w:tc>
          <w:tcPr>
            <w:tcW w:w="8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123,125</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59,465</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28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111,921</w:t>
            </w:r>
          </w:p>
        </w:tc>
        <w:tc>
          <w:tcPr>
            <w:tcW w:w="3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90.9 %</w:t>
            </w: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61,240</w:t>
            </w:r>
          </w:p>
        </w:tc>
        <w:tc>
          <w:tcPr>
            <w:tcW w:w="300" w:type="dxa"/>
            <w:vAlign w:val="bottom"/>
          </w:tcPr>
          <w:p>
            <w:pPr>
              <w:spacing w:after="0"/>
              <w:rPr>
                <w:sz w:val="23"/>
                <w:szCs w:val="23"/>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103.0 %</w:t>
            </w:r>
          </w:p>
        </w:tc>
        <w:tc>
          <w:tcPr>
            <w:tcW w:w="0" w:type="dxa"/>
            <w:vAlign w:val="bottom"/>
          </w:tcPr>
          <w:p>
            <w:pPr>
              <w:spacing w:after="0"/>
              <w:rPr>
                <w:sz w:val="1"/>
                <w:szCs w:val="1"/>
                <w:color w:val="auto"/>
              </w:rPr>
            </w:pPr>
          </w:p>
        </w:tc>
      </w:tr>
      <w:tr>
        <w:trPr>
          <w:trHeight w:val="20"/>
        </w:trPr>
        <w:tc>
          <w:tcPr>
            <w:tcW w:w="28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 (deficit)</w:t>
            </w:r>
          </w:p>
        </w:tc>
        <w:tc>
          <w:tcPr>
            <w:tcW w:w="13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11,204</w:t>
            </w:r>
          </w:p>
        </w:tc>
        <w:tc>
          <w:tcPr>
            <w:tcW w:w="300" w:type="dxa"/>
            <w:vAlign w:val="bottom"/>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96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00" w:type="dxa"/>
            <w:vAlign w:val="bottom"/>
            <w:shd w:val="clear" w:color="auto" w:fill="CCEEFF"/>
          </w:tcPr>
          <w:p>
            <w:pPr>
              <w:spacing w:after="0"/>
              <w:rPr>
                <w:sz w:val="22"/>
                <w:szCs w:val="22"/>
                <w:color w:val="auto"/>
              </w:rPr>
            </w:pPr>
          </w:p>
        </w:tc>
        <w:tc>
          <w:tcPr>
            <w:tcW w:w="13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2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1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3,286</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3,052</w:t>
            </w:r>
          </w:p>
        </w:tc>
        <w:tc>
          <w:tcPr>
            <w:tcW w:w="3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63"/>
        </w:trPr>
        <w:tc>
          <w:tcPr>
            <w:tcW w:w="28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2,967</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2.4 %</w:t>
            </w:r>
          </w:p>
        </w:tc>
        <w:tc>
          <w:tcPr>
            <w:tcW w:w="9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22"/>
                <w:szCs w:val="22"/>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13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6,253</w:t>
            </w: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9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7,457</w:t>
            </w:r>
          </w:p>
        </w:tc>
        <w:tc>
          <w:tcPr>
            <w:tcW w:w="3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4,951</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(9,232)</w:t>
            </w:r>
          </w:p>
        </w:tc>
        <w:tc>
          <w:tcPr>
            <w:tcW w:w="3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Financial (expense) income</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(67)</w:t>
            </w: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9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w:t>
            </w: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57"/>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4,884</w:t>
            </w:r>
          </w:p>
        </w:tc>
        <w:tc>
          <w:tcPr>
            <w:tcW w:w="3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9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w:t>
            </w:r>
          </w:p>
        </w:tc>
        <w:tc>
          <w:tcPr>
            <w:tcW w:w="3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taxes</w:t>
            </w:r>
          </w:p>
        </w:tc>
        <w:tc>
          <w:tcPr>
            <w:tcW w:w="13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96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8"/>
              </w:rPr>
              <w:t>41,090</w:t>
            </w:r>
          </w:p>
        </w:tc>
        <w:tc>
          <w:tcPr>
            <w:tcW w:w="72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4,893</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(50,236)</w:t>
            </w:r>
          </w:p>
        </w:tc>
        <w:tc>
          <w:tcPr>
            <w:tcW w:w="3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(loss) per common share:</w:t>
            </w: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86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8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5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8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&amp;</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4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3"/>
          </w:tcPr>
          <w:p>
            <w:pPr>
              <w:ind w:left="320"/>
              <w:spacing w:after="0"/>
              <w:rPr>
                <w:sz w:val="20"/>
                <w:szCs w:val="20"/>
                <w:color w:val="auto"/>
              </w:rPr>
            </w:pPr>
            <w:r>
              <w:rPr>
                <w:rFonts w:ascii="Arial" w:cs="Arial" w:eastAsia="Arial" w:hAnsi="Arial"/>
                <w:sz w:val="18"/>
                <w:szCs w:val="18"/>
                <w:color w:val="auto"/>
              </w:rPr>
              <w:t>29,112nbsp;</w:t>
            </w: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29,052</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29,115</w:t>
            </w:r>
          </w:p>
        </w:tc>
        <w:tc>
          <w:tcPr>
            <w:tcW w:w="300" w:type="dxa"/>
            <w:vAlign w:val="bottom"/>
            <w:shd w:val="clear" w:color="auto" w:fill="CCEEFF"/>
          </w:tcPr>
          <w:p>
            <w:pPr>
              <w:spacing w:after="0"/>
              <w:rPr>
                <w:sz w:val="23"/>
                <w:szCs w:val="23"/>
                <w:color w:val="auto"/>
              </w:rPr>
            </w:pPr>
          </w:p>
        </w:tc>
        <w:tc>
          <w:tcPr>
            <w:tcW w:w="1380" w:type="dxa"/>
            <w:vAlign w:val="bottom"/>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29,067</w:t>
            </w: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firstLine="8"/>
        <w:spacing w:after="0" w:line="259" w:lineRule="auto"/>
        <w:tabs>
          <w:tab w:leader="none" w:pos="176" w:val="left"/>
        </w:tabs>
        <w:numPr>
          <w:ilvl w:val="0"/>
          <w:numId w:val="4"/>
        </w:numPr>
        <w:rPr>
          <w:rFonts w:ascii="Arial" w:cs="Arial" w:eastAsia="Arial" w:hAnsi="Arial"/>
          <w:sz w:val="22"/>
          <w:szCs w:val="22"/>
          <w:color w:val="auto"/>
        </w:rPr>
      </w:pPr>
      <w:r>
        <w:rPr>
          <w:rFonts w:ascii="Arial" w:cs="Arial" w:eastAsia="Arial" w:hAnsi="Arial"/>
          <w:sz w:val="22"/>
          <w:szCs w:val="22"/>
          <w:color w:val="auto"/>
        </w:rPr>
        <w:t>td colspan="2" style="vertical-align:bottom;padding-left:2.6666666666666665px;padding-top:2.6666666666666665px;padding-bottom:2.6666666666666665px;border-bottom:1px solid #000000;"&gt;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August 28, 2010</w:t>
            </w:r>
          </w:p>
        </w:tc>
        <w:tc>
          <w:tcPr>
            <w:tcW w:w="780" w:type="dxa"/>
            <w:vAlign w:val="bottom"/>
            <w:tcBorders>
              <w:bottom w:val="single" w:sz="8" w:color="auto"/>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August 29, 2009</w:t>
            </w: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449,484</w:t>
            </w: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211,519</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3"/>
                <w:szCs w:val="2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423,217</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94.2 %</w:t>
            </w:r>
          </w:p>
        </w:tc>
        <w:tc>
          <w:tcPr>
            <w:tcW w:w="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242,265</w:t>
            </w: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114.5 %</w:t>
            </w:r>
          </w:p>
        </w:tc>
        <w:tc>
          <w:tcPr>
            <w:tcW w:w="0" w:type="dxa"/>
            <w:vAlign w:val="bottom"/>
          </w:tcPr>
          <w:p>
            <w:pPr>
              <w:spacing w:after="0"/>
              <w:rPr>
                <w:sz w:val="1"/>
                <w:szCs w:val="1"/>
                <w:color w:val="auto"/>
              </w:rPr>
            </w:pPr>
          </w:p>
        </w:tc>
      </w:tr>
      <w:tr>
        <w:trPr>
          <w:trHeight w:val="20"/>
        </w:trPr>
        <w:tc>
          <w:tcPr>
            <w:tcW w:w="44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 (deficit)</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26,267</w:t>
            </w:r>
          </w:p>
        </w:tc>
        <w:tc>
          <w:tcPr>
            <w:tcW w:w="3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4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(30,746)</w:t>
            </w:r>
          </w:p>
        </w:tc>
        <w:tc>
          <w:tcPr>
            <w:tcW w:w="3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44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12,724</w:t>
            </w: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12,616</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02"/>
        </w:trPr>
        <w:tc>
          <w:tcPr>
            <w:tcW w:w="4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jc w:val="right"/>
              <w:ind w:right="170"/>
              <w:spacing w:after="0" w:line="201" w:lineRule="exact"/>
              <w:rPr>
                <w:sz w:val="20"/>
                <w:szCs w:val="20"/>
                <w:color w:val="auto"/>
              </w:rPr>
            </w:pPr>
            <w:r>
              <w:rPr>
                <w:rFonts w:ascii="Arial" w:cs="Arial" w:eastAsia="Arial" w:hAnsi="Arial"/>
                <w:sz w:val="18"/>
                <w:szCs w:val="18"/>
                <w:color w:val="auto"/>
              </w:rPr>
              <w:t>&amp;</w:t>
            </w: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13,023</w:t>
            </w:r>
          </w:p>
        </w:tc>
        <w:tc>
          <w:tcPr>
            <w:tcW w:w="320" w:type="dxa"/>
            <w:vAlign w:val="bottom"/>
          </w:tcPr>
          <w:p>
            <w:pPr>
              <w:spacing w:after="0"/>
              <w:rPr>
                <w:sz w:val="20"/>
                <w:szCs w:val="20"/>
                <w:color w:val="auto"/>
              </w:rPr>
            </w:pP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2.9</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40" w:type="dxa"/>
            <w:vAlign w:val="bottom"/>
            <w:gridSpan w:val="3"/>
          </w:tcPr>
          <w:p>
            <w:pPr>
              <w:ind w:left="180"/>
              <w:spacing w:after="0"/>
              <w:rPr>
                <w:sz w:val="20"/>
                <w:szCs w:val="20"/>
                <w:color w:val="auto"/>
              </w:rPr>
            </w:pPr>
            <w:r>
              <w:rPr>
                <w:rFonts w:ascii="Arial" w:cs="Arial" w:eastAsia="Arial" w:hAnsi="Arial"/>
                <w:sz w:val="18"/>
                <w:szCs w:val="18"/>
                <w:color w:val="auto"/>
              </w:rPr>
              <w:t>15,298nbsp;</w:t>
            </w:r>
          </w:p>
        </w:tc>
        <w:tc>
          <w:tcPr>
            <w:tcW w:w="860" w:type="dxa"/>
            <w:vAlign w:val="bottom"/>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24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8 55</w:t>
            </w: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25,747</w:t>
            </w:r>
          </w:p>
        </w:tc>
        <w:tc>
          <w:tcPr>
            <w:tcW w:w="32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5.7 %</w:t>
            </w:r>
          </w:p>
        </w:tc>
        <w:tc>
          <w:tcPr>
            <w:tcW w:w="4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28,769</w:t>
            </w:r>
          </w:p>
        </w:tc>
        <w:tc>
          <w:tcPr>
            <w:tcW w:w="340" w:type="dxa"/>
            <w:vAlign w:val="bottom"/>
            <w:tcBorders>
              <w:bottom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4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(59,515)</w:t>
            </w:r>
          </w:p>
        </w:tc>
        <w:tc>
          <w:tcPr>
            <w:tcW w:w="3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Financial income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0.0 %</w:t>
            </w: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0.7 %</w:t>
            </w:r>
          </w:p>
        </w:tc>
        <w:tc>
          <w:tcPr>
            <w:tcW w:w="58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23"/>
                <w:szCs w:val="23"/>
                <w:color w:val="auto"/>
              </w:rPr>
            </w:pPr>
          </w:p>
        </w:tc>
        <w:tc>
          <w:tcPr>
            <w:tcW w:w="1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742&lt; /font&gt;</w:t>
            </w:r>
          </w:p>
        </w:tc>
        <w:tc>
          <w:tcPr>
            <w:tcW w:w="6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(58,063)</w:t>
            </w:r>
          </w:p>
        </w:tc>
        <w:tc>
          <w:tcPr>
            <w:tcW w:w="3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taxes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(9,505)</w:t>
            </w:r>
          </w:p>
        </w:tc>
        <w:tc>
          <w:tcPr>
            <w:tcW w:w="3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4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20,703</w:t>
            </w:r>
          </w:p>
        </w:tc>
        <w:tc>
          <w:tcPr>
            <w:tcW w:w="3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10,247</w:t>
            </w:r>
          </w:p>
        </w:tc>
        <w:tc>
          <w:tcPr>
            <w:tcW w:w="3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(78,766)</w:t>
            </w:r>
          </w:p>
        </w:tc>
        <w:tc>
          <w:tcPr>
            <w:tcW w:w="3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8"/>
                <w:szCs w:val="18"/>
                <w:color w:val="auto"/>
              </w:rPr>
              <w:t>Income (loss) per common share:</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46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(2.71)</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(2.71)</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 eighted average common shares outstanding:</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460" w:type="dxa"/>
            <w:vAlign w:val="bottom"/>
          </w:tcPr>
          <w:p>
            <w:pPr>
              <w:ind w:left="2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29,091</w:t>
            </w: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29,040</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29,101</w:t>
            </w:r>
          </w:p>
        </w:tc>
        <w:tc>
          <w:tcPr>
            <w:tcW w:w="3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29,051</w:t>
            </w:r>
          </w:p>
        </w:tc>
        <w:tc>
          <w:tcPr>
            <w:tcW w:w="3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16" w:right="239" w:bottom="333"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36,566</w:t>
            </w:r>
          </w:p>
        </w:tc>
      </w:tr>
      <w:tr>
        <w:trPr>
          <w:trHeight w:val="220"/>
        </w:trPr>
        <w:tc>
          <w:tcPr>
            <w:tcW w:w="7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August 28,</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2010</w:t>
            </w:r>
          </w:p>
        </w:tc>
        <w:tc>
          <w:tcPr>
            <w:tcW w:w="5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3"/>
        </w:trPr>
        <w:tc>
          <w:tcPr>
            <w:tcW w:w="72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74,691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13,500</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3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18,798</w:t>
            </w: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11,717</w:t>
            </w: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2"/>
                <w:szCs w:val="22"/>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43,526</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46,850</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4,570</w:t>
            </w: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3,4 25</w:t>
            </w:r>
          </w:p>
        </w:tc>
      </w:tr>
      <w:tr>
        <w:trPr>
          <w:trHeight w:val="250"/>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taxes receivable</w:t>
            </w: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132</w:t>
            </w: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17,356</w:t>
            </w:r>
          </w:p>
        </w:tc>
      </w:tr>
      <w:tr>
        <w:trPr>
          <w:trHeight w:val="270"/>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141,717</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129,414</w:t>
            </w:r>
          </w:p>
        </w:tc>
        <w:tc>
          <w:tcPr>
            <w:tcW w:w="1200" w:type="dxa"/>
            <w:vAlign w:val="bottom"/>
            <w:shd w:val="clear" w:color="auto" w:fill="CCEEFF"/>
          </w:tcPr>
          <w:p>
            <w:pPr>
              <w:spacing w:after="0"/>
              <w:rPr>
                <w:sz w:val="23"/>
                <w:szCs w:val="23"/>
                <w:color w:val="auto"/>
              </w:rPr>
            </w:pPr>
          </w:p>
        </w:tc>
        <w:tc>
          <w:tcPr>
            <w:tcW w:w="100" w:type="dxa"/>
            <w:vAlign w:val="bottom"/>
          </w:tcPr>
          <w:p>
            <w:pPr>
              <w:spacing w:after="0"/>
              <w:rPr>
                <w:sz w:val="23"/>
                <w:szCs w:val="23"/>
                <w:color w:val="auto"/>
              </w:rPr>
            </w:pPr>
          </w:p>
        </w:tc>
      </w:tr>
      <w:tr>
        <w:trPr>
          <w:trHeight w:val="263"/>
        </w:trPr>
        <w:tc>
          <w:tcPr>
            <w:tcW w:w="72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Pr>
          <w:p>
            <w:pPr>
              <w:spacing w:after="0"/>
              <w:rPr>
                <w:sz w:val="22"/>
                <w:szCs w:val="22"/>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25,677</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28,040</w:t>
            </w:r>
          </w:p>
        </w:tc>
      </w:tr>
      <w:tr>
        <w:trPr>
          <w:trHeight w:val="277"/>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3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4,254</w:t>
            </w: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w:t>
            </w:r>
          </w:p>
        </w:tc>
      </w:tr>
      <w:tr>
        <w:trPr>
          <w:trHeight w:val="263"/>
        </w:trPr>
        <w:tc>
          <w:tcPr>
            <w:tcW w:w="724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22"/>
                <w:szCs w:val="22"/>
                <w:color w:val="auto"/>
              </w:rPr>
            </w:pPr>
          </w:p>
        </w:tc>
        <w:tc>
          <w:tcPr>
            <w:tcW w:w="1740" w:type="dxa"/>
            <w:vAlign w:val="bottom"/>
            <w:gridSpan w:val="2"/>
          </w:tcPr>
          <w:p>
            <w:pPr>
              <w:jc w:val="right"/>
              <w:ind w:right="30"/>
              <w:spacing w:after="0"/>
              <w:rPr>
                <w:sz w:val="20"/>
                <w:szCs w:val="20"/>
                <w:color w:val="auto"/>
              </w:rPr>
            </w:pPr>
            <w:r>
              <w:rPr>
                <w:rFonts w:ascii="Arial" w:cs="Arial" w:eastAsia="Arial" w:hAnsi="Arial"/>
                <w:sz w:val="18"/>
                <w:szCs w:val="18"/>
                <w:color w:val="auto"/>
              </w:rPr>
              <w:t>17,785</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19,794</w:t>
            </w:r>
          </w:p>
        </w:tc>
      </w:tr>
      <w:tr>
        <w:trPr>
          <w:trHeight w:val="236"/>
        </w:trPr>
        <w:tc>
          <w:tcPr>
            <w:tcW w:w="7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&lt;</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life insurance</w:t>
            </w:r>
          </w:p>
        </w:tc>
        <w:tc>
          <w:tcPr>
            <w:tcW w:w="36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23,250</w:t>
            </w: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/div&gt;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22,451</w:t>
            </w:r>
          </w:p>
        </w:tc>
      </w:tr>
      <w:tr>
        <w:trPr>
          <w:trHeight w:val="264"/>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14,674</w:t>
            </w:r>
          </w:p>
        </w:tc>
        <w:tc>
          <w:tcPr>
            <w:tcW w:w="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14,252</w:t>
            </w:r>
          </w:p>
        </w:tc>
      </w:tr>
      <w:tr>
        <w:trPr>
          <w:trHeight w:val="250"/>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227,357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220,466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3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63"/>
        </w:trPr>
        <w:tc>
          <w:tcPr>
            <w:tcW w:w="72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19,725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10,370</w:t>
            </w:r>
          </w:p>
        </w:tc>
      </w:tr>
      <w:tr>
        <w:trPr>
          <w:trHeight w:val="263"/>
        </w:trPr>
        <w:tc>
          <w:tcPr>
            <w:tcW w:w="7240" w:type="dxa"/>
            <w:vAlign w:val="bottom"/>
          </w:tcPr>
          <w:p>
            <w:pPr>
              <w:ind w:left="280"/>
              <w:spacing w:after="0"/>
              <w:rPr>
                <w:sz w:val="20"/>
                <w:szCs w:val="20"/>
                <w:color w:val="auto"/>
              </w:rPr>
            </w:pPr>
            <w:r>
              <w:rPr>
                <w:rFonts w:ascii="Arial" w:cs="Arial" w:eastAsia="Arial" w:hAnsi="Arial"/>
                <w:sz w:val="18"/>
                <w:szCs w:val="18"/>
                <w:color w:val="auto"/>
              </w:rPr>
              <w:t>Short-term ARS borrowings</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9,100</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30,548</w:t>
            </w:r>
          </w:p>
        </w:tc>
        <w:tc>
          <w:tcPr>
            <w:tcW w:w="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30,185</w:t>
            </w:r>
          </w:p>
        </w:tc>
      </w:tr>
      <w:tr>
        <w:trPr>
          <w:trHeight w:val="257"/>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50,3 72</w:t>
            </w:r>
          </w:p>
        </w:tc>
        <w:tc>
          <w:tcPr>
            <w:tcW w:w="5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49,954</w:t>
            </w:r>
          </w:p>
        </w:tc>
      </w:tr>
      <w:tr>
        <w:trPr>
          <w:trHeight w:val="257"/>
        </w:trPr>
        <w:tc>
          <w:tcPr>
            <w:tcW w:w="724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360" w:type="dxa"/>
            <w:vAlign w:val="bottom"/>
            <w:shd w:val="clear" w:color="auto" w:fill="CCEEFF"/>
          </w:tcPr>
          <w:p>
            <w:pPr>
              <w:spacing w:after="0"/>
              <w:rPr>
                <w:sz w:val="24"/>
                <w:szCs w:val="24"/>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5,877</w:t>
            </w:r>
          </w:p>
        </w:tc>
        <w:tc>
          <w:tcPr>
            <w:tcW w:w="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9,012</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73,581</w:t>
            </w:r>
          </w:p>
        </w:tc>
        <w:tc>
          <w:tcPr>
            <w:tcW w:w="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69,169</w:t>
            </w:r>
          </w:p>
        </w:tc>
      </w:tr>
      <w:tr>
        <w:trPr>
          <w:trHeight w:val="257"/>
        </w:trPr>
        <w:tc>
          <w:tcPr>
            <w:tcW w:w="7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360" w:type="dxa"/>
            <w:vAlign w:val="bottom"/>
            <w:shd w:val="clear" w:color="auto" w:fill="CCEEFF"/>
          </w:tcPr>
          <w:p>
            <w:pPr>
              <w:spacing w:after="0"/>
              <w:rPr>
                <w:sz w:val="22"/>
                <w:szCs w:val="22"/>
                <w:color w:val="auto"/>
              </w:rPr>
            </w:pPr>
          </w:p>
        </w:tc>
        <w:tc>
          <w:tcPr>
            <w:tcW w:w="1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79,458</w:t>
            </w:r>
          </w:p>
        </w:tc>
        <w:tc>
          <w:tcPr>
            <w:tcW w:w="5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78,181</w:t>
            </w:r>
          </w:p>
        </w:tc>
      </w:tr>
      <w:tr>
        <w:trPr>
          <w:trHeight w:val="264"/>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97,527</w:t>
            </w:r>
          </w:p>
        </w:tc>
        <w:tc>
          <w:tcPr>
            <w:tcW w:w="5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92,331</w:t>
            </w:r>
          </w:p>
        </w:tc>
      </w:tr>
      <w:tr>
        <w:trPr>
          <w:trHeight w:val="215"/>
        </w:trPr>
        <w:tc>
          <w:tcPr>
            <w:tcW w:w="724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&amp;</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72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227,357</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nbsp;  $</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220,466</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63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2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Year Ended</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07"/>
        </w:trPr>
        <w:tc>
          <w:tcPr>
            <w:tcW w:w="7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August 28,</w:t>
            </w:r>
          </w:p>
        </w:tc>
        <w:tc>
          <w:tcPr>
            <w:tcW w:w="400" w:type="dxa"/>
            <w:vAlign w:val="bottom"/>
          </w:tcPr>
          <w:p>
            <w:pPr>
              <w:spacing w:after="0"/>
              <w:rPr>
                <w:sz w:val="17"/>
                <w:szCs w:val="17"/>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August 29,</w:t>
            </w:r>
          </w:p>
        </w:tc>
      </w:tr>
      <w:tr>
        <w:trPr>
          <w:trHeight w:val="246"/>
        </w:trPr>
        <w:tc>
          <w:tcPr>
            <w:tcW w:w="7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21"/>
                <w:szCs w:val="2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10,247</w:t>
            </w:r>
          </w:p>
        </w:tc>
        <w:tc>
          <w:tcPr>
            <w:tcW w:w="100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(78,766)</w:t>
            </w:r>
          </w:p>
        </w:tc>
      </w:tr>
      <w:tr>
        <w:trPr>
          <w:trHeight w:val="277"/>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 ents to reconcile net income (loss) to net cash provided by operating activities:</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6,340</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7,834</w:t>
            </w:r>
          </w:p>
        </w:tc>
      </w:tr>
      <w:tr>
        <w:trPr>
          <w:trHeight w:val="27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r>
      <w:tr>
        <w:trPr>
          <w:trHeight w:val="250"/>
        </w:trPr>
        <w:tc>
          <w:tcPr>
            <w:tcW w:w="7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546</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Deferred income taxes including valuation allowance</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37,440</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Postretirement benefit income and deferred compensation expenses</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1,275</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1,252</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(Reduction) provision for doubtful accounts</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Increase in cash surrender value of life insurance policies</w:t>
            </w:r>
          </w:p>
        </w:tc>
        <w:tc>
          <w:tcPr>
            <w:tcW w:w="320" w:type="dxa"/>
            <w:vAlign w:val="bottom"/>
          </w:tcPr>
          <w:p>
            <w:pPr>
              <w:spacing w:after="0"/>
              <w:rPr>
                <w:sz w:val="21"/>
                <w:szCs w:val="21"/>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color w:val="auto"/>
              </w:rPr>
              <w:t>(1,090)</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(858)</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Loss on disposal of property</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111</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77"/>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3,324</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63,746</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Receivables and prepaid assets</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(8,550)</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(2,074)</w:t>
            </w:r>
          </w:p>
        </w:tc>
      </w:tr>
      <w:tr>
        <w:trPr>
          <w:trHeight w:val="250"/>
        </w:trPr>
        <w:tc>
          <w:tcPr>
            <w:tcW w:w="7240" w:type="dxa"/>
            <w:vAlign w:val="bottom"/>
          </w:tcPr>
          <w:p>
            <w:pPr>
              <w:ind w:left="260"/>
              <w:spacing w:after="0"/>
              <w:rPr>
                <w:sz w:val="20"/>
                <w:szCs w:val="20"/>
                <w:color w:val="auto"/>
              </w:rPr>
            </w:pPr>
            <w:r>
              <w:rPr>
                <w:rFonts w:ascii="Arial" w:cs="Arial" w:eastAsia="Arial" w:hAnsi="Arial"/>
                <w:sz w:val="18"/>
                <w:szCs w:val="18"/>
                <w:color w:val="auto"/>
              </w:rPr>
              <w:t>Income taxes and unrecognized tax benefits</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14,692</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(8,708)</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9,756</w:t>
            </w:r>
          </w:p>
        </w:tc>
        <w:tc>
          <w:tcPr>
            <w:tcW w:w="20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22"/>
                <w:szCs w:val="22"/>
                <w:color w:val="auto"/>
              </w:rPr>
            </w:pPr>
          </w:p>
        </w:tc>
      </w:tr>
      <w:tr>
        <w:trPr>
          <w:trHeight w:val="257"/>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and deferred compensation benefits</w:t>
            </w:r>
          </w:p>
        </w:tc>
        <w:tc>
          <w:tcPr>
            <w:tcW w:w="3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(3,600)</w:t>
            </w:r>
          </w:p>
        </w:tc>
        <w:tc>
          <w:tcPr>
            <w:tcW w:w="4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(3,172)</w:t>
            </w:r>
          </w:p>
        </w:tc>
      </w:tr>
      <w:tr>
        <w:trPr>
          <w:trHeight w:val="24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33,039</w:t>
            </w:r>
          </w:p>
        </w:tc>
        <w:tc>
          <w:tcPr>
            <w:tcW w:w="400" w:type="dxa"/>
            <w:vAlign w:val="bottom"/>
            <w:tcBorders>
              <w:bottom w:val="single" w:sz="8" w:color="auto"/>
            </w:tcBorders>
            <w:shd w:val="clear" w:color="auto" w:fill="CCEEFF"/>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8,272</w:t>
            </w:r>
          </w:p>
        </w:tc>
        <w:tc>
          <w:tcPr>
            <w:tcW w:w="100" w:type="dxa"/>
            <w:vAlign w:val="bottom"/>
            <w:tcBorders>
              <w:bottom w:val="single" w:sz="8" w:color="auto"/>
            </w:tcBorders>
            <w:shd w:val="clear" w:color="auto" w:fill="CCEEFF"/>
          </w:tcPr>
          <w:p>
            <w:pPr>
              <w:spacing w:after="0"/>
              <w:rPr>
                <w:sz w:val="21"/>
                <w:szCs w:val="21"/>
                <w:color w:val="auto"/>
              </w:rPr>
            </w:pPr>
          </w:p>
        </w:tc>
      </w:tr>
      <w:tr>
        <w:trPr>
          <w:trHeight w:val="297"/>
        </w:trPr>
        <w:tc>
          <w:tcPr>
            <w:tcW w:w="7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Proceeds from the sale of investments, at par</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15,850</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8,900</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(1,874)</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(3,473)</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Proceeds from the sale of property</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96</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262</w:t>
            </w:r>
          </w:p>
        </w:tc>
        <w:tc>
          <w:tcPr>
            <w:tcW w:w="4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(737)</w:t>
            </w:r>
          </w:p>
        </w:tc>
      </w:tr>
      <w:tr>
        <w:trPr>
          <w:trHeight w:val="244"/>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14,334</w:t>
            </w: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4,986</w:t>
            </w:r>
          </w:p>
        </w:tc>
      </w:tr>
      <w:tr>
        <w:trPr>
          <w:trHeight w:val="311"/>
        </w:trPr>
        <w:tc>
          <w:tcPr>
            <w:tcW w:w="7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57"/>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for purchas e of common stock</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Payments of cash dividends</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(3,489</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63"/>
        </w:trPr>
        <w:tc>
          <w:tcPr>
            <w:tcW w:w="7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borrowings on ARS portfolio</w:t>
            </w: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(9, 100)</w:t>
            </w:r>
          </w:p>
        </w:tc>
        <w:tc>
          <w:tcPr>
            <w:tcW w:w="4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9,100</w:t>
            </w:r>
          </w:p>
        </w:tc>
      </w:tr>
      <w:tr>
        <w:trPr>
          <w:trHeight w:val="250"/>
        </w:trPr>
        <w:tc>
          <w:tcPr>
            <w:tcW w:w="7240" w:type="dxa"/>
            <w:vAlign w:val="bottom"/>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760" w:type="dxa"/>
            <w:vAlign w:val="bottom"/>
          </w:tcPr>
          <w:p>
            <w:pPr>
              <w:jc w:val="right"/>
              <w:ind w:right="910"/>
              <w:spacing w:after="0"/>
              <w:rPr>
                <w:sz w:val="20"/>
                <w:szCs w:val="20"/>
                <w:color w:val="auto"/>
              </w:rPr>
            </w:pPr>
            <w:r>
              <w:rPr>
                <w:rFonts w:ascii="Arial" w:cs="Arial" w:eastAsia="Arial" w:hAnsi="Arial"/>
                <w:sz w:val="18"/>
                <w:szCs w:val="18"/>
                <w:color w:val="auto"/>
              </w:rPr>
              <w:t>280</w:t>
            </w:r>
          </w:p>
        </w:tc>
        <w:tc>
          <w:tcPr>
            <w:tcW w:w="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57"/>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(178)</w:t>
            </w:r>
          </w:p>
        </w:tc>
        <w:tc>
          <w:tcPr>
            <w:tcW w:w="4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(9,248)</w:t>
            </w:r>
          </w:p>
        </w:tc>
        <w:tc>
          <w:tcPr>
            <w:tcW w:w="4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5,457</w:t>
            </w:r>
          </w:p>
        </w:tc>
      </w:tr>
      <w:tr>
        <w:trPr>
          <w:trHeight w:val="311"/>
        </w:trPr>
        <w:tc>
          <w:tcPr>
            <w:tcW w:w="7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bl>
    <w:p>
      <w:pPr>
        <w:spacing w:after="0" w:line="24" w:lineRule="exact"/>
        <w:rPr>
          <w:sz w:val="20"/>
          <w:szCs w:val="20"/>
          <w:color w:val="auto"/>
        </w:rPr>
      </w:pPr>
    </w:p>
    <w:p>
      <w:pPr>
        <w:sectPr>
          <w:pgSz w:w="11900" w:h="16838" w:orient="portrait"/>
          <w:cols w:equalWidth="0" w:num="1">
            <w:col w:w="11420"/>
          </w:cols>
          <w:pgMar w:left="240" w:top="616"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increase in cash and cash equivalents</w:t>
      </w:r>
    </w:p>
    <w:p>
      <w:pPr>
        <w:spacing w:after="0" w:line="200" w:lineRule="exact"/>
        <w:rPr>
          <w:sz w:val="20"/>
          <w:szCs w:val="20"/>
          <w:color w:val="auto"/>
        </w:rPr>
      </w:pPr>
    </w:p>
    <w:p>
      <w:pPr>
        <w:spacing w:after="0" w:line="241" w:lineRule="exact"/>
        <w:rPr>
          <w:sz w:val="20"/>
          <w:szCs w:val="20"/>
          <w:color w:val="auto"/>
        </w:rPr>
      </w:pPr>
    </w:p>
    <w:p>
      <w:pPr>
        <w:ind w:left="40" w:right="2560"/>
        <w:spacing w:after="0" w:line="374" w:lineRule="auto"/>
        <w:rPr>
          <w:sz w:val="20"/>
          <w:szCs w:val="20"/>
          <w:color w:val="auto"/>
        </w:rPr>
      </w:pPr>
      <w:r>
        <w:rPr>
          <w:rFonts w:ascii="Arial" w:cs="Arial" w:eastAsia="Arial" w:hAnsi="Arial"/>
          <w:sz w:val="17"/>
          <w:szCs w:val="17"/>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br w:type="column"/>
      </w:r>
    </w:p>
    <w:p>
      <w:pPr>
        <w:jc w:val="both"/>
        <w:ind w:left="520"/>
        <w:spacing w:after="0"/>
        <w:tabs>
          <w:tab w:leader="none" w:pos="3480" w:val="left"/>
        </w:tabs>
        <w:rPr>
          <w:sz w:val="20"/>
          <w:szCs w:val="20"/>
          <w:color w:val="auto"/>
        </w:rPr>
      </w:pPr>
      <w:r>
        <w:rPr>
          <w:rFonts w:ascii="Arial" w:cs="Arial" w:eastAsia="Arial" w:hAnsi="Arial"/>
          <w:sz w:val="18"/>
          <w:szCs w:val="18"/>
          <w:color w:val="auto"/>
        </w:rPr>
        <w:t>38,125</w:t>
      </w:r>
      <w:r>
        <w:rPr>
          <w:sz w:val="20"/>
          <w:szCs w:val="20"/>
          <w:color w:val="auto"/>
        </w:rPr>
        <w:tab/>
      </w:r>
      <w:r>
        <w:rPr>
          <w:rFonts w:ascii="Arial" w:cs="Arial" w:eastAsia="Arial" w:hAnsi="Arial"/>
          <w:sz w:val="18"/>
          <w:szCs w:val="18"/>
          <w:color w:val="auto"/>
        </w:rPr>
        <w:t>18,715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15875</wp:posOffset>
            </wp:positionV>
            <wp:extent cx="724662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7" w:lineRule="exact"/>
        <w:rPr>
          <w:sz w:val="20"/>
          <w:szCs w:val="20"/>
          <w:color w:val="auto"/>
        </w:rPr>
      </w:pPr>
    </w:p>
    <w:p>
      <w:pPr>
        <w:jc w:val="both"/>
        <w:ind w:left="1060" w:right="1700" w:firstLine="7"/>
        <w:spacing w:after="0" w:line="255" w:lineRule="auto"/>
        <w:tabs>
          <w:tab w:leader="none" w:pos="1207" w:val="left"/>
        </w:tabs>
        <w:numPr>
          <w:ilvl w:val="0"/>
          <w:numId w:val="5"/>
        </w:numPr>
        <w:rPr>
          <w:rFonts w:ascii="Arial" w:cs="Arial" w:eastAsia="Arial" w:hAnsi="Arial"/>
          <w:sz w:val="17"/>
          <w:szCs w:val="17"/>
          <w:color w:val="auto"/>
        </w:rPr>
      </w:pPr>
      <w:r>
        <w:rPr>
          <w:rFonts w:ascii="Arial" w:cs="Arial" w:eastAsia="Arial" w:hAnsi="Arial"/>
          <w:sz w:val="17"/>
          <w:szCs w:val="17"/>
          <w:color w:val="auto"/>
        </w:rPr>
        <w:t>font style="font-family:inherit;font-</w:t>
      </w:r>
    </w:p>
    <w:p>
      <w:pPr>
        <w:spacing w:after="0" w:line="1" w:lineRule="exact"/>
        <w:rPr>
          <w:sz w:val="20"/>
          <w:szCs w:val="20"/>
          <w:color w:val="auto"/>
        </w:rPr>
      </w:pPr>
    </w:p>
    <w:p>
      <w:pPr>
        <w:jc w:val="right"/>
        <w:ind w:right="100"/>
        <w:spacing w:after="0"/>
        <w:tabs>
          <w:tab w:leader="none" w:pos="540" w:val="left"/>
        </w:tabs>
        <w:rPr>
          <w:sz w:val="20"/>
          <w:szCs w:val="20"/>
          <w:color w:val="auto"/>
        </w:rPr>
      </w:pPr>
      <w:r>
        <w:rPr>
          <w:rFonts w:ascii="Arial" w:cs="Arial" w:eastAsia="Arial" w:hAnsi="Arial"/>
          <w:sz w:val="18"/>
          <w:szCs w:val="18"/>
          <w:color w:val="auto"/>
        </w:rPr>
        <w:t>36,566size:10pt;"&gt;</w:t>
      </w:r>
      <w:r>
        <w:rPr>
          <w:sz w:val="20"/>
          <w:szCs w:val="20"/>
          <w:color w:val="auto"/>
        </w:rPr>
        <w:tab/>
      </w:r>
      <w:r>
        <w:rPr>
          <w:rFonts w:ascii="Arial" w:cs="Arial" w:eastAsia="Arial" w:hAnsi="Arial"/>
          <w:sz w:val="18"/>
          <w:szCs w:val="18"/>
          <w:color w:val="auto"/>
        </w:rPr>
        <w:t>17,851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43" w:lineRule="exact"/>
        <w:rPr>
          <w:sz w:val="20"/>
          <w:szCs w:val="20"/>
          <w:color w:val="auto"/>
        </w:rPr>
      </w:pPr>
    </w:p>
    <w:p>
      <w:pPr>
        <w:spacing w:after="0"/>
        <w:tabs>
          <w:tab w:leader="none" w:pos="500" w:val="left"/>
          <w:tab w:leader="none" w:pos="2480" w:val="left"/>
          <w:tab w:leader="none" w:pos="3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74,691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36,566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14605</wp:posOffset>
            </wp:positionV>
            <wp:extent cx="724662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32" w:lineRule="exact"/>
        <w:rPr>
          <w:sz w:val="20"/>
          <w:szCs w:val="20"/>
          <w:color w:val="auto"/>
        </w:rPr>
      </w:pPr>
    </w:p>
    <w:p>
      <w:pPr>
        <w:sectPr>
          <w:pgSz w:w="11900" w:h="16838" w:orient="portrait"/>
          <w:cols w:equalWidth="0" w:num="2">
            <w:col w:w="6540" w:space="720"/>
            <w:col w:w="4160"/>
          </w:cols>
          <w:pgMar w:left="240" w:top="616" w:right="239" w:bottom="1440" w:gutter="0" w:footer="0" w:header="0"/>
          <w:type w:val="continuous"/>
        </w:sectPr>
      </w:pP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020" w:type="dxa"/>
            <w:vAlign w:val="bottom"/>
          </w:tcPr>
          <w:p>
            <w:pPr>
              <w:jc w:val="center"/>
              <w:ind w:right="2110"/>
              <w:spacing w:after="0"/>
              <w:rPr>
                <w:sz w:val="20"/>
                <w:szCs w:val="20"/>
                <w:color w:val="auto"/>
              </w:rPr>
            </w:pPr>
            <w:r>
              <w:rPr>
                <w:rFonts w:ascii="Arial" w:cs="Arial" w:eastAsia="Arial" w:hAnsi="Arial"/>
                <w:sz w:val="18"/>
                <w:szCs w:val="18"/>
                <w:color w:val="auto"/>
              </w:rPr>
              <w:t>Supplemental cash flow disclosure:</w:t>
            </w:r>
          </w:p>
        </w:tc>
        <w:tc>
          <w:tcPr>
            <w:tcW w:w="2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57"/>
        </w:trPr>
        <w:tc>
          <w:tcPr>
            <w:tcW w:w="5020" w:type="dxa"/>
            <w:vAlign w:val="bottom"/>
          </w:tcPr>
          <w:p>
            <w:pPr>
              <w:jc w:val="center"/>
              <w:ind w:right="2110"/>
              <w:spacing w:after="0"/>
              <w:rPr>
                <w:sz w:val="20"/>
                <w:szCs w:val="20"/>
                <w:color w:val="auto"/>
              </w:rPr>
            </w:pPr>
            <w:r>
              <w:rPr>
                <w:rFonts w:ascii="Arial" w:cs="Arial" w:eastAsia="Arial" w:hAnsi="Arial"/>
                <w:sz w:val="18"/>
                <w:szCs w:val="18"/>
                <w:color w:val="auto"/>
                <w:w w:val="99"/>
              </w:rPr>
              <w:t>Income taxes (refunded) paid</w:t>
            </w:r>
          </w:p>
        </w:tc>
        <w:tc>
          <w:tcPr>
            <w:tcW w:w="24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610"/>
              <w:spacing w:after="0"/>
              <w:rPr>
                <w:sz w:val="20"/>
                <w:szCs w:val="20"/>
                <w:color w:val="auto"/>
              </w:rPr>
            </w:pPr>
            <w:r>
              <w:rPr>
                <w:rFonts w:ascii="Arial" w:cs="Arial" w:eastAsia="Arial" w:hAnsi="Arial"/>
                <w:sz w:val="18"/>
                <w:szCs w:val="18"/>
                <w:color w:val="auto"/>
              </w:rPr>
              <w:t>(24,356)</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616"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Motor Home Deliveries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8"/>
                <w:szCs w:val="18"/>
                <w:b w:val="1"/>
                <w:bCs w:val="1"/>
                <w:color w:val="auto"/>
                <w:w w:val="99"/>
              </w:rPr>
              <w:t>Quarter Ended</w:t>
            </w:r>
          </w:p>
        </w:tc>
        <w:tc>
          <w:tcPr>
            <w:tcW w:w="9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r>
        <w:trPr>
          <w:trHeight w:val="215"/>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5"/>
          </w:tcPr>
          <w:p>
            <w:pPr>
              <w:ind w:left="120"/>
              <w:spacing w:after="0"/>
              <w:rPr>
                <w:sz w:val="20"/>
                <w:szCs w:val="20"/>
                <w:color w:val="auto"/>
              </w:rPr>
            </w:pPr>
            <w:r>
              <w:rPr>
                <w:rFonts w:ascii="Arial" w:cs="Arial" w:eastAsia="Arial" w:hAnsi="Arial"/>
                <w:sz w:val="18"/>
                <w:szCs w:val="18"/>
                <w:color w:val="auto"/>
              </w:rPr>
              <w:t>&lt; div style="font-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5"/>
          </w:tcPr>
          <w:p>
            <w:pPr>
              <w:ind w:left="120"/>
              <w:spacing w:after="0"/>
              <w:rPr>
                <w:sz w:val="20"/>
                <w:szCs w:val="20"/>
                <w:color w:val="auto"/>
              </w:rPr>
            </w:pPr>
            <w:r>
              <w:rPr>
                <w:rFonts w:ascii="Arial" w:cs="Arial" w:eastAsia="Arial" w:hAnsi="Arial"/>
                <w:sz w:val="18"/>
                <w:szCs w:val="18"/>
                <w:color w:val="auto"/>
              </w:rPr>
              <w:t>family:Arial;text-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08"/>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20" w:type="dxa"/>
            <w:vAlign w:val="bottom"/>
            <w:gridSpan w:val="5"/>
          </w:tcPr>
          <w:p>
            <w:pPr>
              <w:ind w:left="120"/>
              <w:spacing w:after="0"/>
              <w:rPr>
                <w:sz w:val="20"/>
                <w:szCs w:val="20"/>
                <w:color w:val="auto"/>
              </w:rPr>
            </w:pPr>
            <w:r>
              <w:rPr>
                <w:rFonts w:ascii="Arial" w:cs="Arial" w:eastAsia="Arial" w:hAnsi="Arial"/>
                <w:sz w:val="18"/>
                <w:szCs w:val="18"/>
                <w:color w:val="auto"/>
              </w:rPr>
              <w:t>align:center;font-</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5"/>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August 28,</w:t>
            </w:r>
          </w:p>
        </w:tc>
        <w:tc>
          <w:tcPr>
            <w:tcW w:w="1520" w:type="dxa"/>
            <w:vAlign w:val="bottom"/>
            <w:gridSpan w:val="5"/>
          </w:tcPr>
          <w:p>
            <w:pPr>
              <w:ind w:left="120"/>
              <w:spacing w:after="0"/>
              <w:rPr>
                <w:sz w:val="20"/>
                <w:szCs w:val="20"/>
                <w:color w:val="auto"/>
              </w:rPr>
            </w:pPr>
            <w:r>
              <w:rPr>
                <w:rFonts w:ascii="Arial" w:cs="Arial" w:eastAsia="Arial" w:hAnsi="Arial"/>
                <w:sz w:val="18"/>
                <w:szCs w:val="18"/>
                <w:color w:val="auto"/>
              </w:rPr>
              <w:t>size:10pt;"&gt;</w:t>
            </w:r>
            <w:r>
              <w:rPr>
                <w:rFonts w:ascii="Arial" w:cs="Arial" w:eastAsia="Arial" w:hAnsi="Arial"/>
                <w:sz w:val="18"/>
                <w:szCs w:val="18"/>
                <w:b w:val="1"/>
                <w:bCs w:val="1"/>
                <w:color w:val="auto"/>
              </w:rPr>
              <w:t>Mix</w:t>
            </w:r>
          </w:p>
        </w:tc>
        <w:tc>
          <w:tcPr>
            <w:tcW w:w="100" w:type="dxa"/>
            <w:vAlign w:val="bottom"/>
          </w:tcPr>
          <w:p>
            <w:pPr>
              <w:spacing w:after="0"/>
              <w:rPr>
                <w:sz w:val="19"/>
                <w:szCs w:val="19"/>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August 29,</w:t>
            </w: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Product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9"/>
                <w:szCs w:val="19"/>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(In units)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2010</w:t>
            </w:r>
          </w:p>
        </w:tc>
        <w:tc>
          <w:tcPr>
            <w:tcW w:w="50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21"/>
                <w:szCs w:val="21"/>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rPr>
              <w:t>Mix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Units</w:t>
            </w:r>
          </w:p>
        </w:tc>
        <w:tc>
          <w:tcPr>
            <w:tcW w:w="13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Change</w:t>
            </w:r>
          </w:p>
        </w:tc>
      </w:tr>
      <w:tr>
        <w:trPr>
          <w:trHeight w:val="264"/>
        </w:trPr>
        <w:tc>
          <w:tcPr>
            <w:tcW w:w="3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4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8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22.5%</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123.9 %</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715</w:t>
            </w:r>
          </w:p>
        </w:tc>
        <w:tc>
          <w:tcPr>
            <w:tcW w:w="5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196.7</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Class B</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2"/>
                <w:szCs w:val="22"/>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2"/>
                <w:szCs w:val="22"/>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C</w:t>
            </w:r>
          </w:p>
        </w:tc>
        <w:tc>
          <w:tcPr>
            <w:tcW w:w="1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5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35.7</w:t>
            </w:r>
          </w:p>
        </w:tc>
        <w:tc>
          <w:tcPr>
            <w:tcW w:w="10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314&lt; /div&gt;</w:t>
            </w: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32.2 %</w:t>
            </w:r>
          </w:p>
        </w:tc>
      </w:tr>
      <w:tr>
        <w:trPr>
          <w:trHeight w:val="250"/>
        </w:trPr>
        <w:tc>
          <w:tcPr>
            <w:tcW w:w="3240" w:type="dxa"/>
            <w:vAlign w:val="bottom"/>
          </w:tcPr>
          <w:p>
            <w:pPr>
              <w:ind w:left="280"/>
              <w:spacing w:after="0"/>
              <w:rPr>
                <w:sz w:val="20"/>
                <w:szCs w:val="20"/>
                <w:color w:val="auto"/>
              </w:rPr>
            </w:pPr>
            <w:r>
              <w:rPr>
                <w:rFonts w:ascii="Arial" w:cs="Arial" w:eastAsia="Arial" w:hAnsi="Arial"/>
                <w:sz w:val="18"/>
                <w:szCs w:val="18"/>
                <w:color w:val="auto"/>
              </w:rPr>
              <w:t>Total deliveries</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w:t>
            </w: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92.4 %</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865"/>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ind w:right="400"/>
              <w:spacing w:after="0"/>
              <w:rPr>
                <w:sz w:val="20"/>
                <w:szCs w:val="20"/>
                <w:color w:val="auto"/>
              </w:rPr>
            </w:pPr>
            <w:r>
              <w:rPr>
                <w:rFonts w:ascii="Arial" w:cs="Arial" w:eastAsia="Arial" w:hAnsi="Arial"/>
                <w:sz w:val="18"/>
                <w:szCs w:val="18"/>
                <w:b w:val="1"/>
                <w:bCs w:val="1"/>
                <w:color w:val="auto"/>
                <w:w w:val="98"/>
              </w:rPr>
              <w:t>Year Ended</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7"/>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August 28,</w:t>
            </w:r>
          </w:p>
        </w:tc>
        <w:tc>
          <w:tcPr>
            <w:tcW w:w="1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August 29,</w:t>
            </w: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Product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17"/>
                <w:szCs w:val="17"/>
                <w:color w:val="auto"/>
              </w:rPr>
            </w:pPr>
          </w:p>
        </w:tc>
      </w:tr>
      <w:tr>
        <w:trPr>
          <w:trHeight w:val="246"/>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units)</w:t>
            </w:r>
          </w:p>
        </w:tc>
        <w:tc>
          <w:tcPr>
            <w:tcW w:w="1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2010</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rPr>
              <w:t>Mix %</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8"/>
                <w:szCs w:val="18"/>
                <w:b w:val="1"/>
                <w:bCs w:val="1"/>
                <w:color w:val="auto"/>
              </w:rPr>
              <w:t>Mix %</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w w:val="97"/>
              </w:rPr>
              <w:t>Units</w:t>
            </w:r>
          </w:p>
        </w:tc>
        <w:tc>
          <w:tcPr>
            <w:tcW w:w="1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9"/>
              </w:rPr>
              <w:t>Change</w:t>
            </w: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209.0 %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4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183.3 %</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5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55.3%</w:t>
            </w: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198.3 %</w:t>
            </w:r>
          </w:p>
        </w:tc>
      </w:tr>
      <w:tr>
        <w:trPr>
          <w:trHeight w:val="229"/>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3"/>
          </w:tcPr>
          <w:p>
            <w:pPr>
              <w:ind w:left="40"/>
              <w:spacing w:after="0"/>
              <w:rPr>
                <w:sz w:val="20"/>
                <w:szCs w:val="20"/>
                <w:color w:val="auto"/>
              </w:rPr>
            </w:pPr>
            <w:r>
              <w:rPr>
                <w:rFonts w:ascii="Arial" w:cs="Arial" w:eastAsia="Arial" w:hAnsi="Arial"/>
                <w:sz w:val="18"/>
                <w:szCs w:val="18"/>
                <w:color w:val="auto"/>
                <w:w w:val="93"/>
              </w:rPr>
              <w:t>&lt; div</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ind w:left="40"/>
              <w:spacing w:after="0"/>
              <w:rPr>
                <w:sz w:val="20"/>
                <w:szCs w:val="20"/>
                <w:color w:val="auto"/>
              </w:rPr>
            </w:pPr>
            <w:r>
              <w:rPr>
                <w:rFonts w:ascii="Arial" w:cs="Arial" w:eastAsia="Arial" w:hAnsi="Arial"/>
                <w:sz w:val="18"/>
                <w:szCs w:val="18"/>
                <w:color w:val="auto"/>
              </w:rPr>
              <w:t>style="text-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5"/>
          </w:tcPr>
          <w:p>
            <w:pPr>
              <w:ind w:left="40"/>
              <w:spacing w:after="0"/>
              <w:rPr>
                <w:sz w:val="20"/>
                <w:szCs w:val="20"/>
                <w:color w:val="auto"/>
              </w:rPr>
            </w:pPr>
            <w:r>
              <w:rPr>
                <w:rFonts w:ascii="Arial" w:cs="Arial" w:eastAsia="Arial" w:hAnsi="Arial"/>
                <w:sz w:val="18"/>
                <w:szCs w:val="18"/>
                <w:color w:val="auto"/>
              </w:rPr>
              <w:t>align:right;font-</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51"/>
        </w:trPr>
        <w:tc>
          <w:tcPr>
            <w:tcW w:w="3240" w:type="dxa"/>
            <w:vAlign w:val="bottom"/>
          </w:tcPr>
          <w:p>
            <w:pPr>
              <w:ind w:left="40"/>
              <w:spacing w:after="0"/>
              <w:rPr>
                <w:sz w:val="20"/>
                <w:szCs w:val="20"/>
                <w:color w:val="auto"/>
              </w:rPr>
            </w:pPr>
            <w:r>
              <w:rPr>
                <w:rFonts w:ascii="Arial" w:cs="Arial" w:eastAsia="Arial" w:hAnsi="Arial"/>
                <w:sz w:val="18"/>
                <w:szCs w:val="18"/>
                <w:color w:val="auto"/>
              </w:rPr>
              <w:t>Class B</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50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320" w:type="dxa"/>
            <w:vAlign w:val="bottom"/>
            <w:gridSpan w:val="5"/>
          </w:tcPr>
          <w:p>
            <w:pPr>
              <w:ind w:left="40"/>
              <w:spacing w:after="0"/>
              <w:rPr>
                <w:sz w:val="20"/>
                <w:szCs w:val="20"/>
                <w:color w:val="auto"/>
              </w:rPr>
            </w:pPr>
            <w:r>
              <w:rPr>
                <w:rFonts w:ascii="Arial" w:cs="Arial" w:eastAsia="Arial" w:hAnsi="Arial"/>
                <w:sz w:val="18"/>
                <w:szCs w:val="18"/>
                <w:color w:val="auto"/>
              </w:rPr>
              <w:t>size:10pt;"&gt;87</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58.4 %</w:t>
            </w: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C</w:t>
            </w:r>
          </w:p>
        </w:tc>
        <w:tc>
          <w:tcPr>
            <w:tcW w:w="140" w:type="dxa"/>
            <w:vAlign w:val="bottom"/>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5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42.4 %</w:t>
            </w:r>
          </w:p>
        </w:tc>
      </w:tr>
      <w:tr>
        <w:trPr>
          <w:trHeight w:val="250"/>
        </w:trPr>
        <w:tc>
          <w:tcPr>
            <w:tcW w:w="3240" w:type="dxa"/>
            <w:vAlign w:val="bottom"/>
          </w:tcPr>
          <w:p>
            <w:pPr>
              <w:ind w:left="280"/>
              <w:spacing w:after="0"/>
              <w:rPr>
                <w:sz w:val="20"/>
                <w:szCs w:val="20"/>
                <w:color w:val="auto"/>
              </w:rPr>
            </w:pPr>
            <w:r>
              <w:rPr>
                <w:rFonts w:ascii="Arial" w:cs="Arial" w:eastAsia="Arial" w:hAnsi="Arial"/>
                <w:sz w:val="18"/>
                <w:szCs w:val="18"/>
                <w:color w:val="auto"/>
              </w:rPr>
              <w:t>Total deliveries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4,433</w:t>
            </w:r>
          </w:p>
        </w:tc>
        <w:tc>
          <w:tcPr>
            <w:tcW w:w="500" w:type="dxa"/>
            <w:vAlign w:val="bottom"/>
          </w:tcPr>
          <w:p>
            <w:pPr>
              <w:spacing w:after="0"/>
              <w:rPr>
                <w:sz w:val="21"/>
                <w:szCs w:val="21"/>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2,196</w:t>
            </w:r>
          </w:p>
        </w:tc>
        <w:tc>
          <w:tcPr>
            <w:tcW w:w="8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101.9 %</w:t>
            </w: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20" w:type="dxa"/>
            <w:vAlign w:val="bottom"/>
            <w:gridSpan w:val="8"/>
          </w:tcPr>
          <w:p>
            <w:pPr>
              <w:ind w:left="40"/>
              <w:spacing w:after="0"/>
              <w:rPr>
                <w:sz w:val="20"/>
                <w:szCs w:val="20"/>
                <w:color w:val="auto"/>
              </w:rPr>
            </w:pPr>
            <w:r>
              <w:rPr>
                <w:rFonts w:ascii="Arial" w:cs="Arial" w:eastAsia="Arial" w:hAnsi="Arial"/>
                <w:sz w:val="18"/>
                <w:szCs w:val="18"/>
                <w:b w:val="1"/>
                <w:bCs w:val="1"/>
                <w:color w:val="auto"/>
              </w:rPr>
              <w:t>Winnebago Industries, Inc.</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9"/>
        </w:trPr>
        <w:tc>
          <w:tcPr>
            <w:tcW w:w="3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40" w:type="dxa"/>
            <w:vAlign w:val="bottom"/>
            <w:gridSpan w:val="9"/>
          </w:tcPr>
          <w:p>
            <w:pPr>
              <w:ind w:left="580"/>
              <w:spacing w:after="0"/>
              <w:rPr>
                <w:sz w:val="20"/>
                <w:szCs w:val="20"/>
                <w:color w:val="auto"/>
              </w:rPr>
            </w:pPr>
            <w:r>
              <w:rPr>
                <w:rFonts w:ascii="Arial" w:cs="Arial" w:eastAsia="Arial" w:hAnsi="Arial"/>
                <w:sz w:val="18"/>
                <w:szCs w:val="18"/>
                <w:b w:val="1"/>
                <w:bCs w:val="1"/>
                <w:color w:val="auto"/>
                <w:w w:val="99"/>
              </w:rPr>
              <w:t>Unaudited Backlog and Dealer Inventory</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662"/>
        </w:trPr>
        <w:tc>
          <w:tcPr>
            <w:tcW w:w="3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ind w:left="600"/>
              <w:spacing w:after="0"/>
              <w:rPr>
                <w:sz w:val="20"/>
                <w:szCs w:val="20"/>
                <w:color w:val="auto"/>
              </w:rPr>
            </w:pPr>
            <w:r>
              <w:rPr>
                <w:rFonts w:ascii="Arial" w:cs="Arial" w:eastAsia="Arial" w:hAnsi="Arial"/>
                <w:sz w:val="18"/>
                <w:szCs w:val="18"/>
                <w:b w:val="1"/>
                <w:bCs w:val="1"/>
                <w:color w:val="auto"/>
              </w:rPr>
              <w:t>As Of</w:t>
            </w:r>
          </w:p>
        </w:tc>
        <w:tc>
          <w:tcPr>
            <w:tcW w:w="9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rPr>
              <w:t>Change</w:t>
            </w: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200"/>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August 28,</w:t>
            </w:r>
          </w:p>
        </w:tc>
        <w:tc>
          <w:tcPr>
            <w:tcW w:w="1520" w:type="dxa"/>
            <w:vAlign w:val="bottom"/>
            <w:gridSpan w:val="5"/>
          </w:tcPr>
          <w:p>
            <w:pPr>
              <w:ind w:left="260"/>
              <w:spacing w:after="0" w:line="201" w:lineRule="exact"/>
              <w:rPr>
                <w:sz w:val="20"/>
                <w:szCs w:val="20"/>
                <w:color w:val="auto"/>
              </w:rPr>
            </w:pPr>
            <w:r>
              <w:rPr>
                <w:rFonts w:ascii="Arial" w:cs="Arial" w:eastAsia="Arial" w:hAnsi="Arial"/>
                <w:sz w:val="18"/>
                <w:szCs w:val="18"/>
                <w:b w:val="1"/>
                <w:bCs w:val="1"/>
                <w:color w:val="auto"/>
              </w:rPr>
              <w:t>Product</w:t>
            </w:r>
          </w:p>
        </w:tc>
        <w:tc>
          <w:tcPr>
            <w:tcW w:w="1400" w:type="dxa"/>
            <w:vAlign w:val="bottom"/>
            <w:gridSpan w:val="3"/>
          </w:tcPr>
          <w:p>
            <w:pPr>
              <w:ind w:left="20"/>
              <w:spacing w:after="0" w:line="201" w:lineRule="exact"/>
              <w:rPr>
                <w:sz w:val="20"/>
                <w:szCs w:val="20"/>
                <w:color w:val="auto"/>
              </w:rPr>
            </w:pPr>
            <w:r>
              <w:rPr>
                <w:rFonts w:ascii="Arial" w:cs="Arial" w:eastAsia="Arial" w:hAnsi="Arial"/>
                <w:sz w:val="18"/>
                <w:szCs w:val="18"/>
                <w:b w:val="1"/>
                <w:bCs w:val="1"/>
                <w:color w:val="auto"/>
              </w:rPr>
              <w:t>August 29,</w:t>
            </w:r>
          </w:p>
        </w:tc>
        <w:tc>
          <w:tcPr>
            <w:tcW w:w="1220" w:type="dxa"/>
            <w:vAlign w:val="bottom"/>
            <w:gridSpan w:val="3"/>
          </w:tcPr>
          <w:p>
            <w:pPr>
              <w:jc w:val="right"/>
              <w:ind w:right="540"/>
              <w:spacing w:after="0" w:line="201" w:lineRule="exact"/>
              <w:rPr>
                <w:sz w:val="20"/>
                <w:szCs w:val="20"/>
                <w:color w:val="auto"/>
              </w:rPr>
            </w:pPr>
            <w:r>
              <w:rPr>
                <w:rFonts w:ascii="Arial" w:cs="Arial" w:eastAsia="Arial" w:hAnsi="Arial"/>
                <w:sz w:val="18"/>
                <w:szCs w:val="18"/>
                <w:b w:val="1"/>
                <w:bCs w:val="1"/>
                <w:color w:val="auto"/>
                <w:w w:val="96"/>
              </w:rPr>
              <w:t>Product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46"/>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Sales order backlog (units):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1520" w:type="dxa"/>
            <w:vAlign w:val="bottom"/>
            <w:gridSpan w:val="5"/>
          </w:tcPr>
          <w:p>
            <w:pPr>
              <w:ind w:left="460"/>
              <w:spacing w:after="0"/>
              <w:rPr>
                <w:sz w:val="20"/>
                <w:szCs w:val="20"/>
                <w:color w:val="auto"/>
              </w:rPr>
            </w:pPr>
            <w:r>
              <w:rPr>
                <w:rFonts w:ascii="Arial" w:cs="Arial" w:eastAsia="Arial" w:hAnsi="Arial"/>
                <w:sz w:val="18"/>
                <w:szCs w:val="18"/>
                <w:b w:val="1"/>
                <w:bCs w:val="1"/>
                <w:color w:val="auto"/>
              </w:rPr>
              <w:t>Mix</w:t>
            </w:r>
          </w:p>
        </w:tc>
        <w:tc>
          <w:tcPr>
            <w:tcW w:w="13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1"/>
                <w:szCs w:val="21"/>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Mix</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Units</w:t>
            </w:r>
          </w:p>
        </w:tc>
        <w:tc>
          <w:tcPr>
            <w:tcW w:w="520" w:type="dxa"/>
            <w:vAlign w:val="bottom"/>
          </w:tcPr>
          <w:p>
            <w:pPr>
              <w:spacing w:after="0"/>
              <w:rPr>
                <w:sz w:val="21"/>
                <w:szCs w:val="21"/>
                <w:color w:val="auto"/>
              </w:rPr>
            </w:pPr>
          </w:p>
        </w:tc>
        <w:tc>
          <w:tcPr>
            <w:tcW w:w="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w:t>
            </w:r>
          </w:p>
        </w:tc>
        <w:tc>
          <w:tcPr>
            <w:tcW w:w="260" w:type="dxa"/>
            <w:vAlign w:val="bottom"/>
          </w:tcPr>
          <w:p>
            <w:pPr>
              <w:spacing w:after="0"/>
              <w:rPr>
                <w:sz w:val="21"/>
                <w:szCs w:val="21"/>
                <w:color w:val="auto"/>
              </w:rPr>
            </w:pPr>
          </w:p>
        </w:tc>
      </w:tr>
      <w:tr>
        <w:trPr>
          <w:trHeight w:val="243"/>
        </w:trPr>
        <w:tc>
          <w:tcPr>
            <w:tcW w:w="3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Class A gas</w:t>
            </w: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w:t>
            </w:r>
          </w:p>
        </w:tc>
        <w:tc>
          <w:tcPr>
            <w:tcW w:w="5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345</w:t>
            </w:r>
          </w:p>
        </w:tc>
        <w:tc>
          <w:tcPr>
            <w:tcW w:w="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(73)</w:t>
            </w:r>
          </w:p>
        </w:tc>
        <w:tc>
          <w:tcPr>
            <w:tcW w:w="5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77"/>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c>
          <w:tcPr>
            <w:tcW w:w="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w:t>
            </w: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10.1 %</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w:t>
            </w:r>
          </w:p>
        </w:tc>
        <w:tc>
          <w:tcPr>
            <w:tcW w:w="5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543</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r>
      <w:tr>
        <w:trPr>
          <w:trHeight w:val="229"/>
        </w:trPr>
        <w:tc>
          <w:tcPr>
            <w:tcW w:w="3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&amp;</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51"/>
        </w:trPr>
        <w:tc>
          <w:tcPr>
            <w:tcW w:w="3240" w:type="dxa"/>
            <w:vAlign w:val="bottom"/>
          </w:tcPr>
          <w:p>
            <w:pPr>
              <w:ind w:left="280"/>
              <w:spacing w:after="0"/>
              <w:rPr>
                <w:sz w:val="20"/>
                <w:szCs w:val="20"/>
                <w:color w:val="auto"/>
              </w:rPr>
            </w:pPr>
            <w:r>
              <w:rPr>
                <w:rFonts w:ascii="Arial" w:cs="Arial" w:eastAsia="Arial" w:hAnsi="Arial"/>
                <w:sz w:val="18"/>
                <w:szCs w:val="18"/>
                <w:color w:val="auto"/>
              </w:rPr>
              <w:t>Class B</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gridSpan w:val="2"/>
          </w:tcPr>
          <w:p>
            <w:pPr>
              <w:jc w:val="right"/>
              <w:ind w:right="2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760" w:type="dxa"/>
            <w:vAlign w:val="bottom"/>
            <w:gridSpan w:val="7"/>
          </w:tcPr>
          <w:p>
            <w:pPr>
              <w:ind w:left="520"/>
              <w:spacing w:after="0"/>
              <w:rPr>
                <w:sz w:val="20"/>
                <w:szCs w:val="20"/>
                <w:color w:val="auto"/>
              </w:rPr>
            </w:pPr>
            <w:r>
              <w:rPr>
                <w:rFonts w:ascii="Arial" w:cs="Arial" w:eastAsia="Arial" w:hAnsi="Arial"/>
                <w:sz w:val="18"/>
                <w:szCs w:val="18"/>
                <w:color w:val="auto"/>
              </w:rPr>
              <w:t>1.1% nbsp;</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r>
      <w:tr>
        <w:trPr>
          <w:trHeight w:val="270"/>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Class C</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387</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5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0"/>
        </w:trPr>
        <w:tc>
          <w:tcPr>
            <w:tcW w:w="3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r>
      <w:tr>
        <w:trPr>
          <w:trHeight w:val="257"/>
        </w:trPr>
        <w:tc>
          <w:tcPr>
            <w:tcW w:w="3240" w:type="dxa"/>
            <w:vAlign w:val="bottom"/>
          </w:tcPr>
          <w:p>
            <w:pPr>
              <w:ind w:left="500"/>
              <w:spacing w:after="0"/>
              <w:rPr>
                <w:sz w:val="20"/>
                <w:szCs w:val="20"/>
                <w:color w:val="auto"/>
              </w:rPr>
            </w:pPr>
            <w:r>
              <w:rPr>
                <w:rFonts w:ascii="Arial" w:cs="Arial" w:eastAsia="Arial" w:hAnsi="Arial"/>
                <w:sz w:val="18"/>
                <w:szCs w:val="18"/>
                <w:color w:val="auto"/>
              </w:rPr>
              <w:t>Total backlog</w:t>
            </w:r>
            <w:r>
              <w:rPr>
                <w:rFonts w:ascii="Arial" w:cs="Arial" w:eastAsia="Arial" w:hAnsi="Arial"/>
                <w:sz w:val="21"/>
                <w:szCs w:val="21"/>
                <w:color w:val="auto"/>
                <w:vertAlign w:val="superscript"/>
              </w:rPr>
              <w:t>(1)</w:t>
            </w: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818</w:t>
            </w:r>
          </w:p>
        </w:tc>
        <w:tc>
          <w:tcPr>
            <w:tcW w:w="5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940</w:t>
            </w:r>
          </w:p>
        </w:tc>
        <w:tc>
          <w:tcPr>
            <w:tcW w:w="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(122)</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0"/>
        </w:trPr>
        <w:tc>
          <w:tcPr>
            <w:tcW w:w="3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91"/>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29"/>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approximate revenue dollars (in 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3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housands)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82,773</w:t>
            </w:r>
          </w:p>
        </w:tc>
        <w:tc>
          <w:tcPr>
            <w:tcW w:w="5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86,626</w:t>
            </w: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(3,853)</w:t>
            </w:r>
          </w:p>
        </w:tc>
        <w:tc>
          <w:tcPr>
            <w:tcW w:w="5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311"/>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Dealer inventory (units)</w:t>
            </w:r>
          </w:p>
        </w:tc>
        <w:tc>
          <w:tcPr>
            <w:tcW w:w="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2,044</w:t>
            </w:r>
          </w:p>
        </w:tc>
        <w:tc>
          <w:tcPr>
            <w:tcW w:w="5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5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-2049145</wp:posOffset>
            </wp:positionV>
            <wp:extent cx="708342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3425" cy="1714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ind w:left="340" w:right="160"/>
        <w:spacing w:after="0" w:line="256" w:lineRule="auto"/>
        <w:rPr>
          <w:sz w:val="20"/>
          <w:szCs w:val="20"/>
          <w:color w:val="auto"/>
        </w:rPr>
      </w:pPr>
      <w:r>
        <w:rPr>
          <w:rFonts w:ascii="Arial" w:cs="Arial" w:eastAsia="Arial" w:hAnsi="Arial"/>
          <w:sz w:val="18"/>
          <w:szCs w:val="18"/>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sectPr>
      <w:pgSz w:w="11900" w:h="16838" w:orient="portrait"/>
      <w:cols w:equalWidth="0" w:num="1">
        <w:col w:w="11420"/>
      </w:cols>
      <w:pgMar w:left="240" w:top="6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o"/>
      <w:numFmt w:val="bullet"/>
      <w:start w:val="1"/>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lt;"/>
      <w:numFmt w:val="bullet"/>
      <w:start w:val="1"/>
    </w:lvl>
  </w:abstractNum>
  <w:abstractNum w:abstractNumId="4">
    <w:nsid w:val="46E87CCD"/>
    <w:multiLevelType w:val="hybridMultilevel"/>
    <w:lvl w:ilvl="0">
      <w:lvlJc w:val="left"/>
      <w:lvlText w:val="&lt;"/>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2019-12-10T02:59:50Z</dcterms:created>
  <dcterms:modified xsi:type="dcterms:W3CDTF">2019-12-10T02:59:50Z</dcterms:modified>
</cp:coreProperties>
</file>