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7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(Mark One)</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x Quarterly Report Pursuant to Section 13 or 15(d) of the</w:t>
      </w:r>
    </w:p>
    <w:p>
      <w:pPr>
        <w:jc w:val="center"/>
        <w:ind w:right="-159"/>
        <w:spacing w:after="0"/>
        <w:rPr>
          <w:sz w:val="20"/>
          <w:szCs w:val="20"/>
          <w:color w:val="auto"/>
        </w:rPr>
      </w:pPr>
      <w:r>
        <w:rPr>
          <w:rFonts w:ascii="Arial" w:cs="Arial" w:eastAsia="Arial" w:hAnsi="Arial"/>
          <w:sz w:val="22"/>
          <w:szCs w:val="22"/>
          <w:b w:val="1"/>
          <w:bCs w:val="1"/>
          <w:color w:val="auto"/>
        </w:rPr>
        <w:t>Securities Exchange Act of 1934</w:t>
      </w:r>
    </w:p>
    <w:p>
      <w:pPr>
        <w:spacing w:after="0" w:line="188"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For the Quarterly Period Ended May 31, 2008</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or</w:t>
      </w:r>
    </w:p>
    <w:p>
      <w:pPr>
        <w:spacing w:after="0" w:line="227"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o Transition Report Pursuant to Section 13 or 15(d) of the</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Exchange Act of 1934</w:t>
      </w:r>
    </w:p>
    <w:p>
      <w:pPr>
        <w:spacing w:after="0" w:line="188" w:lineRule="exact"/>
        <w:rPr>
          <w:sz w:val="24"/>
          <w:szCs w:val="24"/>
          <w:color w:val="auto"/>
        </w:rPr>
      </w:pPr>
    </w:p>
    <w:p>
      <w:pPr>
        <w:ind w:left="2960"/>
        <w:spacing w:after="0"/>
        <w:rPr>
          <w:sz w:val="20"/>
          <w:szCs w:val="20"/>
          <w:color w:val="auto"/>
        </w:rPr>
      </w:pPr>
      <w:r>
        <w:rPr>
          <w:rFonts w:ascii="Arial" w:cs="Arial" w:eastAsia="Arial" w:hAnsi="Arial"/>
          <w:sz w:val="22"/>
          <w:szCs w:val="22"/>
          <w:color w:val="auto"/>
        </w:rPr>
        <w:t>For the transition period from ____________ to ____________</w:t>
      </w:r>
    </w:p>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43"/>
          <w:szCs w:val="43"/>
          <w:color w:val="auto"/>
        </w:rPr>
        <w:t>Winnebago Industries, Inc.</w:t>
      </w:r>
    </w:p>
    <w:p>
      <w:pPr>
        <w:spacing w:after="0" w:line="42"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198" w:lineRule="exact"/>
        <w:rPr>
          <w:sz w:val="24"/>
          <w:szCs w:val="24"/>
          <w:color w:val="auto"/>
        </w:rPr>
      </w:pPr>
    </w:p>
    <w:tbl>
      <w:tblPr>
        <w:tblLayout w:type="fixed"/>
        <w:tblInd w:w="520" w:type="dxa"/>
        <w:tblCellMar>
          <w:top w:w="0" w:type="dxa"/>
          <w:left w:w="0" w:type="dxa"/>
          <w:bottom w:w="0" w:type="dxa"/>
          <w:right w:w="0" w:type="dxa"/>
        </w:tblCellMar>
      </w:tblPr>
      <w:tr>
        <w:trPr>
          <w:trHeight w:val="256"/>
        </w:trPr>
        <w:tc>
          <w:tcPr>
            <w:tcW w:w="3580" w:type="dxa"/>
            <w:vAlign w:val="bottom"/>
          </w:tcPr>
          <w:p>
            <w:pPr>
              <w:jc w:val="center"/>
              <w:ind w:right="624"/>
              <w:spacing w:after="0"/>
              <w:rPr>
                <w:sz w:val="20"/>
                <w:szCs w:val="20"/>
                <w:color w:val="auto"/>
              </w:rPr>
            </w:pPr>
            <w:r>
              <w:rPr>
                <w:rFonts w:ascii="Arial" w:cs="Arial" w:eastAsia="Arial" w:hAnsi="Arial"/>
                <w:sz w:val="22"/>
                <w:szCs w:val="22"/>
                <w:color w:val="auto"/>
                <w:w w:val="90"/>
              </w:rPr>
              <w:t>Iowa</w:t>
            </w:r>
          </w:p>
        </w:tc>
        <w:tc>
          <w:tcPr>
            <w:tcW w:w="3720" w:type="dxa"/>
            <w:vAlign w:val="bottom"/>
          </w:tcPr>
          <w:p>
            <w:pPr>
              <w:jc w:val="right"/>
              <w:ind w:right="1482"/>
              <w:spacing w:after="0"/>
              <w:rPr>
                <w:sz w:val="20"/>
                <w:szCs w:val="20"/>
                <w:color w:val="auto"/>
              </w:rPr>
            </w:pPr>
            <w:r>
              <w:rPr>
                <w:rFonts w:ascii="Arial" w:cs="Arial" w:eastAsia="Arial" w:hAnsi="Arial"/>
                <w:sz w:val="22"/>
                <w:szCs w:val="22"/>
                <w:color w:val="auto"/>
              </w:rPr>
              <w:t>001-06403</w:t>
            </w:r>
          </w:p>
        </w:tc>
        <w:tc>
          <w:tcPr>
            <w:tcW w:w="2380" w:type="dxa"/>
            <w:vAlign w:val="bottom"/>
          </w:tcPr>
          <w:p>
            <w:pPr>
              <w:jc w:val="right"/>
              <w:ind w:right="44"/>
              <w:spacing w:after="0"/>
              <w:rPr>
                <w:sz w:val="20"/>
                <w:szCs w:val="20"/>
                <w:color w:val="auto"/>
              </w:rPr>
            </w:pPr>
            <w:r>
              <w:rPr>
                <w:rFonts w:ascii="Arial" w:cs="Arial" w:eastAsia="Arial" w:hAnsi="Arial"/>
                <w:sz w:val="22"/>
                <w:szCs w:val="22"/>
                <w:color w:val="auto"/>
              </w:rPr>
              <w:t>42-0802678</w:t>
            </w:r>
          </w:p>
        </w:tc>
      </w:tr>
      <w:tr>
        <w:trPr>
          <w:trHeight w:val="222"/>
        </w:trPr>
        <w:tc>
          <w:tcPr>
            <w:tcW w:w="3580" w:type="dxa"/>
            <w:vAlign w:val="bottom"/>
          </w:tcPr>
          <w:p>
            <w:pPr>
              <w:jc w:val="center"/>
              <w:ind w:right="624"/>
              <w:spacing w:after="0"/>
              <w:rPr>
                <w:sz w:val="20"/>
                <w:szCs w:val="20"/>
                <w:color w:val="auto"/>
              </w:rPr>
            </w:pPr>
            <w:r>
              <w:rPr>
                <w:rFonts w:ascii="Arial" w:cs="Arial" w:eastAsia="Arial" w:hAnsi="Arial"/>
                <w:sz w:val="18"/>
                <w:szCs w:val="18"/>
                <w:color w:val="auto"/>
                <w:w w:val="88"/>
              </w:rPr>
              <w:t>(State or Other Jurisdiction</w:t>
            </w:r>
          </w:p>
        </w:tc>
        <w:tc>
          <w:tcPr>
            <w:tcW w:w="3720" w:type="dxa"/>
            <w:vAlign w:val="bottom"/>
          </w:tcPr>
          <w:p>
            <w:pPr>
              <w:jc w:val="center"/>
              <w:ind w:right="242"/>
              <w:spacing w:after="0"/>
              <w:rPr>
                <w:sz w:val="20"/>
                <w:szCs w:val="20"/>
                <w:color w:val="auto"/>
              </w:rPr>
            </w:pPr>
            <w:r>
              <w:rPr>
                <w:rFonts w:ascii="Arial" w:cs="Arial" w:eastAsia="Arial" w:hAnsi="Arial"/>
                <w:sz w:val="18"/>
                <w:szCs w:val="18"/>
                <w:color w:val="auto"/>
                <w:w w:val="90"/>
              </w:rPr>
              <w:t>(Commission File Number)</w:t>
            </w:r>
          </w:p>
        </w:tc>
        <w:tc>
          <w:tcPr>
            <w:tcW w:w="2380" w:type="dxa"/>
            <w:vAlign w:val="bottom"/>
          </w:tcPr>
          <w:p>
            <w:pPr>
              <w:jc w:val="center"/>
              <w:ind w:left="964"/>
              <w:spacing w:after="0"/>
              <w:rPr>
                <w:sz w:val="20"/>
                <w:szCs w:val="20"/>
                <w:color w:val="auto"/>
              </w:rPr>
            </w:pPr>
            <w:r>
              <w:rPr>
                <w:rFonts w:ascii="Arial" w:cs="Arial" w:eastAsia="Arial" w:hAnsi="Arial"/>
                <w:sz w:val="18"/>
                <w:szCs w:val="18"/>
                <w:color w:val="auto"/>
                <w:w w:val="92"/>
              </w:rPr>
              <w:t>(IRS Employer</w:t>
            </w:r>
          </w:p>
        </w:tc>
      </w:tr>
      <w:tr>
        <w:trPr>
          <w:trHeight w:val="243"/>
        </w:trPr>
        <w:tc>
          <w:tcPr>
            <w:tcW w:w="3580" w:type="dxa"/>
            <w:vAlign w:val="bottom"/>
          </w:tcPr>
          <w:p>
            <w:pPr>
              <w:jc w:val="center"/>
              <w:ind w:right="624"/>
              <w:spacing w:after="0"/>
              <w:rPr>
                <w:sz w:val="20"/>
                <w:szCs w:val="20"/>
                <w:color w:val="auto"/>
              </w:rPr>
            </w:pPr>
            <w:r>
              <w:rPr>
                <w:rFonts w:ascii="Arial" w:cs="Arial" w:eastAsia="Arial" w:hAnsi="Arial"/>
                <w:sz w:val="18"/>
                <w:szCs w:val="18"/>
                <w:color w:val="auto"/>
                <w:w w:val="90"/>
              </w:rPr>
              <w:t>of Incorporation or Organization)</w:t>
            </w:r>
          </w:p>
        </w:tc>
        <w:tc>
          <w:tcPr>
            <w:tcW w:w="3720" w:type="dxa"/>
            <w:vAlign w:val="bottom"/>
          </w:tcPr>
          <w:p>
            <w:pPr>
              <w:spacing w:after="0"/>
              <w:rPr>
                <w:sz w:val="21"/>
                <w:szCs w:val="21"/>
                <w:color w:val="auto"/>
              </w:rPr>
            </w:pPr>
          </w:p>
        </w:tc>
        <w:tc>
          <w:tcPr>
            <w:tcW w:w="2380" w:type="dxa"/>
            <w:vAlign w:val="bottom"/>
          </w:tcPr>
          <w:p>
            <w:pPr>
              <w:jc w:val="center"/>
              <w:ind w:left="964"/>
              <w:spacing w:after="0"/>
              <w:rPr>
                <w:sz w:val="20"/>
                <w:szCs w:val="20"/>
                <w:color w:val="auto"/>
              </w:rPr>
            </w:pPr>
            <w:r>
              <w:rPr>
                <w:rFonts w:ascii="Arial" w:cs="Arial" w:eastAsia="Arial" w:hAnsi="Arial"/>
                <w:sz w:val="18"/>
                <w:szCs w:val="18"/>
                <w:color w:val="auto"/>
                <w:w w:val="94"/>
              </w:rPr>
              <w:t>Identification No.)</w:t>
            </w:r>
          </w:p>
        </w:tc>
      </w:tr>
      <w:tr>
        <w:trPr>
          <w:trHeight w:val="480"/>
        </w:trPr>
        <w:tc>
          <w:tcPr>
            <w:tcW w:w="3580" w:type="dxa"/>
            <w:vAlign w:val="bottom"/>
          </w:tcPr>
          <w:p>
            <w:pPr>
              <w:jc w:val="center"/>
              <w:ind w:right="624"/>
              <w:spacing w:after="0"/>
              <w:rPr>
                <w:sz w:val="20"/>
                <w:szCs w:val="20"/>
                <w:color w:val="auto"/>
              </w:rPr>
            </w:pPr>
            <w:r>
              <w:rPr>
                <w:rFonts w:ascii="Arial" w:cs="Arial" w:eastAsia="Arial" w:hAnsi="Arial"/>
                <w:sz w:val="22"/>
                <w:szCs w:val="22"/>
                <w:color w:val="auto"/>
                <w:w w:val="88"/>
              </w:rPr>
              <w:t>P.O. Box 152, Forest City, Iowa</w:t>
            </w:r>
          </w:p>
        </w:tc>
        <w:tc>
          <w:tcPr>
            <w:tcW w:w="3720" w:type="dxa"/>
            <w:vAlign w:val="bottom"/>
          </w:tcPr>
          <w:p>
            <w:pPr>
              <w:spacing w:after="0"/>
              <w:rPr>
                <w:sz w:val="24"/>
                <w:szCs w:val="24"/>
                <w:color w:val="auto"/>
              </w:rPr>
            </w:pPr>
          </w:p>
        </w:tc>
        <w:tc>
          <w:tcPr>
            <w:tcW w:w="2380" w:type="dxa"/>
            <w:vAlign w:val="bottom"/>
          </w:tcPr>
          <w:p>
            <w:pPr>
              <w:jc w:val="right"/>
              <w:ind w:right="284"/>
              <w:spacing w:after="0"/>
              <w:rPr>
                <w:sz w:val="20"/>
                <w:szCs w:val="20"/>
                <w:color w:val="auto"/>
              </w:rPr>
            </w:pPr>
            <w:r>
              <w:rPr>
                <w:rFonts w:ascii="Arial" w:cs="Arial" w:eastAsia="Arial" w:hAnsi="Arial"/>
                <w:sz w:val="22"/>
                <w:szCs w:val="22"/>
                <w:color w:val="auto"/>
              </w:rPr>
              <w:t>50436</w:t>
            </w:r>
          </w:p>
        </w:tc>
      </w:tr>
      <w:tr>
        <w:trPr>
          <w:trHeight w:val="222"/>
        </w:trPr>
        <w:tc>
          <w:tcPr>
            <w:tcW w:w="3580" w:type="dxa"/>
            <w:vAlign w:val="bottom"/>
          </w:tcPr>
          <w:p>
            <w:pPr>
              <w:jc w:val="center"/>
              <w:ind w:right="624"/>
              <w:spacing w:after="0"/>
              <w:rPr>
                <w:sz w:val="20"/>
                <w:szCs w:val="20"/>
                <w:color w:val="auto"/>
              </w:rPr>
            </w:pPr>
            <w:r>
              <w:rPr>
                <w:rFonts w:ascii="Arial" w:cs="Arial" w:eastAsia="Arial" w:hAnsi="Arial"/>
                <w:sz w:val="18"/>
                <w:szCs w:val="18"/>
                <w:color w:val="auto"/>
                <w:w w:val="90"/>
              </w:rPr>
              <w:t>(Address of Principal Executive Offices)</w:t>
            </w:r>
          </w:p>
        </w:tc>
        <w:tc>
          <w:tcPr>
            <w:tcW w:w="3720" w:type="dxa"/>
            <w:vAlign w:val="bottom"/>
          </w:tcPr>
          <w:p>
            <w:pPr>
              <w:spacing w:after="0"/>
              <w:rPr>
                <w:sz w:val="19"/>
                <w:szCs w:val="19"/>
                <w:color w:val="auto"/>
              </w:rPr>
            </w:pPr>
          </w:p>
        </w:tc>
        <w:tc>
          <w:tcPr>
            <w:tcW w:w="2380" w:type="dxa"/>
            <w:vAlign w:val="bottom"/>
          </w:tcPr>
          <w:p>
            <w:pPr>
              <w:jc w:val="center"/>
              <w:ind w:left="984"/>
              <w:spacing w:after="0"/>
              <w:rPr>
                <w:sz w:val="20"/>
                <w:szCs w:val="20"/>
                <w:color w:val="auto"/>
              </w:rPr>
            </w:pPr>
            <w:r>
              <w:rPr>
                <w:rFonts w:ascii="Arial" w:cs="Arial" w:eastAsia="Arial" w:hAnsi="Arial"/>
                <w:sz w:val="18"/>
                <w:szCs w:val="18"/>
                <w:color w:val="auto"/>
                <w:w w:val="91"/>
              </w:rPr>
              <w:t>(Zip Code)</w:t>
            </w:r>
          </w:p>
        </w:tc>
      </w:tr>
    </w:tbl>
    <w:p>
      <w:pPr>
        <w:spacing w:after="0" w:line="224"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Registrant’s telephone number, including area code: (641) 585-3535</w:t>
      </w:r>
    </w:p>
    <w:p>
      <w:pPr>
        <w:spacing w:after="0" w:line="233" w:lineRule="exact"/>
        <w:rPr>
          <w:sz w:val="24"/>
          <w:szCs w:val="24"/>
          <w:color w:val="auto"/>
        </w:rPr>
      </w:pPr>
    </w:p>
    <w:p>
      <w:pPr>
        <w:ind w:firstLine="486"/>
        <w:spacing w:after="0" w:line="258" w:lineRule="auto"/>
        <w:rPr>
          <w:sz w:val="20"/>
          <w:szCs w:val="20"/>
          <w:color w:val="auto"/>
        </w:rPr>
      </w:pPr>
      <w:r>
        <w:rPr>
          <w:rFonts w:ascii="Arial" w:cs="Arial" w:eastAsia="Arial" w:hAnsi="Arial"/>
          <w:sz w:val="21"/>
          <w:szCs w:val="2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21"/>
          <w:szCs w:val="21"/>
          <w:b w:val="1"/>
          <w:bCs w:val="1"/>
          <w:color w:val="auto"/>
        </w:rPr>
        <w:t>x</w:t>
      </w:r>
      <w:r>
        <w:rPr>
          <w:rFonts w:ascii="Arial" w:cs="Arial" w:eastAsia="Arial" w:hAnsi="Arial"/>
          <w:sz w:val="21"/>
          <w:szCs w:val="21"/>
          <w:color w:val="auto"/>
        </w:rPr>
        <w:t xml:space="preserve"> No </w:t>
      </w:r>
      <w:r>
        <w:rPr>
          <w:rFonts w:ascii="Arial" w:cs="Arial" w:eastAsia="Arial" w:hAnsi="Arial"/>
          <w:sz w:val="21"/>
          <w:szCs w:val="21"/>
          <w:b w:val="1"/>
          <w:bCs w:val="1"/>
          <w:color w:val="auto"/>
        </w:rPr>
        <w:t>o</w:t>
      </w:r>
    </w:p>
    <w:p>
      <w:pPr>
        <w:spacing w:after="0" w:line="194" w:lineRule="exact"/>
        <w:rPr>
          <w:sz w:val="24"/>
          <w:szCs w:val="24"/>
          <w:color w:val="auto"/>
        </w:rPr>
      </w:pPr>
    </w:p>
    <w:p>
      <w:pPr>
        <w:ind w:right="140" w:firstLine="486"/>
        <w:spacing w:after="0"/>
        <w:rPr>
          <w:sz w:val="20"/>
          <w:szCs w:val="20"/>
          <w:color w:val="auto"/>
        </w:rPr>
      </w:pPr>
      <w:r>
        <w:rPr>
          <w:rFonts w:ascii="Arial" w:cs="Arial" w:eastAsia="Arial" w:hAnsi="Arial"/>
          <w:sz w:val="22"/>
          <w:szCs w:val="22"/>
          <w:color w:val="auto"/>
        </w:rPr>
        <w:t>Indicate by check mark whether the registrant is a large accelerated filer, an accelerated filer, or a non-accelerated filer. See definition of “accelerated filer and large accelerated filer” in Rule 12b-2 of the Exchange Act. Large accelerated filer x Accelerated filer o Non-accelerated filer o</w:t>
      </w:r>
    </w:p>
    <w:p>
      <w:pPr>
        <w:spacing w:after="0" w:line="213" w:lineRule="exact"/>
        <w:rPr>
          <w:sz w:val="24"/>
          <w:szCs w:val="24"/>
          <w:color w:val="auto"/>
        </w:rPr>
      </w:pPr>
    </w:p>
    <w:p>
      <w:pPr>
        <w:ind w:right="960" w:firstLine="486"/>
        <w:spacing w:after="0" w:line="251" w:lineRule="auto"/>
        <w:rPr>
          <w:sz w:val="20"/>
          <w:szCs w:val="20"/>
          <w:color w:val="auto"/>
        </w:rPr>
      </w:pPr>
      <w:r>
        <w:rPr>
          <w:rFonts w:ascii="Arial" w:cs="Arial" w:eastAsia="Arial" w:hAnsi="Arial"/>
          <w:sz w:val="22"/>
          <w:szCs w:val="22"/>
          <w:color w:val="auto"/>
        </w:rPr>
        <w:t>Indicate by check mark whether the registrant is a shell company (as defined in Rule 12b-2 of the Exchange Act). Yes o No x</w:t>
      </w:r>
    </w:p>
    <w:p>
      <w:pPr>
        <w:spacing w:after="0" w:line="200" w:lineRule="exact"/>
        <w:rPr>
          <w:sz w:val="24"/>
          <w:szCs w:val="24"/>
          <w:color w:val="auto"/>
        </w:rPr>
      </w:pPr>
    </w:p>
    <w:p>
      <w:pPr>
        <w:spacing w:after="0"/>
        <w:rPr>
          <w:sz w:val="20"/>
          <w:szCs w:val="20"/>
          <w:color w:val="auto"/>
        </w:rPr>
      </w:pPr>
      <w:r>
        <w:rPr>
          <w:rFonts w:ascii="Arial" w:cs="Arial" w:eastAsia="Arial" w:hAnsi="Arial"/>
          <w:sz w:val="22"/>
          <w:szCs w:val="22"/>
          <w:color w:val="auto"/>
        </w:rPr>
        <w:t>The number of shares of common stock, par value $0.50 per share, outstanding on July 1, 2008 was 29,066,404.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444500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691515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WINNEBAGO INDUSTRIES, INC.</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REPORT ON FORM 10-Q</w:t>
      </w:r>
    </w:p>
    <w:p>
      <w:pPr>
        <w:spacing w:after="0" w:line="200" w:lineRule="exact"/>
        <w:rPr>
          <w:sz w:val="24"/>
          <w:szCs w:val="24"/>
          <w:color w:val="auto"/>
        </w:rPr>
      </w:pPr>
    </w:p>
    <w:p>
      <w:pPr>
        <w:spacing w:after="0" w:line="224" w:lineRule="exact"/>
        <w:rPr>
          <w:sz w:val="24"/>
          <w:szCs w:val="24"/>
          <w:color w:val="auto"/>
        </w:rPr>
      </w:pPr>
    </w:p>
    <w:tbl>
      <w:tblPr>
        <w:tblLayout w:type="fixed"/>
        <w:tblInd w:w="100" w:type="dxa"/>
        <w:tblCellMar>
          <w:top w:w="0" w:type="dxa"/>
          <w:left w:w="0" w:type="dxa"/>
          <w:bottom w:w="0" w:type="dxa"/>
          <w:right w:w="0" w:type="dxa"/>
        </w:tblCellMar>
      </w:tblPr>
      <w:tr>
        <w:trPr>
          <w:trHeight w:val="207"/>
        </w:trPr>
        <w:tc>
          <w:tcPr>
            <w:tcW w:w="880" w:type="dxa"/>
            <w:vAlign w:val="bottom"/>
            <w:vMerge w:val="restart"/>
          </w:tcPr>
          <w:p>
            <w:pPr>
              <w:spacing w:after="0"/>
              <w:rPr>
                <w:sz w:val="20"/>
                <w:szCs w:val="20"/>
                <w:color w:val="auto"/>
              </w:rPr>
            </w:pPr>
            <w:r>
              <w:rPr>
                <w:rFonts w:ascii="Arial" w:cs="Arial" w:eastAsia="Arial" w:hAnsi="Arial"/>
                <w:sz w:val="18"/>
                <w:szCs w:val="18"/>
                <w:color w:val="auto"/>
              </w:rPr>
              <w:t>PART I.</w:t>
            </w:r>
          </w:p>
        </w:tc>
        <w:tc>
          <w:tcPr>
            <w:tcW w:w="5320" w:type="dxa"/>
            <w:vAlign w:val="bottom"/>
            <w:gridSpan w:val="7"/>
            <w:vMerge w:val="restart"/>
          </w:tcPr>
          <w:p>
            <w:pPr>
              <w:ind w:left="300"/>
              <w:spacing w:after="0"/>
              <w:rPr>
                <w:sz w:val="20"/>
                <w:szCs w:val="20"/>
                <w:color w:val="auto"/>
              </w:rPr>
            </w:pPr>
            <w:r>
              <w:rPr>
                <w:rFonts w:ascii="Arial" w:cs="Arial" w:eastAsia="Arial" w:hAnsi="Arial"/>
                <w:sz w:val="18"/>
                <w:szCs w:val="18"/>
                <w:color w:val="auto"/>
              </w:rPr>
              <w:t>FINANCIAL INFORMATION:</w:t>
            </w:r>
          </w:p>
        </w:tc>
        <w:tc>
          <w:tcPr>
            <w:tcW w:w="4860" w:type="dxa"/>
            <w:vAlign w:val="bottom"/>
            <w:gridSpan w:val="2"/>
          </w:tcPr>
          <w:p>
            <w:pPr>
              <w:jc w:val="center"/>
              <w:ind w:left="3812"/>
              <w:spacing w:after="0"/>
              <w:rPr>
                <w:sz w:val="20"/>
                <w:szCs w:val="20"/>
                <w:color w:val="auto"/>
              </w:rPr>
            </w:pPr>
            <w:r>
              <w:rPr>
                <w:rFonts w:ascii="Arial" w:cs="Arial" w:eastAsia="Arial" w:hAnsi="Arial"/>
                <w:sz w:val="18"/>
                <w:szCs w:val="18"/>
                <w:color w:val="auto"/>
                <w:w w:val="86"/>
              </w:rPr>
              <w:t>Page Number</w:t>
            </w:r>
          </w:p>
        </w:tc>
        <w:tc>
          <w:tcPr>
            <w:tcW w:w="0" w:type="dxa"/>
            <w:vAlign w:val="bottom"/>
          </w:tcPr>
          <w:p>
            <w:pPr>
              <w:spacing w:after="0"/>
              <w:rPr>
                <w:sz w:val="1"/>
                <w:szCs w:val="1"/>
                <w:color w:val="auto"/>
              </w:rPr>
            </w:pPr>
          </w:p>
        </w:tc>
      </w:tr>
      <w:tr>
        <w:trPr>
          <w:trHeight w:val="235"/>
        </w:trPr>
        <w:tc>
          <w:tcPr>
            <w:tcW w:w="880" w:type="dxa"/>
            <w:vAlign w:val="bottom"/>
            <w:vMerge w:val="continue"/>
          </w:tcPr>
          <w:p>
            <w:pPr>
              <w:spacing w:after="0"/>
              <w:rPr>
                <w:sz w:val="20"/>
                <w:szCs w:val="20"/>
                <w:color w:val="auto"/>
              </w:rPr>
            </w:pPr>
          </w:p>
        </w:tc>
        <w:tc>
          <w:tcPr>
            <w:tcW w:w="5320" w:type="dxa"/>
            <w:vAlign w:val="bottom"/>
            <w:gridSpan w:val="7"/>
            <w:vMerge w:val="continue"/>
          </w:tcPr>
          <w:p>
            <w:pPr>
              <w:spacing w:after="0"/>
              <w:rPr>
                <w:sz w:val="20"/>
                <w:szCs w:val="20"/>
                <w:color w:val="auto"/>
              </w:rPr>
            </w:pPr>
          </w:p>
        </w:tc>
        <w:tc>
          <w:tcPr>
            <w:tcW w:w="39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6"/>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300" w:type="dxa"/>
            <w:vAlign w:val="bottom"/>
          </w:tcPr>
          <w:p>
            <w:pPr>
              <w:spacing w:after="0"/>
              <w:rPr>
                <w:sz w:val="24"/>
                <w:szCs w:val="24"/>
                <w:color w:val="auto"/>
              </w:rPr>
            </w:pPr>
          </w:p>
        </w:tc>
        <w:tc>
          <w:tcPr>
            <w:tcW w:w="5020" w:type="dxa"/>
            <w:vAlign w:val="bottom"/>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3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80" w:type="dxa"/>
            <w:vAlign w:val="bottom"/>
            <w:gridSpan w:val="5"/>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Unaudited Consolidated Statements of Income</w:t>
              </w:r>
            </w:hyperlink>
          </w:p>
        </w:tc>
        <w:tc>
          <w:tcPr>
            <w:tcW w:w="4860" w:type="dxa"/>
            <w:vAlign w:val="bottom"/>
            <w:gridSpan w:val="2"/>
          </w:tcPr>
          <w:p>
            <w:pPr>
              <w:jc w:val="center"/>
              <w:ind w:left="3812"/>
              <w:spacing w:after="0" w:line="19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Unaudited Consolidated Balance Sheets</w:t>
              </w:r>
            </w:hyperlink>
          </w:p>
        </w:tc>
        <w:tc>
          <w:tcPr>
            <w:tcW w:w="1400" w:type="dxa"/>
            <w:vAlign w:val="bottom"/>
            <w:gridSpan w:val="2"/>
          </w:tcPr>
          <w:p>
            <w:pPr>
              <w:spacing w:after="0"/>
              <w:rPr>
                <w:sz w:val="17"/>
                <w:szCs w:val="17"/>
                <w:color w:val="auto"/>
              </w:rPr>
            </w:pPr>
          </w:p>
        </w:tc>
        <w:tc>
          <w:tcPr>
            <w:tcW w:w="4860" w:type="dxa"/>
            <w:vAlign w:val="bottom"/>
            <w:gridSpan w:val="2"/>
          </w:tcPr>
          <w:p>
            <w:pPr>
              <w:jc w:val="center"/>
              <w:ind w:left="3812"/>
              <w:spacing w:after="0" w:line="19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80" w:type="dxa"/>
            <w:vAlign w:val="bottom"/>
            <w:gridSpan w:val="5"/>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Consolidated Statements of Cash Flows</w:t>
              </w:r>
            </w:hyperlink>
          </w:p>
        </w:tc>
        <w:tc>
          <w:tcPr>
            <w:tcW w:w="4860" w:type="dxa"/>
            <w:vAlign w:val="bottom"/>
            <w:gridSpan w:val="2"/>
          </w:tcPr>
          <w:p>
            <w:pPr>
              <w:jc w:val="center"/>
              <w:ind w:left="3812"/>
              <w:spacing w:after="0" w:line="19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80" w:type="dxa"/>
            <w:vAlign w:val="bottom"/>
            <w:gridSpan w:val="4"/>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Unaudited Notes to Condensed Consolidated Financial Statements</w:t>
              </w:r>
            </w:hyperlink>
          </w:p>
        </w:tc>
        <w:tc>
          <w:tcPr>
            <w:tcW w:w="4860" w:type="dxa"/>
            <w:vAlign w:val="bottom"/>
            <w:gridSpan w:val="2"/>
          </w:tcPr>
          <w:p>
            <w:pPr>
              <w:jc w:val="center"/>
              <w:ind w:left="3812"/>
              <w:spacing w:after="0" w:line="19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bl>
    <w:p>
      <w:pPr>
        <w:sectPr>
          <w:pgSz w:w="11900" w:h="16838" w:orient="portrait"/>
          <w:cols w:equalWidth="0" w:num="1">
            <w:col w:w="11280"/>
          </w:cols>
          <w:pgMar w:left="240" w:top="239" w:right="379" w:bottom="0" w:gutter="0" w:footer="0" w:header="0"/>
        </w:sectPr>
      </w:pPr>
    </w:p>
    <w:bookmarkStart w:id="1" w:name="page2"/>
    <w:bookmarkEnd w:id="1"/>
    <w:p>
      <w:pPr>
        <w:spacing w:after="0" w:line="46"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Arial" w:cs="Arial" w:eastAsia="Arial" w:hAnsi="Arial"/>
                <w:sz w:val="18"/>
                <w:szCs w:val="18"/>
                <w:color w:val="auto"/>
              </w:rPr>
              <w:t>Item 2.</w:t>
            </w:r>
          </w:p>
        </w:tc>
        <w:tc>
          <w:tcPr>
            <w:tcW w:w="7800" w:type="dxa"/>
            <w:vAlign w:val="bottom"/>
            <w:gridSpan w:val="11"/>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Management’s Discussion and Analysis of Financial Condition and Results of Operations</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45"/>
        </w:trPr>
        <w:tc>
          <w:tcPr>
            <w:tcW w:w="1180" w:type="dxa"/>
            <w:vAlign w:val="bottom"/>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13">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tcPr>
          <w:p>
            <w:pPr>
              <w:spacing w:after="0"/>
              <w:rPr>
                <w:sz w:val="24"/>
                <w:szCs w:val="24"/>
                <w:color w:val="auto"/>
              </w:rPr>
            </w:pPr>
          </w:p>
        </w:tc>
        <w:tc>
          <w:tcPr>
            <w:tcW w:w="15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45"/>
        </w:trPr>
        <w:tc>
          <w:tcPr>
            <w:tcW w:w="1180" w:type="dxa"/>
            <w:vAlign w:val="bottom"/>
          </w:tcPr>
          <w:p>
            <w:pPr>
              <w:spacing w:after="0"/>
              <w:rPr>
                <w:sz w:val="20"/>
                <w:szCs w:val="20"/>
                <w:color w:val="auto"/>
              </w:rPr>
            </w:pPr>
            <w:r>
              <w:rPr>
                <w:rFonts w:ascii="Arial" w:cs="Arial" w:eastAsia="Arial" w:hAnsi="Arial"/>
                <w:sz w:val="18"/>
                <w:szCs w:val="18"/>
                <w:color w:val="auto"/>
              </w:rPr>
              <w:t>Item 4.</w:t>
            </w:r>
          </w:p>
        </w:tc>
        <w:tc>
          <w:tcPr>
            <w:tcW w:w="7800" w:type="dxa"/>
            <w:vAlign w:val="bottom"/>
            <w:gridSpan w:val="11"/>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Controls and Procedures</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1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345"/>
        </w:trPr>
        <w:tc>
          <w:tcPr>
            <w:tcW w:w="1180" w:type="dxa"/>
            <w:vAlign w:val="bottom"/>
          </w:tcPr>
          <w:p>
            <w:pPr>
              <w:spacing w:after="0"/>
              <w:rPr>
                <w:sz w:val="24"/>
                <w:szCs w:val="24"/>
                <w:color w:val="auto"/>
              </w:rPr>
            </w:pPr>
          </w:p>
        </w:tc>
        <w:tc>
          <w:tcPr>
            <w:tcW w:w="41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Report of Independent Registered Public Accounting Firm</w:t>
              </w:r>
            </w:hyperlink>
          </w:p>
        </w:tc>
        <w:tc>
          <w:tcPr>
            <w:tcW w:w="3680" w:type="dxa"/>
            <w:vAlign w:val="bottom"/>
            <w:gridSpan w:val="4"/>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83"/>
        </w:trPr>
        <w:tc>
          <w:tcPr>
            <w:tcW w:w="1180" w:type="dxa"/>
            <w:vAlign w:val="bottom"/>
          </w:tcPr>
          <w:p>
            <w:pPr>
              <w:spacing w:after="0"/>
              <w:rPr>
                <w:sz w:val="20"/>
                <w:szCs w:val="20"/>
                <w:color w:val="auto"/>
              </w:rPr>
            </w:pPr>
            <w:r>
              <w:rPr>
                <w:rFonts w:ascii="Arial" w:cs="Arial" w:eastAsia="Arial" w:hAnsi="Arial"/>
                <w:sz w:val="18"/>
                <w:szCs w:val="18"/>
                <w:color w:val="auto"/>
              </w:rPr>
              <w:t>PART II.</w:t>
            </w:r>
          </w:p>
        </w:tc>
        <w:tc>
          <w:tcPr>
            <w:tcW w:w="7800" w:type="dxa"/>
            <w:vAlign w:val="bottom"/>
            <w:gridSpan w:val="11"/>
          </w:tcPr>
          <w:p>
            <w:pPr>
              <w:spacing w:after="0"/>
              <w:rPr>
                <w:sz w:val="20"/>
                <w:szCs w:val="20"/>
                <w:color w:val="auto"/>
              </w:rPr>
            </w:pPr>
            <w:r>
              <w:rPr>
                <w:rFonts w:ascii="Arial" w:cs="Arial" w:eastAsia="Arial" w:hAnsi="Arial"/>
                <w:sz w:val="18"/>
                <w:szCs w:val="18"/>
                <w:color w:val="auto"/>
              </w:rPr>
              <w:t>OTHER INFORMATION</w:t>
            </w:r>
          </w:p>
        </w:tc>
        <w:tc>
          <w:tcPr>
            <w:tcW w:w="1680" w:type="dxa"/>
            <w:vAlign w:val="bottom"/>
          </w:tcPr>
          <w:p>
            <w:pPr>
              <w:spacing w:after="0"/>
              <w:rPr>
                <w:sz w:val="24"/>
                <w:szCs w:val="24"/>
                <w:color w:val="auto"/>
              </w:rPr>
            </w:pPr>
          </w:p>
        </w:tc>
      </w:tr>
      <w:tr>
        <w:trPr>
          <w:trHeight w:val="326"/>
        </w:trPr>
        <w:tc>
          <w:tcPr>
            <w:tcW w:w="1180" w:type="dxa"/>
            <w:vAlign w:val="bottom"/>
          </w:tcPr>
          <w:p>
            <w:pPr>
              <w:spacing w:after="0"/>
              <w:rPr>
                <w:sz w:val="20"/>
                <w:szCs w:val="20"/>
                <w:color w:val="auto"/>
              </w:rPr>
            </w:pPr>
            <w:r>
              <w:rPr>
                <w:rFonts w:ascii="Arial" w:cs="Arial" w:eastAsia="Arial" w:hAnsi="Arial"/>
                <w:sz w:val="18"/>
                <w:szCs w:val="18"/>
                <w:color w:val="auto"/>
              </w:rPr>
              <w:t>Item 1.</w:t>
            </w:r>
          </w:p>
        </w:tc>
        <w:tc>
          <w:tcPr>
            <w:tcW w:w="7800" w:type="dxa"/>
            <w:vAlign w:val="bottom"/>
            <w:gridSpan w:val="11"/>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Legal Proceedings</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45"/>
        </w:trPr>
        <w:tc>
          <w:tcPr>
            <w:tcW w:w="1180" w:type="dxa"/>
            <w:vAlign w:val="bottom"/>
          </w:tcPr>
          <w:p>
            <w:pPr>
              <w:spacing w:after="0"/>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5"/>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6500" w:type="dxa"/>
            <w:vAlign w:val="bottom"/>
            <w:gridSpan w:val="6"/>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1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345"/>
        </w:trPr>
        <w:tc>
          <w:tcPr>
            <w:tcW w:w="1180" w:type="dxa"/>
            <w:vAlign w:val="bottom"/>
          </w:tcPr>
          <w:p>
            <w:pPr>
              <w:spacing w:after="0"/>
              <w:rPr>
                <w:sz w:val="20"/>
                <w:szCs w:val="20"/>
                <w:color w:val="auto"/>
              </w:rPr>
            </w:pPr>
            <w:r>
              <w:rPr>
                <w:rFonts w:ascii="Arial" w:cs="Arial" w:eastAsia="Arial" w:hAnsi="Arial"/>
                <w:sz w:val="18"/>
                <w:szCs w:val="18"/>
                <w:color w:val="auto"/>
              </w:rPr>
              <w:t>Item 2.</w:t>
            </w:r>
          </w:p>
        </w:tc>
        <w:tc>
          <w:tcPr>
            <w:tcW w:w="7800" w:type="dxa"/>
            <w:vAlign w:val="bottom"/>
            <w:gridSpan w:val="11"/>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Unregistered Sales of Equity Securities and Use of Proceeds</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45"/>
        </w:trPr>
        <w:tc>
          <w:tcPr>
            <w:tcW w:w="1180" w:type="dxa"/>
            <w:vAlign w:val="bottom"/>
          </w:tcPr>
          <w:p>
            <w:pPr>
              <w:spacing w:after="0"/>
              <w:rPr>
                <w:sz w:val="20"/>
                <w:szCs w:val="20"/>
                <w:color w:val="auto"/>
              </w:rPr>
            </w:pPr>
            <w:r>
              <w:rPr>
                <w:rFonts w:ascii="Arial" w:cs="Arial" w:eastAsia="Arial" w:hAnsi="Arial"/>
                <w:sz w:val="18"/>
                <w:szCs w:val="18"/>
                <w:color w:val="auto"/>
              </w:rPr>
              <w:t>Item 6.</w:t>
            </w:r>
          </w:p>
        </w:tc>
        <w:tc>
          <w:tcPr>
            <w:tcW w:w="4240" w:type="dxa"/>
            <w:vAlign w:val="bottom"/>
            <w:tcBorders>
              <w:top w:val="single" w:sz="8" w:color="0000EE"/>
            </w:tcBorders>
            <w:gridSpan w:val="8"/>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Exhibits</w:t>
              </w:r>
            </w:hyperlink>
          </w:p>
        </w:tc>
        <w:tc>
          <w:tcPr>
            <w:tcW w:w="3560" w:type="dxa"/>
            <w:vAlign w:val="bottom"/>
            <w:gridSpan w:val="3"/>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1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40" w:type="dxa"/>
            <w:vAlign w:val="bottom"/>
            <w:gridSpan w:val="7"/>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345"/>
        </w:trPr>
        <w:tc>
          <w:tcPr>
            <w:tcW w:w="1180" w:type="dxa"/>
            <w:vAlign w:val="bottom"/>
          </w:tcPr>
          <w:p>
            <w:pPr>
              <w:spacing w:after="0"/>
              <w:rPr>
                <w:sz w:val="24"/>
                <w:szCs w:val="24"/>
                <w:color w:val="auto"/>
              </w:rPr>
            </w:pPr>
          </w:p>
        </w:tc>
        <w:tc>
          <w:tcPr>
            <w:tcW w:w="7800" w:type="dxa"/>
            <w:vAlign w:val="bottom"/>
            <w:gridSpan w:val="11"/>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Signatures</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11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40" w:type="dxa"/>
            <w:vAlign w:val="bottom"/>
            <w:gridSpan w:val="7"/>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345"/>
        </w:trPr>
        <w:tc>
          <w:tcPr>
            <w:tcW w:w="1180" w:type="dxa"/>
            <w:vAlign w:val="bottom"/>
          </w:tcPr>
          <w:p>
            <w:pPr>
              <w:spacing w:after="0"/>
              <w:rPr>
                <w:sz w:val="24"/>
                <w:szCs w:val="24"/>
                <w:color w:val="auto"/>
              </w:rPr>
            </w:pPr>
          </w:p>
        </w:tc>
        <w:tc>
          <w:tcPr>
            <w:tcW w:w="7800" w:type="dxa"/>
            <w:vAlign w:val="bottom"/>
            <w:gridSpan w:val="11"/>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Exhibit Index</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1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512445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1">
              <w:r>
                <w:rPr>
                  <w:rFonts w:ascii="Arial" w:cs="Arial" w:eastAsia="Arial" w:hAnsi="Arial"/>
                  <w:sz w:val="18"/>
                  <w:szCs w:val="18"/>
                  <w:color w:val="0000EE"/>
                  <w:w w:val="87"/>
                </w:rPr>
                <w:t>Table of Contents</w:t>
              </w:r>
            </w:hyperlink>
          </w:p>
        </w:tc>
        <w:tc>
          <w:tcPr>
            <w:tcW w:w="3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Winnebago Industries, Inc.</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Unaudited Consolidated Statements of Income</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1260" w:type="dxa"/>
            <w:vAlign w:val="bottom"/>
            <w:gridSpan w:val="2"/>
          </w:tcPr>
          <w:p>
            <w:pPr>
              <w:spacing w:after="0"/>
              <w:rPr>
                <w:sz w:val="20"/>
                <w:szCs w:val="20"/>
                <w:color w:val="auto"/>
              </w:rPr>
            </w:pPr>
            <w:r>
              <w:rPr>
                <w:rFonts w:ascii="Arial" w:cs="Arial" w:eastAsia="Arial" w:hAnsi="Arial"/>
                <w:sz w:val="22"/>
                <w:szCs w:val="22"/>
                <w:b w:val="1"/>
                <w:bCs w:val="1"/>
                <w:color w:val="auto"/>
              </w:rPr>
              <w:t>PART I.</w:t>
            </w:r>
          </w:p>
        </w:tc>
        <w:tc>
          <w:tcPr>
            <w:tcW w:w="3980" w:type="dxa"/>
            <w:vAlign w:val="bottom"/>
          </w:tcPr>
          <w:p>
            <w:pPr>
              <w:ind w:left="40"/>
              <w:spacing w:after="0"/>
              <w:rPr>
                <w:sz w:val="20"/>
                <w:szCs w:val="20"/>
                <w:color w:val="auto"/>
              </w:rPr>
            </w:pPr>
            <w:r>
              <w:rPr>
                <w:rFonts w:ascii="Arial" w:cs="Arial" w:eastAsia="Arial" w:hAnsi="Arial"/>
                <w:sz w:val="22"/>
                <w:szCs w:val="22"/>
                <w:b w:val="1"/>
                <w:bCs w:val="1"/>
                <w:color w:val="auto"/>
              </w:rPr>
              <w:t>FINANCIAL INFORMATION</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260" w:type="dxa"/>
            <w:vAlign w:val="bottom"/>
            <w:gridSpan w:val="2"/>
          </w:tcPr>
          <w:p>
            <w:pPr>
              <w:spacing w:after="0"/>
              <w:rPr>
                <w:sz w:val="20"/>
                <w:szCs w:val="20"/>
                <w:color w:val="auto"/>
              </w:rPr>
            </w:pPr>
            <w:r>
              <w:rPr>
                <w:rFonts w:ascii="Arial" w:cs="Arial" w:eastAsia="Arial" w:hAnsi="Arial"/>
                <w:sz w:val="22"/>
                <w:szCs w:val="22"/>
                <w:b w:val="1"/>
                <w:bCs w:val="1"/>
                <w:color w:val="auto"/>
              </w:rPr>
              <w:t>Item 1.</w:t>
            </w:r>
          </w:p>
        </w:tc>
        <w:tc>
          <w:tcPr>
            <w:tcW w:w="3980" w:type="dxa"/>
            <w:vAlign w:val="bottom"/>
          </w:tcPr>
          <w:p>
            <w:pPr>
              <w:ind w:left="40"/>
              <w:spacing w:after="0"/>
              <w:rPr>
                <w:sz w:val="20"/>
                <w:szCs w:val="20"/>
                <w:color w:val="auto"/>
              </w:rPr>
            </w:pPr>
            <w:r>
              <w:rPr>
                <w:rFonts w:ascii="Arial" w:cs="Arial" w:eastAsia="Arial" w:hAnsi="Arial"/>
                <w:sz w:val="22"/>
                <w:szCs w:val="22"/>
                <w:b w:val="1"/>
                <w:bCs w:val="1"/>
                <w:color w:val="auto"/>
              </w:rPr>
              <w:t>Financial Statements.</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Forty</w:t>
            </w:r>
          </w:p>
        </w:tc>
        <w:tc>
          <w:tcPr>
            <w:tcW w:w="180" w:type="dxa"/>
            <w:vAlign w:val="bottom"/>
          </w:tcPr>
          <w:p>
            <w:pPr>
              <w:spacing w:after="0"/>
              <w:rPr>
                <w:sz w:val="24"/>
                <w:szCs w:val="24"/>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Thirty-Nine</w:t>
            </w:r>
          </w:p>
        </w:tc>
        <w:tc>
          <w:tcPr>
            <w:tcW w:w="0" w:type="dxa"/>
            <w:vAlign w:val="bottom"/>
          </w:tcPr>
          <w:p>
            <w:pPr>
              <w:spacing w:after="0"/>
              <w:rPr>
                <w:sz w:val="1"/>
                <w:szCs w:val="1"/>
                <w:color w:val="auto"/>
              </w:rPr>
            </w:pPr>
          </w:p>
        </w:tc>
      </w:tr>
      <w:tr>
        <w:trPr>
          <w:trHeight w:val="161"/>
        </w:trPr>
        <w:tc>
          <w:tcPr>
            <w:tcW w:w="5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4"/>
          </w:tcPr>
          <w:p>
            <w:pPr>
              <w:jc w:val="right"/>
              <w:spacing w:after="0"/>
              <w:rPr>
                <w:sz w:val="20"/>
                <w:szCs w:val="20"/>
                <w:color w:val="auto"/>
              </w:rPr>
            </w:pPr>
            <w:r>
              <w:rPr>
                <w:rFonts w:ascii="Arial" w:cs="Arial" w:eastAsia="Arial" w:hAnsi="Arial"/>
                <w:sz w:val="14"/>
                <w:szCs w:val="14"/>
                <w:b w:val="1"/>
                <w:bCs w:val="1"/>
                <w:color w:val="auto"/>
              </w:rPr>
              <w:t>Quarter Ended</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40" w:type="dxa"/>
            <w:vAlign w:val="bottom"/>
            <w:gridSpan w:val="7"/>
          </w:tcPr>
          <w:p>
            <w:pPr>
              <w:ind w:left="780"/>
              <w:spacing w:after="0"/>
              <w:rPr>
                <w:sz w:val="20"/>
                <w:szCs w:val="20"/>
                <w:color w:val="auto"/>
              </w:rPr>
            </w:pPr>
            <w:r>
              <w:rPr>
                <w:rFonts w:ascii="Arial" w:cs="Arial" w:eastAsia="Arial" w:hAnsi="Arial"/>
                <w:sz w:val="14"/>
                <w:szCs w:val="14"/>
                <w:b w:val="1"/>
                <w:bCs w:val="1"/>
                <w:color w:val="auto"/>
              </w:rPr>
              <w:t>Weeks Ended</w:t>
            </w:r>
          </w:p>
        </w:tc>
        <w:tc>
          <w:tcPr>
            <w:tcW w:w="0" w:type="dxa"/>
            <w:vAlign w:val="bottom"/>
          </w:tcPr>
          <w:p>
            <w:pPr>
              <w:spacing w:after="0"/>
              <w:rPr>
                <w:sz w:val="1"/>
                <w:szCs w:val="1"/>
                <w:color w:val="auto"/>
              </w:rPr>
            </w:pPr>
          </w:p>
        </w:tc>
      </w:tr>
      <w:tr>
        <w:trPr>
          <w:trHeight w:val="129"/>
        </w:trPr>
        <w:tc>
          <w:tcPr>
            <w:tcW w:w="5240" w:type="dxa"/>
            <w:vAlign w:val="bottom"/>
            <w:gridSpan w:val="3"/>
            <w:vMerge w:val="continue"/>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rPr>
              <w:t>May 31,</w:t>
            </w: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294"/>
              <w:spacing w:after="0" w:line="129" w:lineRule="exact"/>
              <w:rPr>
                <w:sz w:val="20"/>
                <w:szCs w:val="20"/>
                <w:color w:val="auto"/>
              </w:rPr>
            </w:pPr>
            <w:r>
              <w:rPr>
                <w:rFonts w:ascii="Arial" w:cs="Arial" w:eastAsia="Arial" w:hAnsi="Arial"/>
                <w:sz w:val="14"/>
                <w:szCs w:val="14"/>
                <w:b w:val="1"/>
                <w:bCs w:val="1"/>
                <w:color w:val="auto"/>
                <w:w w:val="90"/>
              </w:rPr>
              <w:t>May 26,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3"/>
          </w:tcPr>
          <w:p>
            <w:pPr>
              <w:jc w:val="center"/>
              <w:ind w:right="440"/>
              <w:spacing w:after="0" w:line="129" w:lineRule="exact"/>
              <w:rPr>
                <w:sz w:val="20"/>
                <w:szCs w:val="20"/>
                <w:color w:val="auto"/>
              </w:rPr>
            </w:pPr>
            <w:r>
              <w:rPr>
                <w:rFonts w:ascii="Arial" w:cs="Arial" w:eastAsia="Arial" w:hAnsi="Arial"/>
                <w:sz w:val="14"/>
                <w:szCs w:val="14"/>
                <w:b w:val="1"/>
                <w:bCs w:val="1"/>
                <w:color w:val="auto"/>
                <w:w w:val="94"/>
              </w:rPr>
              <w:t>May 31,</w:t>
            </w:r>
          </w:p>
        </w:tc>
        <w:tc>
          <w:tcPr>
            <w:tcW w:w="1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116"/>
              <w:spacing w:after="0" w:line="129" w:lineRule="exact"/>
              <w:rPr>
                <w:sz w:val="20"/>
                <w:szCs w:val="20"/>
                <w:color w:val="auto"/>
              </w:rPr>
            </w:pPr>
            <w:r>
              <w:rPr>
                <w:rFonts w:ascii="Arial" w:cs="Arial" w:eastAsia="Arial" w:hAnsi="Arial"/>
                <w:sz w:val="14"/>
                <w:szCs w:val="14"/>
                <w:b w:val="1"/>
                <w:bCs w:val="1"/>
                <w:color w:val="auto"/>
                <w:w w:val="90"/>
              </w:rPr>
              <w:t>May 26,</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D6F3E8"/>
          </w:tcPr>
          <w:p>
            <w:pPr>
              <w:spacing w:after="0"/>
              <w:rPr>
                <w:sz w:val="20"/>
                <w:szCs w:val="20"/>
                <w:color w:val="auto"/>
              </w:rPr>
            </w:pPr>
            <w:r>
              <w:rPr>
                <w:rFonts w:ascii="Arial" w:cs="Arial" w:eastAsia="Arial" w:hAnsi="Arial"/>
                <w:sz w:val="18"/>
                <w:szCs w:val="18"/>
                <w:color w:val="auto"/>
              </w:rPr>
              <w:t>Net revenues</w:t>
            </w:r>
          </w:p>
        </w:tc>
        <w:tc>
          <w:tcPr>
            <w:tcW w:w="3980" w:type="dxa"/>
            <w:vAlign w:val="bottom"/>
            <w:shd w:val="clear" w:color="auto" w:fill="D6F3E8"/>
          </w:tcPr>
          <w:p>
            <w:pPr>
              <w:spacing w:after="0"/>
              <w:rPr>
                <w:sz w:val="18"/>
                <w:szCs w:val="18"/>
                <w:color w:val="auto"/>
              </w:rPr>
            </w:pPr>
          </w:p>
        </w:tc>
        <w:tc>
          <w:tcPr>
            <w:tcW w:w="780" w:type="dxa"/>
            <w:vAlign w:val="bottom"/>
            <w:gridSpan w:val="2"/>
            <w:shd w:val="clear" w:color="auto" w:fill="D6F3E8"/>
          </w:tcPr>
          <w:p>
            <w:pPr>
              <w:jc w:val="right"/>
              <w:ind w:right="123"/>
              <w:spacing w:after="0"/>
              <w:rPr>
                <w:sz w:val="20"/>
                <w:szCs w:val="20"/>
                <w:color w:val="auto"/>
              </w:rPr>
            </w:pPr>
            <w:r>
              <w:rPr>
                <w:rFonts w:ascii="Arial" w:cs="Arial" w:eastAsia="Arial" w:hAnsi="Arial"/>
                <w:sz w:val="18"/>
                <w:szCs w:val="18"/>
                <w:color w:val="auto"/>
              </w:rPr>
              <w:t>$</w:t>
            </w: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139,736</w:t>
            </w:r>
          </w:p>
        </w:tc>
        <w:tc>
          <w:tcPr>
            <w:tcW w:w="140" w:type="dxa"/>
            <w:vAlign w:val="bottom"/>
            <w:shd w:val="clear" w:color="auto" w:fill="D6F3E8"/>
          </w:tcPr>
          <w:p>
            <w:pPr>
              <w:spacing w:after="0"/>
              <w:rPr>
                <w:sz w:val="18"/>
                <w:szCs w:val="18"/>
                <w:color w:val="auto"/>
              </w:rPr>
            </w:pPr>
          </w:p>
        </w:tc>
        <w:tc>
          <w:tcPr>
            <w:tcW w:w="440" w:type="dxa"/>
            <w:vAlign w:val="bottom"/>
            <w:gridSpan w:val="2"/>
            <w:shd w:val="clear" w:color="auto" w:fill="D6F3E8"/>
          </w:tcPr>
          <w:p>
            <w:pPr>
              <w:jc w:val="right"/>
              <w:ind w:right="172"/>
              <w:spacing w:after="0"/>
              <w:rPr>
                <w:sz w:val="20"/>
                <w:szCs w:val="20"/>
                <w:color w:val="auto"/>
              </w:rPr>
            </w:pPr>
            <w:r>
              <w:rPr>
                <w:rFonts w:ascii="Arial" w:cs="Arial" w:eastAsia="Arial" w:hAnsi="Arial"/>
                <w:sz w:val="18"/>
                <w:szCs w:val="18"/>
                <w:color w:val="auto"/>
              </w:rPr>
              <w:t>$</w:t>
            </w: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231,692</w:t>
            </w:r>
          </w:p>
        </w:tc>
        <w:tc>
          <w:tcPr>
            <w:tcW w:w="80" w:type="dxa"/>
            <w:vAlign w:val="bottom"/>
            <w:shd w:val="clear" w:color="auto" w:fill="D6F3E8"/>
          </w:tcPr>
          <w:p>
            <w:pPr>
              <w:spacing w:after="0"/>
              <w:rPr>
                <w:sz w:val="18"/>
                <w:szCs w:val="18"/>
                <w:color w:val="auto"/>
              </w:rPr>
            </w:pPr>
          </w:p>
        </w:tc>
        <w:tc>
          <w:tcPr>
            <w:tcW w:w="320" w:type="dxa"/>
            <w:vAlign w:val="bottom"/>
            <w:gridSpan w:val="2"/>
            <w:shd w:val="clear" w:color="auto" w:fill="D6F3E8"/>
          </w:tcPr>
          <w:p>
            <w:pPr>
              <w:jc w:val="right"/>
              <w:ind w:right="3"/>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D6F3E8"/>
          </w:tcPr>
          <w:p>
            <w:pPr>
              <w:jc w:val="right"/>
              <w:ind w:right="240"/>
              <w:spacing w:after="0"/>
              <w:rPr>
                <w:sz w:val="20"/>
                <w:szCs w:val="20"/>
                <w:color w:val="auto"/>
              </w:rPr>
            </w:pPr>
            <w:r>
              <w:rPr>
                <w:rFonts w:ascii="Arial" w:cs="Arial" w:eastAsia="Arial" w:hAnsi="Arial"/>
                <w:sz w:val="18"/>
                <w:szCs w:val="18"/>
                <w:color w:val="auto"/>
              </w:rPr>
              <w:t>519,081</w:t>
            </w:r>
          </w:p>
        </w:tc>
        <w:tc>
          <w:tcPr>
            <w:tcW w:w="180" w:type="dxa"/>
            <w:vAlign w:val="bottom"/>
            <w:shd w:val="clear" w:color="auto" w:fill="D6F3E8"/>
          </w:tcPr>
          <w:p>
            <w:pPr>
              <w:jc w:val="right"/>
              <w:ind w:right="21"/>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632,471</w:t>
            </w:r>
          </w:p>
        </w:tc>
        <w:tc>
          <w:tcPr>
            <w:tcW w:w="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137,112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205,436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478,648</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565,866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tcBorders>
              <w:top w:val="single" w:sz="8" w:color="D6F3E8"/>
            </w:tcBorders>
            <w:shd w:val="clear" w:color="auto" w:fill="D6F3E8"/>
          </w:tcPr>
          <w:p>
            <w:pPr>
              <w:spacing w:after="0" w:line="202" w:lineRule="exact"/>
              <w:rPr>
                <w:sz w:val="20"/>
                <w:szCs w:val="20"/>
                <w:color w:val="auto"/>
              </w:rPr>
            </w:pPr>
            <w:r>
              <w:rPr>
                <w:rFonts w:ascii="Arial" w:cs="Arial" w:eastAsia="Arial" w:hAnsi="Arial"/>
                <w:sz w:val="18"/>
                <w:szCs w:val="18"/>
                <w:color w:val="auto"/>
              </w:rPr>
              <w:t>Gross profit</w:t>
            </w:r>
          </w:p>
        </w:tc>
        <w:tc>
          <w:tcPr>
            <w:tcW w:w="3980" w:type="dxa"/>
            <w:vAlign w:val="bottom"/>
            <w:tcBorders>
              <w:top w:val="single" w:sz="8" w:color="D6F3E8"/>
            </w:tcBorders>
            <w:shd w:val="clear" w:color="auto" w:fill="D6F3E8"/>
          </w:tcPr>
          <w:p>
            <w:pPr>
              <w:spacing w:after="0"/>
              <w:rPr>
                <w:sz w:val="18"/>
                <w:szCs w:val="18"/>
                <w:color w:val="auto"/>
              </w:rPr>
            </w:pPr>
          </w:p>
        </w:tc>
        <w:tc>
          <w:tcPr>
            <w:tcW w:w="500" w:type="dxa"/>
            <w:vAlign w:val="bottom"/>
            <w:tcBorders>
              <w:top w:val="single" w:sz="8" w:color="D6F3E8"/>
            </w:tcBorders>
            <w:shd w:val="clear" w:color="auto" w:fill="D6F3E8"/>
          </w:tcPr>
          <w:p>
            <w:pPr>
              <w:spacing w:after="0"/>
              <w:rPr>
                <w:sz w:val="18"/>
                <w:szCs w:val="18"/>
                <w:color w:val="auto"/>
              </w:rPr>
            </w:pPr>
          </w:p>
        </w:tc>
        <w:tc>
          <w:tcPr>
            <w:tcW w:w="280" w:type="dxa"/>
            <w:vAlign w:val="bottom"/>
            <w:tcBorders>
              <w:top w:val="single" w:sz="8" w:color="auto"/>
              <w:bottom w:val="single" w:sz="8" w:color="auto"/>
            </w:tcBorders>
            <w:shd w:val="clear" w:color="auto" w:fill="D6F3E8"/>
          </w:tcPr>
          <w:p>
            <w:pPr>
              <w:spacing w:after="0"/>
              <w:rPr>
                <w:sz w:val="18"/>
                <w:szCs w:val="18"/>
                <w:color w:val="auto"/>
              </w:rPr>
            </w:pPr>
          </w:p>
        </w:tc>
        <w:tc>
          <w:tcPr>
            <w:tcW w:w="9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2,624</w:t>
            </w:r>
          </w:p>
        </w:tc>
        <w:tc>
          <w:tcPr>
            <w:tcW w:w="140" w:type="dxa"/>
            <w:vAlign w:val="bottom"/>
            <w:tcBorders>
              <w:top w:val="single" w:sz="8" w:color="D6F3E8"/>
            </w:tcBorders>
            <w:shd w:val="clear" w:color="auto" w:fill="D6F3E8"/>
          </w:tcPr>
          <w:p>
            <w:pPr>
              <w:spacing w:after="0"/>
              <w:rPr>
                <w:sz w:val="18"/>
                <w:szCs w:val="18"/>
                <w:color w:val="auto"/>
              </w:rPr>
            </w:pPr>
          </w:p>
        </w:tc>
        <w:tc>
          <w:tcPr>
            <w:tcW w:w="80" w:type="dxa"/>
            <w:vAlign w:val="bottom"/>
            <w:tcBorders>
              <w:top w:val="single" w:sz="8" w:color="D6F3E8"/>
            </w:tcBorders>
            <w:shd w:val="clear" w:color="auto" w:fill="D6F3E8"/>
          </w:tcPr>
          <w:p>
            <w:pPr>
              <w:spacing w:after="0"/>
              <w:rPr>
                <w:sz w:val="18"/>
                <w:szCs w:val="18"/>
                <w:color w:val="auto"/>
              </w:rPr>
            </w:pPr>
          </w:p>
        </w:tc>
        <w:tc>
          <w:tcPr>
            <w:tcW w:w="360" w:type="dxa"/>
            <w:vAlign w:val="bottom"/>
            <w:tcBorders>
              <w:top w:val="single" w:sz="8" w:color="auto"/>
              <w:bottom w:val="single" w:sz="8" w:color="auto"/>
            </w:tcBorders>
            <w:shd w:val="clear" w:color="auto" w:fill="D6F3E8"/>
          </w:tcPr>
          <w:p>
            <w:pPr>
              <w:spacing w:after="0"/>
              <w:rPr>
                <w:sz w:val="18"/>
                <w:szCs w:val="18"/>
                <w:color w:val="auto"/>
              </w:rPr>
            </w:pPr>
          </w:p>
        </w:tc>
        <w:tc>
          <w:tcPr>
            <w:tcW w:w="8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26,256</w:t>
            </w:r>
          </w:p>
        </w:tc>
        <w:tc>
          <w:tcPr>
            <w:tcW w:w="80" w:type="dxa"/>
            <w:vAlign w:val="bottom"/>
            <w:tcBorders>
              <w:top w:val="single" w:sz="8" w:color="D6F3E8"/>
            </w:tcBorders>
            <w:shd w:val="clear" w:color="auto" w:fill="D6F3E8"/>
          </w:tcPr>
          <w:p>
            <w:pPr>
              <w:spacing w:after="0"/>
              <w:rPr>
                <w:sz w:val="18"/>
                <w:szCs w:val="18"/>
                <w:color w:val="auto"/>
              </w:rPr>
            </w:pPr>
          </w:p>
        </w:tc>
        <w:tc>
          <w:tcPr>
            <w:tcW w:w="160" w:type="dxa"/>
            <w:vAlign w:val="bottom"/>
            <w:tcBorders>
              <w:top w:val="single" w:sz="8" w:color="D6F3E8"/>
            </w:tcBorders>
            <w:shd w:val="clear" w:color="auto" w:fill="D6F3E8"/>
          </w:tcPr>
          <w:p>
            <w:pPr>
              <w:spacing w:after="0"/>
              <w:rPr>
                <w:sz w:val="18"/>
                <w:szCs w:val="18"/>
                <w:color w:val="auto"/>
              </w:rPr>
            </w:pPr>
          </w:p>
        </w:tc>
        <w:tc>
          <w:tcPr>
            <w:tcW w:w="160" w:type="dxa"/>
            <w:vAlign w:val="bottom"/>
            <w:tcBorders>
              <w:top w:val="single" w:sz="8" w:color="auto"/>
              <w:bottom w:val="single" w:sz="8" w:color="auto"/>
            </w:tcBorders>
            <w:shd w:val="clear" w:color="auto" w:fill="D6F3E8"/>
          </w:tcPr>
          <w:p>
            <w:pPr>
              <w:spacing w:after="0"/>
              <w:rPr>
                <w:sz w:val="18"/>
                <w:szCs w:val="18"/>
                <w:color w:val="auto"/>
              </w:rPr>
            </w:pPr>
          </w:p>
        </w:tc>
        <w:tc>
          <w:tcPr>
            <w:tcW w:w="1040" w:type="dxa"/>
            <w:vAlign w:val="bottom"/>
            <w:tcBorders>
              <w:top w:val="single" w:sz="8" w:color="auto"/>
              <w:bottom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40,433</w:t>
            </w:r>
          </w:p>
        </w:tc>
        <w:tc>
          <w:tcPr>
            <w:tcW w:w="240" w:type="dxa"/>
            <w:vAlign w:val="bottom"/>
            <w:tcBorders>
              <w:top w:val="single" w:sz="8" w:color="D6F3E8"/>
            </w:tcBorders>
            <w:shd w:val="clear" w:color="auto" w:fill="D6F3E8"/>
          </w:tcPr>
          <w:p>
            <w:pPr>
              <w:spacing w:after="0"/>
              <w:rPr>
                <w:sz w:val="18"/>
                <w:szCs w:val="18"/>
                <w:color w:val="auto"/>
              </w:rPr>
            </w:pPr>
          </w:p>
        </w:tc>
        <w:tc>
          <w:tcPr>
            <w:tcW w:w="180" w:type="dxa"/>
            <w:vAlign w:val="bottom"/>
            <w:tcBorders>
              <w:top w:val="single" w:sz="8" w:color="auto"/>
              <w:bottom w:val="single" w:sz="8" w:color="auto"/>
            </w:tcBorders>
            <w:shd w:val="clear" w:color="auto" w:fill="D6F3E8"/>
          </w:tcPr>
          <w:p>
            <w:pPr>
              <w:spacing w:after="0"/>
              <w:rPr>
                <w:sz w:val="18"/>
                <w:szCs w:val="18"/>
                <w:color w:val="auto"/>
              </w:rPr>
            </w:pPr>
          </w:p>
        </w:tc>
        <w:tc>
          <w:tcPr>
            <w:tcW w:w="10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66,605</w:t>
            </w:r>
          </w:p>
        </w:tc>
        <w:tc>
          <w:tcPr>
            <w:tcW w:w="20" w:type="dxa"/>
            <w:vAlign w:val="bottom"/>
            <w:tcBorders>
              <w:top w:val="single" w:sz="8" w:color="D6F3E8"/>
            </w:tcBorders>
            <w:shd w:val="clear" w:color="auto" w:fill="D6F3E8"/>
          </w:tcPr>
          <w:p>
            <w:pPr>
              <w:spacing w:after="0"/>
              <w:rPr>
                <w:sz w:val="18"/>
                <w:szCs w:val="18"/>
                <w:color w:val="auto"/>
              </w:rPr>
            </w:pPr>
          </w:p>
        </w:tc>
        <w:tc>
          <w:tcPr>
            <w:tcW w:w="10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50"/>
        </w:trPr>
        <w:tc>
          <w:tcPr>
            <w:tcW w:w="524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tcPr>
          <w:p>
            <w:pPr>
              <w:ind w:left="300"/>
              <w:spacing w:after="0"/>
              <w:rPr>
                <w:sz w:val="20"/>
                <w:szCs w:val="20"/>
                <w:color w:val="auto"/>
              </w:rPr>
            </w:pPr>
            <w:r>
              <w:rPr>
                <w:rFonts w:ascii="Arial" w:cs="Arial" w:eastAsia="Arial" w:hAnsi="Arial"/>
                <w:sz w:val="18"/>
                <w:szCs w:val="18"/>
                <w:color w:val="auto"/>
              </w:rPr>
              <w:t>Selling</w:t>
            </w:r>
          </w:p>
        </w:tc>
        <w:tc>
          <w:tcPr>
            <w:tcW w:w="3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5,511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14,948</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14,553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gridSpan w:val="2"/>
            <w:shd w:val="clear" w:color="auto" w:fill="D6F3E8"/>
          </w:tcPr>
          <w:p>
            <w:pPr>
              <w:ind w:left="300"/>
              <w:spacing w:after="0"/>
              <w:rPr>
                <w:sz w:val="20"/>
                <w:szCs w:val="20"/>
                <w:color w:val="auto"/>
              </w:rPr>
            </w:pPr>
            <w:r>
              <w:rPr>
                <w:rFonts w:ascii="Arial" w:cs="Arial" w:eastAsia="Arial" w:hAnsi="Arial"/>
                <w:sz w:val="18"/>
                <w:szCs w:val="18"/>
                <w:color w:val="auto"/>
              </w:rPr>
              <w:t>General and administrative</w:t>
            </w:r>
          </w:p>
        </w:tc>
        <w:tc>
          <w:tcPr>
            <w:tcW w:w="50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4,442</w:t>
            </w:r>
          </w:p>
        </w:tc>
        <w:tc>
          <w:tcPr>
            <w:tcW w:w="14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6,086</w:t>
            </w:r>
          </w:p>
        </w:tc>
        <w:tc>
          <w:tcPr>
            <w:tcW w:w="8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280" w:type="dxa"/>
            <w:vAlign w:val="bottom"/>
            <w:gridSpan w:val="3"/>
            <w:shd w:val="clear" w:color="auto" w:fill="D6F3E8"/>
          </w:tcPr>
          <w:p>
            <w:pPr>
              <w:jc w:val="right"/>
              <w:ind w:right="240"/>
              <w:spacing w:after="0"/>
              <w:rPr>
                <w:sz w:val="20"/>
                <w:szCs w:val="20"/>
                <w:color w:val="auto"/>
              </w:rPr>
            </w:pPr>
            <w:r>
              <w:rPr>
                <w:rFonts w:ascii="Arial" w:cs="Arial" w:eastAsia="Arial" w:hAnsi="Arial"/>
                <w:sz w:val="18"/>
                <w:szCs w:val="18"/>
                <w:color w:val="auto"/>
              </w:rPr>
              <w:t>16,350</w:t>
            </w:r>
          </w:p>
        </w:tc>
        <w:tc>
          <w:tcPr>
            <w:tcW w:w="180" w:type="dxa"/>
            <w:vAlign w:val="bottom"/>
            <w:shd w:val="clear" w:color="auto" w:fill="D6F3E8"/>
          </w:tcPr>
          <w:p>
            <w:pPr>
              <w:spacing w:after="0"/>
              <w:rPr>
                <w:sz w:val="18"/>
                <w:szCs w:val="18"/>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17,893</w:t>
            </w:r>
          </w:p>
        </w:tc>
        <w:tc>
          <w:tcPr>
            <w:tcW w:w="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Total operating expenses</w:t>
            </w:r>
          </w:p>
        </w:tc>
        <w:tc>
          <w:tcPr>
            <w:tcW w:w="5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31,298</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32,446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Operating (loss) income</w:t>
            </w:r>
          </w:p>
        </w:tc>
        <w:tc>
          <w:tcPr>
            <w:tcW w:w="50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106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(6,903)</w:t>
            </w:r>
          </w:p>
        </w:tc>
        <w:tc>
          <w:tcPr>
            <w:tcW w:w="8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14,659</w:t>
            </w:r>
          </w:p>
        </w:tc>
        <w:tc>
          <w:tcPr>
            <w:tcW w:w="8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280" w:type="dxa"/>
            <w:vAlign w:val="bottom"/>
            <w:gridSpan w:val="3"/>
            <w:shd w:val="clear" w:color="auto" w:fill="D6F3E8"/>
          </w:tcPr>
          <w:p>
            <w:pPr>
              <w:jc w:val="right"/>
              <w:ind w:right="240"/>
              <w:spacing w:after="0"/>
              <w:rPr>
                <w:sz w:val="20"/>
                <w:szCs w:val="20"/>
                <w:color w:val="auto"/>
              </w:rPr>
            </w:pPr>
            <w:r>
              <w:rPr>
                <w:rFonts w:ascii="Arial" w:cs="Arial" w:eastAsia="Arial" w:hAnsi="Arial"/>
                <w:sz w:val="18"/>
                <w:szCs w:val="18"/>
                <w:color w:val="auto"/>
              </w:rPr>
              <w:t>9,135</w:t>
            </w:r>
          </w:p>
        </w:tc>
        <w:tc>
          <w:tcPr>
            <w:tcW w:w="180" w:type="dxa"/>
            <w:vAlign w:val="bottom"/>
            <w:shd w:val="clear" w:color="auto" w:fill="D6F3E8"/>
          </w:tcPr>
          <w:p>
            <w:pPr>
              <w:spacing w:after="0"/>
              <w:rPr>
                <w:sz w:val="18"/>
                <w:szCs w:val="18"/>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34,159</w:t>
            </w:r>
          </w:p>
        </w:tc>
        <w:tc>
          <w:tcPr>
            <w:tcW w:w="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w w:val="90"/>
              </w:rPr>
              <w:t>Financial income</w:t>
            </w:r>
          </w:p>
        </w:tc>
        <w:tc>
          <w:tcPr>
            <w:tcW w:w="3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3,529</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4,964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top w:val="single" w:sz="8" w:color="D6F3E8"/>
            </w:tcBorders>
            <w:gridSpan w:val="2"/>
            <w:shd w:val="clear" w:color="auto" w:fill="D6F3E8"/>
          </w:tcPr>
          <w:p>
            <w:pPr>
              <w:spacing w:after="0" w:line="202" w:lineRule="exact"/>
              <w:rPr>
                <w:sz w:val="20"/>
                <w:szCs w:val="20"/>
                <w:color w:val="auto"/>
              </w:rPr>
            </w:pPr>
            <w:r>
              <w:rPr>
                <w:rFonts w:ascii="Arial" w:cs="Arial" w:eastAsia="Arial" w:hAnsi="Arial"/>
                <w:sz w:val="18"/>
                <w:szCs w:val="18"/>
                <w:color w:val="auto"/>
              </w:rPr>
              <w:t>(Loss) income before income taxes</w:t>
            </w:r>
          </w:p>
        </w:tc>
        <w:tc>
          <w:tcPr>
            <w:tcW w:w="500" w:type="dxa"/>
            <w:vAlign w:val="bottom"/>
            <w:tcBorders>
              <w:top w:val="single" w:sz="8" w:color="D6F3E8"/>
            </w:tcBorders>
            <w:shd w:val="clear" w:color="auto" w:fill="D6F3E8"/>
          </w:tcPr>
          <w:p>
            <w:pPr>
              <w:spacing w:after="0"/>
              <w:rPr>
                <w:sz w:val="18"/>
                <w:szCs w:val="18"/>
                <w:color w:val="auto"/>
              </w:rPr>
            </w:pPr>
          </w:p>
        </w:tc>
        <w:tc>
          <w:tcPr>
            <w:tcW w:w="280" w:type="dxa"/>
            <w:vAlign w:val="bottom"/>
            <w:tcBorders>
              <w:top w:val="single" w:sz="8" w:color="auto"/>
            </w:tcBorders>
            <w:shd w:val="clear" w:color="auto" w:fill="D6F3E8"/>
          </w:tcPr>
          <w:p>
            <w:pPr>
              <w:spacing w:after="0"/>
              <w:rPr>
                <w:sz w:val="18"/>
                <w:szCs w:val="18"/>
                <w:color w:val="auto"/>
              </w:rPr>
            </w:pPr>
          </w:p>
        </w:tc>
        <w:tc>
          <w:tcPr>
            <w:tcW w:w="9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(5,850)</w:t>
            </w:r>
          </w:p>
        </w:tc>
        <w:tc>
          <w:tcPr>
            <w:tcW w:w="140" w:type="dxa"/>
            <w:vAlign w:val="bottom"/>
            <w:tcBorders>
              <w:top w:val="single" w:sz="8" w:color="D6F3E8"/>
            </w:tcBorders>
            <w:shd w:val="clear" w:color="auto" w:fill="D6F3E8"/>
          </w:tcPr>
          <w:p>
            <w:pPr>
              <w:spacing w:after="0"/>
              <w:rPr>
                <w:sz w:val="18"/>
                <w:szCs w:val="18"/>
                <w:color w:val="auto"/>
              </w:rPr>
            </w:pPr>
          </w:p>
        </w:tc>
        <w:tc>
          <w:tcPr>
            <w:tcW w:w="80" w:type="dxa"/>
            <w:vAlign w:val="bottom"/>
            <w:tcBorders>
              <w:top w:val="single" w:sz="8" w:color="D6F3E8"/>
            </w:tcBorders>
            <w:shd w:val="clear" w:color="auto" w:fill="D6F3E8"/>
          </w:tcPr>
          <w:p>
            <w:pPr>
              <w:spacing w:after="0"/>
              <w:rPr>
                <w:sz w:val="18"/>
                <w:szCs w:val="18"/>
                <w:color w:val="auto"/>
              </w:rPr>
            </w:pPr>
          </w:p>
        </w:tc>
        <w:tc>
          <w:tcPr>
            <w:tcW w:w="360" w:type="dxa"/>
            <w:vAlign w:val="bottom"/>
            <w:tcBorders>
              <w:top w:val="single" w:sz="8" w:color="auto"/>
            </w:tcBorders>
            <w:shd w:val="clear" w:color="auto" w:fill="D6F3E8"/>
          </w:tcPr>
          <w:p>
            <w:pPr>
              <w:spacing w:after="0"/>
              <w:rPr>
                <w:sz w:val="18"/>
                <w:szCs w:val="18"/>
                <w:color w:val="auto"/>
              </w:rPr>
            </w:pPr>
          </w:p>
        </w:tc>
        <w:tc>
          <w:tcPr>
            <w:tcW w:w="8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16,458</w:t>
            </w:r>
          </w:p>
        </w:tc>
        <w:tc>
          <w:tcPr>
            <w:tcW w:w="80" w:type="dxa"/>
            <w:vAlign w:val="bottom"/>
            <w:tcBorders>
              <w:top w:val="single" w:sz="8" w:color="D6F3E8"/>
            </w:tcBorders>
            <w:shd w:val="clear" w:color="auto" w:fill="D6F3E8"/>
          </w:tcPr>
          <w:p>
            <w:pPr>
              <w:spacing w:after="0"/>
              <w:rPr>
                <w:sz w:val="18"/>
                <w:szCs w:val="18"/>
                <w:color w:val="auto"/>
              </w:rPr>
            </w:pPr>
          </w:p>
        </w:tc>
        <w:tc>
          <w:tcPr>
            <w:tcW w:w="160" w:type="dxa"/>
            <w:vAlign w:val="bottom"/>
            <w:tcBorders>
              <w:top w:val="single" w:sz="8" w:color="D6F3E8"/>
            </w:tcBorders>
            <w:shd w:val="clear" w:color="auto" w:fill="D6F3E8"/>
          </w:tcPr>
          <w:p>
            <w:pPr>
              <w:spacing w:after="0"/>
              <w:rPr>
                <w:sz w:val="18"/>
                <w:szCs w:val="18"/>
                <w:color w:val="auto"/>
              </w:rPr>
            </w:pPr>
          </w:p>
        </w:tc>
        <w:tc>
          <w:tcPr>
            <w:tcW w:w="160" w:type="dxa"/>
            <w:vAlign w:val="bottom"/>
            <w:tcBorders>
              <w:top w:val="single" w:sz="8" w:color="auto"/>
            </w:tcBorders>
            <w:shd w:val="clear" w:color="auto" w:fill="D6F3E8"/>
          </w:tcPr>
          <w:p>
            <w:pPr>
              <w:spacing w:after="0"/>
              <w:rPr>
                <w:sz w:val="18"/>
                <w:szCs w:val="18"/>
                <w:color w:val="auto"/>
              </w:rPr>
            </w:pPr>
          </w:p>
        </w:tc>
        <w:tc>
          <w:tcPr>
            <w:tcW w:w="104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12,664</w:t>
            </w:r>
          </w:p>
        </w:tc>
        <w:tc>
          <w:tcPr>
            <w:tcW w:w="240" w:type="dxa"/>
            <w:vAlign w:val="bottom"/>
            <w:tcBorders>
              <w:top w:val="single" w:sz="8" w:color="D6F3E8"/>
            </w:tcBorders>
            <w:shd w:val="clear" w:color="auto" w:fill="D6F3E8"/>
          </w:tcPr>
          <w:p>
            <w:pPr>
              <w:spacing w:after="0"/>
              <w:rPr>
                <w:sz w:val="18"/>
                <w:szCs w:val="18"/>
                <w:color w:val="auto"/>
              </w:rPr>
            </w:pPr>
          </w:p>
        </w:tc>
        <w:tc>
          <w:tcPr>
            <w:tcW w:w="180" w:type="dxa"/>
            <w:vAlign w:val="bottom"/>
            <w:tcBorders>
              <w:top w:val="single" w:sz="8" w:color="auto"/>
            </w:tcBorders>
            <w:shd w:val="clear" w:color="auto" w:fill="D6F3E8"/>
          </w:tcPr>
          <w:p>
            <w:pPr>
              <w:spacing w:after="0"/>
              <w:rPr>
                <w:sz w:val="18"/>
                <w:szCs w:val="18"/>
                <w:color w:val="auto"/>
              </w:rPr>
            </w:pPr>
          </w:p>
        </w:tc>
        <w:tc>
          <w:tcPr>
            <w:tcW w:w="10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39,123</w:t>
            </w:r>
          </w:p>
        </w:tc>
        <w:tc>
          <w:tcPr>
            <w:tcW w:w="20" w:type="dxa"/>
            <w:vAlign w:val="bottom"/>
            <w:tcBorders>
              <w:top w:val="single" w:sz="8" w:color="D6F3E8"/>
            </w:tcBorders>
            <w:shd w:val="clear" w:color="auto" w:fill="D6F3E8"/>
          </w:tcPr>
          <w:p>
            <w:pPr>
              <w:spacing w:after="0"/>
              <w:rPr>
                <w:sz w:val="18"/>
                <w:szCs w:val="18"/>
                <w:color w:val="auto"/>
              </w:rPr>
            </w:pPr>
          </w:p>
        </w:tc>
        <w:tc>
          <w:tcPr>
            <w:tcW w:w="10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(Benefit) provision for taxes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(8,850)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(2,815)</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12,402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tcBorders>
              <w:top w:val="single" w:sz="8" w:color="D6F3E8"/>
              <w:bottom w:val="single" w:sz="8" w:color="D6F3E8"/>
            </w:tcBorders>
            <w:shd w:val="clear" w:color="auto" w:fill="D6F3E8"/>
          </w:tcPr>
          <w:p>
            <w:pPr>
              <w:spacing w:after="0" w:line="202" w:lineRule="exact"/>
              <w:rPr>
                <w:sz w:val="20"/>
                <w:szCs w:val="20"/>
                <w:color w:val="auto"/>
              </w:rPr>
            </w:pPr>
            <w:r>
              <w:rPr>
                <w:rFonts w:ascii="Arial" w:cs="Arial" w:eastAsia="Arial" w:hAnsi="Arial"/>
                <w:sz w:val="18"/>
                <w:szCs w:val="18"/>
                <w:color w:val="auto"/>
              </w:rPr>
              <w:t>Net income</w:t>
            </w:r>
          </w:p>
        </w:tc>
        <w:tc>
          <w:tcPr>
            <w:tcW w:w="3980" w:type="dxa"/>
            <w:vAlign w:val="bottom"/>
            <w:tcBorders>
              <w:top w:val="single" w:sz="8" w:color="D6F3E8"/>
              <w:bottom w:val="single" w:sz="8" w:color="D6F3E8"/>
            </w:tcBorders>
            <w:shd w:val="clear" w:color="auto" w:fill="D6F3E8"/>
          </w:tcPr>
          <w:p>
            <w:pPr>
              <w:spacing w:after="0"/>
              <w:rPr>
                <w:sz w:val="18"/>
                <w:szCs w:val="18"/>
                <w:color w:val="auto"/>
              </w:rPr>
            </w:pPr>
          </w:p>
        </w:tc>
        <w:tc>
          <w:tcPr>
            <w:tcW w:w="500" w:type="dxa"/>
            <w:vAlign w:val="bottom"/>
            <w:tcBorders>
              <w:top w:val="single" w:sz="8" w:color="D6F3E8"/>
              <w:bottom w:val="single" w:sz="8" w:color="D6F3E8"/>
            </w:tcBorders>
            <w:shd w:val="clear" w:color="auto" w:fill="D6F3E8"/>
          </w:tcPr>
          <w:p>
            <w:pPr>
              <w:spacing w:after="0"/>
              <w:rPr>
                <w:sz w:val="18"/>
                <w:szCs w:val="18"/>
                <w:color w:val="auto"/>
              </w:rPr>
            </w:pPr>
          </w:p>
        </w:tc>
        <w:tc>
          <w:tcPr>
            <w:tcW w:w="280" w:type="dxa"/>
            <w:vAlign w:val="bottom"/>
            <w:tcBorders>
              <w:top w:val="single" w:sz="8" w:color="auto"/>
              <w:bottom w:val="single" w:sz="8" w:color="auto"/>
            </w:tcBorders>
            <w:shd w:val="clear" w:color="auto" w:fill="D6F3E8"/>
          </w:tcPr>
          <w:p>
            <w:pPr>
              <w:jc w:val="right"/>
              <w:ind w:right="12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3,000</w:t>
            </w:r>
          </w:p>
        </w:tc>
        <w:tc>
          <w:tcPr>
            <w:tcW w:w="140" w:type="dxa"/>
            <w:vAlign w:val="bottom"/>
            <w:tcBorders>
              <w:top w:val="single" w:sz="8" w:color="D6F3E8"/>
              <w:bottom w:val="single" w:sz="8" w:color="D6F3E8"/>
            </w:tcBorders>
            <w:shd w:val="clear" w:color="auto" w:fill="D6F3E8"/>
          </w:tcPr>
          <w:p>
            <w:pPr>
              <w:spacing w:after="0"/>
              <w:rPr>
                <w:sz w:val="18"/>
                <w:szCs w:val="18"/>
                <w:color w:val="auto"/>
              </w:rPr>
            </w:pPr>
          </w:p>
        </w:tc>
        <w:tc>
          <w:tcPr>
            <w:tcW w:w="80" w:type="dxa"/>
            <w:vAlign w:val="bottom"/>
            <w:tcBorders>
              <w:top w:val="single" w:sz="8" w:color="D6F3E8"/>
              <w:bottom w:val="single" w:sz="8" w:color="D6F3E8"/>
            </w:tcBorders>
            <w:shd w:val="clear" w:color="auto" w:fill="D6F3E8"/>
          </w:tcPr>
          <w:p>
            <w:pPr>
              <w:spacing w:after="0"/>
              <w:rPr>
                <w:sz w:val="18"/>
                <w:szCs w:val="18"/>
                <w:color w:val="auto"/>
              </w:rPr>
            </w:pPr>
          </w:p>
        </w:tc>
        <w:tc>
          <w:tcPr>
            <w:tcW w:w="360" w:type="dxa"/>
            <w:vAlign w:val="bottom"/>
            <w:tcBorders>
              <w:top w:val="single" w:sz="8" w:color="auto"/>
              <w:bottom w:val="single" w:sz="8" w:color="auto"/>
            </w:tcBorders>
            <w:shd w:val="clear" w:color="auto" w:fill="D6F3E8"/>
          </w:tcPr>
          <w:p>
            <w:pPr>
              <w:jc w:val="right"/>
              <w:ind w:right="17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11,253</w:t>
            </w:r>
          </w:p>
        </w:tc>
        <w:tc>
          <w:tcPr>
            <w:tcW w:w="80" w:type="dxa"/>
            <w:vAlign w:val="bottom"/>
            <w:tcBorders>
              <w:top w:val="single" w:sz="8" w:color="D6F3E8"/>
              <w:bottom w:val="single" w:sz="8" w:color="D6F3E8"/>
            </w:tcBorders>
            <w:shd w:val="clear" w:color="auto" w:fill="D6F3E8"/>
          </w:tcPr>
          <w:p>
            <w:pPr>
              <w:spacing w:after="0"/>
              <w:rPr>
                <w:sz w:val="18"/>
                <w:szCs w:val="18"/>
                <w:color w:val="auto"/>
              </w:rPr>
            </w:pPr>
          </w:p>
        </w:tc>
        <w:tc>
          <w:tcPr>
            <w:tcW w:w="160" w:type="dxa"/>
            <w:vAlign w:val="bottom"/>
            <w:tcBorders>
              <w:top w:val="single" w:sz="8" w:color="D6F3E8"/>
              <w:bottom w:val="single" w:sz="8" w:color="D6F3E8"/>
            </w:tcBorders>
            <w:shd w:val="clear" w:color="auto" w:fill="D6F3E8"/>
          </w:tcPr>
          <w:p>
            <w:pPr>
              <w:spacing w:after="0"/>
              <w:rPr>
                <w:sz w:val="18"/>
                <w:szCs w:val="18"/>
                <w:color w:val="auto"/>
              </w:rPr>
            </w:pPr>
          </w:p>
        </w:tc>
        <w:tc>
          <w:tcPr>
            <w:tcW w:w="160" w:type="dxa"/>
            <w:vAlign w:val="bottom"/>
            <w:tcBorders>
              <w:top w:val="single" w:sz="8" w:color="auto"/>
              <w:bottom w:val="single" w:sz="8" w:color="auto"/>
            </w:tcBorders>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15,479</w:t>
            </w:r>
          </w:p>
        </w:tc>
        <w:tc>
          <w:tcPr>
            <w:tcW w:w="240" w:type="dxa"/>
            <w:vAlign w:val="bottom"/>
            <w:tcBorders>
              <w:top w:val="single" w:sz="8" w:color="D6F3E8"/>
              <w:bottom w:val="single" w:sz="8" w:color="D6F3E8"/>
            </w:tcBorders>
            <w:shd w:val="clear" w:color="auto" w:fill="D6F3E8"/>
          </w:tcPr>
          <w:p>
            <w:pPr>
              <w:spacing w:after="0"/>
              <w:rPr>
                <w:sz w:val="18"/>
                <w:szCs w:val="18"/>
                <w:color w:val="auto"/>
              </w:rPr>
            </w:pPr>
          </w:p>
        </w:tc>
        <w:tc>
          <w:tcPr>
            <w:tcW w:w="180" w:type="dxa"/>
            <w:vAlign w:val="bottom"/>
            <w:tcBorders>
              <w:top w:val="single" w:sz="8" w:color="auto"/>
              <w:bottom w:val="single" w:sz="8" w:color="auto"/>
            </w:tcBorders>
            <w:shd w:val="clear" w:color="auto" w:fill="D6F3E8"/>
          </w:tcPr>
          <w:p>
            <w:pPr>
              <w:jc w:val="right"/>
              <w:ind w:right="21"/>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26,721</w:t>
            </w:r>
          </w:p>
        </w:tc>
        <w:tc>
          <w:tcPr>
            <w:tcW w:w="20" w:type="dxa"/>
            <w:vAlign w:val="bottom"/>
            <w:tcBorders>
              <w:top w:val="single" w:sz="8" w:color="D6F3E8"/>
              <w:bottom w:val="single" w:sz="8" w:color="D6F3E8"/>
            </w:tcBorders>
            <w:shd w:val="clear" w:color="auto" w:fill="D6F3E8"/>
          </w:tcPr>
          <w:p>
            <w:pPr>
              <w:spacing w:after="0"/>
              <w:rPr>
                <w:sz w:val="18"/>
                <w:szCs w:val="18"/>
                <w:color w:val="auto"/>
              </w:rPr>
            </w:pPr>
          </w:p>
        </w:tc>
        <w:tc>
          <w:tcPr>
            <w:tcW w:w="100" w:type="dxa"/>
            <w:vAlign w:val="bottom"/>
            <w:tcBorders>
              <w:top w:val="single" w:sz="8" w:color="D6F3E8"/>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3"/>
            <w:vMerge w:val="restart"/>
          </w:tcPr>
          <w:p>
            <w:pPr>
              <w:spacing w:after="0"/>
              <w:rPr>
                <w:sz w:val="20"/>
                <w:szCs w:val="20"/>
                <w:color w:val="auto"/>
              </w:rPr>
            </w:pPr>
            <w:r>
              <w:rPr>
                <w:rFonts w:ascii="Arial" w:cs="Arial" w:eastAsia="Arial" w:hAnsi="Arial"/>
                <w:sz w:val="18"/>
                <w:szCs w:val="18"/>
                <w:color w:val="auto"/>
              </w:rPr>
              <w:t>Income per common share:</w:t>
            </w:r>
          </w:p>
        </w:tc>
        <w:tc>
          <w:tcPr>
            <w:tcW w:w="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5240" w:type="dxa"/>
            <w:vAlign w:val="bottom"/>
            <w:gridSpan w:val="3"/>
            <w:vMerge w:val="continue"/>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240" w:type="dxa"/>
            <w:vAlign w:val="bottom"/>
          </w:tcPr>
          <w:p>
            <w:pPr>
              <w:ind w:left="300"/>
              <w:spacing w:after="0"/>
              <w:rPr>
                <w:sz w:val="20"/>
                <w:szCs w:val="20"/>
                <w:color w:val="auto"/>
              </w:rPr>
            </w:pPr>
            <w:r>
              <w:rPr>
                <w:rFonts w:ascii="Arial" w:cs="Arial" w:eastAsia="Arial" w:hAnsi="Arial"/>
                <w:sz w:val="18"/>
                <w:szCs w:val="18"/>
                <w:color w:val="auto"/>
              </w:rPr>
              <w:t>Basic</w:t>
            </w:r>
          </w:p>
        </w:tc>
        <w:tc>
          <w:tcPr>
            <w:tcW w:w="3980" w:type="dxa"/>
            <w:vAlign w:val="bottom"/>
          </w:tcPr>
          <w:p>
            <w:pPr>
              <w:spacing w:after="0"/>
              <w:rPr>
                <w:sz w:val="22"/>
                <w:szCs w:val="22"/>
                <w:color w:val="auto"/>
              </w:rPr>
            </w:pPr>
          </w:p>
        </w:tc>
        <w:tc>
          <w:tcPr>
            <w:tcW w:w="780" w:type="dxa"/>
            <w:vAlign w:val="bottom"/>
            <w:gridSpan w:val="2"/>
          </w:tcPr>
          <w:p>
            <w:pPr>
              <w:jc w:val="right"/>
              <w:ind w:right="123"/>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0.10</w:t>
            </w:r>
          </w:p>
        </w:tc>
        <w:tc>
          <w:tcPr>
            <w:tcW w:w="140" w:type="dxa"/>
            <w:vAlign w:val="bottom"/>
          </w:tcPr>
          <w:p>
            <w:pPr>
              <w:spacing w:after="0"/>
              <w:rPr>
                <w:sz w:val="22"/>
                <w:szCs w:val="22"/>
                <w:color w:val="auto"/>
              </w:rPr>
            </w:pPr>
          </w:p>
        </w:tc>
        <w:tc>
          <w:tcPr>
            <w:tcW w:w="44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0.36</w:t>
            </w:r>
          </w:p>
        </w:tc>
        <w:tc>
          <w:tcPr>
            <w:tcW w:w="80" w:type="dxa"/>
            <w:vAlign w:val="bottom"/>
          </w:tcPr>
          <w:p>
            <w:pPr>
              <w:spacing w:after="0"/>
              <w:rPr>
                <w:sz w:val="22"/>
                <w:szCs w:val="22"/>
                <w:color w:val="auto"/>
              </w:rPr>
            </w:pPr>
          </w:p>
        </w:tc>
        <w:tc>
          <w:tcPr>
            <w:tcW w:w="3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0.53</w:t>
            </w: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0.85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240" w:type="dxa"/>
            <w:vAlign w:val="bottom"/>
            <w:tcBorders>
              <w:top w:val="single" w:sz="8" w:color="D6F3E8"/>
              <w:bottom w:val="single" w:sz="8" w:color="D6F3E8"/>
            </w:tcBorders>
            <w:shd w:val="clear" w:color="auto" w:fill="D6F3E8"/>
          </w:tcPr>
          <w:p>
            <w:pPr>
              <w:ind w:left="300"/>
              <w:spacing w:after="0" w:line="182" w:lineRule="exact"/>
              <w:rPr>
                <w:sz w:val="20"/>
                <w:szCs w:val="20"/>
                <w:color w:val="auto"/>
              </w:rPr>
            </w:pPr>
            <w:r>
              <w:rPr>
                <w:rFonts w:ascii="Arial" w:cs="Arial" w:eastAsia="Arial" w:hAnsi="Arial"/>
                <w:sz w:val="18"/>
                <w:szCs w:val="18"/>
                <w:color w:val="auto"/>
              </w:rPr>
              <w:t>Diluted</w:t>
            </w:r>
          </w:p>
        </w:tc>
        <w:tc>
          <w:tcPr>
            <w:tcW w:w="3980" w:type="dxa"/>
            <w:vAlign w:val="bottom"/>
            <w:tcBorders>
              <w:top w:val="single" w:sz="8" w:color="D6F3E8"/>
              <w:bottom w:val="single" w:sz="8" w:color="D6F3E8"/>
            </w:tcBorders>
            <w:shd w:val="clear" w:color="auto" w:fill="D6F3E8"/>
          </w:tcPr>
          <w:p>
            <w:pPr>
              <w:spacing w:after="0"/>
              <w:rPr>
                <w:sz w:val="17"/>
                <w:szCs w:val="17"/>
                <w:color w:val="auto"/>
              </w:rPr>
            </w:pPr>
          </w:p>
        </w:tc>
        <w:tc>
          <w:tcPr>
            <w:tcW w:w="500" w:type="dxa"/>
            <w:vAlign w:val="bottom"/>
            <w:tcBorders>
              <w:top w:val="single" w:sz="8" w:color="D6F3E8"/>
              <w:bottom w:val="single" w:sz="8" w:color="D6F3E8"/>
            </w:tcBorders>
            <w:shd w:val="clear" w:color="auto" w:fill="D6F3E8"/>
          </w:tcPr>
          <w:p>
            <w:pPr>
              <w:spacing w:after="0"/>
              <w:rPr>
                <w:sz w:val="17"/>
                <w:szCs w:val="17"/>
                <w:color w:val="auto"/>
              </w:rPr>
            </w:pPr>
          </w:p>
        </w:tc>
        <w:tc>
          <w:tcPr>
            <w:tcW w:w="280" w:type="dxa"/>
            <w:vAlign w:val="bottom"/>
            <w:tcBorders>
              <w:top w:val="single" w:sz="8" w:color="auto"/>
              <w:bottom w:val="single" w:sz="8" w:color="auto"/>
            </w:tcBorders>
            <w:shd w:val="clear" w:color="auto" w:fill="D6F3E8"/>
          </w:tcPr>
          <w:p>
            <w:pPr>
              <w:jc w:val="right"/>
              <w:ind w:right="12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D6F3E8"/>
          </w:tcPr>
          <w:p>
            <w:pPr>
              <w:jc w:val="right"/>
              <w:spacing w:after="0" w:line="198" w:lineRule="exact"/>
              <w:rPr>
                <w:sz w:val="20"/>
                <w:szCs w:val="20"/>
                <w:color w:val="auto"/>
              </w:rPr>
            </w:pPr>
            <w:r>
              <w:rPr>
                <w:rFonts w:ascii="Arial" w:cs="Arial" w:eastAsia="Arial" w:hAnsi="Arial"/>
                <w:sz w:val="18"/>
                <w:szCs w:val="18"/>
                <w:color w:val="auto"/>
              </w:rPr>
              <w:t>0.10</w:t>
            </w:r>
          </w:p>
        </w:tc>
        <w:tc>
          <w:tcPr>
            <w:tcW w:w="140" w:type="dxa"/>
            <w:vAlign w:val="bottom"/>
            <w:tcBorders>
              <w:top w:val="single" w:sz="8" w:color="D6F3E8"/>
              <w:bottom w:val="single" w:sz="8" w:color="D6F3E8"/>
            </w:tcBorders>
            <w:shd w:val="clear" w:color="auto" w:fill="D6F3E8"/>
          </w:tcPr>
          <w:p>
            <w:pPr>
              <w:spacing w:after="0"/>
              <w:rPr>
                <w:sz w:val="17"/>
                <w:szCs w:val="17"/>
                <w:color w:val="auto"/>
              </w:rPr>
            </w:pPr>
          </w:p>
        </w:tc>
        <w:tc>
          <w:tcPr>
            <w:tcW w:w="80" w:type="dxa"/>
            <w:vAlign w:val="bottom"/>
            <w:tcBorders>
              <w:top w:val="single" w:sz="8" w:color="D6F3E8"/>
              <w:bottom w:val="single" w:sz="8" w:color="D6F3E8"/>
            </w:tcBorders>
            <w:shd w:val="clear" w:color="auto" w:fill="D6F3E8"/>
          </w:tcPr>
          <w:p>
            <w:pPr>
              <w:spacing w:after="0"/>
              <w:rPr>
                <w:sz w:val="17"/>
                <w:szCs w:val="17"/>
                <w:color w:val="auto"/>
              </w:rPr>
            </w:pPr>
          </w:p>
        </w:tc>
        <w:tc>
          <w:tcPr>
            <w:tcW w:w="360" w:type="dxa"/>
            <w:vAlign w:val="bottom"/>
            <w:tcBorders>
              <w:top w:val="single" w:sz="8" w:color="auto"/>
              <w:bottom w:val="single" w:sz="8" w:color="auto"/>
            </w:tcBorders>
            <w:shd w:val="clear" w:color="auto" w:fill="D6F3E8"/>
          </w:tcPr>
          <w:p>
            <w:pPr>
              <w:jc w:val="right"/>
              <w:ind w:right="172"/>
              <w:spacing w:after="0" w:line="198"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D6F3E8"/>
          </w:tcPr>
          <w:p>
            <w:pPr>
              <w:jc w:val="right"/>
              <w:spacing w:after="0" w:line="198" w:lineRule="exact"/>
              <w:rPr>
                <w:sz w:val="20"/>
                <w:szCs w:val="20"/>
                <w:color w:val="auto"/>
              </w:rPr>
            </w:pPr>
            <w:r>
              <w:rPr>
                <w:rFonts w:ascii="Arial" w:cs="Arial" w:eastAsia="Arial" w:hAnsi="Arial"/>
                <w:sz w:val="18"/>
                <w:szCs w:val="18"/>
                <w:color w:val="auto"/>
              </w:rPr>
              <w:t>0.35</w:t>
            </w:r>
          </w:p>
        </w:tc>
        <w:tc>
          <w:tcPr>
            <w:tcW w:w="80" w:type="dxa"/>
            <w:vAlign w:val="bottom"/>
            <w:tcBorders>
              <w:top w:val="single" w:sz="8" w:color="D6F3E8"/>
              <w:bottom w:val="single" w:sz="8" w:color="D6F3E8"/>
            </w:tcBorders>
            <w:shd w:val="clear" w:color="auto" w:fill="D6F3E8"/>
          </w:tcPr>
          <w:p>
            <w:pPr>
              <w:spacing w:after="0"/>
              <w:rPr>
                <w:sz w:val="17"/>
                <w:szCs w:val="17"/>
                <w:color w:val="auto"/>
              </w:rPr>
            </w:pPr>
          </w:p>
        </w:tc>
        <w:tc>
          <w:tcPr>
            <w:tcW w:w="160" w:type="dxa"/>
            <w:vAlign w:val="bottom"/>
            <w:tcBorders>
              <w:top w:val="single" w:sz="8" w:color="D6F3E8"/>
              <w:bottom w:val="single" w:sz="8" w:color="D6F3E8"/>
            </w:tcBorders>
            <w:shd w:val="clear" w:color="auto" w:fill="D6F3E8"/>
          </w:tcPr>
          <w:p>
            <w:pPr>
              <w:spacing w:after="0"/>
              <w:rPr>
                <w:sz w:val="17"/>
                <w:szCs w:val="17"/>
                <w:color w:val="auto"/>
              </w:rPr>
            </w:pPr>
          </w:p>
        </w:tc>
        <w:tc>
          <w:tcPr>
            <w:tcW w:w="160" w:type="dxa"/>
            <w:vAlign w:val="bottom"/>
            <w:tcBorders>
              <w:top w:val="single" w:sz="8" w:color="auto"/>
              <w:bottom w:val="single" w:sz="8" w:color="auto"/>
            </w:tcBorders>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shd w:val="clear" w:color="auto" w:fill="D6F3E8"/>
          </w:tcPr>
          <w:p>
            <w:pPr>
              <w:jc w:val="right"/>
              <w:spacing w:after="0" w:line="198" w:lineRule="exact"/>
              <w:rPr>
                <w:sz w:val="20"/>
                <w:szCs w:val="20"/>
                <w:color w:val="auto"/>
              </w:rPr>
            </w:pPr>
            <w:r>
              <w:rPr>
                <w:rFonts w:ascii="Arial" w:cs="Arial" w:eastAsia="Arial" w:hAnsi="Arial"/>
                <w:sz w:val="18"/>
                <w:szCs w:val="18"/>
                <w:color w:val="auto"/>
              </w:rPr>
              <w:t>0.53</w:t>
            </w:r>
          </w:p>
        </w:tc>
        <w:tc>
          <w:tcPr>
            <w:tcW w:w="240" w:type="dxa"/>
            <w:vAlign w:val="bottom"/>
            <w:tcBorders>
              <w:top w:val="single" w:sz="8" w:color="D6F3E8"/>
              <w:bottom w:val="single" w:sz="8" w:color="D6F3E8"/>
            </w:tcBorders>
            <w:shd w:val="clear" w:color="auto" w:fill="D6F3E8"/>
          </w:tcPr>
          <w:p>
            <w:pPr>
              <w:spacing w:after="0"/>
              <w:rPr>
                <w:sz w:val="17"/>
                <w:szCs w:val="17"/>
                <w:color w:val="auto"/>
              </w:rPr>
            </w:pPr>
          </w:p>
        </w:tc>
        <w:tc>
          <w:tcPr>
            <w:tcW w:w="180" w:type="dxa"/>
            <w:vAlign w:val="bottom"/>
            <w:tcBorders>
              <w:top w:val="single" w:sz="8" w:color="auto"/>
              <w:bottom w:val="single" w:sz="8" w:color="auto"/>
            </w:tcBorders>
            <w:shd w:val="clear" w:color="auto" w:fill="D6F3E8"/>
          </w:tcPr>
          <w:p>
            <w:pPr>
              <w:jc w:val="right"/>
              <w:ind w:right="21"/>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D6F3E8"/>
          </w:tcPr>
          <w:p>
            <w:pPr>
              <w:jc w:val="right"/>
              <w:spacing w:after="0" w:line="198" w:lineRule="exact"/>
              <w:rPr>
                <w:sz w:val="20"/>
                <w:szCs w:val="20"/>
                <w:color w:val="auto"/>
              </w:rPr>
            </w:pPr>
            <w:r>
              <w:rPr>
                <w:rFonts w:ascii="Arial" w:cs="Arial" w:eastAsia="Arial" w:hAnsi="Arial"/>
                <w:sz w:val="18"/>
                <w:szCs w:val="18"/>
                <w:color w:val="auto"/>
              </w:rPr>
              <w:t>0.84</w:t>
            </w:r>
          </w:p>
        </w:tc>
        <w:tc>
          <w:tcPr>
            <w:tcW w:w="20" w:type="dxa"/>
            <w:vAlign w:val="bottom"/>
            <w:tcBorders>
              <w:top w:val="single" w:sz="8" w:color="D6F3E8"/>
              <w:bottom w:val="single" w:sz="8" w:color="D6F3E8"/>
            </w:tcBorders>
            <w:shd w:val="clear" w:color="auto" w:fill="D6F3E8"/>
          </w:tcPr>
          <w:p>
            <w:pPr>
              <w:spacing w:after="0"/>
              <w:rPr>
                <w:sz w:val="17"/>
                <w:szCs w:val="17"/>
                <w:color w:val="auto"/>
              </w:rPr>
            </w:pPr>
          </w:p>
        </w:tc>
        <w:tc>
          <w:tcPr>
            <w:tcW w:w="100" w:type="dxa"/>
            <w:vAlign w:val="bottom"/>
            <w:tcBorders>
              <w:top w:val="single" w:sz="8" w:color="D6F3E8"/>
              <w:bottom w:val="single" w:sz="8" w:color="D6F3E8"/>
            </w:tcBorders>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40" w:type="dxa"/>
            <w:vAlign w:val="bottom"/>
            <w:gridSpan w:val="3"/>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5240" w:type="dxa"/>
            <w:vAlign w:val="bottom"/>
            <w:gridSpan w:val="3"/>
            <w:vMerge w:val="continue"/>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tcPr>
          <w:p>
            <w:pPr>
              <w:ind w:left="300"/>
              <w:spacing w:after="0"/>
              <w:rPr>
                <w:sz w:val="20"/>
                <w:szCs w:val="20"/>
                <w:color w:val="auto"/>
              </w:rPr>
            </w:pPr>
            <w:r>
              <w:rPr>
                <w:rFonts w:ascii="Arial" w:cs="Arial" w:eastAsia="Arial" w:hAnsi="Arial"/>
                <w:sz w:val="18"/>
                <w:szCs w:val="18"/>
                <w:color w:val="auto"/>
              </w:rPr>
              <w:t>Basic</w:t>
            </w:r>
          </w:p>
        </w:tc>
        <w:tc>
          <w:tcPr>
            <w:tcW w:w="3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29,013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31,524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29,116</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31,411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40" w:type="dxa"/>
            <w:vAlign w:val="bottom"/>
            <w:shd w:val="clear" w:color="auto" w:fill="D6F3E8"/>
          </w:tcPr>
          <w:p>
            <w:pPr>
              <w:ind w:left="300"/>
              <w:spacing w:after="0"/>
              <w:rPr>
                <w:sz w:val="20"/>
                <w:szCs w:val="20"/>
                <w:color w:val="auto"/>
              </w:rPr>
            </w:pPr>
            <w:r>
              <w:rPr>
                <w:rFonts w:ascii="Arial" w:cs="Arial" w:eastAsia="Arial" w:hAnsi="Arial"/>
                <w:sz w:val="18"/>
                <w:szCs w:val="18"/>
                <w:color w:val="auto"/>
              </w:rPr>
              <w:t>Diluted</w:t>
            </w:r>
          </w:p>
        </w:tc>
        <w:tc>
          <w:tcPr>
            <w:tcW w:w="3980" w:type="dxa"/>
            <w:vAlign w:val="bottom"/>
            <w:shd w:val="clear" w:color="auto" w:fill="D6F3E8"/>
          </w:tcPr>
          <w:p>
            <w:pPr>
              <w:spacing w:after="0"/>
              <w:rPr>
                <w:sz w:val="18"/>
                <w:szCs w:val="18"/>
                <w:color w:val="auto"/>
              </w:rPr>
            </w:pPr>
          </w:p>
        </w:tc>
        <w:tc>
          <w:tcPr>
            <w:tcW w:w="50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29,048</w:t>
            </w:r>
          </w:p>
        </w:tc>
        <w:tc>
          <w:tcPr>
            <w:tcW w:w="14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31,761</w:t>
            </w:r>
          </w:p>
        </w:tc>
        <w:tc>
          <w:tcPr>
            <w:tcW w:w="8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280" w:type="dxa"/>
            <w:vAlign w:val="bottom"/>
            <w:gridSpan w:val="3"/>
            <w:shd w:val="clear" w:color="auto" w:fill="D6F3E8"/>
          </w:tcPr>
          <w:p>
            <w:pPr>
              <w:jc w:val="right"/>
              <w:ind w:right="240"/>
              <w:spacing w:after="0"/>
              <w:rPr>
                <w:sz w:val="20"/>
                <w:szCs w:val="20"/>
                <w:color w:val="auto"/>
              </w:rPr>
            </w:pPr>
            <w:r>
              <w:rPr>
                <w:rFonts w:ascii="Arial" w:cs="Arial" w:eastAsia="Arial" w:hAnsi="Arial"/>
                <w:sz w:val="18"/>
                <w:szCs w:val="18"/>
                <w:color w:val="auto"/>
              </w:rPr>
              <w:t>29,183</w:t>
            </w:r>
          </w:p>
        </w:tc>
        <w:tc>
          <w:tcPr>
            <w:tcW w:w="180" w:type="dxa"/>
            <w:vAlign w:val="bottom"/>
            <w:shd w:val="clear" w:color="auto" w:fill="D6F3E8"/>
          </w:tcPr>
          <w:p>
            <w:pPr>
              <w:spacing w:after="0"/>
              <w:rPr>
                <w:sz w:val="18"/>
                <w:szCs w:val="18"/>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31,697</w:t>
            </w:r>
          </w:p>
        </w:tc>
        <w:tc>
          <w:tcPr>
            <w:tcW w:w="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5240" w:type="dxa"/>
            <w:vAlign w:val="bottom"/>
            <w:gridSpan w:val="3"/>
          </w:tcPr>
          <w:p>
            <w:pPr>
              <w:spacing w:after="0"/>
              <w:rPr>
                <w:sz w:val="20"/>
                <w:szCs w:val="20"/>
                <w:color w:val="auto"/>
              </w:rPr>
            </w:pPr>
            <w:r>
              <w:rPr>
                <w:rFonts w:ascii="Arial" w:cs="Arial" w:eastAsia="Arial" w:hAnsi="Arial"/>
                <w:sz w:val="18"/>
                <w:szCs w:val="18"/>
                <w:color w:val="auto"/>
              </w:rPr>
              <w:t>Dividends paid per common share</w:t>
            </w:r>
          </w:p>
        </w:tc>
        <w:tc>
          <w:tcPr>
            <w:tcW w:w="780" w:type="dxa"/>
            <w:vAlign w:val="bottom"/>
            <w:gridSpan w:val="2"/>
          </w:tcPr>
          <w:p>
            <w:pPr>
              <w:jc w:val="right"/>
              <w:ind w:right="123"/>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0.12</w:t>
            </w:r>
          </w:p>
        </w:tc>
        <w:tc>
          <w:tcPr>
            <w:tcW w:w="140" w:type="dxa"/>
            <w:vAlign w:val="bottom"/>
          </w:tcPr>
          <w:p>
            <w:pPr>
              <w:spacing w:after="0"/>
              <w:rPr>
                <w:sz w:val="24"/>
                <w:szCs w:val="24"/>
                <w:color w:val="auto"/>
              </w:rPr>
            </w:pPr>
          </w:p>
        </w:tc>
        <w:tc>
          <w:tcPr>
            <w:tcW w:w="44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0.10</w:t>
            </w:r>
          </w:p>
        </w:tc>
        <w:tc>
          <w:tcPr>
            <w:tcW w:w="80" w:type="dxa"/>
            <w:vAlign w:val="bottom"/>
          </w:tcPr>
          <w:p>
            <w:pPr>
              <w:spacing w:after="0"/>
              <w:rPr>
                <w:sz w:val="24"/>
                <w:szCs w:val="24"/>
                <w:color w:val="auto"/>
              </w:rPr>
            </w:pPr>
          </w:p>
        </w:tc>
        <w:tc>
          <w:tcPr>
            <w:tcW w:w="3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0.36</w:t>
            </w: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40" w:type="dxa"/>
            <w:vAlign w:val="bottom"/>
            <w:gridSpan w:val="3"/>
          </w:tcPr>
          <w:p>
            <w:pPr>
              <w:spacing w:after="0"/>
              <w:rPr>
                <w:sz w:val="20"/>
                <w:szCs w:val="20"/>
                <w:color w:val="auto"/>
              </w:rPr>
            </w:pPr>
            <w:r>
              <w:rPr>
                <w:rFonts w:ascii="Arial" w:cs="Arial" w:eastAsia="Arial" w:hAnsi="Arial"/>
                <w:sz w:val="18"/>
                <w:szCs w:val="18"/>
                <w:i w:val="1"/>
                <w:iCs w:val="1"/>
                <w:color w:val="auto"/>
                <w:w w:val="94"/>
              </w:rPr>
              <w:t>See unaudited notes to condensed consolidated financial statements.</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80" w:type="dxa"/>
            <w:vAlign w:val="bottom"/>
            <w:gridSpan w:val="2"/>
          </w:tcPr>
          <w:p>
            <w:pPr>
              <w:jc w:val="right"/>
              <w:ind w:right="183"/>
              <w:spacing w:after="0"/>
              <w:rPr>
                <w:sz w:val="20"/>
                <w:szCs w:val="20"/>
                <w:color w:val="auto"/>
              </w:rPr>
            </w:pPr>
            <w:r>
              <w:rPr>
                <w:rFonts w:ascii="Arial" w:cs="Arial" w:eastAsia="Arial" w:hAnsi="Arial"/>
                <w:sz w:val="18"/>
                <w:szCs w:val="18"/>
                <w:color w:val="auto"/>
              </w:rPr>
              <w:t>1</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1260" w:type="dxa"/>
            <w:vAlign w:val="bottom"/>
            <w:tcBorders>
              <w:bottom w:val="single" w:sz="8" w:color="808080"/>
            </w:tcBorders>
            <w:gridSpan w:val="2"/>
          </w:tcPr>
          <w:p>
            <w:pPr>
              <w:spacing w:after="0"/>
              <w:rPr>
                <w:sz w:val="24"/>
                <w:szCs w:val="24"/>
                <w:color w:val="auto"/>
              </w:rPr>
            </w:pPr>
          </w:p>
        </w:tc>
        <w:tc>
          <w:tcPr>
            <w:tcW w:w="39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12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1">
              <w:r>
                <w:rPr>
                  <w:rFonts w:ascii="Arial" w:cs="Arial" w:eastAsia="Arial" w:hAnsi="Arial"/>
                  <w:sz w:val="18"/>
                  <w:szCs w:val="18"/>
                  <w:color w:val="0000EE"/>
                  <w:w w:val="87"/>
                </w:rPr>
                <w:t>Table of Contents</w:t>
              </w:r>
            </w:hyperlink>
          </w:p>
        </w:tc>
        <w:tc>
          <w:tcPr>
            <w:tcW w:w="3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Winnebago Industries, Inc.</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Unaudited Consolidated Balance Sheets</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May 31,</w:t>
            </w:r>
          </w:p>
        </w:tc>
        <w:tc>
          <w:tcPr>
            <w:tcW w:w="180" w:type="dxa"/>
            <w:vAlign w:val="bottom"/>
          </w:tcPr>
          <w:p>
            <w:pPr>
              <w:spacing w:after="0"/>
              <w:rPr>
                <w:sz w:val="24"/>
                <w:szCs w:val="24"/>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August 25,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3"/>
              </w:rPr>
              <w:t>2007</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0"/>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3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gridSpan w:val="2"/>
            <w:shd w:val="clear" w:color="auto" w:fill="D6F3E8"/>
          </w:tcPr>
          <w:p>
            <w:pPr>
              <w:ind w:left="300"/>
              <w:spacing w:after="0"/>
              <w:rPr>
                <w:sz w:val="20"/>
                <w:szCs w:val="20"/>
                <w:color w:val="auto"/>
              </w:rPr>
            </w:pPr>
            <w:r>
              <w:rPr>
                <w:rFonts w:ascii="Arial" w:cs="Arial" w:eastAsia="Arial" w:hAnsi="Arial"/>
                <w:sz w:val="18"/>
                <w:szCs w:val="18"/>
                <w:color w:val="auto"/>
              </w:rPr>
              <w:t>Cash and cash equivalents</w:t>
            </w:r>
          </w:p>
        </w:tc>
        <w:tc>
          <w:tcPr>
            <w:tcW w:w="50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86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1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D6F3E8"/>
          </w:tcPr>
          <w:p>
            <w:pPr>
              <w:spacing w:after="0"/>
              <w:rPr>
                <w:sz w:val="18"/>
                <w:szCs w:val="18"/>
                <w:color w:val="auto"/>
              </w:rPr>
            </w:pP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46,200</w:t>
            </w:r>
          </w:p>
        </w:tc>
        <w:tc>
          <w:tcPr>
            <w:tcW w:w="8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80" w:type="dxa"/>
            <w:vAlign w:val="bottom"/>
            <w:shd w:val="clear" w:color="auto" w:fill="D6F3E8"/>
          </w:tcPr>
          <w:p>
            <w:pPr>
              <w:jc w:val="right"/>
              <w:ind w:right="1"/>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D6F3E8"/>
          </w:tcPr>
          <w:p>
            <w:pPr>
              <w:jc w:val="right"/>
              <w:ind w:right="100"/>
              <w:spacing w:after="0"/>
              <w:rPr>
                <w:sz w:val="20"/>
                <w:szCs w:val="20"/>
                <w:color w:val="auto"/>
              </w:rPr>
            </w:pPr>
            <w:r>
              <w:rPr>
                <w:rFonts w:ascii="Arial" w:cs="Arial" w:eastAsia="Arial" w:hAnsi="Arial"/>
                <w:sz w:val="18"/>
                <w:szCs w:val="18"/>
                <w:color w:val="auto"/>
              </w:rPr>
              <w:t>6,889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ind w:left="300"/>
              <w:spacing w:after="0"/>
              <w:rPr>
                <w:sz w:val="20"/>
                <w:szCs w:val="20"/>
                <w:color w:val="auto"/>
              </w:rPr>
            </w:pPr>
            <w:r>
              <w:rPr>
                <w:rFonts w:ascii="Arial" w:cs="Arial" w:eastAsia="Arial" w:hAnsi="Arial"/>
                <w:sz w:val="18"/>
                <w:szCs w:val="18"/>
                <w:color w:val="auto"/>
              </w:rPr>
              <w:t>Short-term investments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102,650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4"/>
            <w:shd w:val="clear" w:color="auto" w:fill="D6F3E8"/>
          </w:tcPr>
          <w:p>
            <w:pPr>
              <w:ind w:left="300"/>
              <w:spacing w:after="0"/>
              <w:rPr>
                <w:sz w:val="20"/>
                <w:szCs w:val="20"/>
                <w:color w:val="auto"/>
              </w:rPr>
            </w:pPr>
            <w:r>
              <w:rPr>
                <w:rFonts w:ascii="Arial" w:cs="Arial" w:eastAsia="Arial" w:hAnsi="Arial"/>
                <w:sz w:val="18"/>
                <w:szCs w:val="18"/>
                <w:color w:val="auto"/>
                <w:w w:val="88"/>
              </w:rPr>
              <w:t>Receivables, less allowance for doubtful accounts ($143 and $133, respectively)</w:t>
            </w:r>
          </w:p>
        </w:tc>
        <w:tc>
          <w:tcPr>
            <w:tcW w:w="9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86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10,132</w:t>
            </w:r>
          </w:p>
        </w:tc>
        <w:tc>
          <w:tcPr>
            <w:tcW w:w="8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180" w:type="dxa"/>
            <w:vAlign w:val="bottom"/>
            <w:gridSpan w:val="3"/>
            <w:shd w:val="clear" w:color="auto" w:fill="D6F3E8"/>
          </w:tcPr>
          <w:p>
            <w:pPr>
              <w:jc w:val="right"/>
              <w:ind w:right="100"/>
              <w:spacing w:after="0"/>
              <w:rPr>
                <w:sz w:val="20"/>
                <w:szCs w:val="20"/>
                <w:color w:val="auto"/>
              </w:rPr>
            </w:pPr>
            <w:r>
              <w:rPr>
                <w:rFonts w:ascii="Arial" w:cs="Arial" w:eastAsia="Arial" w:hAnsi="Arial"/>
                <w:sz w:val="18"/>
                <w:szCs w:val="18"/>
                <w:color w:val="auto"/>
              </w:rPr>
              <w:t>30,285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6239510</wp:posOffset>
            </wp:positionH>
            <wp:positionV relativeFrom="paragraph">
              <wp:posOffset>-4021455</wp:posOffset>
            </wp:positionV>
            <wp:extent cx="1460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4404360</wp:posOffset>
            </wp:positionH>
            <wp:positionV relativeFrom="paragraph">
              <wp:posOffset>-4021455</wp:posOffset>
            </wp:positionV>
            <wp:extent cx="1460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-1828165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-1828165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84" w:orient="portrait"/>
          <w:cols w:equalWidth="0" w:num="1">
            <w:col w:w="11420"/>
          </w:cols>
          <w:pgMar w:left="240" w:top="122"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3"/>
        </w:trPr>
        <w:tc>
          <w:tcPr>
            <w:tcW w:w="846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110,960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101,208</w:t>
            </w:r>
          </w:p>
        </w:tc>
        <w:tc>
          <w:tcPr>
            <w:tcW w:w="0" w:type="dxa"/>
            <w:vAlign w:val="bottom"/>
          </w:tcPr>
          <w:p>
            <w:pPr>
              <w:spacing w:after="0"/>
              <w:rPr>
                <w:sz w:val="1"/>
                <w:szCs w:val="1"/>
                <w:color w:val="auto"/>
              </w:rPr>
            </w:pPr>
          </w:p>
        </w:tc>
      </w:tr>
      <w:tr>
        <w:trPr>
          <w:trHeight w:val="217"/>
        </w:trPr>
        <w:tc>
          <w:tcPr>
            <w:tcW w:w="84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Income taxes receivable</w:t>
            </w:r>
          </w:p>
        </w:tc>
        <w:tc>
          <w:tcPr>
            <w:tcW w:w="36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4,326</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10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60" w:type="dxa"/>
            <w:vAlign w:val="bottom"/>
          </w:tcPr>
          <w:p>
            <w:pPr>
              <w:ind w:left="32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3,981</w:t>
            </w:r>
          </w:p>
        </w:tc>
        <w:tc>
          <w:tcPr>
            <w:tcW w:w="0" w:type="dxa"/>
            <w:vAlign w:val="bottom"/>
          </w:tcPr>
          <w:p>
            <w:pPr>
              <w:spacing w:after="0"/>
              <w:rPr>
                <w:sz w:val="1"/>
                <w:szCs w:val="1"/>
                <w:color w:val="auto"/>
              </w:rPr>
            </w:pPr>
          </w:p>
        </w:tc>
      </w:tr>
      <w:tr>
        <w:trPr>
          <w:trHeight w:val="216"/>
        </w:trPr>
        <w:tc>
          <w:tcPr>
            <w:tcW w:w="84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11,967</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10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12,687</w:t>
            </w:r>
          </w:p>
        </w:tc>
        <w:tc>
          <w:tcPr>
            <w:tcW w:w="0" w:type="dxa"/>
            <w:vAlign w:val="bottom"/>
          </w:tcPr>
          <w:p>
            <w:pPr>
              <w:spacing w:after="0"/>
              <w:rPr>
                <w:sz w:val="1"/>
                <w:szCs w:val="1"/>
                <w:color w:val="auto"/>
              </w:rPr>
            </w:pPr>
          </w:p>
        </w:tc>
      </w:tr>
      <w:tr>
        <w:trPr>
          <w:trHeight w:val="210"/>
        </w:trPr>
        <w:tc>
          <w:tcPr>
            <w:tcW w:w="8460" w:type="dxa"/>
            <w:vAlign w:val="bottom"/>
          </w:tcPr>
          <w:p>
            <w:pPr>
              <w:ind w:left="480"/>
              <w:spacing w:after="0" w:line="202" w:lineRule="exact"/>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186,842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60" w:type="dxa"/>
            <w:vAlign w:val="bottom"/>
          </w:tcPr>
          <w:p>
            <w:pPr>
              <w:spacing w:after="0" w:line="196" w:lineRule="exact"/>
              <w:rPr>
                <w:sz w:val="20"/>
                <w:szCs w:val="20"/>
                <w:color w:val="auto"/>
              </w:rPr>
            </w:pPr>
            <w:r>
              <w:rPr>
                <w:rFonts w:ascii="Arial" w:cs="Arial" w:eastAsia="Arial" w:hAnsi="Arial"/>
                <w:sz w:val="18"/>
                <w:szCs w:val="18"/>
                <w:color w:val="auto"/>
              </w:rPr>
              <w:t>Property and equipment, at cost:</w:t>
            </w: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Land</w:t>
            </w:r>
          </w:p>
        </w:tc>
        <w:tc>
          <w:tcPr>
            <w:tcW w:w="36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934</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10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16"/>
        </w:trPr>
        <w:tc>
          <w:tcPr>
            <w:tcW w:w="8460" w:type="dxa"/>
            <w:vAlign w:val="bottom"/>
          </w:tcPr>
          <w:p>
            <w:pPr>
              <w:ind w:left="320"/>
              <w:spacing w:after="0"/>
              <w:rPr>
                <w:sz w:val="20"/>
                <w:szCs w:val="20"/>
                <w:color w:val="auto"/>
              </w:rPr>
            </w:pPr>
            <w:r>
              <w:rPr>
                <w:rFonts w:ascii="Arial" w:cs="Arial" w:eastAsia="Arial" w:hAnsi="Arial"/>
                <w:sz w:val="18"/>
                <w:szCs w:val="18"/>
                <w:color w:val="auto"/>
              </w:rPr>
              <w:t>Buildings</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59,816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59,525</w:t>
            </w:r>
          </w:p>
        </w:tc>
        <w:tc>
          <w:tcPr>
            <w:tcW w:w="0" w:type="dxa"/>
            <w:vAlign w:val="bottom"/>
          </w:tcPr>
          <w:p>
            <w:pPr>
              <w:spacing w:after="0"/>
              <w:rPr>
                <w:sz w:val="1"/>
                <w:szCs w:val="1"/>
                <w:color w:val="auto"/>
              </w:rPr>
            </w:pPr>
          </w:p>
        </w:tc>
      </w:tr>
      <w:tr>
        <w:trPr>
          <w:trHeight w:val="216"/>
        </w:trPr>
        <w:tc>
          <w:tcPr>
            <w:tcW w:w="84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Machinery and equipment</w:t>
            </w:r>
          </w:p>
        </w:tc>
        <w:tc>
          <w:tcPr>
            <w:tcW w:w="36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98,023</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10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98,026</w:t>
            </w:r>
          </w:p>
        </w:tc>
        <w:tc>
          <w:tcPr>
            <w:tcW w:w="0" w:type="dxa"/>
            <w:vAlign w:val="bottom"/>
          </w:tcPr>
          <w:p>
            <w:pPr>
              <w:spacing w:after="0"/>
              <w:rPr>
                <w:sz w:val="1"/>
                <w:szCs w:val="1"/>
                <w:color w:val="auto"/>
              </w:rPr>
            </w:pPr>
          </w:p>
        </w:tc>
      </w:tr>
      <w:tr>
        <w:trPr>
          <w:trHeight w:val="216"/>
        </w:trPr>
        <w:tc>
          <w:tcPr>
            <w:tcW w:w="8460" w:type="dxa"/>
            <w:vAlign w:val="bottom"/>
          </w:tcPr>
          <w:p>
            <w:pPr>
              <w:ind w:left="320"/>
              <w:spacing w:after="0"/>
              <w:rPr>
                <w:sz w:val="20"/>
                <w:szCs w:val="20"/>
                <w:color w:val="auto"/>
              </w:rPr>
            </w:pPr>
            <w:r>
              <w:rPr>
                <w:rFonts w:ascii="Arial" w:cs="Arial" w:eastAsia="Arial" w:hAnsi="Arial"/>
                <w:sz w:val="18"/>
                <w:szCs w:val="18"/>
                <w:color w:val="auto"/>
              </w:rPr>
              <w:t>Transportation equipment</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9,377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9,593</w:t>
            </w:r>
          </w:p>
        </w:tc>
        <w:tc>
          <w:tcPr>
            <w:tcW w:w="0" w:type="dxa"/>
            <w:vAlign w:val="bottom"/>
          </w:tcPr>
          <w:p>
            <w:pPr>
              <w:spacing w:after="0"/>
              <w:rPr>
                <w:sz w:val="1"/>
                <w:szCs w:val="1"/>
                <w:color w:val="auto"/>
              </w:rPr>
            </w:pPr>
          </w:p>
        </w:tc>
      </w:tr>
      <w:tr>
        <w:trPr>
          <w:trHeight w:val="210"/>
        </w:trPr>
        <w:tc>
          <w:tcPr>
            <w:tcW w:w="8460" w:type="dxa"/>
            <w:vAlign w:val="bottom"/>
            <w:tcBorders>
              <w:top w:val="single" w:sz="8" w:color="D6F3E8"/>
            </w:tcBorders>
            <w:shd w:val="clear" w:color="auto" w:fill="D6F3E8"/>
          </w:tcPr>
          <w:p>
            <w:pPr>
              <w:ind w:left="480"/>
              <w:spacing w:after="0" w:line="202" w:lineRule="exact"/>
              <w:rPr>
                <w:sz w:val="20"/>
                <w:szCs w:val="20"/>
                <w:color w:val="auto"/>
              </w:rPr>
            </w:pPr>
            <w:r>
              <w:rPr>
                <w:rFonts w:ascii="Arial" w:cs="Arial" w:eastAsia="Arial" w:hAnsi="Arial"/>
                <w:sz w:val="18"/>
                <w:szCs w:val="18"/>
                <w:color w:val="auto"/>
              </w:rPr>
              <w:t>Total property and equipment, at cost</w:t>
            </w:r>
          </w:p>
        </w:tc>
        <w:tc>
          <w:tcPr>
            <w:tcW w:w="360" w:type="dxa"/>
            <w:vAlign w:val="bottom"/>
            <w:tcBorders>
              <w:top w:val="single" w:sz="8" w:color="auto"/>
            </w:tcBorders>
            <w:shd w:val="clear" w:color="auto" w:fill="D6F3E8"/>
          </w:tcPr>
          <w:p>
            <w:pPr>
              <w:spacing w:after="0"/>
              <w:rPr>
                <w:sz w:val="18"/>
                <w:szCs w:val="18"/>
                <w:color w:val="auto"/>
              </w:rPr>
            </w:pPr>
          </w:p>
        </w:tc>
        <w:tc>
          <w:tcPr>
            <w:tcW w:w="9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168,150</w:t>
            </w:r>
          </w:p>
        </w:tc>
        <w:tc>
          <w:tcPr>
            <w:tcW w:w="18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D6F3E8"/>
            </w:tcBorders>
            <w:shd w:val="clear" w:color="auto" w:fill="D6F3E8"/>
          </w:tcPr>
          <w:p>
            <w:pPr>
              <w:spacing w:after="0"/>
              <w:rPr>
                <w:sz w:val="18"/>
                <w:szCs w:val="18"/>
                <w:color w:val="auto"/>
              </w:rPr>
            </w:pPr>
          </w:p>
        </w:tc>
        <w:tc>
          <w:tcPr>
            <w:tcW w:w="360" w:type="dxa"/>
            <w:vAlign w:val="bottom"/>
            <w:tcBorders>
              <w:top w:val="single" w:sz="8" w:color="auto"/>
            </w:tcBorders>
            <w:shd w:val="clear" w:color="auto" w:fill="D6F3E8"/>
          </w:tcPr>
          <w:p>
            <w:pPr>
              <w:spacing w:after="0"/>
              <w:rPr>
                <w:sz w:val="18"/>
                <w:szCs w:val="18"/>
                <w:color w:val="auto"/>
              </w:rPr>
            </w:pPr>
          </w:p>
        </w:tc>
        <w:tc>
          <w:tcPr>
            <w:tcW w:w="9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168,078</w:t>
            </w:r>
          </w:p>
        </w:tc>
        <w:tc>
          <w:tcPr>
            <w:tcW w:w="10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320"/>
              <w:spacing w:after="0"/>
              <w:rPr>
                <w:sz w:val="20"/>
                <w:szCs w:val="20"/>
                <w:color w:val="auto"/>
              </w:rPr>
            </w:pPr>
            <w:r>
              <w:rPr>
                <w:rFonts w:ascii="Arial" w:cs="Arial" w:eastAsia="Arial" w:hAnsi="Arial"/>
                <w:sz w:val="18"/>
                <w:szCs w:val="18"/>
                <w:color w:val="auto"/>
              </w:rPr>
              <w:t>Accumulated depreciation</w:t>
            </w:r>
          </w:p>
        </w:tc>
        <w:tc>
          <w:tcPr>
            <w:tcW w:w="3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(121,678)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(116,689)</w:t>
            </w:r>
          </w:p>
        </w:tc>
        <w:tc>
          <w:tcPr>
            <w:tcW w:w="0" w:type="dxa"/>
            <w:vAlign w:val="bottom"/>
          </w:tcPr>
          <w:p>
            <w:pPr>
              <w:spacing w:after="0"/>
              <w:rPr>
                <w:sz w:val="1"/>
                <w:szCs w:val="1"/>
                <w:color w:val="auto"/>
              </w:rPr>
            </w:pPr>
          </w:p>
        </w:tc>
      </w:tr>
      <w:tr>
        <w:trPr>
          <w:trHeight w:val="210"/>
        </w:trPr>
        <w:tc>
          <w:tcPr>
            <w:tcW w:w="8460" w:type="dxa"/>
            <w:vAlign w:val="bottom"/>
            <w:tcBorders>
              <w:top w:val="single" w:sz="8" w:color="D6F3E8"/>
            </w:tcBorders>
            <w:shd w:val="clear" w:color="auto" w:fill="D6F3E8"/>
          </w:tcPr>
          <w:p>
            <w:pPr>
              <w:ind w:left="480"/>
              <w:spacing w:after="0" w:line="202" w:lineRule="exact"/>
              <w:rPr>
                <w:sz w:val="20"/>
                <w:szCs w:val="20"/>
                <w:color w:val="auto"/>
              </w:rPr>
            </w:pPr>
            <w:r>
              <w:rPr>
                <w:rFonts w:ascii="Arial" w:cs="Arial" w:eastAsia="Arial" w:hAnsi="Arial"/>
                <w:sz w:val="18"/>
                <w:szCs w:val="18"/>
                <w:color w:val="auto"/>
              </w:rPr>
              <w:t>Total property and equipment, net</w:t>
            </w:r>
          </w:p>
        </w:tc>
        <w:tc>
          <w:tcPr>
            <w:tcW w:w="360" w:type="dxa"/>
            <w:vAlign w:val="bottom"/>
            <w:tcBorders>
              <w:top w:val="single" w:sz="8" w:color="auto"/>
              <w:bottom w:val="single" w:sz="8" w:color="auto"/>
            </w:tcBorders>
            <w:shd w:val="clear" w:color="auto" w:fill="D6F3E8"/>
          </w:tcPr>
          <w:p>
            <w:pPr>
              <w:spacing w:after="0"/>
              <w:rPr>
                <w:sz w:val="18"/>
                <w:szCs w:val="18"/>
                <w:color w:val="auto"/>
              </w:rPr>
            </w:pPr>
          </w:p>
        </w:tc>
        <w:tc>
          <w:tcPr>
            <w:tcW w:w="9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46,472</w:t>
            </w:r>
          </w:p>
        </w:tc>
        <w:tc>
          <w:tcPr>
            <w:tcW w:w="18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D6F3E8"/>
            </w:tcBorders>
            <w:shd w:val="clear" w:color="auto" w:fill="D6F3E8"/>
          </w:tcPr>
          <w:p>
            <w:pPr>
              <w:spacing w:after="0"/>
              <w:rPr>
                <w:sz w:val="18"/>
                <w:szCs w:val="18"/>
                <w:color w:val="auto"/>
              </w:rPr>
            </w:pPr>
          </w:p>
        </w:tc>
        <w:tc>
          <w:tcPr>
            <w:tcW w:w="360" w:type="dxa"/>
            <w:vAlign w:val="bottom"/>
            <w:tcBorders>
              <w:top w:val="single" w:sz="8" w:color="auto"/>
              <w:bottom w:val="single" w:sz="8" w:color="auto"/>
            </w:tcBorders>
            <w:shd w:val="clear" w:color="auto" w:fill="D6F3E8"/>
          </w:tcPr>
          <w:p>
            <w:pPr>
              <w:spacing w:after="0"/>
              <w:rPr>
                <w:sz w:val="18"/>
                <w:szCs w:val="18"/>
                <w:color w:val="auto"/>
              </w:rPr>
            </w:pPr>
          </w:p>
        </w:tc>
        <w:tc>
          <w:tcPr>
            <w:tcW w:w="9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51,389</w:t>
            </w:r>
          </w:p>
        </w:tc>
        <w:tc>
          <w:tcPr>
            <w:tcW w:w="10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60" w:type="dxa"/>
            <w:vAlign w:val="bottom"/>
          </w:tcPr>
          <w:p>
            <w:pPr>
              <w:spacing w:after="0" w:line="202" w:lineRule="exact"/>
              <w:rPr>
                <w:sz w:val="20"/>
                <w:szCs w:val="20"/>
                <w:color w:val="auto"/>
              </w:rPr>
            </w:pPr>
            <w:r>
              <w:rPr>
                <w:rFonts w:ascii="Arial" w:cs="Arial" w:eastAsia="Arial" w:hAnsi="Arial"/>
                <w:sz w:val="18"/>
                <w:szCs w:val="18"/>
                <w:color w:val="auto"/>
              </w:rPr>
              <w:t>Long-term investments</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40,148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D6F3E8"/>
          </w:tcPr>
          <w:p>
            <w:pPr>
              <w:spacing w:after="0"/>
              <w:rPr>
                <w:sz w:val="20"/>
                <w:szCs w:val="20"/>
                <w:color w:val="auto"/>
              </w:rPr>
            </w:pPr>
            <w:r>
              <w:rPr>
                <w:rFonts w:ascii="Arial" w:cs="Arial" w:eastAsia="Arial" w:hAnsi="Arial"/>
                <w:sz w:val="18"/>
                <w:szCs w:val="18"/>
                <w:color w:val="auto"/>
              </w:rPr>
              <w:t>Investment in life insurance</w:t>
            </w:r>
          </w:p>
        </w:tc>
        <w:tc>
          <w:tcPr>
            <w:tcW w:w="36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20,094</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10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20,015</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24,970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19,856</w:t>
            </w:r>
          </w:p>
        </w:tc>
        <w:tc>
          <w:tcPr>
            <w:tcW w:w="0" w:type="dxa"/>
            <w:vAlign w:val="bottom"/>
          </w:tcPr>
          <w:p>
            <w:pPr>
              <w:spacing w:after="0"/>
              <w:rPr>
                <w:sz w:val="1"/>
                <w:szCs w:val="1"/>
                <w:color w:val="auto"/>
              </w:rPr>
            </w:pPr>
          </w:p>
        </w:tc>
      </w:tr>
      <w:tr>
        <w:trPr>
          <w:trHeight w:val="216"/>
        </w:trPr>
        <w:tc>
          <w:tcPr>
            <w:tcW w:w="8460" w:type="dxa"/>
            <w:vAlign w:val="bottom"/>
            <w:shd w:val="clear" w:color="auto" w:fill="D6F3E8"/>
          </w:tcPr>
          <w:p>
            <w:pPr>
              <w:spacing w:after="0"/>
              <w:rPr>
                <w:sz w:val="20"/>
                <w:szCs w:val="20"/>
                <w:color w:val="auto"/>
              </w:rPr>
            </w:pPr>
            <w:r>
              <w:rPr>
                <w:rFonts w:ascii="Arial" w:cs="Arial" w:eastAsia="Arial" w:hAnsi="Arial"/>
                <w:sz w:val="18"/>
                <w:szCs w:val="18"/>
                <w:color w:val="auto"/>
              </w:rPr>
              <w:t>Other assets</w:t>
            </w:r>
          </w:p>
        </w:tc>
        <w:tc>
          <w:tcPr>
            <w:tcW w:w="36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17,395</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10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17,550</w:t>
            </w:r>
          </w:p>
        </w:tc>
        <w:tc>
          <w:tcPr>
            <w:tcW w:w="0" w:type="dxa"/>
            <w:vAlign w:val="bottom"/>
          </w:tcPr>
          <w:p>
            <w:pPr>
              <w:spacing w:after="0"/>
              <w:rPr>
                <w:sz w:val="1"/>
                <w:szCs w:val="1"/>
                <w:color w:val="auto"/>
              </w:rPr>
            </w:pPr>
          </w:p>
        </w:tc>
      </w:tr>
      <w:tr>
        <w:trPr>
          <w:trHeight w:val="210"/>
        </w:trPr>
        <w:tc>
          <w:tcPr>
            <w:tcW w:w="8460" w:type="dxa"/>
            <w:vAlign w:val="bottom"/>
          </w:tcPr>
          <w:p>
            <w:pPr>
              <w:ind w:left="320"/>
              <w:spacing w:after="0" w:line="202" w:lineRule="exact"/>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335,921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84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460" w:type="dxa"/>
            <w:vAlign w:val="bottom"/>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4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D6F3E8"/>
          </w:tcPr>
          <w:p>
            <w:pPr>
              <w:jc w:val="right"/>
              <w:ind w:right="1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20,092</w:t>
            </w:r>
          </w:p>
        </w:tc>
        <w:tc>
          <w:tcPr>
            <w:tcW w:w="180" w:type="dxa"/>
            <w:vAlign w:val="bottom"/>
            <w:shd w:val="clear" w:color="auto" w:fill="D6F3E8"/>
          </w:tcPr>
          <w:p>
            <w:pPr>
              <w:spacing w:after="0"/>
              <w:rPr>
                <w:sz w:val="18"/>
                <w:szCs w:val="18"/>
                <w:color w:val="auto"/>
              </w:rPr>
            </w:pPr>
          </w:p>
        </w:tc>
        <w:tc>
          <w:tcPr>
            <w:tcW w:w="500" w:type="dxa"/>
            <w:vAlign w:val="bottom"/>
            <w:gridSpan w:val="2"/>
            <w:shd w:val="clear" w:color="auto" w:fill="D6F3E8"/>
          </w:tcPr>
          <w:p>
            <w:pPr>
              <w:jc w:val="right"/>
              <w:ind w:right="17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35,286</w:t>
            </w:r>
          </w:p>
        </w:tc>
        <w:tc>
          <w:tcPr>
            <w:tcW w:w="0" w:type="dxa"/>
            <w:vAlign w:val="bottom"/>
          </w:tcPr>
          <w:p>
            <w:pPr>
              <w:spacing w:after="0"/>
              <w:rPr>
                <w:sz w:val="1"/>
                <w:szCs w:val="1"/>
                <w:color w:val="auto"/>
              </w:rPr>
            </w:pPr>
          </w:p>
        </w:tc>
      </w:tr>
      <w:tr>
        <w:trPr>
          <w:trHeight w:val="208"/>
        </w:trPr>
        <w:tc>
          <w:tcPr>
            <w:tcW w:w="8460" w:type="dxa"/>
            <w:vAlign w:val="bottom"/>
          </w:tcPr>
          <w:p>
            <w:pPr>
              <w:ind w:left="320"/>
              <w:spacing w:after="0"/>
              <w:rPr>
                <w:sz w:val="20"/>
                <w:szCs w:val="20"/>
                <w:color w:val="auto"/>
              </w:rPr>
            </w:pPr>
            <w:r>
              <w:rPr>
                <w:rFonts w:ascii="Arial" w:cs="Arial" w:eastAsia="Arial" w:hAnsi="Arial"/>
                <w:sz w:val="18"/>
                <w:szCs w:val="18"/>
                <w:color w:val="auto"/>
              </w:rPr>
              <w:t>Income taxes payable</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4,252</w:t>
            </w:r>
          </w:p>
        </w:tc>
        <w:tc>
          <w:tcPr>
            <w:tcW w:w="0" w:type="dxa"/>
            <w:vAlign w:val="bottom"/>
          </w:tcPr>
          <w:p>
            <w:pPr>
              <w:spacing w:after="0"/>
              <w:rPr>
                <w:sz w:val="1"/>
                <w:szCs w:val="1"/>
                <w:color w:val="auto"/>
              </w:rPr>
            </w:pPr>
          </w:p>
        </w:tc>
      </w:tr>
      <w:tr>
        <w:trPr>
          <w:trHeight w:val="223"/>
        </w:trPr>
        <w:tc>
          <w:tcPr>
            <w:tcW w:w="846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460" w:type="dxa"/>
            <w:vAlign w:val="bottom"/>
            <w:shd w:val="clear" w:color="auto" w:fill="D6F3E8"/>
          </w:tcPr>
          <w:p>
            <w:pPr>
              <w:ind w:left="480"/>
              <w:spacing w:after="0"/>
              <w:rPr>
                <w:sz w:val="20"/>
                <w:szCs w:val="20"/>
                <w:color w:val="auto"/>
              </w:rPr>
            </w:pPr>
            <w:r>
              <w:rPr>
                <w:rFonts w:ascii="Arial" w:cs="Arial" w:eastAsia="Arial" w:hAnsi="Arial"/>
                <w:sz w:val="18"/>
                <w:szCs w:val="18"/>
                <w:color w:val="auto"/>
              </w:rPr>
              <w:t>Accrued compensation</w:t>
            </w:r>
          </w:p>
        </w:tc>
        <w:tc>
          <w:tcPr>
            <w:tcW w:w="36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11,753</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10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16,946</w:t>
            </w:r>
          </w:p>
        </w:tc>
        <w:tc>
          <w:tcPr>
            <w:tcW w:w="0" w:type="dxa"/>
            <w:vAlign w:val="bottom"/>
          </w:tcPr>
          <w:p>
            <w:pPr>
              <w:spacing w:after="0"/>
              <w:rPr>
                <w:sz w:val="1"/>
                <w:szCs w:val="1"/>
                <w:color w:val="auto"/>
              </w:rPr>
            </w:pPr>
          </w:p>
        </w:tc>
      </w:tr>
      <w:tr>
        <w:trPr>
          <w:trHeight w:val="216"/>
        </w:trPr>
        <w:tc>
          <w:tcPr>
            <w:tcW w:w="8460" w:type="dxa"/>
            <w:vAlign w:val="bottom"/>
          </w:tcPr>
          <w:p>
            <w:pPr>
              <w:ind w:left="480"/>
              <w:spacing w:after="0"/>
              <w:rPr>
                <w:sz w:val="20"/>
                <w:szCs w:val="20"/>
                <w:color w:val="auto"/>
              </w:rPr>
            </w:pPr>
            <w:r>
              <w:rPr>
                <w:rFonts w:ascii="Arial" w:cs="Arial" w:eastAsia="Arial" w:hAnsi="Arial"/>
                <w:sz w:val="18"/>
                <w:szCs w:val="18"/>
                <w:color w:val="auto"/>
              </w:rPr>
              <w:t>Product warranties</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11,259</w:t>
            </w:r>
          </w:p>
        </w:tc>
        <w:tc>
          <w:tcPr>
            <w:tcW w:w="0" w:type="dxa"/>
            <w:vAlign w:val="bottom"/>
          </w:tcPr>
          <w:p>
            <w:pPr>
              <w:spacing w:after="0"/>
              <w:rPr>
                <w:sz w:val="1"/>
                <w:szCs w:val="1"/>
                <w:color w:val="auto"/>
              </w:rPr>
            </w:pPr>
          </w:p>
        </w:tc>
      </w:tr>
      <w:tr>
        <w:trPr>
          <w:trHeight w:val="216"/>
        </w:trPr>
        <w:tc>
          <w:tcPr>
            <w:tcW w:w="8460" w:type="dxa"/>
            <w:vAlign w:val="bottom"/>
            <w:shd w:val="clear" w:color="auto" w:fill="D6F3E8"/>
          </w:tcPr>
          <w:p>
            <w:pPr>
              <w:ind w:left="480"/>
              <w:spacing w:after="0"/>
              <w:rPr>
                <w:sz w:val="20"/>
                <w:szCs w:val="20"/>
                <w:color w:val="auto"/>
              </w:rPr>
            </w:pPr>
            <w:r>
              <w:rPr>
                <w:rFonts w:ascii="Arial" w:cs="Arial" w:eastAsia="Arial" w:hAnsi="Arial"/>
                <w:sz w:val="18"/>
                <w:szCs w:val="18"/>
                <w:color w:val="auto"/>
              </w:rPr>
              <w:t>Self-insurance</w:t>
            </w:r>
          </w:p>
        </w:tc>
        <w:tc>
          <w:tcPr>
            <w:tcW w:w="36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7,164</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10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7,919</w:t>
            </w:r>
          </w:p>
        </w:tc>
        <w:tc>
          <w:tcPr>
            <w:tcW w:w="0" w:type="dxa"/>
            <w:vAlign w:val="bottom"/>
          </w:tcPr>
          <w:p>
            <w:pPr>
              <w:spacing w:after="0"/>
              <w:rPr>
                <w:sz w:val="1"/>
                <w:szCs w:val="1"/>
                <w:color w:val="auto"/>
              </w:rPr>
            </w:pPr>
          </w:p>
        </w:tc>
      </w:tr>
      <w:tr>
        <w:trPr>
          <w:trHeight w:val="216"/>
        </w:trPr>
        <w:tc>
          <w:tcPr>
            <w:tcW w:w="8460" w:type="dxa"/>
            <w:vAlign w:val="bottom"/>
          </w:tcPr>
          <w:p>
            <w:pPr>
              <w:ind w:left="480"/>
              <w:spacing w:after="0"/>
              <w:rPr>
                <w:sz w:val="20"/>
                <w:szCs w:val="20"/>
                <w:color w:val="auto"/>
              </w:rPr>
            </w:pPr>
            <w:r>
              <w:rPr>
                <w:rFonts w:ascii="Arial" w:cs="Arial" w:eastAsia="Arial" w:hAnsi="Arial"/>
                <w:sz w:val="18"/>
                <w:szCs w:val="18"/>
                <w:color w:val="auto"/>
              </w:rPr>
              <w:t>Promotional</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3,793</w:t>
            </w:r>
          </w:p>
        </w:tc>
        <w:tc>
          <w:tcPr>
            <w:tcW w:w="0" w:type="dxa"/>
            <w:vAlign w:val="bottom"/>
          </w:tcPr>
          <w:p>
            <w:pPr>
              <w:spacing w:after="0"/>
              <w:rPr>
                <w:sz w:val="1"/>
                <w:szCs w:val="1"/>
                <w:color w:val="auto"/>
              </w:rPr>
            </w:pPr>
          </w:p>
        </w:tc>
      </w:tr>
      <w:tr>
        <w:trPr>
          <w:trHeight w:val="216"/>
        </w:trPr>
        <w:tc>
          <w:tcPr>
            <w:tcW w:w="8460" w:type="dxa"/>
            <w:vAlign w:val="bottom"/>
            <w:shd w:val="clear" w:color="auto" w:fill="D6F3E8"/>
          </w:tcPr>
          <w:p>
            <w:pPr>
              <w:ind w:left="480"/>
              <w:spacing w:after="0"/>
              <w:rPr>
                <w:sz w:val="20"/>
                <w:szCs w:val="20"/>
                <w:color w:val="auto"/>
              </w:rPr>
            </w:pPr>
            <w:r>
              <w:rPr>
                <w:rFonts w:ascii="Arial" w:cs="Arial" w:eastAsia="Arial" w:hAnsi="Arial"/>
                <w:sz w:val="18"/>
                <w:szCs w:val="18"/>
                <w:color w:val="auto"/>
              </w:rPr>
              <w:t>Accrued dividends</w:t>
            </w:r>
          </w:p>
        </w:tc>
        <w:tc>
          <w:tcPr>
            <w:tcW w:w="36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3,490</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10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3,546</w:t>
            </w:r>
          </w:p>
        </w:tc>
        <w:tc>
          <w:tcPr>
            <w:tcW w:w="0" w:type="dxa"/>
            <w:vAlign w:val="bottom"/>
          </w:tcPr>
          <w:p>
            <w:pPr>
              <w:spacing w:after="0"/>
              <w:rPr>
                <w:sz w:val="1"/>
                <w:szCs w:val="1"/>
                <w:color w:val="auto"/>
              </w:rPr>
            </w:pPr>
          </w:p>
        </w:tc>
      </w:tr>
      <w:tr>
        <w:trPr>
          <w:trHeight w:val="216"/>
        </w:trPr>
        <w:tc>
          <w:tcPr>
            <w:tcW w:w="8460" w:type="dxa"/>
            <w:vAlign w:val="bottom"/>
          </w:tcPr>
          <w:p>
            <w:pPr>
              <w:ind w:left="4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6,103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5,836</w:t>
            </w:r>
          </w:p>
        </w:tc>
        <w:tc>
          <w:tcPr>
            <w:tcW w:w="0" w:type="dxa"/>
            <w:vAlign w:val="bottom"/>
          </w:tcPr>
          <w:p>
            <w:pPr>
              <w:spacing w:after="0"/>
              <w:rPr>
                <w:sz w:val="1"/>
                <w:szCs w:val="1"/>
                <w:color w:val="auto"/>
              </w:rPr>
            </w:pPr>
          </w:p>
        </w:tc>
      </w:tr>
      <w:tr>
        <w:trPr>
          <w:trHeight w:val="210"/>
        </w:trPr>
        <w:tc>
          <w:tcPr>
            <w:tcW w:w="8460" w:type="dxa"/>
            <w:vAlign w:val="bottom"/>
            <w:tcBorders>
              <w:top w:val="single" w:sz="8" w:color="D6F3E8"/>
            </w:tcBorders>
            <w:shd w:val="clear" w:color="auto" w:fill="D6F3E8"/>
          </w:tcPr>
          <w:p>
            <w:pPr>
              <w:ind w:left="940"/>
              <w:spacing w:after="0" w:line="202" w:lineRule="exact"/>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bottom w:val="single" w:sz="8" w:color="auto"/>
            </w:tcBorders>
            <w:shd w:val="clear" w:color="auto" w:fill="D6F3E8"/>
          </w:tcPr>
          <w:p>
            <w:pPr>
              <w:spacing w:after="0"/>
              <w:rPr>
                <w:sz w:val="18"/>
                <w:szCs w:val="18"/>
                <w:color w:val="auto"/>
              </w:rPr>
            </w:pPr>
          </w:p>
        </w:tc>
        <w:tc>
          <w:tcPr>
            <w:tcW w:w="9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69,343</w:t>
            </w:r>
          </w:p>
        </w:tc>
        <w:tc>
          <w:tcPr>
            <w:tcW w:w="18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D6F3E8"/>
            </w:tcBorders>
            <w:shd w:val="clear" w:color="auto" w:fill="D6F3E8"/>
          </w:tcPr>
          <w:p>
            <w:pPr>
              <w:spacing w:after="0"/>
              <w:rPr>
                <w:sz w:val="18"/>
                <w:szCs w:val="18"/>
                <w:color w:val="auto"/>
              </w:rPr>
            </w:pPr>
          </w:p>
        </w:tc>
        <w:tc>
          <w:tcPr>
            <w:tcW w:w="360" w:type="dxa"/>
            <w:vAlign w:val="bottom"/>
            <w:tcBorders>
              <w:top w:val="single" w:sz="8" w:color="auto"/>
              <w:bottom w:val="single" w:sz="8" w:color="auto"/>
            </w:tcBorders>
            <w:shd w:val="clear" w:color="auto" w:fill="D6F3E8"/>
          </w:tcPr>
          <w:p>
            <w:pPr>
              <w:spacing w:after="0"/>
              <w:rPr>
                <w:sz w:val="18"/>
                <w:szCs w:val="18"/>
                <w:color w:val="auto"/>
              </w:rPr>
            </w:pPr>
          </w:p>
        </w:tc>
        <w:tc>
          <w:tcPr>
            <w:tcW w:w="9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88,837</w:t>
            </w:r>
          </w:p>
        </w:tc>
        <w:tc>
          <w:tcPr>
            <w:tcW w:w="10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460" w:type="dxa"/>
            <w:vAlign w:val="bottom"/>
          </w:tcPr>
          <w:p>
            <w:pPr>
              <w:spacing w:after="0" w:line="188" w:lineRule="exact"/>
              <w:rPr>
                <w:sz w:val="20"/>
                <w:szCs w:val="20"/>
                <w:color w:val="auto"/>
              </w:rPr>
            </w:pPr>
            <w:r>
              <w:rPr>
                <w:rFonts w:ascii="Arial" w:cs="Arial" w:eastAsia="Arial" w:hAnsi="Arial"/>
                <w:sz w:val="18"/>
                <w:szCs w:val="18"/>
                <w:color w:val="auto"/>
              </w:rPr>
              <w:t>Long-term liabilities:</w:t>
            </w: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460" w:type="dxa"/>
            <w:vAlign w:val="bottom"/>
          </w:tcPr>
          <w:p>
            <w:pPr>
              <w:ind w:left="320"/>
              <w:spacing w:after="0"/>
              <w:rPr>
                <w:sz w:val="20"/>
                <w:szCs w:val="20"/>
                <w:color w:val="auto"/>
              </w:rPr>
            </w:pPr>
            <w:r>
              <w:rPr>
                <w:rFonts w:ascii="Arial" w:cs="Arial" w:eastAsia="Arial" w:hAnsi="Arial"/>
                <w:sz w:val="18"/>
                <w:szCs w:val="18"/>
                <w:color w:val="auto"/>
              </w:rPr>
              <w:t>Unrecognized tax benefits</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8,803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84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Postretirement health care benefits</w:t>
            </w:r>
          </w:p>
        </w:tc>
        <w:tc>
          <w:tcPr>
            <w:tcW w:w="36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32,659</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10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31,581</w:t>
            </w:r>
          </w:p>
        </w:tc>
        <w:tc>
          <w:tcPr>
            <w:tcW w:w="0" w:type="dxa"/>
            <w:vAlign w:val="bottom"/>
          </w:tcPr>
          <w:p>
            <w:pPr>
              <w:spacing w:after="0"/>
              <w:rPr>
                <w:sz w:val="1"/>
                <w:szCs w:val="1"/>
                <w:color w:val="auto"/>
              </w:rPr>
            </w:pPr>
          </w:p>
        </w:tc>
      </w:tr>
      <w:tr>
        <w:trPr>
          <w:trHeight w:val="216"/>
        </w:trPr>
        <w:tc>
          <w:tcPr>
            <w:tcW w:w="8460" w:type="dxa"/>
            <w:vAlign w:val="bottom"/>
          </w:tcPr>
          <w:p>
            <w:pPr>
              <w:ind w:left="320"/>
              <w:spacing w:after="0"/>
              <w:rPr>
                <w:sz w:val="20"/>
                <w:szCs w:val="20"/>
                <w:color w:val="auto"/>
              </w:rPr>
            </w:pPr>
            <w:r>
              <w:rPr>
                <w:rFonts w:ascii="Arial" w:cs="Arial" w:eastAsia="Arial" w:hAnsi="Arial"/>
                <w:sz w:val="18"/>
                <w:szCs w:val="18"/>
                <w:color w:val="auto"/>
              </w:rPr>
              <w:t>Non-qualified deferred compensation benefits</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24,695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25,063</w:t>
            </w:r>
          </w:p>
        </w:tc>
        <w:tc>
          <w:tcPr>
            <w:tcW w:w="0" w:type="dxa"/>
            <w:vAlign w:val="bottom"/>
          </w:tcPr>
          <w:p>
            <w:pPr>
              <w:spacing w:after="0"/>
              <w:rPr>
                <w:sz w:val="1"/>
                <w:szCs w:val="1"/>
                <w:color w:val="auto"/>
              </w:rPr>
            </w:pPr>
          </w:p>
        </w:tc>
      </w:tr>
      <w:tr>
        <w:trPr>
          <w:trHeight w:val="216"/>
        </w:trPr>
        <w:tc>
          <w:tcPr>
            <w:tcW w:w="84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Executive share option benefits</w:t>
            </w:r>
          </w:p>
        </w:tc>
        <w:tc>
          <w:tcPr>
            <w:tcW w:w="36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12,396</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10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12,675</w:t>
            </w:r>
          </w:p>
        </w:tc>
        <w:tc>
          <w:tcPr>
            <w:tcW w:w="0" w:type="dxa"/>
            <w:vAlign w:val="bottom"/>
          </w:tcPr>
          <w:p>
            <w:pPr>
              <w:spacing w:after="0"/>
              <w:rPr>
                <w:sz w:val="1"/>
                <w:szCs w:val="1"/>
                <w:color w:val="auto"/>
              </w:rPr>
            </w:pPr>
          </w:p>
        </w:tc>
      </w:tr>
      <w:tr>
        <w:trPr>
          <w:trHeight w:val="210"/>
        </w:trPr>
        <w:tc>
          <w:tcPr>
            <w:tcW w:w="8460" w:type="dxa"/>
            <w:vAlign w:val="bottom"/>
          </w:tcPr>
          <w:p>
            <w:pPr>
              <w:ind w:left="480"/>
              <w:spacing w:after="0" w:line="202" w:lineRule="exact"/>
              <w:rPr>
                <w:sz w:val="20"/>
                <w:szCs w:val="20"/>
                <w:color w:val="auto"/>
              </w:rPr>
            </w:pPr>
            <w:r>
              <w:rPr>
                <w:rFonts w:ascii="Arial" w:cs="Arial" w:eastAsia="Arial" w:hAnsi="Arial"/>
                <w:sz w:val="18"/>
                <w:szCs w:val="18"/>
                <w:color w:val="auto"/>
              </w:rPr>
              <w:t>Total long-term liabilities</w:t>
            </w:r>
          </w:p>
        </w:tc>
        <w:tc>
          <w:tcPr>
            <w:tcW w:w="3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0"/>
        </w:trPr>
        <w:tc>
          <w:tcPr>
            <w:tcW w:w="8460" w:type="dxa"/>
            <w:vAlign w:val="bottom"/>
          </w:tcPr>
          <w:p>
            <w:pPr>
              <w:spacing w:after="0"/>
              <w:rPr>
                <w:sz w:val="20"/>
                <w:szCs w:val="20"/>
                <w:color w:val="auto"/>
              </w:rPr>
            </w:pPr>
            <w:r>
              <w:rPr>
                <w:rFonts w:ascii="Arial" w:cs="Arial" w:eastAsia="Arial" w:hAnsi="Arial"/>
                <w:sz w:val="18"/>
                <w:szCs w:val="18"/>
                <w:color w:val="auto"/>
              </w:rPr>
              <w:t>Contingent liabilities and commitments</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460" w:type="dxa"/>
            <w:vAlign w:val="bottom"/>
          </w:tcPr>
          <w:p>
            <w:pPr>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4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Capital stock common, par value $0.50; authorized 60,000 shares, issued 51,776 shares</w:t>
            </w:r>
          </w:p>
        </w:tc>
        <w:tc>
          <w:tcPr>
            <w:tcW w:w="36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25,888</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10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25,888</w:t>
            </w:r>
          </w:p>
        </w:tc>
        <w:tc>
          <w:tcPr>
            <w:tcW w:w="0" w:type="dxa"/>
            <w:vAlign w:val="bottom"/>
          </w:tcPr>
          <w:p>
            <w:pPr>
              <w:spacing w:after="0"/>
              <w:rPr>
                <w:sz w:val="1"/>
                <w:szCs w:val="1"/>
                <w:color w:val="auto"/>
              </w:rPr>
            </w:pPr>
          </w:p>
        </w:tc>
      </w:tr>
      <w:tr>
        <w:trPr>
          <w:trHeight w:val="216"/>
        </w:trPr>
        <w:tc>
          <w:tcPr>
            <w:tcW w:w="846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29,409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28,646</w:t>
            </w:r>
          </w:p>
        </w:tc>
        <w:tc>
          <w:tcPr>
            <w:tcW w:w="0" w:type="dxa"/>
            <w:vAlign w:val="bottom"/>
          </w:tcPr>
          <w:p>
            <w:pPr>
              <w:spacing w:after="0"/>
              <w:rPr>
                <w:sz w:val="1"/>
                <w:szCs w:val="1"/>
                <w:color w:val="auto"/>
              </w:rPr>
            </w:pPr>
          </w:p>
        </w:tc>
      </w:tr>
      <w:tr>
        <w:trPr>
          <w:trHeight w:val="216"/>
        </w:trPr>
        <w:tc>
          <w:tcPr>
            <w:tcW w:w="84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Retained earnings</w:t>
            </w:r>
          </w:p>
        </w:tc>
        <w:tc>
          <w:tcPr>
            <w:tcW w:w="36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505,535</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10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509,056</w:t>
            </w:r>
          </w:p>
        </w:tc>
        <w:tc>
          <w:tcPr>
            <w:tcW w:w="0" w:type="dxa"/>
            <w:vAlign w:val="bottom"/>
          </w:tcPr>
          <w:p>
            <w:pPr>
              <w:spacing w:after="0"/>
              <w:rPr>
                <w:sz w:val="1"/>
                <w:szCs w:val="1"/>
                <w:color w:val="auto"/>
              </w:rPr>
            </w:pPr>
          </w:p>
        </w:tc>
      </w:tr>
      <w:tr>
        <w:trPr>
          <w:trHeight w:val="216"/>
        </w:trPr>
        <w:tc>
          <w:tcPr>
            <w:tcW w:w="8460" w:type="dxa"/>
            <w:vAlign w:val="bottom"/>
          </w:tcPr>
          <w:p>
            <w:pPr>
              <w:ind w:left="320"/>
              <w:spacing w:after="0"/>
              <w:rPr>
                <w:sz w:val="20"/>
                <w:szCs w:val="20"/>
                <w:color w:val="auto"/>
              </w:rPr>
            </w:pPr>
            <w:r>
              <w:rPr>
                <w:rFonts w:ascii="Arial" w:cs="Arial" w:eastAsia="Arial" w:hAnsi="Arial"/>
                <w:sz w:val="18"/>
                <w:szCs w:val="18"/>
                <w:color w:val="auto"/>
              </w:rPr>
              <w:t>Accumulated other comprehensive income</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11,090</w:t>
            </w:r>
          </w:p>
        </w:tc>
        <w:tc>
          <w:tcPr>
            <w:tcW w:w="0" w:type="dxa"/>
            <w:vAlign w:val="bottom"/>
          </w:tcPr>
          <w:p>
            <w:pPr>
              <w:spacing w:after="0"/>
              <w:rPr>
                <w:sz w:val="1"/>
                <w:szCs w:val="1"/>
                <w:color w:val="auto"/>
              </w:rPr>
            </w:pPr>
          </w:p>
        </w:tc>
      </w:tr>
      <w:tr>
        <w:trPr>
          <w:trHeight w:val="216"/>
        </w:trPr>
        <w:tc>
          <w:tcPr>
            <w:tcW w:w="84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Treasury stock, at cost (22,710 and 22,223 shares, respectively)</w:t>
            </w:r>
          </w:p>
        </w:tc>
        <w:tc>
          <w:tcPr>
            <w:tcW w:w="36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(380,682)</w:t>
            </w:r>
          </w:p>
        </w:tc>
        <w:tc>
          <w:tcPr>
            <w:tcW w:w="14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100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(366,326)</w:t>
            </w:r>
          </w:p>
        </w:tc>
        <w:tc>
          <w:tcPr>
            <w:tcW w:w="0" w:type="dxa"/>
            <w:vAlign w:val="bottom"/>
          </w:tcPr>
          <w:p>
            <w:pPr>
              <w:spacing w:after="0"/>
              <w:rPr>
                <w:sz w:val="1"/>
                <w:szCs w:val="1"/>
                <w:color w:val="auto"/>
              </w:rPr>
            </w:pPr>
          </w:p>
        </w:tc>
      </w:tr>
      <w:tr>
        <w:trPr>
          <w:trHeight w:val="210"/>
        </w:trPr>
        <w:tc>
          <w:tcPr>
            <w:tcW w:w="8460" w:type="dxa"/>
            <w:vAlign w:val="bottom"/>
            <w:tcBorders>
              <w:bottom w:val="single" w:sz="8" w:color="D6F3E8"/>
            </w:tcBorders>
          </w:tcPr>
          <w:p>
            <w:pPr>
              <w:ind w:left="320"/>
              <w:spacing w:after="0" w:line="202" w:lineRule="exact"/>
              <w:rPr>
                <w:sz w:val="20"/>
                <w:szCs w:val="20"/>
                <w:color w:val="auto"/>
              </w:rPr>
            </w:pPr>
            <w:r>
              <w:rPr>
                <w:rFonts w:ascii="Arial" w:cs="Arial" w:eastAsia="Arial" w:hAnsi="Arial"/>
                <w:sz w:val="18"/>
                <w:szCs w:val="18"/>
                <w:color w:val="auto"/>
              </w:rPr>
              <w:t>Total stockholders’ equity</w:t>
            </w:r>
          </w:p>
        </w:tc>
        <w:tc>
          <w:tcPr>
            <w:tcW w:w="3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188,025</w:t>
            </w:r>
          </w:p>
        </w:tc>
        <w:tc>
          <w:tcPr>
            <w:tcW w:w="180" w:type="dxa"/>
            <w:vAlign w:val="bottom"/>
            <w:tcBorders>
              <w:top w:val="single" w:sz="8" w:color="D6F3E8"/>
              <w:bottom w:val="single" w:sz="8" w:color="D6F3E8"/>
            </w:tcBorders>
          </w:tcPr>
          <w:p>
            <w:pPr>
              <w:spacing w:after="0"/>
              <w:rPr>
                <w:sz w:val="18"/>
                <w:szCs w:val="18"/>
                <w:color w:val="auto"/>
              </w:rPr>
            </w:pPr>
          </w:p>
        </w:tc>
        <w:tc>
          <w:tcPr>
            <w:tcW w:w="140" w:type="dxa"/>
            <w:vAlign w:val="bottom"/>
            <w:tcBorders>
              <w:top w:val="single" w:sz="8" w:color="D6F3E8"/>
              <w:bottom w:val="single" w:sz="8" w:color="D6F3E8"/>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208,354</w:t>
            </w:r>
          </w:p>
        </w:tc>
        <w:tc>
          <w:tcPr>
            <w:tcW w:w="100" w:type="dxa"/>
            <w:vAlign w:val="bottom"/>
            <w:tcBorders>
              <w:top w:val="single" w:sz="8" w:color="D6F3E8"/>
              <w:bottom w:val="single" w:sz="8" w:color="D6F3E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60" w:type="dxa"/>
            <w:vAlign w:val="bottom"/>
            <w:tcBorders>
              <w:bottom w:val="single" w:sz="8" w:color="D6F3E8"/>
            </w:tcBorders>
            <w:shd w:val="clear" w:color="auto" w:fill="D6F3E8"/>
          </w:tcPr>
          <w:p>
            <w:pPr>
              <w:ind w:left="480"/>
              <w:spacing w:after="0" w:line="202" w:lineRule="exact"/>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shd w:val="clear" w:color="auto" w:fill="D6F3E8"/>
          </w:tcPr>
          <w:p>
            <w:pPr>
              <w:jc w:val="right"/>
              <w:ind w:right="1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335,921</w:t>
            </w:r>
          </w:p>
        </w:tc>
        <w:tc>
          <w:tcPr>
            <w:tcW w:w="180" w:type="dxa"/>
            <w:vAlign w:val="bottom"/>
            <w:tcBorders>
              <w:bottom w:val="single" w:sz="8" w:color="D6F3E8"/>
            </w:tcBorders>
            <w:shd w:val="clear" w:color="auto" w:fill="D6F3E8"/>
          </w:tcPr>
          <w:p>
            <w:pPr>
              <w:spacing w:after="0"/>
              <w:rPr>
                <w:sz w:val="18"/>
                <w:szCs w:val="18"/>
                <w:color w:val="auto"/>
              </w:rPr>
            </w:pPr>
          </w:p>
        </w:tc>
        <w:tc>
          <w:tcPr>
            <w:tcW w:w="140" w:type="dxa"/>
            <w:vAlign w:val="bottom"/>
            <w:tcBorders>
              <w:bottom w:val="single" w:sz="8" w:color="D6F3E8"/>
            </w:tcBorders>
            <w:shd w:val="clear" w:color="auto" w:fill="D6F3E8"/>
          </w:tcPr>
          <w:p>
            <w:pPr>
              <w:spacing w:after="0"/>
              <w:rPr>
                <w:sz w:val="18"/>
                <w:szCs w:val="18"/>
                <w:color w:val="auto"/>
              </w:rPr>
            </w:pPr>
          </w:p>
        </w:tc>
        <w:tc>
          <w:tcPr>
            <w:tcW w:w="360" w:type="dxa"/>
            <w:vAlign w:val="bottom"/>
            <w:tcBorders>
              <w:bottom w:val="single" w:sz="8" w:color="auto"/>
            </w:tcBorders>
            <w:shd w:val="clear" w:color="auto" w:fill="D6F3E8"/>
          </w:tcPr>
          <w:p>
            <w:pPr>
              <w:jc w:val="right"/>
              <w:ind w:right="1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366,510</w:t>
            </w:r>
          </w:p>
        </w:tc>
        <w:tc>
          <w:tcPr>
            <w:tcW w:w="100" w:type="dxa"/>
            <w:vAlign w:val="bottom"/>
            <w:tcBorders>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7183120</wp:posOffset>
            </wp:positionH>
            <wp:positionV relativeFrom="paragraph">
              <wp:posOffset>-4836160</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-4836160</wp:posOffset>
            </wp:positionV>
            <wp:extent cx="2146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unaudited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Forty</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Thirty-Nine</w:t>
            </w:r>
          </w:p>
        </w:tc>
        <w:tc>
          <w:tcPr>
            <w:tcW w:w="0" w:type="dxa"/>
            <w:vAlign w:val="bottom"/>
          </w:tcPr>
          <w:p>
            <w:pPr>
              <w:spacing w:after="0"/>
              <w:rPr>
                <w:sz w:val="1"/>
                <w:szCs w:val="1"/>
                <w:color w:val="auto"/>
              </w:rPr>
            </w:pPr>
          </w:p>
        </w:tc>
      </w:tr>
      <w:tr>
        <w:trPr>
          <w:trHeight w:val="161"/>
        </w:trPr>
        <w:tc>
          <w:tcPr>
            <w:tcW w:w="84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Weeks Ended</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4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94"/>
              </w:rPr>
              <w:t>May 31,</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jc w:val="center"/>
              <w:ind w:right="176"/>
              <w:spacing w:after="0" w:line="129" w:lineRule="exact"/>
              <w:rPr>
                <w:sz w:val="20"/>
                <w:szCs w:val="20"/>
                <w:color w:val="auto"/>
              </w:rPr>
            </w:pPr>
            <w:r>
              <w:rPr>
                <w:rFonts w:ascii="Arial" w:cs="Arial" w:eastAsia="Arial" w:hAnsi="Arial"/>
                <w:sz w:val="14"/>
                <w:szCs w:val="14"/>
                <w:b w:val="1"/>
                <w:bCs w:val="1"/>
                <w:color w:val="auto"/>
                <w:w w:val="90"/>
              </w:rPr>
              <w:t>May 26,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4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2008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8460" w:type="dxa"/>
            <w:vAlign w:val="bottom"/>
          </w:tcPr>
          <w:p>
            <w:pPr>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4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D6F3E8"/>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15,479</w:t>
            </w:r>
          </w:p>
        </w:tc>
        <w:tc>
          <w:tcPr>
            <w:tcW w:w="180" w:type="dxa"/>
            <w:vAlign w:val="bottom"/>
            <w:shd w:val="clear" w:color="auto" w:fill="D6F3E8"/>
          </w:tcPr>
          <w:p>
            <w:pPr>
              <w:spacing w:after="0"/>
              <w:rPr>
                <w:sz w:val="18"/>
                <w:szCs w:val="18"/>
                <w:color w:val="auto"/>
              </w:rPr>
            </w:pPr>
          </w:p>
        </w:tc>
        <w:tc>
          <w:tcPr>
            <w:tcW w:w="40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26,721</w:t>
            </w:r>
          </w:p>
        </w:tc>
        <w:tc>
          <w:tcPr>
            <w:tcW w:w="0" w:type="dxa"/>
            <w:vAlign w:val="bottom"/>
          </w:tcPr>
          <w:p>
            <w:pPr>
              <w:spacing w:after="0"/>
              <w:rPr>
                <w:sz w:val="1"/>
                <w:szCs w:val="1"/>
                <w:color w:val="auto"/>
              </w:rPr>
            </w:pPr>
          </w:p>
        </w:tc>
      </w:tr>
      <w:tr>
        <w:trPr>
          <w:trHeight w:val="208"/>
        </w:trPr>
        <w:tc>
          <w:tcPr>
            <w:tcW w:w="846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6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7,583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7,942</w:t>
            </w:r>
          </w:p>
        </w:tc>
        <w:tc>
          <w:tcPr>
            <w:tcW w:w="0" w:type="dxa"/>
            <w:vAlign w:val="bottom"/>
          </w:tcPr>
          <w:p>
            <w:pPr>
              <w:spacing w:after="0"/>
              <w:rPr>
                <w:sz w:val="1"/>
                <w:szCs w:val="1"/>
                <w:color w:val="auto"/>
              </w:rPr>
            </w:pPr>
          </w:p>
        </w:tc>
      </w:tr>
      <w:tr>
        <w:trPr>
          <w:trHeight w:val="217"/>
        </w:trPr>
        <w:tc>
          <w:tcPr>
            <w:tcW w:w="84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3,617</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4,374</w:t>
            </w:r>
          </w:p>
        </w:tc>
        <w:tc>
          <w:tcPr>
            <w:tcW w:w="0" w:type="dxa"/>
            <w:vAlign w:val="bottom"/>
          </w:tcPr>
          <w:p>
            <w:pPr>
              <w:spacing w:after="0"/>
              <w:rPr>
                <w:sz w:val="1"/>
                <w:szCs w:val="1"/>
                <w:color w:val="auto"/>
              </w:rPr>
            </w:pPr>
          </w:p>
        </w:tc>
      </w:tr>
      <w:tr>
        <w:trPr>
          <w:trHeight w:val="216"/>
        </w:trPr>
        <w:tc>
          <w:tcPr>
            <w:tcW w:w="8460" w:type="dxa"/>
            <w:vAlign w:val="bottom"/>
          </w:tcPr>
          <w:p>
            <w:pPr>
              <w:ind w:left="320"/>
              <w:spacing w:after="0"/>
              <w:rPr>
                <w:sz w:val="20"/>
                <w:szCs w:val="20"/>
                <w:color w:val="auto"/>
              </w:rPr>
            </w:pPr>
            <w:r>
              <w:rPr>
                <w:rFonts w:ascii="Arial" w:cs="Arial" w:eastAsia="Arial" w:hAnsi="Arial"/>
                <w:sz w:val="18"/>
                <w:szCs w:val="18"/>
                <w:color w:val="auto"/>
              </w:rPr>
              <w:t>Postretirement benefit income and deferred compensation expense</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16"/>
        </w:trPr>
        <w:tc>
          <w:tcPr>
            <w:tcW w:w="84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Provision for doubtful accounts</w:t>
            </w:r>
          </w:p>
        </w:tc>
        <w:tc>
          <w:tcPr>
            <w:tcW w:w="24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846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(6,165)</w:t>
            </w:r>
          </w:p>
        </w:tc>
        <w:tc>
          <w:tcPr>
            <w:tcW w:w="0" w:type="dxa"/>
            <w:vAlign w:val="bottom"/>
          </w:tcPr>
          <w:p>
            <w:pPr>
              <w:spacing w:after="0"/>
              <w:rPr>
                <w:sz w:val="1"/>
                <w:szCs w:val="1"/>
                <w:color w:val="auto"/>
              </w:rPr>
            </w:pPr>
          </w:p>
        </w:tc>
      </w:tr>
      <w:tr>
        <w:trPr>
          <w:trHeight w:val="216"/>
        </w:trPr>
        <w:tc>
          <w:tcPr>
            <w:tcW w:w="84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Excess tax benefit of stock-based compensation</w:t>
            </w:r>
          </w:p>
        </w:tc>
        <w:tc>
          <w:tcPr>
            <w:tcW w:w="24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(89)</w:t>
            </w:r>
          </w:p>
        </w:tc>
        <w:tc>
          <w:tcPr>
            <w:tcW w:w="14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r>
        <w:trPr>
          <w:trHeight w:val="216"/>
        </w:trPr>
        <w:tc>
          <w:tcPr>
            <w:tcW w:w="8460" w:type="dxa"/>
            <w:vAlign w:val="bottom"/>
          </w:tcPr>
          <w:p>
            <w:pPr>
              <w:ind w:left="320"/>
              <w:spacing w:after="0"/>
              <w:rPr>
                <w:sz w:val="20"/>
                <w:szCs w:val="20"/>
                <w:color w:val="auto"/>
              </w:rPr>
            </w:pPr>
            <w:r>
              <w:rPr>
                <w:rFonts w:ascii="Arial" w:cs="Arial" w:eastAsia="Arial" w:hAnsi="Arial"/>
                <w:sz w:val="18"/>
                <w:szCs w:val="18"/>
                <w:color w:val="auto"/>
              </w:rPr>
              <w:t>Increase in cash surrender value of life insurance policies</w:t>
            </w:r>
          </w:p>
        </w:tc>
        <w:tc>
          <w:tcPr>
            <w:tcW w:w="2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(596)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6"/>
        </w:trPr>
        <w:tc>
          <w:tcPr>
            <w:tcW w:w="84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Loss (gain) on disposal of property</w:t>
            </w:r>
          </w:p>
        </w:tc>
        <w:tc>
          <w:tcPr>
            <w:tcW w:w="24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8"/>
        </w:trPr>
        <w:tc>
          <w:tcPr>
            <w:tcW w:w="8460" w:type="dxa"/>
            <w:vAlign w:val="bottom"/>
          </w:tcPr>
          <w:p>
            <w:pPr>
              <w:ind w:left="3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8460" w:type="dxa"/>
            <w:vAlign w:val="bottom"/>
          </w:tcPr>
          <w:p>
            <w:pPr>
              <w:spacing w:after="0"/>
              <w:rPr>
                <w:sz w:val="20"/>
                <w:szCs w:val="20"/>
                <w:color w:val="auto"/>
              </w:rPr>
            </w:pPr>
            <w:r>
              <w:rPr>
                <w:rFonts w:ascii="Arial" w:cs="Arial" w:eastAsia="Arial" w:hAnsi="Arial"/>
                <w:sz w:val="18"/>
                <w:szCs w:val="18"/>
                <w:color w:val="auto"/>
              </w:rPr>
              <w:t>Change in assets and liabilities: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4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(9,752)</w:t>
            </w:r>
          </w:p>
        </w:tc>
        <w:tc>
          <w:tcPr>
            <w:tcW w:w="14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(13,781)</w:t>
            </w:r>
          </w:p>
        </w:tc>
        <w:tc>
          <w:tcPr>
            <w:tcW w:w="0" w:type="dxa"/>
            <w:vAlign w:val="bottom"/>
          </w:tcPr>
          <w:p>
            <w:pPr>
              <w:spacing w:after="0"/>
              <w:rPr>
                <w:sz w:val="1"/>
                <w:szCs w:val="1"/>
                <w:color w:val="auto"/>
              </w:rPr>
            </w:pPr>
          </w:p>
        </w:tc>
      </w:tr>
      <w:tr>
        <w:trPr>
          <w:trHeight w:val="222"/>
        </w:trPr>
        <w:tc>
          <w:tcPr>
            <w:tcW w:w="8460" w:type="dxa"/>
            <w:vAlign w:val="bottom"/>
          </w:tcPr>
          <w:p>
            <w:pPr>
              <w:ind w:left="320"/>
              <w:spacing w:after="0"/>
              <w:rPr>
                <w:sz w:val="20"/>
                <w:szCs w:val="20"/>
                <w:color w:val="auto"/>
              </w:rPr>
            </w:pPr>
            <w:r>
              <w:rPr>
                <w:rFonts w:ascii="Arial" w:cs="Arial" w:eastAsia="Arial" w:hAnsi="Arial"/>
                <w:sz w:val="18"/>
                <w:szCs w:val="18"/>
                <w:color w:val="auto"/>
              </w:rPr>
              <w:t>Receivables and prepaid assets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20,812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bl>
    <w:p>
      <w:pPr>
        <w:sectPr>
          <w:pgSz w:w="11900" w:h="16838" w:orient="portrait"/>
          <w:cols w:equalWidth="0" w:num="1">
            <w:col w:w="11420"/>
          </w:cols>
          <w:pgMar w:left="240" w:top="145" w:right="239" w:bottom="0" w:gutter="0" w:footer="0" w:header="0"/>
        </w:sectPr>
      </w:pPr>
    </w:p>
    <w:bookmarkStart w:id="3" w:name="page4"/>
    <w:bookmarkEnd w:id="3"/>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(21,868)</w:t>
            </w:r>
          </w:p>
        </w:tc>
        <w:tc>
          <w:tcPr>
            <w:tcW w:w="14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10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8,372</w:t>
            </w:r>
          </w:p>
        </w:tc>
        <w:tc>
          <w:tcPr>
            <w:tcW w:w="0" w:type="dxa"/>
            <w:vAlign w:val="bottom"/>
          </w:tcPr>
          <w:p>
            <w:pPr>
              <w:spacing w:after="0"/>
              <w:rPr>
                <w:sz w:val="1"/>
                <w:szCs w:val="1"/>
                <w:color w:val="auto"/>
              </w:rPr>
            </w:pPr>
          </w:p>
        </w:tc>
      </w:tr>
      <w:tr>
        <w:trPr>
          <w:trHeight w:val="216"/>
        </w:trPr>
        <w:tc>
          <w:tcPr>
            <w:tcW w:w="8460" w:type="dxa"/>
            <w:vAlign w:val="bottom"/>
          </w:tcPr>
          <w:p>
            <w:pPr>
              <w:ind w:left="320"/>
              <w:spacing w:after="0"/>
              <w:rPr>
                <w:sz w:val="20"/>
                <w:szCs w:val="20"/>
                <w:color w:val="auto"/>
              </w:rPr>
            </w:pPr>
            <w:r>
              <w:rPr>
                <w:rFonts w:ascii="Arial" w:cs="Arial" w:eastAsia="Arial" w:hAnsi="Arial"/>
                <w:sz w:val="18"/>
                <w:szCs w:val="18"/>
                <w:color w:val="auto"/>
              </w:rPr>
              <w:t>Income taxes and unrecognized tax benefits</w:t>
            </w:r>
          </w:p>
        </w:tc>
        <w:tc>
          <w:tcPr>
            <w:tcW w:w="3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(8,871)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16"/>
        </w:trPr>
        <w:tc>
          <w:tcPr>
            <w:tcW w:w="84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Postretirement and deferred compensation benefits</w:t>
            </w:r>
          </w:p>
        </w:tc>
        <w:tc>
          <w:tcPr>
            <w:tcW w:w="36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(1,123)</w:t>
            </w:r>
          </w:p>
        </w:tc>
        <w:tc>
          <w:tcPr>
            <w:tcW w:w="14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100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0"/>
        </w:trPr>
        <w:tc>
          <w:tcPr>
            <w:tcW w:w="8460" w:type="dxa"/>
            <w:vAlign w:val="bottom"/>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10,459</w:t>
            </w:r>
          </w:p>
        </w:tc>
        <w:tc>
          <w:tcPr>
            <w:tcW w:w="180" w:type="dxa"/>
            <w:vAlign w:val="bottom"/>
            <w:tcBorders>
              <w:top w:val="single" w:sz="8" w:color="D6F3E8"/>
            </w:tcBorders>
          </w:tcPr>
          <w:p>
            <w:pPr>
              <w:spacing w:after="0"/>
              <w:rPr>
                <w:sz w:val="18"/>
                <w:szCs w:val="18"/>
                <w:color w:val="auto"/>
              </w:rPr>
            </w:pPr>
          </w:p>
        </w:tc>
        <w:tc>
          <w:tcPr>
            <w:tcW w:w="140" w:type="dxa"/>
            <w:vAlign w:val="bottom"/>
            <w:tcBorders>
              <w:top w:val="single" w:sz="8" w:color="D6F3E8"/>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25,148</w:t>
            </w:r>
          </w:p>
        </w:tc>
        <w:tc>
          <w:tcPr>
            <w:tcW w:w="100" w:type="dxa"/>
            <w:vAlign w:val="bottom"/>
            <w:tcBorders>
              <w:top w:val="single" w:sz="8" w:color="D6F3E8"/>
            </w:tcBorders>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8460" w:type="dxa"/>
            <w:vAlign w:val="bottom"/>
          </w:tcPr>
          <w:p>
            <w:pPr>
              <w:spacing w:after="0"/>
              <w:rPr>
                <w:sz w:val="20"/>
                <w:szCs w:val="20"/>
                <w:color w:val="auto"/>
              </w:rPr>
            </w:pPr>
            <w:r>
              <w:rPr>
                <w:rFonts w:ascii="Arial" w:cs="Arial" w:eastAsia="Arial" w:hAnsi="Arial"/>
                <w:sz w:val="18"/>
                <w:szCs w:val="18"/>
                <w:color w:val="auto"/>
              </w:rPr>
              <w:t>Investing activities:</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4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Purchases of investments</w:t>
            </w:r>
          </w:p>
        </w:tc>
        <w:tc>
          <w:tcPr>
            <w:tcW w:w="36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(228,069)</w:t>
            </w:r>
          </w:p>
        </w:tc>
        <w:tc>
          <w:tcPr>
            <w:tcW w:w="14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100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(238,649)</w:t>
            </w:r>
          </w:p>
        </w:tc>
        <w:tc>
          <w:tcPr>
            <w:tcW w:w="0" w:type="dxa"/>
            <w:vAlign w:val="bottom"/>
          </w:tcPr>
          <w:p>
            <w:pPr>
              <w:spacing w:after="0"/>
              <w:rPr>
                <w:sz w:val="1"/>
                <w:szCs w:val="1"/>
                <w:color w:val="auto"/>
              </w:rPr>
            </w:pPr>
          </w:p>
        </w:tc>
      </w:tr>
      <w:tr>
        <w:trPr>
          <w:trHeight w:val="216"/>
        </w:trPr>
        <w:tc>
          <w:tcPr>
            <w:tcW w:w="8460" w:type="dxa"/>
            <w:vAlign w:val="bottom"/>
          </w:tcPr>
          <w:p>
            <w:pPr>
              <w:ind w:left="320"/>
              <w:spacing w:after="0"/>
              <w:rPr>
                <w:sz w:val="20"/>
                <w:szCs w:val="20"/>
                <w:color w:val="auto"/>
              </w:rPr>
            </w:pPr>
            <w:r>
              <w:rPr>
                <w:rFonts w:ascii="Arial" w:cs="Arial" w:eastAsia="Arial" w:hAnsi="Arial"/>
                <w:sz w:val="18"/>
                <w:szCs w:val="18"/>
                <w:color w:val="auto"/>
              </w:rPr>
              <w:t>Proceeds from the sale or maturity of investments</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288,119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223,649</w:t>
            </w:r>
          </w:p>
        </w:tc>
        <w:tc>
          <w:tcPr>
            <w:tcW w:w="0" w:type="dxa"/>
            <w:vAlign w:val="bottom"/>
          </w:tcPr>
          <w:p>
            <w:pPr>
              <w:spacing w:after="0"/>
              <w:rPr>
                <w:sz w:val="1"/>
                <w:szCs w:val="1"/>
                <w:color w:val="auto"/>
              </w:rPr>
            </w:pPr>
          </w:p>
        </w:tc>
      </w:tr>
      <w:tr>
        <w:trPr>
          <w:trHeight w:val="216"/>
        </w:trPr>
        <w:tc>
          <w:tcPr>
            <w:tcW w:w="84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(3,025)</w:t>
            </w:r>
          </w:p>
        </w:tc>
        <w:tc>
          <w:tcPr>
            <w:tcW w:w="14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100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(3,677)</w:t>
            </w:r>
          </w:p>
        </w:tc>
        <w:tc>
          <w:tcPr>
            <w:tcW w:w="0" w:type="dxa"/>
            <w:vAlign w:val="bottom"/>
          </w:tcPr>
          <w:p>
            <w:pPr>
              <w:spacing w:after="0"/>
              <w:rPr>
                <w:sz w:val="1"/>
                <w:szCs w:val="1"/>
                <w:color w:val="auto"/>
              </w:rPr>
            </w:pPr>
          </w:p>
        </w:tc>
      </w:tr>
      <w:tr>
        <w:trPr>
          <w:trHeight w:val="216"/>
        </w:trPr>
        <w:tc>
          <w:tcPr>
            <w:tcW w:w="8460" w:type="dxa"/>
            <w:vAlign w:val="bottom"/>
          </w:tcPr>
          <w:p>
            <w:pPr>
              <w:ind w:left="320"/>
              <w:spacing w:after="0"/>
              <w:rPr>
                <w:sz w:val="20"/>
                <w:szCs w:val="20"/>
                <w:color w:val="auto"/>
              </w:rPr>
            </w:pPr>
            <w:r>
              <w:rPr>
                <w:rFonts w:ascii="Arial" w:cs="Arial" w:eastAsia="Arial" w:hAnsi="Arial"/>
                <w:sz w:val="18"/>
                <w:szCs w:val="18"/>
                <w:color w:val="auto"/>
              </w:rPr>
              <w:t>Proceeds from the sale of property</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84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(887)</w:t>
            </w:r>
          </w:p>
        </w:tc>
        <w:tc>
          <w:tcPr>
            <w:tcW w:w="14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10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0"/>
        </w:trPr>
        <w:tc>
          <w:tcPr>
            <w:tcW w:w="8460" w:type="dxa"/>
            <w:vAlign w:val="bottom"/>
          </w:tcPr>
          <w:p>
            <w:pPr>
              <w:spacing w:after="0" w:line="202" w:lineRule="exact"/>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56,406</w:t>
            </w:r>
          </w:p>
        </w:tc>
        <w:tc>
          <w:tcPr>
            <w:tcW w:w="180" w:type="dxa"/>
            <w:vAlign w:val="bottom"/>
            <w:tcBorders>
              <w:top w:val="single" w:sz="8" w:color="D6F3E8"/>
            </w:tcBorders>
          </w:tcPr>
          <w:p>
            <w:pPr>
              <w:spacing w:after="0"/>
              <w:rPr>
                <w:sz w:val="18"/>
                <w:szCs w:val="18"/>
                <w:color w:val="auto"/>
              </w:rPr>
            </w:pPr>
          </w:p>
        </w:tc>
        <w:tc>
          <w:tcPr>
            <w:tcW w:w="140" w:type="dxa"/>
            <w:vAlign w:val="bottom"/>
            <w:tcBorders>
              <w:top w:val="single" w:sz="8" w:color="D6F3E8"/>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8460" w:type="dxa"/>
            <w:vAlign w:val="bottom"/>
          </w:tcPr>
          <w:p>
            <w:pPr>
              <w:spacing w:after="0"/>
              <w:rPr>
                <w:sz w:val="20"/>
                <w:szCs w:val="20"/>
                <w:color w:val="auto"/>
              </w:rPr>
            </w:pPr>
            <w:r>
              <w:rPr>
                <w:rFonts w:ascii="Arial" w:cs="Arial" w:eastAsia="Arial" w:hAnsi="Arial"/>
                <w:sz w:val="18"/>
                <w:szCs w:val="18"/>
                <w:color w:val="auto"/>
              </w:rPr>
              <w:t>Financing activities:</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4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Payments for purchase of common stock</w:t>
            </w:r>
          </w:p>
        </w:tc>
        <w:tc>
          <w:tcPr>
            <w:tcW w:w="36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(17,767)</w:t>
            </w:r>
          </w:p>
        </w:tc>
        <w:tc>
          <w:tcPr>
            <w:tcW w:w="14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100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(20,548)</w:t>
            </w:r>
          </w:p>
        </w:tc>
        <w:tc>
          <w:tcPr>
            <w:tcW w:w="0" w:type="dxa"/>
            <w:vAlign w:val="bottom"/>
          </w:tcPr>
          <w:p>
            <w:pPr>
              <w:spacing w:after="0"/>
              <w:rPr>
                <w:sz w:val="1"/>
                <w:szCs w:val="1"/>
                <w:color w:val="auto"/>
              </w:rPr>
            </w:pPr>
          </w:p>
        </w:tc>
      </w:tr>
      <w:tr>
        <w:trPr>
          <w:trHeight w:val="216"/>
        </w:trPr>
        <w:tc>
          <w:tcPr>
            <w:tcW w:w="8460" w:type="dxa"/>
            <w:vAlign w:val="bottom"/>
          </w:tcPr>
          <w:p>
            <w:pPr>
              <w:ind w:left="320"/>
              <w:spacing w:after="0"/>
              <w:rPr>
                <w:sz w:val="20"/>
                <w:szCs w:val="20"/>
                <w:color w:val="auto"/>
              </w:rPr>
            </w:pPr>
            <w:r>
              <w:rPr>
                <w:rFonts w:ascii="Arial" w:cs="Arial" w:eastAsia="Arial" w:hAnsi="Arial"/>
                <w:sz w:val="18"/>
                <w:szCs w:val="18"/>
                <w:color w:val="auto"/>
              </w:rPr>
              <w:t>Payments of cash dividends</w:t>
            </w:r>
          </w:p>
        </w:tc>
        <w:tc>
          <w:tcPr>
            <w:tcW w:w="3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(10,509)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(9,412)</w:t>
            </w:r>
          </w:p>
        </w:tc>
        <w:tc>
          <w:tcPr>
            <w:tcW w:w="0" w:type="dxa"/>
            <w:vAlign w:val="bottom"/>
          </w:tcPr>
          <w:p>
            <w:pPr>
              <w:spacing w:after="0"/>
              <w:rPr>
                <w:sz w:val="1"/>
                <w:szCs w:val="1"/>
                <w:color w:val="auto"/>
              </w:rPr>
            </w:pPr>
          </w:p>
        </w:tc>
      </w:tr>
      <w:tr>
        <w:trPr>
          <w:trHeight w:val="216"/>
        </w:trPr>
        <w:tc>
          <w:tcPr>
            <w:tcW w:w="84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Proceeds from exercise of stock options</w:t>
            </w:r>
          </w:p>
        </w:tc>
        <w:tc>
          <w:tcPr>
            <w:tcW w:w="36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633</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10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7,636</w:t>
            </w:r>
          </w:p>
        </w:tc>
        <w:tc>
          <w:tcPr>
            <w:tcW w:w="0" w:type="dxa"/>
            <w:vAlign w:val="bottom"/>
          </w:tcPr>
          <w:p>
            <w:pPr>
              <w:spacing w:after="0"/>
              <w:rPr>
                <w:sz w:val="1"/>
                <w:szCs w:val="1"/>
                <w:color w:val="auto"/>
              </w:rPr>
            </w:pPr>
          </w:p>
        </w:tc>
      </w:tr>
      <w:tr>
        <w:trPr>
          <w:trHeight w:val="216"/>
        </w:trPr>
        <w:tc>
          <w:tcPr>
            <w:tcW w:w="8460" w:type="dxa"/>
            <w:vAlign w:val="bottom"/>
          </w:tcPr>
          <w:p>
            <w:pPr>
              <w:ind w:left="320"/>
              <w:spacing w:after="0"/>
              <w:rPr>
                <w:sz w:val="20"/>
                <w:szCs w:val="20"/>
                <w:color w:val="auto"/>
              </w:rPr>
            </w:pPr>
            <w:r>
              <w:rPr>
                <w:rFonts w:ascii="Arial" w:cs="Arial" w:eastAsia="Arial" w:hAnsi="Arial"/>
                <w:sz w:val="18"/>
                <w:szCs w:val="18"/>
                <w:color w:val="auto"/>
              </w:rPr>
              <w:t>Excess tax benefit of stock-based compensation</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r>
        <w:trPr>
          <w:trHeight w:val="210"/>
        </w:trPr>
        <w:tc>
          <w:tcPr>
            <w:tcW w:w="8460" w:type="dxa"/>
            <w:vAlign w:val="bottom"/>
            <w:tcBorders>
              <w:top w:val="single" w:sz="8" w:color="D6F3E8"/>
            </w:tcBorders>
            <w:shd w:val="clear" w:color="auto" w:fill="D6F3E8"/>
          </w:tcPr>
          <w:p>
            <w:pPr>
              <w:spacing w:after="0" w:line="202" w:lineRule="exact"/>
              <w:rPr>
                <w:sz w:val="20"/>
                <w:szCs w:val="20"/>
                <w:color w:val="auto"/>
              </w:rPr>
            </w:pPr>
            <w:r>
              <w:rPr>
                <w:rFonts w:ascii="Arial" w:cs="Arial" w:eastAsia="Arial" w:hAnsi="Arial"/>
                <w:sz w:val="18"/>
                <w:szCs w:val="18"/>
                <w:color w:val="auto"/>
              </w:rPr>
              <w:t>Net cash used in financing activities</w:t>
            </w:r>
          </w:p>
        </w:tc>
        <w:tc>
          <w:tcPr>
            <w:tcW w:w="360" w:type="dxa"/>
            <w:vAlign w:val="bottom"/>
            <w:tcBorders>
              <w:top w:val="single" w:sz="8" w:color="auto"/>
              <w:bottom w:val="single" w:sz="8" w:color="auto"/>
            </w:tcBorders>
            <w:shd w:val="clear" w:color="auto" w:fill="D6F3E8"/>
          </w:tcPr>
          <w:p>
            <w:pPr>
              <w:spacing w:after="0"/>
              <w:rPr>
                <w:sz w:val="18"/>
                <w:szCs w:val="18"/>
                <w:color w:val="auto"/>
              </w:rPr>
            </w:pPr>
          </w:p>
        </w:tc>
        <w:tc>
          <w:tcPr>
            <w:tcW w:w="9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(27,554)</w:t>
            </w:r>
          </w:p>
        </w:tc>
        <w:tc>
          <w:tcPr>
            <w:tcW w:w="180" w:type="dxa"/>
            <w:vAlign w:val="bottom"/>
            <w:tcBorders>
              <w:top w:val="single" w:sz="8" w:color="D6F3E8"/>
              <w:bottom w:val="single" w:sz="8" w:color="D6F3E8"/>
            </w:tcBorders>
            <w:shd w:val="clear" w:color="auto" w:fill="D6F3E8"/>
          </w:tcPr>
          <w:p>
            <w:pPr>
              <w:spacing w:after="0"/>
              <w:rPr>
                <w:sz w:val="18"/>
                <w:szCs w:val="18"/>
                <w:color w:val="auto"/>
              </w:rPr>
            </w:pPr>
          </w:p>
        </w:tc>
        <w:tc>
          <w:tcPr>
            <w:tcW w:w="140" w:type="dxa"/>
            <w:vAlign w:val="bottom"/>
            <w:tcBorders>
              <w:top w:val="single" w:sz="8" w:color="D6F3E8"/>
              <w:bottom w:val="single" w:sz="8" w:color="D6F3E8"/>
            </w:tcBorders>
            <w:shd w:val="clear" w:color="auto" w:fill="D6F3E8"/>
          </w:tcPr>
          <w:p>
            <w:pPr>
              <w:spacing w:after="0"/>
              <w:rPr>
                <w:sz w:val="18"/>
                <w:szCs w:val="18"/>
                <w:color w:val="auto"/>
              </w:rPr>
            </w:pPr>
          </w:p>
        </w:tc>
        <w:tc>
          <w:tcPr>
            <w:tcW w:w="360" w:type="dxa"/>
            <w:vAlign w:val="bottom"/>
            <w:tcBorders>
              <w:top w:val="single" w:sz="8" w:color="auto"/>
              <w:bottom w:val="single" w:sz="8" w:color="auto"/>
            </w:tcBorders>
            <w:shd w:val="clear" w:color="auto" w:fill="D6F3E8"/>
          </w:tcPr>
          <w:p>
            <w:pPr>
              <w:spacing w:after="0"/>
              <w:rPr>
                <w:sz w:val="18"/>
                <w:szCs w:val="18"/>
                <w:color w:val="auto"/>
              </w:rPr>
            </w:pPr>
          </w:p>
        </w:tc>
        <w:tc>
          <w:tcPr>
            <w:tcW w:w="9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(20,398)</w:t>
            </w:r>
          </w:p>
        </w:tc>
        <w:tc>
          <w:tcPr>
            <w:tcW w:w="100" w:type="dxa"/>
            <w:vAlign w:val="bottom"/>
            <w:tcBorders>
              <w:top w:val="single" w:sz="8" w:color="D6F3E8"/>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56"/>
        </w:trPr>
        <w:tc>
          <w:tcPr>
            <w:tcW w:w="846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39,311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(13,023)</w:t>
            </w:r>
          </w:p>
        </w:tc>
        <w:tc>
          <w:tcPr>
            <w:tcW w:w="0" w:type="dxa"/>
            <w:vAlign w:val="bottom"/>
          </w:tcPr>
          <w:p>
            <w:pPr>
              <w:spacing w:after="0"/>
              <w:rPr>
                <w:sz w:val="1"/>
                <w:szCs w:val="1"/>
                <w:color w:val="auto"/>
              </w:rPr>
            </w:pPr>
          </w:p>
        </w:tc>
      </w:tr>
      <w:tr>
        <w:trPr>
          <w:trHeight w:val="218"/>
        </w:trPr>
        <w:tc>
          <w:tcPr>
            <w:tcW w:w="8460" w:type="dxa"/>
            <w:vAlign w:val="bottom"/>
            <w:shd w:val="clear" w:color="auto" w:fill="D6F3E8"/>
          </w:tcPr>
          <w:p>
            <w:pPr>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6,889</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10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24,934</w:t>
            </w:r>
          </w:p>
        </w:tc>
        <w:tc>
          <w:tcPr>
            <w:tcW w:w="0" w:type="dxa"/>
            <w:vAlign w:val="bottom"/>
          </w:tcPr>
          <w:p>
            <w:pPr>
              <w:spacing w:after="0"/>
              <w:rPr>
                <w:sz w:val="1"/>
                <w:szCs w:val="1"/>
                <w:color w:val="auto"/>
              </w:rPr>
            </w:pPr>
          </w:p>
        </w:tc>
      </w:tr>
      <w:tr>
        <w:trPr>
          <w:trHeight w:val="210"/>
        </w:trPr>
        <w:tc>
          <w:tcPr>
            <w:tcW w:w="8460" w:type="dxa"/>
            <w:vAlign w:val="bottom"/>
          </w:tcPr>
          <w:p>
            <w:pPr>
              <w:spacing w:after="0" w:line="202" w:lineRule="exact"/>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8"/>
                <w:szCs w:val="18"/>
                <w:color w:val="auto"/>
              </w:rPr>
              <w:t>Supplemental cash flow disclosure:</w:t>
            </w: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4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4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Income taxes paid</w:t>
            </w:r>
          </w:p>
        </w:tc>
        <w:tc>
          <w:tcPr>
            <w:tcW w:w="360" w:type="dxa"/>
            <w:vAlign w:val="bottom"/>
            <w:shd w:val="clear" w:color="auto" w:fill="D6F3E8"/>
          </w:tcPr>
          <w:p>
            <w:pPr>
              <w:jc w:val="right"/>
              <w:ind w:right="1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1,723</w:t>
            </w:r>
          </w:p>
        </w:tc>
        <w:tc>
          <w:tcPr>
            <w:tcW w:w="180" w:type="dxa"/>
            <w:vAlign w:val="bottom"/>
            <w:shd w:val="clear" w:color="auto" w:fill="D6F3E8"/>
          </w:tcPr>
          <w:p>
            <w:pPr>
              <w:spacing w:after="0"/>
              <w:rPr>
                <w:sz w:val="18"/>
                <w:szCs w:val="18"/>
                <w:color w:val="auto"/>
              </w:rPr>
            </w:pPr>
          </w:p>
        </w:tc>
        <w:tc>
          <w:tcPr>
            <w:tcW w:w="500" w:type="dxa"/>
            <w:vAlign w:val="bottom"/>
            <w:gridSpan w:val="2"/>
            <w:shd w:val="clear" w:color="auto" w:fill="D6F3E8"/>
          </w:tcPr>
          <w:p>
            <w:pPr>
              <w:jc w:val="right"/>
              <w:ind w:right="17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17,176</w:t>
            </w:r>
          </w:p>
        </w:tc>
        <w:tc>
          <w:tcPr>
            <w:tcW w:w="0" w:type="dxa"/>
            <w:vAlign w:val="bottom"/>
          </w:tcPr>
          <w:p>
            <w:pPr>
              <w:spacing w:after="0"/>
              <w:rPr>
                <w:sz w:val="1"/>
                <w:szCs w:val="1"/>
                <w:color w:val="auto"/>
              </w:rPr>
            </w:pPr>
          </w:p>
        </w:tc>
      </w:tr>
      <w:tr>
        <w:trPr>
          <w:trHeight w:val="20"/>
        </w:trPr>
        <w:tc>
          <w:tcPr>
            <w:tcW w:w="8460" w:type="dxa"/>
            <w:vAlign w:val="bottom"/>
            <w:tcBorders>
              <w:top w:val="single" w:sz="8" w:color="D6F3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6F3E8"/>
            </w:tcBorders>
          </w:tcPr>
          <w:p>
            <w:pPr>
              <w:spacing w:after="0" w:line="20" w:lineRule="exact"/>
              <w:rPr>
                <w:sz w:val="1"/>
                <w:szCs w:val="1"/>
                <w:color w:val="auto"/>
              </w:rPr>
            </w:pPr>
          </w:p>
        </w:tc>
        <w:tc>
          <w:tcPr>
            <w:tcW w:w="140" w:type="dxa"/>
            <w:vAlign w:val="bottom"/>
            <w:tcBorders>
              <w:top w:val="single" w:sz="8" w:color="D6F3E8"/>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unaudited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Condensed Consolidated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64"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This Quarterly Report on Form 10-Q, contains statements which may constitute “forward-looking statements” within the meaning of Section 27A of the Securities Act of 1933, as amended, and Section 21E of the Securities Exchange Act of 1934, as amended, which involve risks and uncertainties, including, but not limited to, the effect of global tensions, availability and price of fuel, a significant increase in interest rates, a decline in consumer confidence, a slowdown in the economy, availability of chassis and other key component parts, sales order cancellations, slower than anticipated sales of new or existing products, new product introductions by competitors and other factors which may be disclosed throughout this report. Although we believe that the expectations reflected in the “forward-looking statements” are reasonable, we cannot guarantee future results, levels of activity, performance or achievements. Undue reliance should not be placed on these “forward-looking statements,” which speak only as of the date of this report. We undertake no obligation to publicly update or revise any “forward-looking statements” whether as a result of new information, future events or otherwise, except as required by law or the rules of the New York Stock Exchange.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16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“Company,” “we,” “our,” and “us” are used interchangeably to refer to Winnebago Industries, Inc. or Winnebago Industries, Inc. and its subsidiaries, as appropriate to the context.</w:t>
      </w:r>
    </w:p>
    <w:p>
      <w:pPr>
        <w:spacing w:after="0" w:line="118"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In our opinion, the accompanying unaudited condensed consolidated financial statements contain all adjustments, consisting of normal recurring accruals, necessary to present fairly the consolidated financial position as of May 31, 2008 and the consolidated statements of income for the quarter and forty weeks ended May 31, 2008 and the quarter and thirty-nine weeks ended May 26, 2007, and consolidated cash flows for the forty weeks ended May 31, 2008 and the thirty-nine weeks ended May 26, 2007. The consolidated statement of income for the forty weeks ended May 31, 2008 is not necessarily indicative of the results to be expected for the full year. The balance sheet data as of August 25, 2007 was derived from audited financial statements, but does not include all of the information and footnotes required by generally accepted accounting principles for complete financial statements. These interim consolidated financial statements should be read in conjunction with the audited financial statements and notes thereto appearing in our Annual Report to Shareholders for the year ended August 25, 2007.</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Stock-Based Compensation Plans</w:t>
      </w:r>
    </w:p>
    <w:p>
      <w:pPr>
        <w:spacing w:after="0" w:line="164"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We have a 2004 Incentive Compensation Plan, as amended (the “Plan”), in place which allows us to grant stock options and other equity compensation to key employees and to nonemployee directors. In years prior to Fiscal 2007, stock-based compensation consisted primarily of stock options. In Fiscal 2008 and 2007, we granted restricted stock awards to key employees and directors instead of stock options. The value of the restricted stock awards is determined using the intrinsic value method which, in this case, is based on the number of shares granted and the closing price of our common stock on the date of grant.</w:t>
      </w:r>
    </w:p>
    <w:p>
      <w:pPr>
        <w:spacing w:after="0" w:line="9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Total stock-based compensation expense included in our statements of income for the thirteen and forty weeks ended May 31, 2008 was $706,000 and $3.6 million, respectively, and for the thirteen and thirty-nine weeks ended May 26, 2007 was $765,000 and $4.4 million, respectively. Of the $3.6 million, $2.7 million is related to the granting of 139,700 shares of restricted stock during Fiscal 2008 to employees and nonemployee directors. The remainder is related to the amortization of previously granted employee and nonemployee director stock options and restricted stock awards, as well as nonemployee director stock units issued in lieu of their fees. We will continue to recognize compensation expense over the three-year vesting periods for awards granted prior to adoption of Statement of Financial Accounting Standards (SFAS) No. 123R, but for all awards granted after August 27, 2005, compensation expense will be recognized over the requisite service period of the award or over a period ending with an employee’s eligible retirement date, if earlier.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New Accounting Pronouncements</w:t>
      </w:r>
    </w:p>
    <w:p>
      <w:pPr>
        <w:sectPr>
          <w:pgSz w:w="11900" w:h="16874" w:orient="portrait"/>
          <w:cols w:equalWidth="0" w:num="1">
            <w:col w:w="11420"/>
          </w:cols>
          <w:pgMar w:left="240" w:top="153" w:right="239" w:bottom="0" w:gutter="0" w:footer="0" w:header="0"/>
        </w:sectPr>
      </w:pPr>
    </w:p>
    <w:bookmarkStart w:id="4" w:name="page5"/>
    <w:bookmarkEnd w:id="4"/>
    <w:p>
      <w:pPr>
        <w:spacing w:after="0" w:line="11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September 2006, the Financial Accounting Standards Board (FASB) issued Statement of Financial Accounting Standards (SFAS) No. 157,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Measurements</w:t>
      </w:r>
      <w:r>
        <w:rPr>
          <w:rFonts w:ascii="Arial" w:cs="Arial" w:eastAsia="Arial" w:hAnsi="Arial"/>
          <w:sz w:val="16"/>
          <w:szCs w:val="16"/>
          <w:color w:val="auto"/>
        </w:rPr>
        <w:t>.” SFAS No. 157 defines fair value, establishes a framework for measuring fair value in generally accepted accounting principles, and expands</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disclosures about fair value measurements. This statement applies to other accounting pronouncements that require or permit fair value measurements where the FASB has previously determined that under those pronouncements, fair value is the appropriate measurement. This statement does not require any new fair value measurements, but may require companies to change current practice. This statement is effective for fiscal years beginning after November 15, 2007 (our Fiscal 2009). We are currently evaluating the impact of the adoption of SFAS No. 157 where fair value measurements are used.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April 2007, FASB ratified Emerging Issues Task Force (EITF) Issue No. 06-10, </w:t>
      </w:r>
      <w:r>
        <w:rPr>
          <w:rFonts w:ascii="Arial" w:cs="Arial" w:eastAsia="Arial" w:hAnsi="Arial"/>
          <w:sz w:val="16"/>
          <w:szCs w:val="16"/>
          <w:i w:val="1"/>
          <w:iCs w:val="1"/>
          <w:color w:val="auto"/>
        </w:rPr>
        <w:t>Accounting for Collateral Assignment Split-Dollar Life Insurance</w:t>
      </w:r>
      <w:r>
        <w:rPr>
          <w:rFonts w:ascii="Arial" w:cs="Arial" w:eastAsia="Arial" w:hAnsi="Arial"/>
          <w:sz w:val="16"/>
          <w:szCs w:val="16"/>
          <w:color w:val="auto"/>
        </w:rPr>
        <w:t xml:space="preserve"> </w:t>
      </w:r>
      <w:r>
        <w:rPr>
          <w:rFonts w:ascii="Arial" w:cs="Arial" w:eastAsia="Arial" w:hAnsi="Arial"/>
          <w:sz w:val="16"/>
          <w:szCs w:val="16"/>
          <w:i w:val="1"/>
          <w:iCs w:val="1"/>
          <w:color w:val="auto"/>
        </w:rPr>
        <w:t>Arrangements</w:t>
      </w:r>
      <w:r>
        <w:rPr>
          <w:rFonts w:ascii="Arial" w:cs="Arial" w:eastAsia="Arial" w:hAnsi="Arial"/>
          <w:sz w:val="16"/>
          <w:szCs w:val="16"/>
          <w:color w:val="auto"/>
        </w:rPr>
        <w:t>. This statement establishes that companies will be required to recognize a liability for the postretirement benefit obligation related to a collateral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assignment arrangement — in accordance with SFAS No. 106, </w:t>
      </w:r>
      <w:r>
        <w:rPr>
          <w:rFonts w:ascii="Arial" w:cs="Arial" w:eastAsia="Arial" w:hAnsi="Arial"/>
          <w:sz w:val="16"/>
          <w:szCs w:val="16"/>
          <w:i w:val="1"/>
          <w:iCs w:val="1"/>
          <w:color w:val="auto"/>
        </w:rPr>
        <w:t>Employers’ Accounting for Postretirement Benefits Other Than Pensions,</w:t>
      </w:r>
      <w:r>
        <w:rPr>
          <w:rFonts w:ascii="Arial" w:cs="Arial" w:eastAsia="Arial" w:hAnsi="Arial"/>
          <w:sz w:val="16"/>
          <w:szCs w:val="16"/>
          <w:color w:val="auto"/>
        </w:rPr>
        <w:t xml:space="preserve"> (if deemed part of a postretirement plan) or Accounting Principles Board Opinion 12, </w:t>
      </w:r>
      <w:r>
        <w:rPr>
          <w:rFonts w:ascii="Arial" w:cs="Arial" w:eastAsia="Arial" w:hAnsi="Arial"/>
          <w:sz w:val="16"/>
          <w:szCs w:val="16"/>
          <w:i w:val="1"/>
          <w:iCs w:val="1"/>
          <w:color w:val="auto"/>
        </w:rPr>
        <w:t>Omnibus Opinion — 1967,</w:t>
      </w:r>
      <w:r>
        <w:rPr>
          <w:rFonts w:ascii="Arial" w:cs="Arial" w:eastAsia="Arial" w:hAnsi="Arial"/>
          <w:sz w:val="16"/>
          <w:szCs w:val="16"/>
          <w:color w:val="auto"/>
        </w:rPr>
        <w:t xml:space="preserve"> (if not part of a plan) — if, based on the substantive agreement with the employee, the employer has agreed to maintain a life insurance policy during the postretirement period or provide a death benefit. The Task Force also reached a consensus that an employer should recognize and measure the associated asset on the basis of the terms of the collateral assignment arrangement. These requirements are effective for fiscal years beginning after December 15, 2007 (our Fiscal 2009). We are currently evaluating the impact of this pronouncement on our future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Investments</w:t>
      </w:r>
    </w:p>
    <w:p>
      <w:pPr>
        <w:spacing w:after="0" w:line="16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We purchase investments and marketable securities that have been designated as “available-for-sale” in accordance with SFAS No. 115, </w:t>
      </w:r>
      <w:r>
        <w:rPr>
          <w:rFonts w:ascii="Arial" w:cs="Arial" w:eastAsia="Arial" w:hAnsi="Arial"/>
          <w:sz w:val="18"/>
          <w:szCs w:val="18"/>
          <w:i w:val="1"/>
          <w:iCs w:val="1"/>
          <w:color w:val="auto"/>
        </w:rPr>
        <w:t>Accounting for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Investments in Debt and Equity Securities</w:t>
      </w:r>
      <w:r>
        <w:rPr>
          <w:rFonts w:ascii="Arial" w:cs="Arial" w:eastAsia="Arial" w:hAnsi="Arial"/>
          <w:sz w:val="18"/>
          <w:szCs w:val="18"/>
          <w:color w:val="auto"/>
        </w:rPr>
        <w:t>. Available-for-sale securities are carried at fair value with the unrealized gains and losses reported in “Accumulated</w:t>
      </w:r>
      <w:r>
        <w:rPr>
          <w:rFonts w:ascii="Arial" w:cs="Arial" w:eastAsia="Arial" w:hAnsi="Arial"/>
          <w:sz w:val="18"/>
          <w:szCs w:val="18"/>
          <w:i w:val="1"/>
          <w:iCs w:val="1"/>
          <w:color w:val="auto"/>
        </w:rPr>
        <w:t xml:space="preserve"> </w:t>
      </w:r>
      <w:r>
        <w:rPr>
          <w:rFonts w:ascii="Arial" w:cs="Arial" w:eastAsia="Arial" w:hAnsi="Arial"/>
          <w:sz w:val="18"/>
          <w:szCs w:val="18"/>
          <w:color w:val="auto"/>
        </w:rPr>
        <w:t>Other Comprehensive Income,” a component of stockholders’ equity.</w:t>
      </w:r>
    </w:p>
    <w:p>
      <w:pPr>
        <w:spacing w:after="0" w:line="19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At May 31, 2008, we held $42.6 million (par value) of investments comprised of tax-exempt auction rate securities (ARSs), which are variable-rate debt securities and have a long-term maturity with the interest rate being reset through Dutch auctions that are typically held every 7, 28 or 35 days. The securities have historically traded at par and are callable at par at the option of the issuer. Interest is typically paid at the end of each auction period or semiannually. At May 31, 2008, the majority of the ARSs we held were AAA/Aaa rated, with most collateralized by student loans guaranteed by the U.S. government under the Federal Family Education Loan Program. In case of a failed auction, with respect to the ARSs held by the Company, the ARS is deemed not currently liquid. In the case of funds invested by the Company in ARSs which are the subject of a failed auction, we may not be able to access the funds without a loss of principal, unless a future auction on these investments is successful or the issuer calls the security pursuant to a mandatory tender or redemption prior to maturity. Until February 2008, the auction rate securities market was highly liquid. Starting the week of February 11, 2008, a substantial number of auctions “failed,” meaning that there was not enough demand to sell all of the securities that holders desired to sell at auction. The immediate effect of a failed auction is that such holders cannot sell the securities at auction and the interest rate on the security generally resets to a maximum auction rate.</w:t>
      </w:r>
    </w:p>
    <w:p>
      <w:pPr>
        <w:spacing w:after="0" w:line="10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At May 31, 2008, there was insufficient observable ARS market information available to determine the fair value of our investments. Therefore, we estimated fair value by incorporating assumptions that market participants would use in their estimates of fair value. Some of these assumptions included credit quality, final stated maturities, estimates on the probability of the issue being called prior to final maturity, impact due to extended periods of maximum auction rates and broker quotes from independent evaluators. Based on this analysis, we recorded a temporary impairment of $2.5 million related to our ARS investments of $42.6 million (par value) as of May 31, 2008 and a temporary impairment of $3.4 million on investments of $54.2 million (par value) as of March 1, 2008. We believe this temporary impairment is primarily attributable to the limited liquidity of these investments.</w:t>
      </w:r>
    </w:p>
    <w:p>
      <w:pPr>
        <w:spacing w:after="0" w:line="17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have no reason to believe that any of the underlying issuers of our ARSs are presently at risk of default. Through July 3, 2008, we have continued to receive interest payments on the ARSs in accordance with their terms. We believe we will ultimately be able to liquidate our investments without significant loss primarily due to the collateral securing most of the ARSs. However, it could take until final maturity of the ARSs (with a current weighted average of 26.5 years) to realize our investments’ par value. Due to these recent changes and uncertainty in the ARS market, we believe the recovery period for these investments is likely to be longer than 12 months and as a result, we have classified these investments as long-term as of May 31, 2008.</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16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Inventories are valued at the lower of cost or market, with cost being determined under the last-in, first-out (LIFO) method and market defined as net realizable value.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w:t>
      </w:r>
    </w:p>
    <w:p>
      <w:pPr>
        <w:spacing w:after="0" w:line="14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May 31,</w:t>
            </w:r>
          </w:p>
        </w:tc>
        <w:tc>
          <w:tcPr>
            <w:tcW w:w="16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August 25,</w:t>
            </w:r>
          </w:p>
        </w:tc>
      </w:tr>
      <w:tr>
        <w:trPr>
          <w:trHeight w:val="161"/>
        </w:trPr>
        <w:tc>
          <w:tcPr>
            <w:tcW w:w="6020" w:type="dxa"/>
            <w:vAlign w:val="bottom"/>
            <w:tcBorders>
              <w:bottom w:val="single" w:sz="8" w:color="D6F3E8"/>
            </w:tcBorders>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2008</w:t>
            </w:r>
          </w:p>
        </w:tc>
        <w:tc>
          <w:tcPr>
            <w:tcW w:w="260" w:type="dxa"/>
            <w:vAlign w:val="bottom"/>
            <w:tcBorders>
              <w:bottom w:val="single" w:sz="8" w:color="D6F3E8"/>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2007</w:t>
            </w:r>
          </w:p>
        </w:tc>
        <w:tc>
          <w:tcPr>
            <w:tcW w:w="80" w:type="dxa"/>
            <w:vAlign w:val="bottom"/>
            <w:tcBorders>
              <w:bottom w:val="single" w:sz="8" w:color="D6F3E8"/>
            </w:tcBorders>
          </w:tcPr>
          <w:p>
            <w:pPr>
              <w:spacing w:after="0"/>
              <w:rPr>
                <w:sz w:val="14"/>
                <w:szCs w:val="14"/>
                <w:color w:val="auto"/>
              </w:rPr>
            </w:pPr>
          </w:p>
        </w:tc>
      </w:tr>
      <w:tr>
        <w:trPr>
          <w:trHeight w:val="210"/>
        </w:trPr>
        <w:tc>
          <w:tcPr>
            <w:tcW w:w="6020" w:type="dxa"/>
            <w:vAlign w:val="bottom"/>
            <w:shd w:val="clear" w:color="auto" w:fill="D6F3E8"/>
          </w:tcPr>
          <w:p>
            <w:pPr>
              <w:spacing w:after="0" w:line="202" w:lineRule="exact"/>
              <w:rPr>
                <w:sz w:val="20"/>
                <w:szCs w:val="20"/>
                <w:color w:val="auto"/>
              </w:rPr>
            </w:pPr>
            <w:r>
              <w:rPr>
                <w:rFonts w:ascii="Arial" w:cs="Arial" w:eastAsia="Arial" w:hAnsi="Arial"/>
                <w:sz w:val="18"/>
                <w:szCs w:val="18"/>
                <w:color w:val="auto"/>
              </w:rPr>
              <w:t>Finished goods</w:t>
            </w:r>
          </w:p>
        </w:tc>
        <w:tc>
          <w:tcPr>
            <w:tcW w:w="2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34,866</w:t>
            </w:r>
          </w:p>
        </w:tc>
        <w:tc>
          <w:tcPr>
            <w:tcW w:w="260" w:type="dxa"/>
            <w:vAlign w:val="bottom"/>
            <w:shd w:val="clear" w:color="auto" w:fill="D6F3E8"/>
          </w:tcPr>
          <w:p>
            <w:pPr>
              <w:spacing w:after="0"/>
              <w:rPr>
                <w:sz w:val="18"/>
                <w:szCs w:val="18"/>
                <w:color w:val="auto"/>
              </w:rPr>
            </w:pPr>
          </w:p>
        </w:tc>
        <w:tc>
          <w:tcPr>
            <w:tcW w:w="160" w:type="dxa"/>
            <w:vAlign w:val="bottom"/>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45,489</w:t>
            </w:r>
          </w:p>
        </w:tc>
        <w:tc>
          <w:tcPr>
            <w:tcW w:w="80" w:type="dxa"/>
            <w:vAlign w:val="bottom"/>
            <w:shd w:val="clear" w:color="auto" w:fill="D6F3E8"/>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Work-in-process</w:t>
            </w:r>
          </w:p>
        </w:tc>
        <w:tc>
          <w:tcPr>
            <w:tcW w:w="2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39,175</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41,417</w:t>
            </w:r>
          </w:p>
        </w:tc>
        <w:tc>
          <w:tcPr>
            <w:tcW w:w="80" w:type="dxa"/>
            <w:vAlign w:val="bottom"/>
          </w:tcPr>
          <w:p>
            <w:pPr>
              <w:spacing w:after="0"/>
              <w:rPr>
                <w:sz w:val="18"/>
                <w:szCs w:val="18"/>
                <w:color w:val="auto"/>
              </w:rPr>
            </w:pPr>
          </w:p>
        </w:tc>
      </w:tr>
      <w:tr>
        <w:trPr>
          <w:trHeight w:val="216"/>
        </w:trPr>
        <w:tc>
          <w:tcPr>
            <w:tcW w:w="6020" w:type="dxa"/>
            <w:vAlign w:val="bottom"/>
            <w:shd w:val="clear" w:color="auto" w:fill="D6F3E8"/>
          </w:tcPr>
          <w:p>
            <w:pPr>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D6F3E8"/>
          </w:tcPr>
          <w:p>
            <w:pPr>
              <w:spacing w:after="0"/>
              <w:rPr>
                <w:sz w:val="18"/>
                <w:szCs w:val="18"/>
                <w:color w:val="auto"/>
              </w:rPr>
            </w:pPr>
          </w:p>
        </w:tc>
        <w:tc>
          <w:tcPr>
            <w:tcW w:w="1140" w:type="dxa"/>
            <w:vAlign w:val="bottom"/>
            <w:gridSpan w:val="2"/>
            <w:shd w:val="clear" w:color="auto" w:fill="D6F3E8"/>
          </w:tcPr>
          <w:p>
            <w:pPr>
              <w:jc w:val="right"/>
              <w:ind w:right="260"/>
              <w:spacing w:after="0"/>
              <w:rPr>
                <w:sz w:val="20"/>
                <w:szCs w:val="20"/>
                <w:color w:val="auto"/>
              </w:rPr>
            </w:pPr>
            <w:r>
              <w:rPr>
                <w:rFonts w:ascii="Arial" w:cs="Arial" w:eastAsia="Arial" w:hAnsi="Arial"/>
                <w:sz w:val="18"/>
                <w:szCs w:val="18"/>
                <w:color w:val="auto"/>
              </w:rPr>
              <w:t>71,871</w:t>
            </w:r>
          </w:p>
        </w:tc>
        <w:tc>
          <w:tcPr>
            <w:tcW w:w="160" w:type="dxa"/>
            <w:vAlign w:val="bottom"/>
            <w:shd w:val="clear" w:color="auto" w:fill="D6F3E8"/>
          </w:tcPr>
          <w:p>
            <w:pPr>
              <w:spacing w:after="0"/>
              <w:rPr>
                <w:sz w:val="18"/>
                <w:szCs w:val="18"/>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47,007</w:t>
            </w:r>
          </w:p>
        </w:tc>
        <w:tc>
          <w:tcPr>
            <w:tcW w:w="80" w:type="dxa"/>
            <w:vAlign w:val="bottom"/>
            <w:shd w:val="clear" w:color="auto" w:fill="D6F3E8"/>
          </w:tcPr>
          <w:p>
            <w:pPr>
              <w:spacing w:after="0"/>
              <w:rPr>
                <w:sz w:val="18"/>
                <w:szCs w:val="18"/>
                <w:color w:val="auto"/>
              </w:rPr>
            </w:pPr>
          </w:p>
        </w:tc>
      </w:tr>
      <w:tr>
        <w:trPr>
          <w:trHeight w:val="210"/>
        </w:trPr>
        <w:tc>
          <w:tcPr>
            <w:tcW w:w="60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145,912</w:t>
            </w: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133,913</w:t>
            </w:r>
          </w:p>
        </w:tc>
        <w:tc>
          <w:tcPr>
            <w:tcW w:w="80" w:type="dxa"/>
            <w:vAlign w:val="bottom"/>
          </w:tcPr>
          <w:p>
            <w:pPr>
              <w:spacing w:after="0"/>
              <w:rPr>
                <w:sz w:val="18"/>
                <w:szCs w:val="18"/>
                <w:color w:val="auto"/>
              </w:rPr>
            </w:pPr>
          </w:p>
        </w:tc>
      </w:tr>
      <w:tr>
        <w:trPr>
          <w:trHeight w:val="216"/>
        </w:trPr>
        <w:tc>
          <w:tcPr>
            <w:tcW w:w="6020" w:type="dxa"/>
            <w:vAlign w:val="bottom"/>
            <w:shd w:val="clear" w:color="auto" w:fill="D6F3E8"/>
          </w:tcPr>
          <w:p>
            <w:pPr>
              <w:spacing w:after="0"/>
              <w:rPr>
                <w:sz w:val="20"/>
                <w:szCs w:val="20"/>
                <w:color w:val="auto"/>
              </w:rPr>
            </w:pPr>
            <w:r>
              <w:rPr>
                <w:rFonts w:ascii="Arial" w:cs="Arial" w:eastAsia="Arial" w:hAnsi="Arial"/>
                <w:sz w:val="18"/>
                <w:szCs w:val="18"/>
                <w:color w:val="auto"/>
              </w:rPr>
              <w:t>LIFO reserve</w:t>
            </w:r>
          </w:p>
        </w:tc>
        <w:tc>
          <w:tcPr>
            <w:tcW w:w="200" w:type="dxa"/>
            <w:vAlign w:val="bottom"/>
            <w:shd w:val="clear" w:color="auto" w:fill="D6F3E8"/>
          </w:tcPr>
          <w:p>
            <w:pPr>
              <w:spacing w:after="0"/>
              <w:rPr>
                <w:sz w:val="18"/>
                <w:szCs w:val="18"/>
                <w:color w:val="auto"/>
              </w:rPr>
            </w:pPr>
          </w:p>
        </w:tc>
        <w:tc>
          <w:tcPr>
            <w:tcW w:w="114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(34,952)</w:t>
            </w:r>
          </w:p>
        </w:tc>
        <w:tc>
          <w:tcPr>
            <w:tcW w:w="160" w:type="dxa"/>
            <w:vAlign w:val="bottom"/>
            <w:shd w:val="clear" w:color="auto" w:fill="D6F3E8"/>
          </w:tcPr>
          <w:p>
            <w:pPr>
              <w:spacing w:after="0"/>
              <w:rPr>
                <w:sz w:val="18"/>
                <w:szCs w:val="18"/>
                <w:color w:val="auto"/>
              </w:rPr>
            </w:pPr>
          </w:p>
        </w:tc>
        <w:tc>
          <w:tcPr>
            <w:tcW w:w="10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(32,705)</w:t>
            </w:r>
          </w:p>
        </w:tc>
      </w:tr>
      <w:tr>
        <w:trPr>
          <w:trHeight w:val="210"/>
        </w:trPr>
        <w:tc>
          <w:tcPr>
            <w:tcW w:w="60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110,960</w:t>
            </w:r>
          </w:p>
        </w:tc>
        <w:tc>
          <w:tcPr>
            <w:tcW w:w="260" w:type="dxa"/>
            <w:vAlign w:val="bottom"/>
            <w:tcBorders>
              <w:top w:val="single" w:sz="8" w:color="D6F3E8"/>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101,208</w:t>
            </w:r>
          </w:p>
        </w:tc>
        <w:tc>
          <w:tcPr>
            <w:tcW w:w="80" w:type="dxa"/>
            <w:vAlign w:val="bottom"/>
            <w:tcBorders>
              <w:top w:val="single" w:sz="8" w:color="D6F3E8"/>
            </w:tcBorders>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Warranty</w:t>
      </w:r>
    </w:p>
    <w:p>
      <w:pPr>
        <w:spacing w:after="0" w:line="164" w:lineRule="exact"/>
        <w:rPr>
          <w:sz w:val="20"/>
          <w:szCs w:val="20"/>
          <w:color w:val="auto"/>
        </w:rPr>
      </w:pPr>
    </w:p>
    <w:p>
      <w:pPr>
        <w:jc w:val="both"/>
        <w:ind w:right="420"/>
        <w:spacing w:after="0" w:line="335" w:lineRule="auto"/>
        <w:rPr>
          <w:sz w:val="20"/>
          <w:szCs w:val="20"/>
          <w:color w:val="auto"/>
        </w:rPr>
      </w:pPr>
      <w:r>
        <w:rPr>
          <w:rFonts w:ascii="Arial" w:cs="Arial" w:eastAsia="Arial" w:hAnsi="Arial"/>
          <w:sz w:val="15"/>
          <w:szCs w:val="15"/>
          <w:color w:val="auto"/>
        </w:rPr>
        <w:t>We provide our motor home customers a comprehensive 12-month/15,000-mile warranty on the coach, and a 3-year/36,000-mile warranty on sidewalls and floors. We record a liability based on our estimate of the amounts necessary to settle future and existing claims on products sold as of the balance sheet date. Warranty reserves are reviewed and adjusted as necessary on a quarterly basis. Changes in our product warranty liability reserve are as follows:</w:t>
      </w:r>
    </w:p>
    <w:p>
      <w:pPr>
        <w:sectPr>
          <w:pgSz w:w="11900" w:h="16950" w:orient="portrait"/>
          <w:cols w:equalWidth="0" w:num="1">
            <w:col w:w="11400"/>
          </w:cols>
          <w:pgMar w:left="240" w:top="280" w:right="259" w:bottom="0" w:gutter="0" w:footer="0" w:header="0"/>
        </w:sectPr>
      </w:pPr>
    </w:p>
    <w:bookmarkStart w:id="5" w:name="page6"/>
    <w:bookmarkEnd w:id="5"/>
    <w:p>
      <w:pPr>
        <w:spacing w:after="0" w:line="5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Forty</w:t>
            </w:r>
          </w:p>
        </w:tc>
        <w:tc>
          <w:tcPr>
            <w:tcW w:w="14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Thirty-Nine</w:t>
            </w:r>
          </w:p>
        </w:tc>
      </w:tr>
      <w:tr>
        <w:trPr>
          <w:trHeight w:val="161"/>
        </w:trPr>
        <w:tc>
          <w:tcPr>
            <w:tcW w:w="6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Weeks Ended</w:t>
            </w:r>
          </w:p>
        </w:tc>
      </w:tr>
      <w:tr>
        <w:trPr>
          <w:trHeight w:val="129"/>
        </w:trPr>
        <w:tc>
          <w:tcPr>
            <w:tcW w:w="60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90"/>
              </w:rPr>
              <w:t>May 31,</w:t>
            </w: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61"/>
              <w:spacing w:after="0" w:line="129" w:lineRule="exact"/>
              <w:rPr>
                <w:sz w:val="20"/>
                <w:szCs w:val="20"/>
                <w:color w:val="auto"/>
              </w:rPr>
            </w:pPr>
            <w:r>
              <w:rPr>
                <w:rFonts w:ascii="Arial" w:cs="Arial" w:eastAsia="Arial" w:hAnsi="Arial"/>
                <w:sz w:val="14"/>
                <w:szCs w:val="14"/>
                <w:b w:val="1"/>
                <w:bCs w:val="1"/>
                <w:color w:val="auto"/>
                <w:w w:val="90"/>
              </w:rPr>
              <w:t>May 26,</w:t>
            </w:r>
          </w:p>
        </w:tc>
        <w:tc>
          <w:tcPr>
            <w:tcW w:w="80" w:type="dxa"/>
            <w:vAlign w:val="bottom"/>
          </w:tcPr>
          <w:p>
            <w:pPr>
              <w:spacing w:after="0"/>
              <w:rPr>
                <w:sz w:val="11"/>
                <w:szCs w:val="11"/>
                <w:color w:val="auto"/>
              </w:rPr>
            </w:pPr>
          </w:p>
        </w:tc>
      </w:tr>
      <w:tr>
        <w:trPr>
          <w:trHeight w:val="161"/>
        </w:trPr>
        <w:tc>
          <w:tcPr>
            <w:tcW w:w="6020" w:type="dxa"/>
            <w:vAlign w:val="bottom"/>
            <w:tcBorders>
              <w:bottom w:val="single" w:sz="8" w:color="D6F3E8"/>
            </w:tcBorders>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9"/>
              </w:rPr>
              <w:t>2008</w:t>
            </w:r>
          </w:p>
        </w:tc>
        <w:tc>
          <w:tcPr>
            <w:tcW w:w="260" w:type="dxa"/>
            <w:vAlign w:val="bottom"/>
            <w:tcBorders>
              <w:bottom w:val="single" w:sz="8" w:color="D6F3E8"/>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3"/>
              </w:rPr>
              <w:t>2007</w:t>
            </w:r>
          </w:p>
        </w:tc>
        <w:tc>
          <w:tcPr>
            <w:tcW w:w="80" w:type="dxa"/>
            <w:vAlign w:val="bottom"/>
            <w:tcBorders>
              <w:bottom w:val="single" w:sz="8" w:color="D6F3E8"/>
            </w:tcBorders>
          </w:tcPr>
          <w:p>
            <w:pPr>
              <w:spacing w:after="0"/>
              <w:rPr>
                <w:sz w:val="14"/>
                <w:szCs w:val="14"/>
                <w:color w:val="auto"/>
              </w:rPr>
            </w:pPr>
          </w:p>
        </w:tc>
      </w:tr>
      <w:tr>
        <w:trPr>
          <w:trHeight w:val="210"/>
        </w:trPr>
        <w:tc>
          <w:tcPr>
            <w:tcW w:w="6020" w:type="dxa"/>
            <w:vAlign w:val="bottom"/>
            <w:shd w:val="clear" w:color="auto" w:fill="D6F3E8"/>
          </w:tcPr>
          <w:p>
            <w:pPr>
              <w:spacing w:after="0" w:line="202" w:lineRule="exact"/>
              <w:rPr>
                <w:sz w:val="20"/>
                <w:szCs w:val="20"/>
                <w:color w:val="auto"/>
              </w:rPr>
            </w:pPr>
            <w:r>
              <w:rPr>
                <w:rFonts w:ascii="Arial" w:cs="Arial" w:eastAsia="Arial" w:hAnsi="Arial"/>
                <w:sz w:val="18"/>
                <w:szCs w:val="18"/>
                <w:color w:val="auto"/>
              </w:rPr>
              <w:t>Balance at beginning of period</w:t>
            </w:r>
          </w:p>
        </w:tc>
        <w:tc>
          <w:tcPr>
            <w:tcW w:w="2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11,259</w:t>
            </w:r>
          </w:p>
        </w:tc>
        <w:tc>
          <w:tcPr>
            <w:tcW w:w="260" w:type="dxa"/>
            <w:vAlign w:val="bottom"/>
            <w:shd w:val="clear" w:color="auto" w:fill="D6F3E8"/>
          </w:tcPr>
          <w:p>
            <w:pPr>
              <w:spacing w:after="0"/>
              <w:rPr>
                <w:sz w:val="18"/>
                <w:szCs w:val="18"/>
                <w:color w:val="auto"/>
              </w:rPr>
            </w:pPr>
          </w:p>
        </w:tc>
        <w:tc>
          <w:tcPr>
            <w:tcW w:w="14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9,523</w:t>
            </w:r>
          </w:p>
        </w:tc>
        <w:tc>
          <w:tcPr>
            <w:tcW w:w="80" w:type="dxa"/>
            <w:vAlign w:val="bottom"/>
            <w:shd w:val="clear" w:color="auto" w:fill="D6F3E8"/>
          </w:tcPr>
          <w:p>
            <w:pPr>
              <w:spacing w:after="0"/>
              <w:rPr>
                <w:sz w:val="18"/>
                <w:szCs w:val="18"/>
                <w:color w:val="auto"/>
              </w:rPr>
            </w:pPr>
          </w:p>
        </w:tc>
      </w:tr>
      <w:tr>
        <w:trPr>
          <w:trHeight w:val="216"/>
        </w:trPr>
        <w:tc>
          <w:tcPr>
            <w:tcW w:w="6020" w:type="dxa"/>
            <w:vAlign w:val="bottom"/>
          </w:tcPr>
          <w:p>
            <w:pPr>
              <w:ind w:left="160"/>
              <w:spacing w:after="0"/>
              <w:rPr>
                <w:sz w:val="20"/>
                <w:szCs w:val="20"/>
                <w:color w:val="auto"/>
              </w:rPr>
            </w:pPr>
            <w:r>
              <w:rPr>
                <w:rFonts w:ascii="Arial" w:cs="Arial" w:eastAsia="Arial" w:hAnsi="Arial"/>
                <w:sz w:val="18"/>
                <w:szCs w:val="18"/>
                <w:color w:val="auto"/>
              </w:rPr>
              <w:t>Provision</w:t>
            </w:r>
          </w:p>
        </w:tc>
        <w:tc>
          <w:tcPr>
            <w:tcW w:w="2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9,231</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9,627</w:t>
            </w:r>
          </w:p>
        </w:tc>
        <w:tc>
          <w:tcPr>
            <w:tcW w:w="80" w:type="dxa"/>
            <w:vAlign w:val="bottom"/>
          </w:tcPr>
          <w:p>
            <w:pPr>
              <w:spacing w:after="0"/>
              <w:rPr>
                <w:sz w:val="18"/>
                <w:szCs w:val="18"/>
                <w:color w:val="auto"/>
              </w:rPr>
            </w:pPr>
          </w:p>
        </w:tc>
      </w:tr>
      <w:tr>
        <w:trPr>
          <w:trHeight w:val="216"/>
        </w:trPr>
        <w:tc>
          <w:tcPr>
            <w:tcW w:w="6020" w:type="dxa"/>
            <w:vAlign w:val="bottom"/>
            <w:shd w:val="clear" w:color="auto" w:fill="D6F3E8"/>
          </w:tcPr>
          <w:p>
            <w:pPr>
              <w:ind w:left="160"/>
              <w:spacing w:after="0"/>
              <w:rPr>
                <w:sz w:val="20"/>
                <w:szCs w:val="20"/>
                <w:color w:val="auto"/>
              </w:rPr>
            </w:pPr>
            <w:r>
              <w:rPr>
                <w:rFonts w:ascii="Arial" w:cs="Arial" w:eastAsia="Arial" w:hAnsi="Arial"/>
                <w:sz w:val="18"/>
                <w:szCs w:val="18"/>
                <w:color w:val="auto"/>
              </w:rPr>
              <w:t>Claims paid</w:t>
            </w:r>
          </w:p>
        </w:tc>
        <w:tc>
          <w:tcPr>
            <w:tcW w:w="200" w:type="dxa"/>
            <w:vAlign w:val="bottom"/>
            <w:shd w:val="clear" w:color="auto" w:fill="D6F3E8"/>
          </w:tcPr>
          <w:p>
            <w:pPr>
              <w:spacing w:after="0"/>
              <w:rPr>
                <w:sz w:val="18"/>
                <w:szCs w:val="18"/>
                <w:color w:val="auto"/>
              </w:rPr>
            </w:pPr>
          </w:p>
        </w:tc>
        <w:tc>
          <w:tcPr>
            <w:tcW w:w="114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(9,389)</w:t>
            </w:r>
          </w:p>
        </w:tc>
        <w:tc>
          <w:tcPr>
            <w:tcW w:w="14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(8,359)</w:t>
            </w:r>
          </w:p>
        </w:tc>
      </w:tr>
      <w:tr>
        <w:trPr>
          <w:trHeight w:val="210"/>
        </w:trPr>
        <w:tc>
          <w:tcPr>
            <w:tcW w:w="6020" w:type="dxa"/>
            <w:vAlign w:val="bottom"/>
          </w:tcPr>
          <w:p>
            <w:pPr>
              <w:spacing w:after="0" w:line="202" w:lineRule="exact"/>
              <w:rPr>
                <w:sz w:val="20"/>
                <w:szCs w:val="20"/>
                <w:color w:val="auto"/>
              </w:rPr>
            </w:pPr>
            <w:r>
              <w:rPr>
                <w:rFonts w:ascii="Arial" w:cs="Arial" w:eastAsia="Arial" w:hAnsi="Arial"/>
                <w:sz w:val="18"/>
                <w:szCs w:val="18"/>
                <w:color w:val="auto"/>
              </w:rPr>
              <w:t>Balance at end of period</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11,101</w:t>
            </w:r>
          </w:p>
        </w:tc>
        <w:tc>
          <w:tcPr>
            <w:tcW w:w="260" w:type="dxa"/>
            <w:vAlign w:val="bottom"/>
            <w:tcBorders>
              <w:top w:val="single" w:sz="8" w:color="D6F3E8"/>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10,791</w:t>
            </w:r>
          </w:p>
        </w:tc>
        <w:tc>
          <w:tcPr>
            <w:tcW w:w="80" w:type="dxa"/>
            <w:vAlign w:val="bottom"/>
            <w:tcBorders>
              <w:top w:val="single" w:sz="8" w:color="D6F3E8"/>
            </w:tcBorders>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In addition to the costs associated with the contractual warranty coverage provided on our motor homes, we also occasionally incur costs as a result of additional service actions not covered by our warranties, including product recalls and customer satisfaction actions. We estimate the cost of these service actions using past claim rate experiences and the estimated cost of repairs. Estimated costs are accrued at the time the service action is implemented and included in cost of sales in our consolidated statements of income and as other accrued expenses in our consolidated balance sheets.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reserve for customer service actions are as follows:</w:t>
      </w:r>
    </w:p>
    <w:p>
      <w:pPr>
        <w:spacing w:after="0" w:line="20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Forty</w:t>
            </w:r>
          </w:p>
        </w:tc>
        <w:tc>
          <w:tcPr>
            <w:tcW w:w="14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Thirty-Nine</w:t>
            </w:r>
          </w:p>
        </w:tc>
      </w:tr>
      <w:tr>
        <w:trPr>
          <w:trHeight w:val="161"/>
        </w:trPr>
        <w:tc>
          <w:tcPr>
            <w:tcW w:w="6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Weeks Ended</w:t>
            </w:r>
          </w:p>
        </w:tc>
      </w:tr>
      <w:tr>
        <w:trPr>
          <w:trHeight w:val="129"/>
        </w:trPr>
        <w:tc>
          <w:tcPr>
            <w:tcW w:w="60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90"/>
              </w:rPr>
              <w:t>May 31,</w:t>
            </w: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61"/>
              <w:spacing w:after="0" w:line="129" w:lineRule="exact"/>
              <w:rPr>
                <w:sz w:val="20"/>
                <w:szCs w:val="20"/>
                <w:color w:val="auto"/>
              </w:rPr>
            </w:pPr>
            <w:r>
              <w:rPr>
                <w:rFonts w:ascii="Arial" w:cs="Arial" w:eastAsia="Arial" w:hAnsi="Arial"/>
                <w:sz w:val="14"/>
                <w:szCs w:val="14"/>
                <w:b w:val="1"/>
                <w:bCs w:val="1"/>
                <w:color w:val="auto"/>
                <w:w w:val="90"/>
              </w:rPr>
              <w:t>May 26,</w:t>
            </w:r>
          </w:p>
        </w:tc>
        <w:tc>
          <w:tcPr>
            <w:tcW w:w="80" w:type="dxa"/>
            <w:vAlign w:val="bottom"/>
          </w:tcPr>
          <w:p>
            <w:pPr>
              <w:spacing w:after="0"/>
              <w:rPr>
                <w:sz w:val="11"/>
                <w:szCs w:val="11"/>
                <w:color w:val="auto"/>
              </w:rPr>
            </w:pPr>
          </w:p>
        </w:tc>
      </w:tr>
      <w:tr>
        <w:trPr>
          <w:trHeight w:val="161"/>
        </w:trPr>
        <w:tc>
          <w:tcPr>
            <w:tcW w:w="6020" w:type="dxa"/>
            <w:vAlign w:val="bottom"/>
            <w:tcBorders>
              <w:bottom w:val="single" w:sz="8" w:color="D6F3E8"/>
            </w:tcBorders>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9"/>
              </w:rPr>
              <w:t>2008</w:t>
            </w:r>
          </w:p>
        </w:tc>
        <w:tc>
          <w:tcPr>
            <w:tcW w:w="260" w:type="dxa"/>
            <w:vAlign w:val="bottom"/>
            <w:tcBorders>
              <w:bottom w:val="single" w:sz="8" w:color="D6F3E8"/>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3"/>
              </w:rPr>
              <w:t>2007</w:t>
            </w:r>
          </w:p>
        </w:tc>
        <w:tc>
          <w:tcPr>
            <w:tcW w:w="80" w:type="dxa"/>
            <w:vAlign w:val="bottom"/>
            <w:tcBorders>
              <w:bottom w:val="single" w:sz="8" w:color="D6F3E8"/>
            </w:tcBorders>
          </w:tcPr>
          <w:p>
            <w:pPr>
              <w:spacing w:after="0"/>
              <w:rPr>
                <w:sz w:val="14"/>
                <w:szCs w:val="14"/>
                <w:color w:val="auto"/>
              </w:rPr>
            </w:pPr>
          </w:p>
        </w:tc>
      </w:tr>
      <w:tr>
        <w:trPr>
          <w:trHeight w:val="210"/>
        </w:trPr>
        <w:tc>
          <w:tcPr>
            <w:tcW w:w="6020" w:type="dxa"/>
            <w:vAlign w:val="bottom"/>
            <w:shd w:val="clear" w:color="auto" w:fill="D6F3E8"/>
          </w:tcPr>
          <w:p>
            <w:pPr>
              <w:spacing w:after="0" w:line="202" w:lineRule="exact"/>
              <w:rPr>
                <w:sz w:val="20"/>
                <w:szCs w:val="20"/>
                <w:color w:val="auto"/>
              </w:rPr>
            </w:pPr>
            <w:r>
              <w:rPr>
                <w:rFonts w:ascii="Arial" w:cs="Arial" w:eastAsia="Arial" w:hAnsi="Arial"/>
                <w:sz w:val="18"/>
                <w:szCs w:val="18"/>
                <w:color w:val="auto"/>
              </w:rPr>
              <w:t>Balance at beginning of period</w:t>
            </w:r>
          </w:p>
        </w:tc>
        <w:tc>
          <w:tcPr>
            <w:tcW w:w="200" w:type="dxa"/>
            <w:vAlign w:val="bottom"/>
            <w:shd w:val="clear" w:color="auto" w:fill="D6F3E8"/>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253</w:t>
            </w:r>
          </w:p>
        </w:tc>
        <w:tc>
          <w:tcPr>
            <w:tcW w:w="260" w:type="dxa"/>
            <w:vAlign w:val="bottom"/>
            <w:shd w:val="clear" w:color="auto" w:fill="D6F3E8"/>
          </w:tcPr>
          <w:p>
            <w:pPr>
              <w:spacing w:after="0"/>
              <w:rPr>
                <w:sz w:val="18"/>
                <w:szCs w:val="18"/>
                <w:color w:val="auto"/>
              </w:rPr>
            </w:pPr>
          </w:p>
        </w:tc>
        <w:tc>
          <w:tcPr>
            <w:tcW w:w="14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505</w:t>
            </w:r>
          </w:p>
        </w:tc>
        <w:tc>
          <w:tcPr>
            <w:tcW w:w="80" w:type="dxa"/>
            <w:vAlign w:val="bottom"/>
            <w:shd w:val="clear" w:color="auto" w:fill="D6F3E8"/>
          </w:tcPr>
          <w:p>
            <w:pPr>
              <w:spacing w:after="0"/>
              <w:rPr>
                <w:sz w:val="18"/>
                <w:szCs w:val="18"/>
                <w:color w:val="auto"/>
              </w:rPr>
            </w:pPr>
          </w:p>
        </w:tc>
      </w:tr>
      <w:tr>
        <w:trPr>
          <w:trHeight w:val="216"/>
        </w:trPr>
        <w:tc>
          <w:tcPr>
            <w:tcW w:w="6020" w:type="dxa"/>
            <w:vAlign w:val="bottom"/>
          </w:tcPr>
          <w:p>
            <w:pPr>
              <w:ind w:left="160"/>
              <w:spacing w:after="0"/>
              <w:rPr>
                <w:sz w:val="20"/>
                <w:szCs w:val="20"/>
                <w:color w:val="auto"/>
              </w:rPr>
            </w:pPr>
            <w:r>
              <w:rPr>
                <w:rFonts w:ascii="Arial" w:cs="Arial" w:eastAsia="Arial" w:hAnsi="Arial"/>
                <w:sz w:val="18"/>
                <w:szCs w:val="18"/>
                <w:color w:val="auto"/>
              </w:rPr>
              <w:t>Provision</w:t>
            </w:r>
          </w:p>
        </w:tc>
        <w:tc>
          <w:tcPr>
            <w:tcW w:w="2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406</w:t>
            </w:r>
          </w:p>
        </w:tc>
        <w:tc>
          <w:tcPr>
            <w:tcW w:w="80" w:type="dxa"/>
            <w:vAlign w:val="bottom"/>
          </w:tcPr>
          <w:p>
            <w:pPr>
              <w:spacing w:after="0"/>
              <w:rPr>
                <w:sz w:val="18"/>
                <w:szCs w:val="18"/>
                <w:color w:val="auto"/>
              </w:rPr>
            </w:pPr>
          </w:p>
        </w:tc>
      </w:tr>
      <w:tr>
        <w:trPr>
          <w:trHeight w:val="216"/>
        </w:trPr>
        <w:tc>
          <w:tcPr>
            <w:tcW w:w="6020" w:type="dxa"/>
            <w:vAlign w:val="bottom"/>
            <w:shd w:val="clear" w:color="auto" w:fill="D6F3E8"/>
          </w:tcPr>
          <w:p>
            <w:pPr>
              <w:ind w:left="160"/>
              <w:spacing w:after="0"/>
              <w:rPr>
                <w:sz w:val="20"/>
                <w:szCs w:val="20"/>
                <w:color w:val="auto"/>
              </w:rPr>
            </w:pPr>
            <w:r>
              <w:rPr>
                <w:rFonts w:ascii="Arial" w:cs="Arial" w:eastAsia="Arial" w:hAnsi="Arial"/>
                <w:sz w:val="18"/>
                <w:szCs w:val="18"/>
                <w:color w:val="auto"/>
              </w:rPr>
              <w:t>Claims paid</w:t>
            </w:r>
          </w:p>
        </w:tc>
        <w:tc>
          <w:tcPr>
            <w:tcW w:w="200" w:type="dxa"/>
            <w:vAlign w:val="bottom"/>
            <w:shd w:val="clear" w:color="auto" w:fill="D6F3E8"/>
          </w:tcPr>
          <w:p>
            <w:pPr>
              <w:spacing w:after="0"/>
              <w:rPr>
                <w:sz w:val="18"/>
                <w:szCs w:val="18"/>
                <w:color w:val="auto"/>
              </w:rPr>
            </w:pPr>
          </w:p>
        </w:tc>
        <w:tc>
          <w:tcPr>
            <w:tcW w:w="114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(164)</w:t>
            </w:r>
          </w:p>
        </w:tc>
        <w:tc>
          <w:tcPr>
            <w:tcW w:w="14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(531)</w:t>
            </w:r>
          </w:p>
        </w:tc>
      </w:tr>
      <w:tr>
        <w:trPr>
          <w:trHeight w:val="210"/>
        </w:trPr>
        <w:tc>
          <w:tcPr>
            <w:tcW w:w="6020" w:type="dxa"/>
            <w:vAlign w:val="bottom"/>
          </w:tcPr>
          <w:p>
            <w:pPr>
              <w:spacing w:after="0" w:line="202" w:lineRule="exact"/>
              <w:rPr>
                <w:sz w:val="20"/>
                <w:szCs w:val="20"/>
                <w:color w:val="auto"/>
              </w:rPr>
            </w:pPr>
            <w:r>
              <w:rPr>
                <w:rFonts w:ascii="Arial" w:cs="Arial" w:eastAsia="Arial" w:hAnsi="Arial"/>
                <w:sz w:val="18"/>
                <w:szCs w:val="18"/>
                <w:color w:val="auto"/>
              </w:rPr>
              <w:t>Balance at end of period</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Borders>
              <w:top w:val="single" w:sz="8" w:color="D6F3E8"/>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80" w:type="dxa"/>
            <w:vAlign w:val="bottom"/>
            <w:tcBorders>
              <w:top w:val="single" w:sz="8" w:color="D6F3E8"/>
            </w:tcBorders>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16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On August 26, 2007, we adopted FASB Interpretation No. 48, </w:t>
      </w:r>
      <w:r>
        <w:rPr>
          <w:rFonts w:ascii="Arial" w:cs="Arial" w:eastAsia="Arial" w:hAnsi="Arial"/>
          <w:sz w:val="16"/>
          <w:szCs w:val="16"/>
          <w:i w:val="1"/>
          <w:iCs w:val="1"/>
          <w:color w:val="auto"/>
        </w:rPr>
        <w:t>“Accounting for Uncertainty in Income Taxes – An Interpretation of FASB Statement No. 109”</w:t>
      </w:r>
      <w:r>
        <w:rPr>
          <w:rFonts w:ascii="Arial" w:cs="Arial" w:eastAsia="Arial" w:hAnsi="Arial"/>
          <w:sz w:val="16"/>
          <w:szCs w:val="16"/>
          <w:color w:val="auto"/>
        </w:rPr>
        <w:t xml:space="preserve"> (FIN 48). FIN 48 prescribes criteria for the financial statement recognition and measurement of tax positions taken or expected to be taken in a tax return, among other items. In addition, FIN 48 provides guidance on classification of tax liabilities, interest and penalties, accounting interim periods, disclosure, and transition with respect to the application of the new accounting standard. As a result of adoption in the first quarter of 2008, we recognized a cumulative effect adjustment of $8.5 million as a reduction to the balance of retained earnings, an increase of $7.1 million in deferred tax assets, and an increase of $15.6 million in tax liabilities. The amount of unrecognized tax benefits totaled $21.8 million upon adoption ($19.6 million noncurrent, $2.2 million current), of which approximately $15.4 million would have an impact on our effective tax rate, when uncertain positions are ultimately resolved. It is our policy to recognize interest and penalties accrued relative to unrecognized tax benefits into tax expense. Also as a result of adoption, $8.3 million was accrued for interest and penalties.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As of May 31, 2008, our unrecognized tax benefits were $8.8 million. If the remaining uncertain positions are ultimately resolved, approximately $3.8 million could have an impact on our effective tax rate. Currently, $2.9 million is accrued for interest and penalties, which is a reduction of $4.9 million from the second quarter. During the third quarter, we settled $11.6 million of uncertain tax positions with various taxing jurisdictions and as a result, recorded a tax benefit of $4.2 million.</w:t>
      </w:r>
    </w:p>
    <w:p>
      <w:pPr>
        <w:spacing w:after="0" w:line="197"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We file tax returns in the U.S. federal jurisdiction, as well as various international and state jurisdictions. A number of years may elapse before an uncertain tax position is audited and finally resolved, and is often very difficult to predict the outcome of such audits. Our Fiscal 2005 federal tax return was recently audited by the Internal Revenue Service, and as a result of this audit, the IRS recommended no changes to be made. Our federal returns are not subject to examination prior to Fiscal 2004. Periodically, various state and local jurisdictions conduct audits, therefore, a variety of other years are subject to state and local jurisdiction review.</w:t>
      </w:r>
    </w:p>
    <w:p>
      <w:pPr>
        <w:spacing w:after="0" w:line="15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We do not have reason to believe there will be a significant change in the total amount of unrecognized tax benefits as of May 31, 2008 within the next twelve months.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Employee and Retiree Benefits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Reserves for long-term postretirement health care and deferred compensation benefits are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318"/>
              <w:spacing w:after="0"/>
              <w:rPr>
                <w:sz w:val="20"/>
                <w:szCs w:val="20"/>
                <w:color w:val="auto"/>
              </w:rPr>
            </w:pPr>
            <w:r>
              <w:rPr>
                <w:rFonts w:ascii="Arial" w:cs="Arial" w:eastAsia="Arial" w:hAnsi="Arial"/>
                <w:sz w:val="14"/>
                <w:szCs w:val="14"/>
                <w:b w:val="1"/>
                <w:bCs w:val="1"/>
                <w:color w:val="auto"/>
              </w:rPr>
              <w:t>May 31,</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August 25,</w:t>
            </w:r>
          </w:p>
        </w:tc>
      </w:tr>
      <w:tr>
        <w:trPr>
          <w:trHeight w:val="161"/>
        </w:trPr>
        <w:tc>
          <w:tcPr>
            <w:tcW w:w="63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1000" w:type="dxa"/>
            <w:vAlign w:val="bottom"/>
          </w:tcPr>
          <w:p>
            <w:pPr>
              <w:jc w:val="right"/>
              <w:ind w:right="398"/>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418"/>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D6F3E8"/>
            </w:tcBorders>
            <w:shd w:val="clear" w:color="auto" w:fill="D6F3E8"/>
          </w:tcPr>
          <w:p>
            <w:pPr>
              <w:spacing w:after="0" w:line="202" w:lineRule="exact"/>
              <w:rPr>
                <w:sz w:val="20"/>
                <w:szCs w:val="20"/>
                <w:color w:val="auto"/>
              </w:rPr>
            </w:pPr>
            <w:r>
              <w:rPr>
                <w:rFonts w:ascii="Arial" w:cs="Arial" w:eastAsia="Arial" w:hAnsi="Arial"/>
                <w:sz w:val="18"/>
                <w:szCs w:val="18"/>
                <w:color w:val="auto"/>
              </w:rPr>
              <w:t>Postretirement health care benefit cost (1)</w:t>
            </w:r>
          </w:p>
        </w:tc>
        <w:tc>
          <w:tcPr>
            <w:tcW w:w="240" w:type="dxa"/>
            <w:vAlign w:val="bottom"/>
            <w:tcBorders>
              <w:top w:val="single" w:sz="8" w:color="auto"/>
            </w:tcBorders>
            <w:shd w:val="clear" w:color="auto" w:fill="D6F3E8"/>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32,659</w:t>
            </w:r>
          </w:p>
        </w:tc>
        <w:tc>
          <w:tcPr>
            <w:tcW w:w="260" w:type="dxa"/>
            <w:vAlign w:val="bottom"/>
            <w:tcBorders>
              <w:top w:val="single" w:sz="8" w:color="D6F3E8"/>
            </w:tcBorders>
            <w:shd w:val="clear" w:color="auto" w:fill="D6F3E8"/>
          </w:tcPr>
          <w:p>
            <w:pPr>
              <w:spacing w:after="0"/>
              <w:rPr>
                <w:sz w:val="18"/>
                <w:szCs w:val="18"/>
                <w:color w:val="auto"/>
              </w:rPr>
            </w:pPr>
          </w:p>
        </w:tc>
        <w:tc>
          <w:tcPr>
            <w:tcW w:w="200" w:type="dxa"/>
            <w:vAlign w:val="bottom"/>
            <w:tcBorders>
              <w:top w:val="single" w:sz="8" w:color="auto"/>
            </w:tcBorders>
            <w:shd w:val="clear" w:color="auto" w:fill="D6F3E8"/>
          </w:tcPr>
          <w:p>
            <w:pPr>
              <w:jc w:val="right"/>
              <w:ind w:right="43"/>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31,581</w:t>
            </w:r>
          </w:p>
        </w:tc>
        <w:tc>
          <w:tcPr>
            <w:tcW w:w="80" w:type="dxa"/>
            <w:vAlign w:val="bottom"/>
            <w:tcBorders>
              <w:top w:val="single" w:sz="8" w:color="D6F3E8"/>
            </w:tcBorders>
            <w:shd w:val="clear" w:color="auto" w:fill="D6F3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Non-qualified deferred compensation (2)</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24,644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25,041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D6F3E8"/>
          </w:tcPr>
          <w:p>
            <w:pPr>
              <w:spacing w:after="0"/>
              <w:rPr>
                <w:sz w:val="20"/>
                <w:szCs w:val="20"/>
                <w:color w:val="auto"/>
              </w:rPr>
            </w:pPr>
            <w:r>
              <w:rPr>
                <w:rFonts w:ascii="Arial" w:cs="Arial" w:eastAsia="Arial" w:hAnsi="Arial"/>
                <w:sz w:val="18"/>
                <w:szCs w:val="18"/>
                <w:color w:val="auto"/>
              </w:rPr>
              <w:t>Executive share option plan liability</w:t>
            </w:r>
          </w:p>
        </w:tc>
        <w:tc>
          <w:tcPr>
            <w:tcW w:w="240" w:type="dxa"/>
            <w:vAlign w:val="bottom"/>
            <w:shd w:val="clear" w:color="auto" w:fill="D6F3E8"/>
          </w:tcPr>
          <w:p>
            <w:pPr>
              <w:spacing w:after="0"/>
              <w:rPr>
                <w:sz w:val="18"/>
                <w:szCs w:val="18"/>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12,396</w:t>
            </w:r>
          </w:p>
        </w:tc>
        <w:tc>
          <w:tcPr>
            <w:tcW w:w="26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12,675</w:t>
            </w:r>
          </w:p>
        </w:tc>
        <w:tc>
          <w:tcPr>
            <w:tcW w:w="80" w:type="dxa"/>
            <w:vAlign w:val="bottom"/>
            <w:shd w:val="clear" w:color="auto" w:fill="D6F3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D6F3E8"/>
            </w:tcBorders>
          </w:tcPr>
          <w:p>
            <w:pPr>
              <w:spacing w:after="0"/>
              <w:rPr>
                <w:sz w:val="20"/>
                <w:szCs w:val="20"/>
                <w:color w:val="auto"/>
              </w:rPr>
            </w:pPr>
            <w:r>
              <w:rPr>
                <w:rFonts w:ascii="Arial" w:cs="Arial" w:eastAsia="Arial" w:hAnsi="Arial"/>
                <w:sz w:val="18"/>
                <w:szCs w:val="18"/>
                <w:color w:val="auto"/>
              </w:rPr>
              <w:t>Executive deferred compensation</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60" w:type="dxa"/>
            <w:vAlign w:val="bottom"/>
            <w:tcBorders>
              <w:bottom w:val="single" w:sz="8" w:color="D6F3E8"/>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D6F3E8"/>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80" w:type="dxa"/>
            <w:vAlign w:val="bottom"/>
            <w:tcBorders>
              <w:bottom w:val="single" w:sz="8" w:color="D6F3E8"/>
            </w:tcBorders>
            <w:shd w:val="clear" w:color="auto" w:fill="D6F3E8"/>
          </w:tcPr>
          <w:p>
            <w:pPr>
              <w:spacing w:after="0" w:line="202" w:lineRule="exact"/>
              <w:rPr>
                <w:sz w:val="20"/>
                <w:szCs w:val="20"/>
                <w:color w:val="auto"/>
              </w:rPr>
            </w:pPr>
            <w:r>
              <w:rPr>
                <w:rFonts w:ascii="Arial" w:cs="Arial" w:eastAsia="Arial" w:hAnsi="Arial"/>
                <w:sz w:val="18"/>
                <w:szCs w:val="18"/>
                <w:color w:val="auto"/>
              </w:rPr>
              <w:t>Total postretirement health care and deferred compensation benefits</w:t>
            </w:r>
          </w:p>
        </w:tc>
        <w:tc>
          <w:tcPr>
            <w:tcW w:w="240" w:type="dxa"/>
            <w:vAlign w:val="bottom"/>
            <w:tcBorders>
              <w:bottom w:val="single" w:sz="8" w:color="auto"/>
            </w:tcBorders>
            <w:shd w:val="clear" w:color="auto" w:fill="D6F3E8"/>
          </w:tcPr>
          <w:p>
            <w:pPr>
              <w:jc w:val="right"/>
              <w:ind w:right="5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69,750</w:t>
            </w:r>
          </w:p>
        </w:tc>
        <w:tc>
          <w:tcPr>
            <w:tcW w:w="260" w:type="dxa"/>
            <w:vAlign w:val="bottom"/>
            <w:tcBorders>
              <w:bottom w:val="single" w:sz="8" w:color="D6F3E8"/>
            </w:tcBorders>
            <w:shd w:val="clear" w:color="auto" w:fill="D6F3E8"/>
          </w:tcPr>
          <w:p>
            <w:pPr>
              <w:spacing w:after="0"/>
              <w:rPr>
                <w:sz w:val="18"/>
                <w:szCs w:val="18"/>
                <w:color w:val="auto"/>
              </w:rPr>
            </w:pPr>
          </w:p>
        </w:tc>
        <w:tc>
          <w:tcPr>
            <w:tcW w:w="200" w:type="dxa"/>
            <w:vAlign w:val="bottom"/>
            <w:tcBorders>
              <w:bottom w:val="single" w:sz="8" w:color="auto"/>
            </w:tcBorders>
            <w:shd w:val="clear" w:color="auto" w:fill="D6F3E8"/>
          </w:tcPr>
          <w:p>
            <w:pPr>
              <w:jc w:val="right"/>
              <w:ind w:right="4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69,319</w:t>
            </w:r>
          </w:p>
        </w:tc>
        <w:tc>
          <w:tcPr>
            <w:tcW w:w="80" w:type="dxa"/>
            <w:vAlign w:val="bottom"/>
            <w:tcBorders>
              <w:bottom w:val="single" w:sz="8" w:color="D6F3E8"/>
            </w:tcBorders>
            <w:shd w:val="clear" w:color="auto" w:fill="D6F3E8"/>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0" w:lineRule="exact"/>
        <w:rPr>
          <w:sz w:val="20"/>
          <w:szCs w:val="20"/>
          <w:color w:val="auto"/>
        </w:rPr>
      </w:pPr>
    </w:p>
    <w:p>
      <w:pPr>
        <w:ind w:left="340" w:right="240" w:hanging="332"/>
        <w:spacing w:after="0" w:line="25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current portion of accrued postretirement benefit cost of $1.1 million and $979,000 as of May 31, 2008 and August 25, 2007, respectively, is included within other accrued expenses.</w:t>
      </w:r>
    </w:p>
    <w:p>
      <w:pPr>
        <w:ind w:left="340" w:right="320" w:hanging="332"/>
        <w:spacing w:after="0" w:line="261"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current portion of deferred compensation liability of $2.0 million and $1.6 million as of May 31, 2008 and August 25, 2007, respectively, is included within accrued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Postretirement Health Care Benefits</w:t>
      </w:r>
    </w:p>
    <w:p>
      <w:pPr>
        <w:spacing w:after="0" w:line="15"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We provide certain health care benefits for retired employees, hired before April 1, 2001, who have fulfilled eligibility requirements of age 55 with 15 years of continuous service. Retirees are required to pay a monthly premium for medical coverage based on years of service at retirement and then current age. Our postretirement health care plan currently is not funded. We use a September 1 measurement date for this plan.</w:t>
      </w:r>
    </w:p>
    <w:p>
      <w:pPr>
        <w:spacing w:after="0" w:line="96" w:lineRule="exact"/>
        <w:rPr>
          <w:sz w:val="20"/>
          <w:szCs w:val="20"/>
          <w:color w:val="auto"/>
        </w:rPr>
      </w:pPr>
    </w:p>
    <w:p>
      <w:pPr>
        <w:ind w:right="200"/>
        <w:spacing w:after="0" w:line="370" w:lineRule="auto"/>
        <w:rPr>
          <w:sz w:val="20"/>
          <w:szCs w:val="20"/>
          <w:color w:val="auto"/>
        </w:rPr>
      </w:pPr>
      <w:r>
        <w:rPr>
          <w:rFonts w:ascii="Arial" w:cs="Arial" w:eastAsia="Arial" w:hAnsi="Arial"/>
          <w:sz w:val="15"/>
          <w:szCs w:val="15"/>
          <w:color w:val="auto"/>
        </w:rPr>
        <w:t xml:space="preserve">On August 25, 2007, we adopted SFAS 158, </w:t>
      </w:r>
      <w:r>
        <w:rPr>
          <w:rFonts w:ascii="Arial" w:cs="Arial" w:eastAsia="Arial" w:hAnsi="Arial"/>
          <w:sz w:val="15"/>
          <w:szCs w:val="15"/>
          <w:i w:val="1"/>
          <w:iCs w:val="1"/>
          <w:color w:val="auto"/>
        </w:rPr>
        <w:t>Employers’ Accounting for Defined Benefit Pension and Other Postretirement Plans</w:t>
      </w:r>
      <w:r>
        <w:rPr>
          <w:rFonts w:ascii="Arial" w:cs="Arial" w:eastAsia="Arial" w:hAnsi="Arial"/>
          <w:sz w:val="15"/>
          <w:szCs w:val="15"/>
          <w:color w:val="auto"/>
        </w:rPr>
        <w:t>, which requires that we recognize the overfunded or underfunded status of our retiree health care plan as an asset or liability in our Consolidated Balance Sheets as of August 25, 2007,</w:t>
      </w:r>
    </w:p>
    <w:p>
      <w:pPr>
        <w:sectPr>
          <w:pgSz w:w="11900" w:h="16894" w:orient="portrait"/>
          <w:cols w:equalWidth="0" w:num="1">
            <w:col w:w="11420"/>
          </w:cols>
          <w:pgMar w:left="240" w:top="330" w:right="239" w:bottom="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with changes in the funded status, net of tax, being recognized through other comprehensive income.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postretirement benefit income consisted of the following components: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gridSpan w:val="3"/>
          </w:tcPr>
          <w:p>
            <w:pPr>
              <w:jc w:val="right"/>
              <w:ind w:right="103"/>
              <w:spacing w:after="0"/>
              <w:rPr>
                <w:sz w:val="20"/>
                <w:szCs w:val="20"/>
                <w:color w:val="auto"/>
              </w:rPr>
            </w:pPr>
            <w:r>
              <w:rPr>
                <w:rFonts w:ascii="Arial" w:cs="Arial" w:eastAsia="Arial" w:hAnsi="Arial"/>
                <w:sz w:val="14"/>
                <w:szCs w:val="14"/>
                <w:b w:val="1"/>
                <w:bCs w:val="1"/>
                <w:color w:val="auto"/>
              </w:rPr>
              <w:t>Thirteen</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7"/>
              </w:rPr>
              <w:t>Forty</w:t>
            </w:r>
          </w:p>
        </w:tc>
        <w:tc>
          <w:tcPr>
            <w:tcW w:w="360" w:type="dxa"/>
            <w:vAlign w:val="bottom"/>
          </w:tcPr>
          <w:p>
            <w:pPr>
              <w:spacing w:after="0"/>
              <w:rPr>
                <w:sz w:val="14"/>
                <w:szCs w:val="14"/>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Thirty-Nine</w:t>
            </w:r>
          </w:p>
        </w:tc>
      </w:tr>
      <w:tr>
        <w:trPr>
          <w:trHeight w:val="161"/>
        </w:trPr>
        <w:tc>
          <w:tcPr>
            <w:tcW w:w="55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0"/>
              </w:rPr>
              <w:t>Weeks Ended</w:t>
            </w:r>
          </w:p>
        </w:tc>
        <w:tc>
          <w:tcPr>
            <w:tcW w:w="8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Weeks Ended</w:t>
            </w: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9"/>
        </w:trPr>
        <w:tc>
          <w:tcPr>
            <w:tcW w:w="550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May 31,</w:t>
            </w: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jc w:val="right"/>
              <w:ind w:right="279"/>
              <w:spacing w:after="0" w:line="129" w:lineRule="exact"/>
              <w:rPr>
                <w:sz w:val="20"/>
                <w:szCs w:val="20"/>
                <w:color w:val="auto"/>
              </w:rPr>
            </w:pPr>
            <w:r>
              <w:rPr>
                <w:rFonts w:ascii="Arial" w:cs="Arial" w:eastAsia="Arial" w:hAnsi="Arial"/>
                <w:sz w:val="14"/>
                <w:szCs w:val="14"/>
                <w:b w:val="1"/>
                <w:bCs w:val="1"/>
                <w:color w:val="auto"/>
                <w:w w:val="94"/>
              </w:rPr>
              <w:t>May 26,</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90"/>
              </w:rPr>
              <w:t>May 31,</w:t>
            </w:r>
          </w:p>
        </w:tc>
        <w:tc>
          <w:tcPr>
            <w:tcW w:w="360" w:type="dxa"/>
            <w:vAlign w:val="bottom"/>
          </w:tcPr>
          <w:p>
            <w:pPr>
              <w:spacing w:after="0"/>
              <w:rPr>
                <w:sz w:val="11"/>
                <w:szCs w:val="11"/>
                <w:color w:val="auto"/>
              </w:rPr>
            </w:pPr>
          </w:p>
        </w:tc>
        <w:tc>
          <w:tcPr>
            <w:tcW w:w="1080" w:type="dxa"/>
            <w:vAlign w:val="bottom"/>
          </w:tcPr>
          <w:p>
            <w:pPr>
              <w:jc w:val="center"/>
              <w:ind w:right="301"/>
              <w:spacing w:after="0" w:line="129" w:lineRule="exact"/>
              <w:rPr>
                <w:sz w:val="20"/>
                <w:szCs w:val="20"/>
                <w:color w:val="auto"/>
              </w:rPr>
            </w:pPr>
            <w:r>
              <w:rPr>
                <w:rFonts w:ascii="Arial" w:cs="Arial" w:eastAsia="Arial" w:hAnsi="Arial"/>
                <w:sz w:val="14"/>
                <w:szCs w:val="14"/>
                <w:b w:val="1"/>
                <w:bCs w:val="1"/>
                <w:color w:val="auto"/>
                <w:w w:val="90"/>
              </w:rPr>
              <w:t>May 26,</w:t>
            </w:r>
          </w:p>
        </w:tc>
        <w:tc>
          <w:tcPr>
            <w:tcW w:w="120" w:type="dxa"/>
            <w:vAlign w:val="bottom"/>
          </w:tcPr>
          <w:p>
            <w:pPr>
              <w:spacing w:after="0"/>
              <w:rPr>
                <w:sz w:val="11"/>
                <w:szCs w:val="11"/>
                <w:color w:val="auto"/>
              </w:rPr>
            </w:pPr>
          </w:p>
        </w:tc>
      </w:tr>
      <w:tr>
        <w:trPr>
          <w:trHeight w:val="161"/>
        </w:trPr>
        <w:tc>
          <w:tcPr>
            <w:tcW w:w="5500" w:type="dxa"/>
            <w:vAlign w:val="bottom"/>
            <w:tcBorders>
              <w:bottom w:val="single" w:sz="8" w:color="D6F3E8"/>
            </w:tcBorders>
          </w:tcPr>
          <w:p>
            <w:pPr>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2008</w:t>
            </w: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D6F3E8"/>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2007</w:t>
            </w:r>
          </w:p>
        </w:tc>
        <w:tc>
          <w:tcPr>
            <w:tcW w:w="240" w:type="dxa"/>
            <w:vAlign w:val="bottom"/>
            <w:tcBorders>
              <w:bottom w:val="single" w:sz="8" w:color="D6F3E8"/>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83"/>
              </w:rPr>
              <w:t>2008</w:t>
            </w:r>
          </w:p>
        </w:tc>
        <w:tc>
          <w:tcPr>
            <w:tcW w:w="240" w:type="dxa"/>
            <w:vAlign w:val="bottom"/>
            <w:tcBorders>
              <w:bottom w:val="single" w:sz="8" w:color="D6F3E8"/>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81"/>
              <w:spacing w:after="0"/>
              <w:rPr>
                <w:sz w:val="20"/>
                <w:szCs w:val="20"/>
                <w:color w:val="auto"/>
              </w:rPr>
            </w:pPr>
            <w:r>
              <w:rPr>
                <w:rFonts w:ascii="Arial" w:cs="Arial" w:eastAsia="Arial" w:hAnsi="Arial"/>
                <w:sz w:val="14"/>
                <w:szCs w:val="14"/>
                <w:b w:val="1"/>
                <w:bCs w:val="1"/>
                <w:color w:val="auto"/>
                <w:w w:val="89"/>
              </w:rPr>
              <w:t>2007</w:t>
            </w:r>
          </w:p>
        </w:tc>
        <w:tc>
          <w:tcPr>
            <w:tcW w:w="120" w:type="dxa"/>
            <w:vAlign w:val="bottom"/>
            <w:tcBorders>
              <w:bottom w:val="single" w:sz="8" w:color="D6F3E8"/>
            </w:tcBorders>
          </w:tcPr>
          <w:p>
            <w:pPr>
              <w:spacing w:after="0"/>
              <w:rPr>
                <w:sz w:val="14"/>
                <w:szCs w:val="14"/>
                <w:color w:val="auto"/>
              </w:rPr>
            </w:pPr>
          </w:p>
        </w:tc>
      </w:tr>
      <w:tr>
        <w:trPr>
          <w:trHeight w:val="210"/>
        </w:trPr>
        <w:tc>
          <w:tcPr>
            <w:tcW w:w="5500" w:type="dxa"/>
            <w:vAlign w:val="bottom"/>
            <w:shd w:val="clear" w:color="auto" w:fill="D6F3E8"/>
          </w:tcPr>
          <w:p>
            <w:pPr>
              <w:spacing w:after="0" w:line="202" w:lineRule="exact"/>
              <w:rPr>
                <w:sz w:val="20"/>
                <w:szCs w:val="20"/>
                <w:color w:val="auto"/>
              </w:rPr>
            </w:pPr>
            <w:r>
              <w:rPr>
                <w:rFonts w:ascii="Arial" w:cs="Arial" w:eastAsia="Arial" w:hAnsi="Arial"/>
                <w:sz w:val="18"/>
                <w:szCs w:val="18"/>
                <w:color w:val="auto"/>
              </w:rPr>
              <w:t>Interest cost</w:t>
            </w:r>
          </w:p>
        </w:tc>
        <w:tc>
          <w:tcPr>
            <w:tcW w:w="840" w:type="dxa"/>
            <w:vAlign w:val="bottom"/>
            <w:shd w:val="clear" w:color="auto" w:fill="D6F3E8"/>
          </w:tcPr>
          <w:p>
            <w:pPr>
              <w:jc w:val="right"/>
              <w:ind w:right="688"/>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492</w:t>
            </w:r>
          </w:p>
        </w:tc>
        <w:tc>
          <w:tcPr>
            <w:tcW w:w="220" w:type="dxa"/>
            <w:vAlign w:val="bottom"/>
            <w:shd w:val="clear" w:color="auto" w:fill="D6F3E8"/>
          </w:tcPr>
          <w:p>
            <w:pPr>
              <w:spacing w:after="0"/>
              <w:rPr>
                <w:sz w:val="18"/>
                <w:szCs w:val="18"/>
                <w:color w:val="auto"/>
              </w:rPr>
            </w:pPr>
          </w:p>
        </w:tc>
        <w:tc>
          <w:tcPr>
            <w:tcW w:w="320" w:type="dxa"/>
            <w:vAlign w:val="bottom"/>
            <w:shd w:val="clear" w:color="auto" w:fill="D6F3E8"/>
          </w:tcPr>
          <w:p>
            <w:pPr>
              <w:jc w:val="right"/>
              <w:ind w:right="1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472</w:t>
            </w:r>
          </w:p>
        </w:tc>
        <w:tc>
          <w:tcPr>
            <w:tcW w:w="240" w:type="dxa"/>
            <w:vAlign w:val="bottom"/>
            <w:shd w:val="clear" w:color="auto" w:fill="D6F3E8"/>
          </w:tcPr>
          <w:p>
            <w:pPr>
              <w:spacing w:after="0"/>
              <w:rPr>
                <w:sz w:val="18"/>
                <w:szCs w:val="18"/>
                <w:color w:val="auto"/>
              </w:rPr>
            </w:pPr>
          </w:p>
        </w:tc>
        <w:tc>
          <w:tcPr>
            <w:tcW w:w="240" w:type="dxa"/>
            <w:vAlign w:val="bottom"/>
            <w:shd w:val="clear" w:color="auto" w:fill="D6F3E8"/>
          </w:tcPr>
          <w:p>
            <w:pPr>
              <w:jc w:val="right"/>
              <w:ind w:right="8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1,512</w:t>
            </w:r>
          </w:p>
        </w:tc>
        <w:tc>
          <w:tcPr>
            <w:tcW w:w="240" w:type="dxa"/>
            <w:vAlign w:val="bottom"/>
            <w:shd w:val="clear" w:color="auto" w:fill="D6F3E8"/>
          </w:tcPr>
          <w:p>
            <w:pPr>
              <w:spacing w:after="0"/>
              <w:rPr>
                <w:sz w:val="18"/>
                <w:szCs w:val="18"/>
                <w:color w:val="auto"/>
              </w:rPr>
            </w:pPr>
          </w:p>
        </w:tc>
        <w:tc>
          <w:tcPr>
            <w:tcW w:w="360" w:type="dxa"/>
            <w:vAlign w:val="bottom"/>
            <w:shd w:val="clear" w:color="auto" w:fill="D6F3E8"/>
          </w:tcPr>
          <w:p>
            <w:pPr>
              <w:jc w:val="right"/>
              <w:ind w:right="20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1,416</w:t>
            </w:r>
          </w:p>
        </w:tc>
        <w:tc>
          <w:tcPr>
            <w:tcW w:w="120" w:type="dxa"/>
            <w:vAlign w:val="bottom"/>
            <w:shd w:val="clear" w:color="auto" w:fill="D6F3E8"/>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Service cost</w:t>
            </w:r>
          </w:p>
        </w:tc>
        <w:tc>
          <w:tcPr>
            <w:tcW w:w="8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180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554</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18"/>
                <w:szCs w:val="18"/>
                <w:color w:val="auto"/>
              </w:rPr>
            </w:pPr>
          </w:p>
        </w:tc>
      </w:tr>
      <w:tr>
        <w:trPr>
          <w:trHeight w:val="216"/>
        </w:trPr>
        <w:tc>
          <w:tcPr>
            <w:tcW w:w="5500" w:type="dxa"/>
            <w:vAlign w:val="bottom"/>
            <w:shd w:val="clear" w:color="auto" w:fill="D6F3E8"/>
          </w:tcPr>
          <w:p>
            <w:pPr>
              <w:spacing w:after="0"/>
              <w:rPr>
                <w:sz w:val="20"/>
                <w:szCs w:val="20"/>
                <w:color w:val="auto"/>
              </w:rPr>
            </w:pPr>
            <w:r>
              <w:rPr>
                <w:rFonts w:ascii="Arial" w:cs="Arial" w:eastAsia="Arial" w:hAnsi="Arial"/>
                <w:sz w:val="18"/>
                <w:szCs w:val="18"/>
                <w:color w:val="auto"/>
              </w:rPr>
              <w:t>Net amortization and deferral</w:t>
            </w:r>
          </w:p>
        </w:tc>
        <w:tc>
          <w:tcPr>
            <w:tcW w:w="840" w:type="dxa"/>
            <w:vAlign w:val="bottom"/>
            <w:shd w:val="clear" w:color="auto" w:fill="D6F3E8"/>
          </w:tcPr>
          <w:p>
            <w:pPr>
              <w:spacing w:after="0"/>
              <w:rPr>
                <w:sz w:val="18"/>
                <w:szCs w:val="18"/>
                <w:color w:val="auto"/>
              </w:rPr>
            </w:pPr>
          </w:p>
        </w:tc>
        <w:tc>
          <w:tcPr>
            <w:tcW w:w="56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w w:val="90"/>
              </w:rPr>
              <w:t>(809)</w:t>
            </w:r>
          </w:p>
        </w:tc>
        <w:tc>
          <w:tcPr>
            <w:tcW w:w="32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(797)</w:t>
            </w:r>
          </w:p>
        </w:tc>
        <w:tc>
          <w:tcPr>
            <w:tcW w:w="240" w:type="dxa"/>
            <w:vAlign w:val="bottom"/>
            <w:shd w:val="clear" w:color="auto" w:fill="D6F3E8"/>
          </w:tcPr>
          <w:p>
            <w:pPr>
              <w:spacing w:after="0"/>
              <w:rPr>
                <w:sz w:val="18"/>
                <w:szCs w:val="18"/>
                <w:color w:val="auto"/>
              </w:rPr>
            </w:pPr>
          </w:p>
        </w:tc>
        <w:tc>
          <w:tcPr>
            <w:tcW w:w="130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(2,489)</w:t>
            </w:r>
          </w:p>
        </w:tc>
        <w:tc>
          <w:tcPr>
            <w:tcW w:w="360" w:type="dxa"/>
            <w:vAlign w:val="bottom"/>
            <w:shd w:val="clear" w:color="auto" w:fill="D6F3E8"/>
          </w:tcPr>
          <w:p>
            <w:pPr>
              <w:spacing w:after="0"/>
              <w:rPr>
                <w:sz w:val="18"/>
                <w:szCs w:val="18"/>
                <w:color w:val="auto"/>
              </w:rPr>
            </w:pPr>
          </w:p>
        </w:tc>
        <w:tc>
          <w:tcPr>
            <w:tcW w:w="120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(2,390)</w:t>
            </w:r>
          </w:p>
        </w:tc>
      </w:tr>
      <w:tr>
        <w:trPr>
          <w:trHeight w:val="210"/>
        </w:trPr>
        <w:tc>
          <w:tcPr>
            <w:tcW w:w="5500" w:type="dxa"/>
            <w:vAlign w:val="bottom"/>
          </w:tcPr>
          <w:p>
            <w:pPr>
              <w:spacing w:after="0" w:line="202" w:lineRule="exact"/>
              <w:rPr>
                <w:sz w:val="20"/>
                <w:szCs w:val="20"/>
                <w:color w:val="auto"/>
              </w:rPr>
            </w:pPr>
            <w:r>
              <w:rPr>
                <w:rFonts w:ascii="Arial" w:cs="Arial" w:eastAsia="Arial" w:hAnsi="Arial"/>
                <w:sz w:val="18"/>
                <w:szCs w:val="18"/>
                <w:color w:val="auto"/>
              </w:rPr>
              <w:t>Net periodic postretirement benefit (income)</w:t>
            </w:r>
          </w:p>
        </w:tc>
        <w:tc>
          <w:tcPr>
            <w:tcW w:w="84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(137)</w:t>
            </w:r>
          </w:p>
        </w:tc>
        <w:tc>
          <w:tcPr>
            <w:tcW w:w="220" w:type="dxa"/>
            <w:vAlign w:val="bottom"/>
            <w:tcBorders>
              <w:top w:val="single" w:sz="8" w:color="D6F3E8"/>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40" w:type="dxa"/>
            <w:vAlign w:val="bottom"/>
            <w:tcBorders>
              <w:top w:val="single" w:sz="8" w:color="D6F3E8"/>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240" w:type="dxa"/>
            <w:vAlign w:val="bottom"/>
            <w:tcBorders>
              <w:top w:val="single" w:sz="8" w:color="D6F3E8"/>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Borders>
              <w:top w:val="single" w:sz="8" w:color="D6F3E8"/>
            </w:tcBorders>
          </w:tcPr>
          <w:p>
            <w:pPr>
              <w:spacing w:after="0"/>
              <w:rPr>
                <w:sz w:val="18"/>
                <w:szCs w:val="18"/>
                <w:color w:val="auto"/>
              </w:rPr>
            </w:pPr>
          </w:p>
        </w:tc>
      </w:tr>
      <w:tr>
        <w:trPr>
          <w:trHeight w:val="20"/>
        </w:trPr>
        <w:tc>
          <w:tcPr>
            <w:tcW w:w="5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For accounting purposes, we recognized income from the plan for the first three quarters of both Fiscal 2008 and Fiscal 2007 due to the amortization of the cost savings from the September 2004 amendment. However, we are still obligated to pay the cost of previously accrued and earned retiree benefits and paid approximately $327,000 and $240,000 of such benefits for the quarters ended May 31, 2008 and May 26, 2007, respectively, and $860,000 and $702,000 for the forty weeks ended May 31, 2008 and the thirty-nine weeks ended May 26, 2007, respectively.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Contingent Liabilities and Commitments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Commitments</w:t>
      </w:r>
    </w:p>
    <w:p>
      <w:pPr>
        <w:spacing w:after="0" w:line="1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repurchase agreements provide that, in the event of default by a dealer under its agreement to pay the lending institution, we will repurchase the financed merchandise. The agreements provide that our liability will not exceed 100 percent of the dealer invoice and provide for periodic liability reductions based on the time since the date of the original invoice. Our contingent liability on these repurchase agreements was approximately $283.7 million and $308.2 million at May 31, 2008 and August 25, 2007, respectively. Losses under these repurchase agreements for the forty weeks ended May 31, 2008 were $12,000 compared to losses of $4,000 for the thirty-nine weeks ended May 26, 2007. Repurchase reserves under our repurchase agreements at May 31, 2008 and August 25, 2007 were not significant. Upon resale of the repurchased units, we do not record the transaction as revenue. The difference between the repurchase price and the net proceeds received from reselling the units is charged against our reserve for losses on repurchases.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For Suppliers</w:t>
      </w:r>
    </w:p>
    <w:p>
      <w:pPr>
        <w:spacing w:after="0" w:line="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second quarter of Fiscal 2004, we entered into a five-year limited guaranty agreement (“Guaranty Agreement”) with a leasing corporation (“Landlord”) and an unaffiliated third-party paint supplier (the “Supplier”). The Landlord constructed a paint facility through debt financing on land adjoining our Charles City manufacturing plant for the Supplier.</w:t>
      </w:r>
    </w:p>
    <w:p>
      <w:pPr>
        <w:spacing w:after="0" w:line="198"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The Landlord and the Supplier have signed a ten-year lease agreement which commenced on August 1, 2004. The Guaranty Agreement states that we will guarantee the first 60 monthly lease payments (totaling approximately $1.6 million of which $365,000 was remaining as of May 31, 2008). In the event of rental default before August 2009 and the Supplier’s failure to correct the default, the Landlord shall give us (Guarantor) written notice of its intent to terminate said lease. At the time of that notification, we will have various options that we must exercise in a timely manner. One is to exercise an option to purchase the real estate with improvements from the Landlord. The price we would pay would be the outstanding loan owed by the Landlord to construct the paint facility, which was approximately $1.4million as of May 31, 2008. As of May 31, 2008, the Supplier is current with its lease payment obligations to the Landlord. In August 2004, approximately $315,000 was recorded by us as the estimated fair value for the guarantee. As of May 31, 2008, the fair value of the guarantee was approximately $73,000 and presented as prepaid expenses and other accrued liabilities in the accompanying consolidated balance sheets.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5"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We are involved in various legal proceedings which are ordinary routine litigation incident to our business, some of which are covered in whole or in part by insurance. While it is impossible to estimate with certainty the ultimate legal and financial liability with respect to this litigation, we are of the opinion that while the final resolution of any such litigation may have an impact on our consolidated results for a particular reporting period, the ultimate disposition of such litigation will not have any material adverse effect on our financial position, results of operations or liquidity.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Dividends Declared</w:t>
      </w:r>
    </w:p>
    <w:p>
      <w:pPr>
        <w:spacing w:after="0" w:line="23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On March 26, 2008, the Board of Directors declared a quarterly cash dividend of $0.12 per common share, payable July 8, 2008 to shareholders of record on June 6, 2008, which has been recorded as an accrued liability in the accompany balance sheet as of May 31, 2008.</w:t>
      </w:r>
    </w:p>
    <w:p>
      <w:pPr>
        <w:spacing w:after="0" w:line="18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On June 26, 2008, the Board of Directors declared a quarterly cash dividend of $0.12 per common share, payable October 6, 2008 to shareholders of record on September 5, 2008.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Repurchase of Outstanding Stock</w:t>
      </w:r>
    </w:p>
    <w:p>
      <w:pPr>
        <w:spacing w:after="0" w:line="23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On June 20, 2007, the Board of Directors authorized the repurchase of outstanding shares of our common stock, depending on market conditions, for an aggregate consideration of up to $60 million. During the first quarter of Fiscal 2008, approximately 676,000 shares were repurchased under this authorization for an aggregate consideration of approximately $17.5 million. The repurchases during the first quarter of Fiscal 2008 completed the June 20, 2007 authorization.</w:t>
      </w:r>
    </w:p>
    <w:p>
      <w:pPr>
        <w:spacing w:after="0" w:line="161"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On December 19, 2007, the Board of Directors authorized the repurchase of outstanding shares of our common stock, depending on market conditions, for an aggregate consideration of up to $60 million. There is no time restriction on this authorization. During the forty weeks ended May 31, 2008, 16,507 shares were repurchased under this authorization for an aggregate consideration of approximately $248,000. (See Part II., Item 2. on page 18.)</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Table of Contents</w:t>
        </w:r>
      </w:hyperlink>
    </w:p>
    <w:p>
      <w:pPr>
        <w:sectPr>
          <w:pgSz w:w="11900" w:h="16838" w:orient="portrait"/>
          <w:cols w:equalWidth="0" w:num="1">
            <w:col w:w="11420"/>
          </w:cols>
          <w:pgMar w:left="240" w:top="131" w:right="239" w:bottom="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12: Income Per Share</w:t>
      </w:r>
    </w:p>
    <w:p>
      <w:pPr>
        <w:spacing w:after="0" w:line="23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following table reflects the calculation of basic and diluted income per share for the thirteen weeks and forty weeks ended May 31, 2008 and the thirteen weeks and thirty-nine weeks ended May 26, 2007.</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Forty</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Thirty-Nine</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60" w:type="dxa"/>
            <w:vAlign w:val="bottom"/>
            <w:gridSpan w:val="6"/>
          </w:tcPr>
          <w:p>
            <w:pPr>
              <w:ind w:left="500"/>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4"/>
          </w:tcPr>
          <w:p>
            <w:pPr>
              <w:jc w:val="right"/>
              <w:spacing w:after="0"/>
              <w:rPr>
                <w:sz w:val="20"/>
                <w:szCs w:val="20"/>
                <w:color w:val="auto"/>
              </w:rPr>
            </w:pPr>
            <w:r>
              <w:rPr>
                <w:rFonts w:ascii="Arial" w:cs="Arial" w:eastAsia="Arial" w:hAnsi="Arial"/>
                <w:sz w:val="14"/>
                <w:szCs w:val="14"/>
                <w:b w:val="1"/>
                <w:bCs w:val="1"/>
                <w:color w:val="auto"/>
              </w:rPr>
              <w:t>Weeks Ended</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right"/>
              <w:ind w:right="500"/>
              <w:spacing w:after="0" w:line="129" w:lineRule="exact"/>
              <w:rPr>
                <w:sz w:val="20"/>
                <w:szCs w:val="20"/>
                <w:color w:val="auto"/>
              </w:rPr>
            </w:pPr>
            <w:r>
              <w:rPr>
                <w:rFonts w:ascii="Arial" w:cs="Arial" w:eastAsia="Arial" w:hAnsi="Arial"/>
                <w:sz w:val="14"/>
                <w:szCs w:val="14"/>
                <w:b w:val="1"/>
                <w:bCs w:val="1"/>
                <w:color w:val="auto"/>
              </w:rPr>
              <w:t>May 31,</w:t>
            </w:r>
          </w:p>
        </w:tc>
        <w:tc>
          <w:tcPr>
            <w:tcW w:w="1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336"/>
              <w:spacing w:after="0" w:line="129" w:lineRule="exact"/>
              <w:rPr>
                <w:sz w:val="20"/>
                <w:szCs w:val="20"/>
                <w:color w:val="auto"/>
              </w:rPr>
            </w:pPr>
            <w:r>
              <w:rPr>
                <w:rFonts w:ascii="Arial" w:cs="Arial" w:eastAsia="Arial" w:hAnsi="Arial"/>
                <w:sz w:val="14"/>
                <w:szCs w:val="14"/>
                <w:b w:val="1"/>
                <w:bCs w:val="1"/>
                <w:color w:val="auto"/>
              </w:rPr>
              <w:t>May 26,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90"/>
              </w:rPr>
              <w:t>May 31,</w:t>
            </w:r>
          </w:p>
        </w:tc>
        <w:tc>
          <w:tcPr>
            <w:tcW w:w="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198"/>
              <w:spacing w:after="0" w:line="129" w:lineRule="exact"/>
              <w:rPr>
                <w:sz w:val="20"/>
                <w:szCs w:val="20"/>
                <w:color w:val="auto"/>
              </w:rPr>
            </w:pPr>
            <w:r>
              <w:rPr>
                <w:rFonts w:ascii="Arial" w:cs="Arial" w:eastAsia="Arial" w:hAnsi="Arial"/>
                <w:sz w:val="14"/>
                <w:szCs w:val="14"/>
                <w:b w:val="1"/>
                <w:bCs w:val="1"/>
                <w:color w:val="auto"/>
                <w:w w:val="90"/>
              </w:rPr>
              <w:t>May 26,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44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89"/>
              </w:rPr>
              <w:t>2008</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89"/>
              </w:rPr>
              <w:t>2007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40" w:type="dxa"/>
            <w:vAlign w:val="bottom"/>
            <w:gridSpan w:val="3"/>
          </w:tcPr>
          <w:p>
            <w:pPr>
              <w:spacing w:after="0" w:line="156" w:lineRule="exact"/>
              <w:rPr>
                <w:sz w:val="20"/>
                <w:szCs w:val="20"/>
                <w:color w:val="auto"/>
              </w:rPr>
            </w:pPr>
            <w:r>
              <w:rPr>
                <w:rFonts w:ascii="Arial" w:cs="Arial" w:eastAsia="Arial" w:hAnsi="Arial"/>
                <w:sz w:val="18"/>
                <w:szCs w:val="18"/>
                <w:color w:val="auto"/>
              </w:rPr>
              <w:t>Income per share - basic</w:t>
            </w: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72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440" w:type="dxa"/>
            <w:vAlign w:val="bottom"/>
            <w:gridSpan w:val="3"/>
            <w:shd w:val="clear" w:color="auto" w:fill="D6F3E8"/>
          </w:tcPr>
          <w:p>
            <w:pPr>
              <w:ind w:left="3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D6F3E8"/>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3,000</w:t>
            </w:r>
          </w:p>
        </w:tc>
        <w:tc>
          <w:tcPr>
            <w:tcW w:w="360" w:type="dxa"/>
            <w:vAlign w:val="bottom"/>
            <w:gridSpan w:val="2"/>
            <w:shd w:val="clear" w:color="auto" w:fill="D6F3E8"/>
          </w:tcPr>
          <w:p>
            <w:pPr>
              <w:jc w:val="right"/>
              <w:ind w:right="83"/>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11,253</w:t>
            </w:r>
          </w:p>
        </w:tc>
        <w:tc>
          <w:tcPr>
            <w:tcW w:w="360" w:type="dxa"/>
            <w:vAlign w:val="bottom"/>
            <w:gridSpan w:val="2"/>
            <w:shd w:val="clear" w:color="auto" w:fill="D6F3E8"/>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15,479</w:t>
            </w:r>
          </w:p>
        </w:tc>
        <w:tc>
          <w:tcPr>
            <w:tcW w:w="220" w:type="dxa"/>
            <w:vAlign w:val="bottom"/>
            <w:shd w:val="clear" w:color="auto" w:fill="D6F3E8"/>
          </w:tcPr>
          <w:p>
            <w:pPr>
              <w:spacing w:after="0"/>
              <w:rPr>
                <w:sz w:val="18"/>
                <w:szCs w:val="18"/>
                <w:color w:val="auto"/>
              </w:rPr>
            </w:pPr>
          </w:p>
        </w:tc>
        <w:tc>
          <w:tcPr>
            <w:tcW w:w="300" w:type="dxa"/>
            <w:vAlign w:val="bottom"/>
            <w:gridSpan w:val="2"/>
            <w:shd w:val="clear" w:color="auto" w:fill="D6F3E8"/>
          </w:tcPr>
          <w:p>
            <w:pPr>
              <w:jc w:val="right"/>
              <w:ind w:right="123"/>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26,721</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Borders>
              <w:bottom w:val="single" w:sz="8" w:color="D6F3E8"/>
            </w:tcBorders>
            <w:gridSpan w:val="3"/>
          </w:tcPr>
          <w:p>
            <w:pPr>
              <w:ind w:left="320"/>
              <w:spacing w:after="0" w:line="202" w:lineRule="exact"/>
              <w:rPr>
                <w:sz w:val="20"/>
                <w:szCs w:val="20"/>
                <w:color w:val="auto"/>
              </w:rPr>
            </w:pPr>
            <w:r>
              <w:rPr>
                <w:rFonts w:ascii="Arial" w:cs="Arial" w:eastAsia="Arial" w:hAnsi="Arial"/>
                <w:sz w:val="18"/>
                <w:szCs w:val="18"/>
                <w:color w:val="auto"/>
              </w:rPr>
              <w:t>Weighted average shares outstanding</w:t>
            </w:r>
          </w:p>
        </w:tc>
        <w:tc>
          <w:tcPr>
            <w:tcW w:w="2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29,013</w:t>
            </w:r>
          </w:p>
        </w:tc>
        <w:tc>
          <w:tcPr>
            <w:tcW w:w="100" w:type="dxa"/>
            <w:vAlign w:val="bottom"/>
            <w:tcBorders>
              <w:bottom w:val="single" w:sz="8" w:color="D6F3E8"/>
            </w:tcBorders>
          </w:tcPr>
          <w:p>
            <w:pPr>
              <w:spacing w:after="0"/>
              <w:rPr>
                <w:sz w:val="18"/>
                <w:szCs w:val="18"/>
                <w:color w:val="auto"/>
              </w:rPr>
            </w:pPr>
          </w:p>
        </w:tc>
        <w:tc>
          <w:tcPr>
            <w:tcW w:w="120" w:type="dxa"/>
            <w:vAlign w:val="bottom"/>
            <w:tcBorders>
              <w:bottom w:val="single" w:sz="8" w:color="D6F3E8"/>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31,524</w:t>
            </w:r>
          </w:p>
        </w:tc>
        <w:tc>
          <w:tcPr>
            <w:tcW w:w="100" w:type="dxa"/>
            <w:vAlign w:val="bottom"/>
            <w:tcBorders>
              <w:bottom w:val="single" w:sz="8" w:color="D6F3E8"/>
            </w:tcBorders>
          </w:tcPr>
          <w:p>
            <w:pPr>
              <w:spacing w:after="0"/>
              <w:rPr>
                <w:sz w:val="18"/>
                <w:szCs w:val="18"/>
                <w:color w:val="auto"/>
              </w:rPr>
            </w:pPr>
          </w:p>
        </w:tc>
        <w:tc>
          <w:tcPr>
            <w:tcW w:w="100" w:type="dxa"/>
            <w:vAlign w:val="bottom"/>
            <w:tcBorders>
              <w:bottom w:val="single" w:sz="8" w:color="D6F3E8"/>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29,116</w:t>
            </w:r>
          </w:p>
        </w:tc>
        <w:tc>
          <w:tcPr>
            <w:tcW w:w="220" w:type="dxa"/>
            <w:vAlign w:val="bottom"/>
            <w:tcBorders>
              <w:bottom w:val="single" w:sz="8" w:color="D6F3E8"/>
            </w:tcBorders>
          </w:tcPr>
          <w:p>
            <w:pPr>
              <w:spacing w:after="0"/>
              <w:rPr>
                <w:sz w:val="18"/>
                <w:szCs w:val="18"/>
                <w:color w:val="auto"/>
              </w:rPr>
            </w:pPr>
          </w:p>
        </w:tc>
        <w:tc>
          <w:tcPr>
            <w:tcW w:w="20" w:type="dxa"/>
            <w:vAlign w:val="bottom"/>
            <w:tcBorders>
              <w:bottom w:val="single" w:sz="8" w:color="D6F3E8"/>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31,411</w:t>
            </w:r>
          </w:p>
        </w:tc>
        <w:tc>
          <w:tcPr>
            <w:tcW w:w="120" w:type="dxa"/>
            <w:vAlign w:val="bottom"/>
            <w:tcBorders>
              <w:bottom w:val="single" w:sz="8" w:color="D6F3E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Borders>
              <w:bottom w:val="single" w:sz="8" w:color="D6F3E8"/>
            </w:tcBorders>
            <w:gridSpan w:val="3"/>
            <w:shd w:val="clear" w:color="auto" w:fill="D6F3E8"/>
          </w:tcPr>
          <w:p>
            <w:pPr>
              <w:ind w:left="320"/>
              <w:spacing w:after="0" w:line="202" w:lineRule="exact"/>
              <w:rPr>
                <w:sz w:val="20"/>
                <w:szCs w:val="20"/>
                <w:color w:val="auto"/>
              </w:rPr>
            </w:pPr>
            <w:r>
              <w:rPr>
                <w:rFonts w:ascii="Arial" w:cs="Arial" w:eastAsia="Arial" w:hAnsi="Arial"/>
                <w:sz w:val="18"/>
                <w:szCs w:val="18"/>
                <w:color w:val="auto"/>
              </w:rPr>
              <w:t>Net income per share - basic</w:t>
            </w:r>
          </w:p>
        </w:tc>
        <w:tc>
          <w:tcPr>
            <w:tcW w:w="240" w:type="dxa"/>
            <w:vAlign w:val="bottom"/>
            <w:tcBorders>
              <w:bottom w:val="single" w:sz="8" w:color="auto"/>
            </w:tcBorders>
            <w:shd w:val="clear" w:color="auto" w:fill="D6F3E8"/>
          </w:tcPr>
          <w:p>
            <w:pPr>
              <w:jc w:val="right"/>
              <w:ind w:right="8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D6F3E8"/>
            </w:tcBorders>
            <w:shd w:val="clear" w:color="auto" w:fill="D6F3E8"/>
          </w:tcPr>
          <w:p>
            <w:pPr>
              <w:spacing w:after="0"/>
              <w:rPr>
                <w:sz w:val="18"/>
                <w:szCs w:val="18"/>
                <w:color w:val="auto"/>
              </w:rPr>
            </w:pPr>
          </w:p>
        </w:tc>
        <w:tc>
          <w:tcPr>
            <w:tcW w:w="120" w:type="dxa"/>
            <w:vAlign w:val="bottom"/>
            <w:tcBorders>
              <w:bottom w:val="single" w:sz="8" w:color="D6F3E8"/>
            </w:tcBorders>
            <w:shd w:val="clear" w:color="auto" w:fill="D6F3E8"/>
          </w:tcPr>
          <w:p>
            <w:pPr>
              <w:spacing w:after="0"/>
              <w:rPr>
                <w:sz w:val="18"/>
                <w:szCs w:val="18"/>
                <w:color w:val="auto"/>
              </w:rPr>
            </w:pPr>
          </w:p>
        </w:tc>
        <w:tc>
          <w:tcPr>
            <w:tcW w:w="240" w:type="dxa"/>
            <w:vAlign w:val="bottom"/>
            <w:tcBorders>
              <w:bottom w:val="single" w:sz="8" w:color="auto"/>
            </w:tcBorders>
            <w:shd w:val="clear" w:color="auto" w:fill="D6F3E8"/>
          </w:tcPr>
          <w:p>
            <w:pPr>
              <w:jc w:val="right"/>
              <w:ind w:right="8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D6F3E8"/>
            </w:tcBorders>
            <w:shd w:val="clear" w:color="auto" w:fill="D6F3E8"/>
          </w:tcPr>
          <w:p>
            <w:pPr>
              <w:spacing w:after="0"/>
              <w:rPr>
                <w:sz w:val="18"/>
                <w:szCs w:val="18"/>
                <w:color w:val="auto"/>
              </w:rPr>
            </w:pPr>
          </w:p>
        </w:tc>
        <w:tc>
          <w:tcPr>
            <w:tcW w:w="100" w:type="dxa"/>
            <w:vAlign w:val="bottom"/>
            <w:tcBorders>
              <w:bottom w:val="single" w:sz="8" w:color="D6F3E8"/>
            </w:tcBorders>
            <w:shd w:val="clear" w:color="auto" w:fill="D6F3E8"/>
          </w:tcPr>
          <w:p>
            <w:pPr>
              <w:spacing w:after="0"/>
              <w:rPr>
                <w:sz w:val="18"/>
                <w:szCs w:val="18"/>
                <w:color w:val="auto"/>
              </w:rPr>
            </w:pPr>
          </w:p>
        </w:tc>
        <w:tc>
          <w:tcPr>
            <w:tcW w:w="260" w:type="dxa"/>
            <w:vAlign w:val="bottom"/>
            <w:tcBorders>
              <w:bottom w:val="single" w:sz="8" w:color="auto"/>
            </w:tcBorders>
            <w:shd w:val="clear" w:color="auto" w:fill="D6F3E8"/>
          </w:tcPr>
          <w:p>
            <w:pPr>
              <w:jc w:val="right"/>
              <w:ind w:right="7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0.53</w:t>
            </w:r>
          </w:p>
        </w:tc>
        <w:tc>
          <w:tcPr>
            <w:tcW w:w="220" w:type="dxa"/>
            <w:vAlign w:val="bottom"/>
            <w:tcBorders>
              <w:bottom w:val="single" w:sz="8" w:color="D6F3E8"/>
            </w:tcBorders>
            <w:shd w:val="clear" w:color="auto" w:fill="D6F3E8"/>
          </w:tcPr>
          <w:p>
            <w:pPr>
              <w:spacing w:after="0"/>
              <w:rPr>
                <w:sz w:val="18"/>
                <w:szCs w:val="18"/>
                <w:color w:val="auto"/>
              </w:rPr>
            </w:pPr>
          </w:p>
        </w:tc>
        <w:tc>
          <w:tcPr>
            <w:tcW w:w="20" w:type="dxa"/>
            <w:vAlign w:val="bottom"/>
            <w:tcBorders>
              <w:bottom w:val="single" w:sz="8" w:color="D6F3E8"/>
            </w:tcBorders>
            <w:shd w:val="clear" w:color="auto" w:fill="D6F3E8"/>
          </w:tcPr>
          <w:p>
            <w:pPr>
              <w:spacing w:after="0"/>
              <w:rPr>
                <w:sz w:val="18"/>
                <w:szCs w:val="18"/>
                <w:color w:val="auto"/>
              </w:rPr>
            </w:pPr>
          </w:p>
        </w:tc>
        <w:tc>
          <w:tcPr>
            <w:tcW w:w="280" w:type="dxa"/>
            <w:vAlign w:val="bottom"/>
            <w:tcBorders>
              <w:bottom w:val="single" w:sz="8" w:color="auto"/>
            </w:tcBorders>
            <w:shd w:val="clear" w:color="auto" w:fill="D6F3E8"/>
          </w:tcPr>
          <w:p>
            <w:pPr>
              <w:jc w:val="right"/>
              <w:ind w:right="123"/>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0.85</w:t>
            </w:r>
          </w:p>
        </w:tc>
        <w:tc>
          <w:tcPr>
            <w:tcW w:w="120" w:type="dxa"/>
            <w:vAlign w:val="bottom"/>
            <w:tcBorders>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20" w:type="dxa"/>
            <w:vAlign w:val="bottom"/>
            <w:gridSpan w:val="2"/>
            <w:vMerge w:val="restart"/>
          </w:tcPr>
          <w:p>
            <w:pPr>
              <w:spacing w:after="0"/>
              <w:rPr>
                <w:sz w:val="20"/>
                <w:szCs w:val="20"/>
                <w:color w:val="auto"/>
              </w:rPr>
            </w:pPr>
            <w:r>
              <w:rPr>
                <w:rFonts w:ascii="Arial" w:cs="Arial" w:eastAsia="Arial" w:hAnsi="Arial"/>
                <w:sz w:val="18"/>
                <w:szCs w:val="18"/>
                <w:color w:val="auto"/>
                <w:w w:val="88"/>
              </w:rPr>
              <w:t>Income per share - assuming dilution</w:t>
            </w:r>
          </w:p>
        </w:tc>
        <w:tc>
          <w:tcPr>
            <w:tcW w:w="28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2620" w:type="dxa"/>
            <w:vAlign w:val="bottom"/>
            <w:tcBorders>
              <w:bottom w:val="single" w:sz="8" w:color="auto"/>
            </w:tcBorders>
            <w:gridSpan w:val="2"/>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440" w:type="dxa"/>
            <w:vAlign w:val="bottom"/>
            <w:gridSpan w:val="3"/>
          </w:tcPr>
          <w:p>
            <w:pPr>
              <w:ind w:left="32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3,000</w:t>
            </w:r>
          </w:p>
        </w:tc>
        <w:tc>
          <w:tcPr>
            <w:tcW w:w="36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11,253</w:t>
            </w:r>
          </w:p>
        </w:tc>
        <w:tc>
          <w:tcPr>
            <w:tcW w:w="36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15,479</w:t>
            </w:r>
          </w:p>
        </w:tc>
        <w:tc>
          <w:tcPr>
            <w:tcW w:w="220" w:type="dxa"/>
            <w:vAlign w:val="bottom"/>
          </w:tcPr>
          <w:p>
            <w:pPr>
              <w:spacing w:after="0"/>
              <w:rPr>
                <w:sz w:val="20"/>
                <w:szCs w:val="20"/>
                <w:color w:val="auto"/>
              </w:rPr>
            </w:pPr>
          </w:p>
        </w:tc>
        <w:tc>
          <w:tcPr>
            <w:tcW w:w="300" w:type="dxa"/>
            <w:vAlign w:val="bottom"/>
            <w:gridSpan w:val="2"/>
          </w:tcPr>
          <w:p>
            <w:pPr>
              <w:jc w:val="right"/>
              <w:ind w:right="123"/>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26,721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440" w:type="dxa"/>
            <w:vAlign w:val="bottom"/>
            <w:tcBorders>
              <w:top w:val="single" w:sz="8" w:color="D6F3E8"/>
            </w:tcBorders>
            <w:gridSpan w:val="3"/>
            <w:shd w:val="clear" w:color="auto" w:fill="D6F3E8"/>
          </w:tcPr>
          <w:p>
            <w:pPr>
              <w:ind w:left="320"/>
              <w:spacing w:after="0" w:line="203" w:lineRule="exact"/>
              <w:rPr>
                <w:sz w:val="20"/>
                <w:szCs w:val="20"/>
                <w:color w:val="auto"/>
              </w:rPr>
            </w:pPr>
            <w:r>
              <w:rPr>
                <w:rFonts w:ascii="Arial" w:cs="Arial" w:eastAsia="Arial" w:hAnsi="Arial"/>
                <w:sz w:val="18"/>
                <w:szCs w:val="18"/>
                <w:color w:val="auto"/>
              </w:rPr>
              <w:t>Weighted average shares outstanding</w:t>
            </w:r>
          </w:p>
        </w:tc>
        <w:tc>
          <w:tcPr>
            <w:tcW w:w="240" w:type="dxa"/>
            <w:vAlign w:val="bottom"/>
            <w:tcBorders>
              <w:top w:val="single" w:sz="8" w:color="auto"/>
            </w:tcBorders>
            <w:shd w:val="clear" w:color="auto" w:fill="D6F3E8"/>
          </w:tcPr>
          <w:p>
            <w:pPr>
              <w:spacing w:after="0"/>
              <w:rPr>
                <w:sz w:val="18"/>
                <w:szCs w:val="18"/>
                <w:color w:val="auto"/>
              </w:rPr>
            </w:pPr>
          </w:p>
        </w:tc>
        <w:tc>
          <w:tcPr>
            <w:tcW w:w="10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29,013</w:t>
            </w:r>
          </w:p>
        </w:tc>
        <w:tc>
          <w:tcPr>
            <w:tcW w:w="100" w:type="dxa"/>
            <w:vAlign w:val="bottom"/>
            <w:tcBorders>
              <w:top w:val="single" w:sz="8" w:color="D6F3E8"/>
            </w:tcBorders>
            <w:shd w:val="clear" w:color="auto" w:fill="D6F3E8"/>
          </w:tcPr>
          <w:p>
            <w:pPr>
              <w:spacing w:after="0"/>
              <w:rPr>
                <w:sz w:val="18"/>
                <w:szCs w:val="18"/>
                <w:color w:val="auto"/>
              </w:rPr>
            </w:pPr>
          </w:p>
        </w:tc>
        <w:tc>
          <w:tcPr>
            <w:tcW w:w="120" w:type="dxa"/>
            <w:vAlign w:val="bottom"/>
            <w:tcBorders>
              <w:top w:val="single" w:sz="8" w:color="D6F3E8"/>
            </w:tcBorders>
            <w:shd w:val="clear" w:color="auto" w:fill="D6F3E8"/>
          </w:tcPr>
          <w:p>
            <w:pPr>
              <w:spacing w:after="0"/>
              <w:rPr>
                <w:sz w:val="18"/>
                <w:szCs w:val="18"/>
                <w:color w:val="auto"/>
              </w:rPr>
            </w:pPr>
          </w:p>
        </w:tc>
        <w:tc>
          <w:tcPr>
            <w:tcW w:w="240" w:type="dxa"/>
            <w:vAlign w:val="bottom"/>
            <w:tcBorders>
              <w:top w:val="single" w:sz="8" w:color="auto"/>
            </w:tcBorders>
            <w:shd w:val="clear" w:color="auto" w:fill="D6F3E8"/>
          </w:tcPr>
          <w:p>
            <w:pPr>
              <w:spacing w:after="0"/>
              <w:rPr>
                <w:sz w:val="18"/>
                <w:szCs w:val="18"/>
                <w:color w:val="auto"/>
              </w:rPr>
            </w:pPr>
          </w:p>
        </w:tc>
        <w:tc>
          <w:tcPr>
            <w:tcW w:w="10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31,524</w:t>
            </w:r>
          </w:p>
        </w:tc>
        <w:tc>
          <w:tcPr>
            <w:tcW w:w="100" w:type="dxa"/>
            <w:vAlign w:val="bottom"/>
            <w:tcBorders>
              <w:top w:val="single" w:sz="8" w:color="D6F3E8"/>
            </w:tcBorders>
            <w:shd w:val="clear" w:color="auto" w:fill="D6F3E8"/>
          </w:tcPr>
          <w:p>
            <w:pPr>
              <w:spacing w:after="0"/>
              <w:rPr>
                <w:sz w:val="18"/>
                <w:szCs w:val="18"/>
                <w:color w:val="auto"/>
              </w:rPr>
            </w:pPr>
          </w:p>
        </w:tc>
        <w:tc>
          <w:tcPr>
            <w:tcW w:w="100" w:type="dxa"/>
            <w:vAlign w:val="bottom"/>
            <w:tcBorders>
              <w:top w:val="single" w:sz="8" w:color="D6F3E8"/>
            </w:tcBorders>
            <w:shd w:val="clear" w:color="auto" w:fill="D6F3E8"/>
          </w:tcPr>
          <w:p>
            <w:pPr>
              <w:spacing w:after="0"/>
              <w:rPr>
                <w:sz w:val="18"/>
                <w:szCs w:val="18"/>
                <w:color w:val="auto"/>
              </w:rPr>
            </w:pPr>
          </w:p>
        </w:tc>
        <w:tc>
          <w:tcPr>
            <w:tcW w:w="260" w:type="dxa"/>
            <w:vAlign w:val="bottom"/>
            <w:tcBorders>
              <w:top w:val="single" w:sz="8" w:color="auto"/>
            </w:tcBorders>
            <w:shd w:val="clear" w:color="auto" w:fill="D6F3E8"/>
          </w:tcPr>
          <w:p>
            <w:pPr>
              <w:spacing w:after="0"/>
              <w:rPr>
                <w:sz w:val="18"/>
                <w:szCs w:val="18"/>
                <w:color w:val="auto"/>
              </w:rPr>
            </w:pPr>
          </w:p>
        </w:tc>
        <w:tc>
          <w:tcPr>
            <w:tcW w:w="10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29,116</w:t>
            </w:r>
          </w:p>
        </w:tc>
        <w:tc>
          <w:tcPr>
            <w:tcW w:w="220" w:type="dxa"/>
            <w:vAlign w:val="bottom"/>
            <w:tcBorders>
              <w:top w:val="single" w:sz="8" w:color="D6F3E8"/>
            </w:tcBorders>
            <w:shd w:val="clear" w:color="auto" w:fill="D6F3E8"/>
          </w:tcPr>
          <w:p>
            <w:pPr>
              <w:spacing w:after="0"/>
              <w:rPr>
                <w:sz w:val="18"/>
                <w:szCs w:val="18"/>
                <w:color w:val="auto"/>
              </w:rPr>
            </w:pPr>
          </w:p>
        </w:tc>
        <w:tc>
          <w:tcPr>
            <w:tcW w:w="20" w:type="dxa"/>
            <w:vAlign w:val="bottom"/>
            <w:tcBorders>
              <w:top w:val="single" w:sz="8" w:color="D6F3E8"/>
            </w:tcBorders>
            <w:shd w:val="clear" w:color="auto" w:fill="D6F3E8"/>
          </w:tcPr>
          <w:p>
            <w:pPr>
              <w:spacing w:after="0"/>
              <w:rPr>
                <w:sz w:val="18"/>
                <w:szCs w:val="18"/>
                <w:color w:val="auto"/>
              </w:rPr>
            </w:pPr>
          </w:p>
        </w:tc>
        <w:tc>
          <w:tcPr>
            <w:tcW w:w="280" w:type="dxa"/>
            <w:vAlign w:val="bottom"/>
            <w:tcBorders>
              <w:top w:val="single" w:sz="8" w:color="auto"/>
            </w:tcBorders>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31,411</w:t>
            </w:r>
          </w:p>
        </w:tc>
        <w:tc>
          <w:tcPr>
            <w:tcW w:w="12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3"/>
          </w:tcPr>
          <w:p>
            <w:pPr>
              <w:ind w:left="320"/>
              <w:spacing w:after="0"/>
              <w:rPr>
                <w:sz w:val="20"/>
                <w:szCs w:val="20"/>
                <w:color w:val="auto"/>
              </w:rPr>
            </w:pPr>
            <w:r>
              <w:rPr>
                <w:rFonts w:ascii="Arial" w:cs="Arial" w:eastAsia="Arial" w:hAnsi="Arial"/>
                <w:sz w:val="18"/>
                <w:szCs w:val="18"/>
                <w:color w:val="auto"/>
              </w:rPr>
              <w:t>Dilutive impact of options and awards outstanding</w:t>
            </w:r>
          </w:p>
        </w:tc>
        <w:tc>
          <w:tcPr>
            <w:tcW w:w="2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Borders>
              <w:top w:val="single" w:sz="8" w:color="D6F3E8"/>
            </w:tcBorders>
            <w:gridSpan w:val="3"/>
            <w:shd w:val="clear" w:color="auto" w:fill="D6F3E8"/>
          </w:tcPr>
          <w:p>
            <w:pPr>
              <w:ind w:left="320"/>
              <w:spacing w:after="0" w:line="202" w:lineRule="exact"/>
              <w:rPr>
                <w:sz w:val="20"/>
                <w:szCs w:val="20"/>
                <w:color w:val="auto"/>
              </w:rPr>
            </w:pPr>
            <w:r>
              <w:rPr>
                <w:rFonts w:ascii="Arial" w:cs="Arial" w:eastAsia="Arial" w:hAnsi="Arial"/>
                <w:sz w:val="18"/>
                <w:szCs w:val="18"/>
                <w:color w:val="auto"/>
                <w:w w:val="95"/>
              </w:rPr>
              <w:t>Weighted average shares and potential dilutive shares outstanding</w:t>
            </w:r>
          </w:p>
        </w:tc>
        <w:tc>
          <w:tcPr>
            <w:tcW w:w="240" w:type="dxa"/>
            <w:vAlign w:val="bottom"/>
            <w:tcBorders>
              <w:top w:val="single" w:sz="8" w:color="auto"/>
            </w:tcBorders>
            <w:shd w:val="clear" w:color="auto" w:fill="D6F3E8"/>
          </w:tcPr>
          <w:p>
            <w:pPr>
              <w:spacing w:after="0"/>
              <w:rPr>
                <w:sz w:val="18"/>
                <w:szCs w:val="18"/>
                <w:color w:val="auto"/>
              </w:rPr>
            </w:pPr>
          </w:p>
        </w:tc>
        <w:tc>
          <w:tcPr>
            <w:tcW w:w="10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29,048</w:t>
            </w:r>
          </w:p>
        </w:tc>
        <w:tc>
          <w:tcPr>
            <w:tcW w:w="100" w:type="dxa"/>
            <w:vAlign w:val="bottom"/>
            <w:tcBorders>
              <w:top w:val="single" w:sz="8" w:color="D6F3E8"/>
            </w:tcBorders>
            <w:shd w:val="clear" w:color="auto" w:fill="D6F3E8"/>
          </w:tcPr>
          <w:p>
            <w:pPr>
              <w:spacing w:after="0"/>
              <w:rPr>
                <w:sz w:val="18"/>
                <w:szCs w:val="18"/>
                <w:color w:val="auto"/>
              </w:rPr>
            </w:pPr>
          </w:p>
        </w:tc>
        <w:tc>
          <w:tcPr>
            <w:tcW w:w="120" w:type="dxa"/>
            <w:vAlign w:val="bottom"/>
            <w:tcBorders>
              <w:top w:val="single" w:sz="8" w:color="D6F3E8"/>
            </w:tcBorders>
            <w:shd w:val="clear" w:color="auto" w:fill="D6F3E8"/>
          </w:tcPr>
          <w:p>
            <w:pPr>
              <w:spacing w:after="0"/>
              <w:rPr>
                <w:sz w:val="18"/>
                <w:szCs w:val="18"/>
                <w:color w:val="auto"/>
              </w:rPr>
            </w:pPr>
          </w:p>
        </w:tc>
        <w:tc>
          <w:tcPr>
            <w:tcW w:w="240" w:type="dxa"/>
            <w:vAlign w:val="bottom"/>
            <w:tcBorders>
              <w:top w:val="single" w:sz="8" w:color="auto"/>
            </w:tcBorders>
            <w:shd w:val="clear" w:color="auto" w:fill="D6F3E8"/>
          </w:tcPr>
          <w:p>
            <w:pPr>
              <w:spacing w:after="0"/>
              <w:rPr>
                <w:sz w:val="18"/>
                <w:szCs w:val="18"/>
                <w:color w:val="auto"/>
              </w:rPr>
            </w:pPr>
          </w:p>
        </w:tc>
        <w:tc>
          <w:tcPr>
            <w:tcW w:w="10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31,761</w:t>
            </w:r>
          </w:p>
        </w:tc>
        <w:tc>
          <w:tcPr>
            <w:tcW w:w="100" w:type="dxa"/>
            <w:vAlign w:val="bottom"/>
            <w:tcBorders>
              <w:top w:val="single" w:sz="8" w:color="D6F3E8"/>
            </w:tcBorders>
            <w:shd w:val="clear" w:color="auto" w:fill="D6F3E8"/>
          </w:tcPr>
          <w:p>
            <w:pPr>
              <w:spacing w:after="0"/>
              <w:rPr>
                <w:sz w:val="18"/>
                <w:szCs w:val="18"/>
                <w:color w:val="auto"/>
              </w:rPr>
            </w:pPr>
          </w:p>
        </w:tc>
        <w:tc>
          <w:tcPr>
            <w:tcW w:w="100" w:type="dxa"/>
            <w:vAlign w:val="bottom"/>
            <w:tcBorders>
              <w:top w:val="single" w:sz="8" w:color="D6F3E8"/>
            </w:tcBorders>
            <w:shd w:val="clear" w:color="auto" w:fill="D6F3E8"/>
          </w:tcPr>
          <w:p>
            <w:pPr>
              <w:spacing w:after="0"/>
              <w:rPr>
                <w:sz w:val="18"/>
                <w:szCs w:val="18"/>
                <w:color w:val="auto"/>
              </w:rPr>
            </w:pPr>
          </w:p>
        </w:tc>
        <w:tc>
          <w:tcPr>
            <w:tcW w:w="260" w:type="dxa"/>
            <w:vAlign w:val="bottom"/>
            <w:tcBorders>
              <w:top w:val="single" w:sz="8" w:color="auto"/>
            </w:tcBorders>
            <w:shd w:val="clear" w:color="auto" w:fill="D6F3E8"/>
          </w:tcPr>
          <w:p>
            <w:pPr>
              <w:spacing w:after="0"/>
              <w:rPr>
                <w:sz w:val="18"/>
                <w:szCs w:val="18"/>
                <w:color w:val="auto"/>
              </w:rPr>
            </w:pPr>
          </w:p>
        </w:tc>
        <w:tc>
          <w:tcPr>
            <w:tcW w:w="10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29,183</w:t>
            </w:r>
          </w:p>
        </w:tc>
        <w:tc>
          <w:tcPr>
            <w:tcW w:w="220" w:type="dxa"/>
            <w:vAlign w:val="bottom"/>
            <w:tcBorders>
              <w:top w:val="single" w:sz="8" w:color="D6F3E8"/>
            </w:tcBorders>
            <w:shd w:val="clear" w:color="auto" w:fill="D6F3E8"/>
          </w:tcPr>
          <w:p>
            <w:pPr>
              <w:spacing w:after="0"/>
              <w:rPr>
                <w:sz w:val="18"/>
                <w:szCs w:val="18"/>
                <w:color w:val="auto"/>
              </w:rPr>
            </w:pPr>
          </w:p>
        </w:tc>
        <w:tc>
          <w:tcPr>
            <w:tcW w:w="20" w:type="dxa"/>
            <w:vAlign w:val="bottom"/>
            <w:tcBorders>
              <w:top w:val="single" w:sz="8" w:color="D6F3E8"/>
            </w:tcBorders>
            <w:shd w:val="clear" w:color="auto" w:fill="D6F3E8"/>
          </w:tcPr>
          <w:p>
            <w:pPr>
              <w:spacing w:after="0"/>
              <w:rPr>
                <w:sz w:val="18"/>
                <w:szCs w:val="18"/>
                <w:color w:val="auto"/>
              </w:rPr>
            </w:pPr>
          </w:p>
        </w:tc>
        <w:tc>
          <w:tcPr>
            <w:tcW w:w="280" w:type="dxa"/>
            <w:vAlign w:val="bottom"/>
            <w:tcBorders>
              <w:top w:val="single" w:sz="8" w:color="auto"/>
            </w:tcBorders>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31,697</w:t>
            </w:r>
          </w:p>
        </w:tc>
        <w:tc>
          <w:tcPr>
            <w:tcW w:w="12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3"/>
          </w:tcPr>
          <w:p>
            <w:pPr>
              <w:ind w:left="320"/>
              <w:spacing w:after="0"/>
              <w:rPr>
                <w:sz w:val="20"/>
                <w:szCs w:val="20"/>
                <w:color w:val="auto"/>
              </w:rPr>
            </w:pPr>
            <w:r>
              <w:rPr>
                <w:rFonts w:ascii="Arial" w:cs="Arial" w:eastAsia="Arial" w:hAnsi="Arial"/>
                <w:sz w:val="18"/>
                <w:szCs w:val="18"/>
                <w:color w:val="auto"/>
              </w:rPr>
              <w:t>Net income per share - assuming dilution</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36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0.35</w:t>
            </w:r>
          </w:p>
        </w:tc>
        <w:tc>
          <w:tcPr>
            <w:tcW w:w="36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0.53</w:t>
            </w:r>
          </w:p>
        </w:tc>
        <w:tc>
          <w:tcPr>
            <w:tcW w:w="220" w:type="dxa"/>
            <w:vAlign w:val="bottom"/>
          </w:tcPr>
          <w:p>
            <w:pPr>
              <w:spacing w:after="0"/>
              <w:rPr>
                <w:sz w:val="18"/>
                <w:szCs w:val="18"/>
                <w:color w:val="auto"/>
              </w:rPr>
            </w:pPr>
          </w:p>
        </w:tc>
        <w:tc>
          <w:tcPr>
            <w:tcW w:w="300" w:type="dxa"/>
            <w:vAlign w:val="bottom"/>
            <w:gridSpan w:val="2"/>
          </w:tcPr>
          <w:p>
            <w:pPr>
              <w:jc w:val="right"/>
              <w:ind w:right="123"/>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 xml:space="preserve">For the thirteen weeks ended May 31, 2008 and May 26, 2007, there were options outstanding to purchase 998,456 shares and 285,061 shares, respectively, of common stock at an average price of $28.22 and $32.59, respectively, which were not included in the computation of diluted income per share because they are considered anti-dilutive under the treasury stock method per SFAS No. 128,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(as amended).</w:t>
      </w:r>
    </w:p>
    <w:p>
      <w:pPr>
        <w:spacing w:after="0" w:line="161"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 xml:space="preserve">For the forty weeks ended May 31, 2008 and the thirty-nine weeks ended May 26, 2007, there were options outstanding to purchase 879,648 shares and 274,389 shares, respectively, of common stock at an average price of $29.53 and $32.81, respectively, which were not included in the computation of diluted income per share because they are considered anti-dilutive under the treasury stock method per SFAS No. 128,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(as amended).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Comprehensive Income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net of tax, consists of:</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Forty</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Thirty-Nine</w:t>
            </w:r>
          </w:p>
        </w:tc>
      </w:tr>
      <w:tr>
        <w:trPr>
          <w:trHeight w:val="161"/>
        </w:trPr>
        <w:tc>
          <w:tcPr>
            <w:tcW w:w="5440" w:type="dxa"/>
            <w:vAlign w:val="bottom"/>
          </w:tcPr>
          <w:p>
            <w:pPr>
              <w:spacing w:after="0"/>
              <w:rPr>
                <w:sz w:val="14"/>
                <w:szCs w:val="14"/>
                <w:color w:val="auto"/>
              </w:rPr>
            </w:pPr>
          </w:p>
        </w:tc>
        <w:tc>
          <w:tcPr>
            <w:tcW w:w="2900" w:type="dxa"/>
            <w:vAlign w:val="bottom"/>
            <w:gridSpan w:val="6"/>
          </w:tcPr>
          <w:p>
            <w:pPr>
              <w:ind w:left="740"/>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4"/>
          </w:tcPr>
          <w:p>
            <w:pPr>
              <w:jc w:val="right"/>
              <w:spacing w:after="0"/>
              <w:rPr>
                <w:sz w:val="20"/>
                <w:szCs w:val="20"/>
                <w:color w:val="auto"/>
              </w:rPr>
            </w:pPr>
            <w:r>
              <w:rPr>
                <w:rFonts w:ascii="Arial" w:cs="Arial" w:eastAsia="Arial" w:hAnsi="Arial"/>
                <w:sz w:val="14"/>
                <w:szCs w:val="14"/>
                <w:b w:val="1"/>
                <w:bCs w:val="1"/>
                <w:color w:val="auto"/>
              </w:rPr>
              <w:t>Weeks Ended</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29"/>
        </w:trPr>
        <w:tc>
          <w:tcPr>
            <w:tcW w:w="5440" w:type="dxa"/>
            <w:vAlign w:val="bottom"/>
          </w:tcPr>
          <w:p>
            <w:pPr>
              <w:spacing w:after="0"/>
              <w:rPr>
                <w:sz w:val="11"/>
                <w:szCs w:val="11"/>
                <w:color w:val="auto"/>
              </w:rPr>
            </w:pPr>
          </w:p>
        </w:tc>
        <w:tc>
          <w:tcPr>
            <w:tcW w:w="8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May 31,</w:t>
            </w:r>
          </w:p>
        </w:tc>
        <w:tc>
          <w:tcPr>
            <w:tcW w:w="4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338"/>
              <w:spacing w:after="0" w:line="129" w:lineRule="exact"/>
              <w:rPr>
                <w:sz w:val="20"/>
                <w:szCs w:val="20"/>
                <w:color w:val="auto"/>
              </w:rPr>
            </w:pPr>
            <w:r>
              <w:rPr>
                <w:rFonts w:ascii="Arial" w:cs="Arial" w:eastAsia="Arial" w:hAnsi="Arial"/>
                <w:sz w:val="14"/>
                <w:szCs w:val="14"/>
                <w:b w:val="1"/>
                <w:bCs w:val="1"/>
                <w:color w:val="auto"/>
              </w:rPr>
              <w:t>May 26,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0"/>
              </w:rPr>
              <w:t>May 31,</w:t>
            </w:r>
          </w:p>
        </w:tc>
        <w:tc>
          <w:tcPr>
            <w:tcW w:w="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200"/>
              <w:spacing w:after="0" w:line="129" w:lineRule="exact"/>
              <w:rPr>
                <w:sz w:val="20"/>
                <w:szCs w:val="20"/>
                <w:color w:val="auto"/>
              </w:rPr>
            </w:pPr>
            <w:r>
              <w:rPr>
                <w:rFonts w:ascii="Arial" w:cs="Arial" w:eastAsia="Arial" w:hAnsi="Arial"/>
                <w:sz w:val="14"/>
                <w:szCs w:val="14"/>
                <w:b w:val="1"/>
                <w:bCs w:val="1"/>
                <w:color w:val="auto"/>
                <w:w w:val="90"/>
              </w:rPr>
              <w:t>May 26,</w:t>
            </w:r>
          </w:p>
        </w:tc>
        <w:tc>
          <w:tcPr>
            <w:tcW w:w="120" w:type="dxa"/>
            <w:vAlign w:val="bottom"/>
          </w:tcPr>
          <w:p>
            <w:pPr>
              <w:spacing w:after="0"/>
              <w:rPr>
                <w:sz w:val="11"/>
                <w:szCs w:val="11"/>
                <w:color w:val="auto"/>
              </w:rPr>
            </w:pPr>
          </w:p>
        </w:tc>
      </w:tr>
      <w:tr>
        <w:trPr>
          <w:trHeight w:val="161"/>
        </w:trPr>
        <w:tc>
          <w:tcPr>
            <w:tcW w:w="5440" w:type="dxa"/>
            <w:vAlign w:val="bottom"/>
            <w:tcBorders>
              <w:bottom w:val="single" w:sz="8" w:color="D6F3E8"/>
            </w:tcBorders>
          </w:tcPr>
          <w:p>
            <w:pPr>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2008</w:t>
            </w: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D6F3E8"/>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D6F3E8"/>
            </w:tcBorders>
          </w:tcPr>
          <w:p>
            <w:pPr>
              <w:spacing w:after="0"/>
              <w:rPr>
                <w:sz w:val="14"/>
                <w:szCs w:val="14"/>
                <w:color w:val="auto"/>
              </w:rPr>
            </w:pPr>
          </w:p>
        </w:tc>
        <w:tc>
          <w:tcPr>
            <w:tcW w:w="100" w:type="dxa"/>
            <w:vAlign w:val="bottom"/>
            <w:tcBorders>
              <w:bottom w:val="single" w:sz="8" w:color="D6F3E8"/>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89"/>
              </w:rPr>
              <w:t>2008</w:t>
            </w:r>
          </w:p>
        </w:tc>
        <w:tc>
          <w:tcPr>
            <w:tcW w:w="140" w:type="dxa"/>
            <w:vAlign w:val="bottom"/>
            <w:tcBorders>
              <w:bottom w:val="single" w:sz="8" w:color="D6F3E8"/>
            </w:tcBorders>
          </w:tcPr>
          <w:p>
            <w:pPr>
              <w:spacing w:after="0"/>
              <w:rPr>
                <w:sz w:val="14"/>
                <w:szCs w:val="14"/>
                <w:color w:val="auto"/>
              </w:rPr>
            </w:pPr>
          </w:p>
        </w:tc>
        <w:tc>
          <w:tcPr>
            <w:tcW w:w="80" w:type="dxa"/>
            <w:vAlign w:val="bottom"/>
            <w:tcBorders>
              <w:bottom w:val="single" w:sz="8" w:color="D6F3E8"/>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89"/>
              </w:rPr>
              <w:t>2007</w:t>
            </w:r>
          </w:p>
        </w:tc>
        <w:tc>
          <w:tcPr>
            <w:tcW w:w="120" w:type="dxa"/>
            <w:vAlign w:val="bottom"/>
            <w:tcBorders>
              <w:bottom w:val="single" w:sz="8" w:color="D6F3E8"/>
            </w:tcBorders>
          </w:tcPr>
          <w:p>
            <w:pPr>
              <w:spacing w:after="0"/>
              <w:rPr>
                <w:sz w:val="14"/>
                <w:szCs w:val="14"/>
                <w:color w:val="auto"/>
              </w:rPr>
            </w:pPr>
          </w:p>
        </w:tc>
      </w:tr>
      <w:tr>
        <w:trPr>
          <w:trHeight w:val="210"/>
        </w:trPr>
        <w:tc>
          <w:tcPr>
            <w:tcW w:w="5440" w:type="dxa"/>
            <w:vAlign w:val="bottom"/>
            <w:shd w:val="clear" w:color="auto" w:fill="D6F3E8"/>
          </w:tcPr>
          <w:p>
            <w:pPr>
              <w:spacing w:after="0" w:line="202" w:lineRule="exact"/>
              <w:rPr>
                <w:sz w:val="20"/>
                <w:szCs w:val="20"/>
                <w:color w:val="auto"/>
              </w:rPr>
            </w:pPr>
            <w:r>
              <w:rPr>
                <w:rFonts w:ascii="Arial" w:cs="Arial" w:eastAsia="Arial" w:hAnsi="Arial"/>
                <w:sz w:val="18"/>
                <w:szCs w:val="18"/>
                <w:color w:val="auto"/>
              </w:rPr>
              <w:t>Net income</w:t>
            </w:r>
          </w:p>
        </w:tc>
        <w:tc>
          <w:tcPr>
            <w:tcW w:w="880" w:type="dxa"/>
            <w:vAlign w:val="bottom"/>
            <w:shd w:val="clear" w:color="auto" w:fill="D6F3E8"/>
          </w:tcPr>
          <w:p>
            <w:pPr>
              <w:jc w:val="right"/>
              <w:ind w:right="729"/>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84"/>
              </w:rPr>
              <w:t>3,000</w:t>
            </w:r>
          </w:p>
        </w:tc>
        <w:tc>
          <w:tcPr>
            <w:tcW w:w="220" w:type="dxa"/>
            <w:vAlign w:val="bottom"/>
            <w:shd w:val="clear" w:color="auto" w:fill="D6F3E8"/>
          </w:tcPr>
          <w:p>
            <w:pPr>
              <w:spacing w:after="0"/>
              <w:rPr>
                <w:sz w:val="18"/>
                <w:szCs w:val="18"/>
                <w:color w:val="auto"/>
              </w:rPr>
            </w:pPr>
          </w:p>
        </w:tc>
        <w:tc>
          <w:tcPr>
            <w:tcW w:w="240" w:type="dxa"/>
            <w:vAlign w:val="bottom"/>
            <w:shd w:val="clear" w:color="auto" w:fill="D6F3E8"/>
          </w:tcPr>
          <w:p>
            <w:pPr>
              <w:jc w:val="right"/>
              <w:ind w:right="8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11,253</w:t>
            </w:r>
          </w:p>
        </w:tc>
        <w:tc>
          <w:tcPr>
            <w:tcW w:w="10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260" w:type="dxa"/>
            <w:vAlign w:val="bottom"/>
            <w:shd w:val="clear" w:color="auto" w:fill="D6F3E8"/>
          </w:tcPr>
          <w:p>
            <w:pPr>
              <w:jc w:val="right"/>
              <w:ind w:right="7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15,479</w:t>
            </w:r>
          </w:p>
        </w:tc>
        <w:tc>
          <w:tcPr>
            <w:tcW w:w="14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30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26,721</w:t>
            </w:r>
          </w:p>
        </w:tc>
        <w:tc>
          <w:tcPr>
            <w:tcW w:w="120" w:type="dxa"/>
            <w:vAlign w:val="bottom"/>
            <w:shd w:val="clear" w:color="auto" w:fill="D6F3E8"/>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Temporary impairment of investments</w:t>
            </w:r>
          </w:p>
        </w:tc>
        <w:tc>
          <w:tcPr>
            <w:tcW w:w="8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573</w:t>
            </w: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(1,530)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shd w:val="clear" w:color="auto" w:fill="D6F3E8"/>
          </w:tcPr>
          <w:p>
            <w:pPr>
              <w:spacing w:after="0"/>
              <w:rPr>
                <w:sz w:val="20"/>
                <w:szCs w:val="20"/>
                <w:color w:val="auto"/>
              </w:rPr>
            </w:pPr>
            <w:r>
              <w:rPr>
                <w:rFonts w:ascii="Arial" w:cs="Arial" w:eastAsia="Arial" w:hAnsi="Arial"/>
                <w:sz w:val="18"/>
                <w:szCs w:val="18"/>
                <w:color w:val="auto"/>
              </w:rPr>
              <w:t>Amortization of prior service credit</w:t>
            </w:r>
          </w:p>
        </w:tc>
        <w:tc>
          <w:tcPr>
            <w:tcW w:w="880" w:type="dxa"/>
            <w:vAlign w:val="bottom"/>
            <w:shd w:val="clear" w:color="auto" w:fill="D6F3E8"/>
          </w:tcPr>
          <w:p>
            <w:pPr>
              <w:spacing w:after="0"/>
              <w:rPr>
                <w:sz w:val="18"/>
                <w:szCs w:val="18"/>
                <w:color w:val="auto"/>
              </w:rPr>
            </w:pPr>
          </w:p>
        </w:tc>
        <w:tc>
          <w:tcPr>
            <w:tcW w:w="62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(901)</w:t>
            </w:r>
          </w:p>
        </w:tc>
        <w:tc>
          <w:tcPr>
            <w:tcW w:w="240" w:type="dxa"/>
            <w:vAlign w:val="bottom"/>
            <w:shd w:val="clear" w:color="auto" w:fill="D6F3E8"/>
          </w:tcPr>
          <w:p>
            <w:pPr>
              <w:spacing w:after="0"/>
              <w:rPr>
                <w:sz w:val="18"/>
                <w:szCs w:val="18"/>
                <w:color w:val="auto"/>
              </w:rPr>
            </w:pPr>
          </w:p>
        </w:tc>
        <w:tc>
          <w:tcPr>
            <w:tcW w:w="11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20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(2,260)</w:t>
            </w:r>
          </w:p>
        </w:tc>
        <w:tc>
          <w:tcPr>
            <w:tcW w:w="8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114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Amortization of actuarial loss</w:t>
            </w:r>
          </w:p>
        </w:tc>
        <w:tc>
          <w:tcPr>
            <w:tcW w:w="8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271</w:t>
            </w:r>
          </w:p>
        </w:tc>
        <w:tc>
          <w:tcPr>
            <w:tcW w:w="2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5440" w:type="dxa"/>
            <w:vAlign w:val="bottom"/>
            <w:tcBorders>
              <w:top w:val="single" w:sz="8" w:color="D6F3E8"/>
              <w:bottom w:val="single" w:sz="8" w:color="D6F3E8"/>
            </w:tcBorders>
            <w:shd w:val="clear" w:color="auto" w:fill="D6F3E8"/>
          </w:tcPr>
          <w:p>
            <w:pPr>
              <w:spacing w:after="0" w:line="202" w:lineRule="exact"/>
              <w:rPr>
                <w:sz w:val="20"/>
                <w:szCs w:val="20"/>
                <w:color w:val="auto"/>
              </w:rPr>
            </w:pPr>
            <w:r>
              <w:rPr>
                <w:rFonts w:ascii="Arial" w:cs="Arial" w:eastAsia="Arial" w:hAnsi="Arial"/>
                <w:sz w:val="18"/>
                <w:szCs w:val="18"/>
                <w:color w:val="auto"/>
              </w:rPr>
              <w:t>Comprehensive income</w:t>
            </w:r>
          </w:p>
        </w:tc>
        <w:tc>
          <w:tcPr>
            <w:tcW w:w="880" w:type="dxa"/>
            <w:vAlign w:val="bottom"/>
            <w:tcBorders>
              <w:top w:val="single" w:sz="8" w:color="auto"/>
              <w:bottom w:val="single" w:sz="8" w:color="auto"/>
            </w:tcBorders>
            <w:shd w:val="clear" w:color="auto" w:fill="D6F3E8"/>
          </w:tcPr>
          <w:p>
            <w:pPr>
              <w:jc w:val="right"/>
              <w:ind w:right="729"/>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84"/>
              </w:rPr>
              <w:t>2,943</w:t>
            </w:r>
          </w:p>
        </w:tc>
        <w:tc>
          <w:tcPr>
            <w:tcW w:w="220" w:type="dxa"/>
            <w:vAlign w:val="bottom"/>
            <w:tcBorders>
              <w:top w:val="single" w:sz="8" w:color="D6F3E8"/>
              <w:bottom w:val="single" w:sz="8" w:color="D6F3E8"/>
            </w:tcBorders>
            <w:shd w:val="clear" w:color="auto" w:fill="D6F3E8"/>
          </w:tcPr>
          <w:p>
            <w:pPr>
              <w:spacing w:after="0"/>
              <w:rPr>
                <w:sz w:val="18"/>
                <w:szCs w:val="18"/>
                <w:color w:val="auto"/>
              </w:rPr>
            </w:pPr>
          </w:p>
        </w:tc>
        <w:tc>
          <w:tcPr>
            <w:tcW w:w="240" w:type="dxa"/>
            <w:vAlign w:val="bottom"/>
            <w:tcBorders>
              <w:top w:val="single" w:sz="8" w:color="auto"/>
              <w:bottom w:val="single" w:sz="8" w:color="auto"/>
            </w:tcBorders>
            <w:shd w:val="clear" w:color="auto" w:fill="D6F3E8"/>
          </w:tcPr>
          <w:p>
            <w:pPr>
              <w:jc w:val="right"/>
              <w:ind w:right="83"/>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11,253</w:t>
            </w:r>
          </w:p>
        </w:tc>
        <w:tc>
          <w:tcPr>
            <w:tcW w:w="100" w:type="dxa"/>
            <w:vAlign w:val="bottom"/>
            <w:tcBorders>
              <w:top w:val="single" w:sz="8" w:color="D6F3E8"/>
              <w:bottom w:val="single" w:sz="8" w:color="D6F3E8"/>
            </w:tcBorders>
            <w:shd w:val="clear" w:color="auto" w:fill="D6F3E8"/>
          </w:tcPr>
          <w:p>
            <w:pPr>
              <w:spacing w:after="0"/>
              <w:rPr>
                <w:sz w:val="18"/>
                <w:szCs w:val="18"/>
                <w:color w:val="auto"/>
              </w:rPr>
            </w:pPr>
          </w:p>
        </w:tc>
        <w:tc>
          <w:tcPr>
            <w:tcW w:w="100" w:type="dxa"/>
            <w:vAlign w:val="bottom"/>
            <w:tcBorders>
              <w:top w:val="single" w:sz="8" w:color="D6F3E8"/>
              <w:bottom w:val="single" w:sz="8" w:color="D6F3E8"/>
            </w:tcBorders>
            <w:shd w:val="clear" w:color="auto" w:fill="D6F3E8"/>
          </w:tcPr>
          <w:p>
            <w:pPr>
              <w:spacing w:after="0"/>
              <w:rPr>
                <w:sz w:val="18"/>
                <w:szCs w:val="18"/>
                <w:color w:val="auto"/>
              </w:rPr>
            </w:pPr>
          </w:p>
        </w:tc>
        <w:tc>
          <w:tcPr>
            <w:tcW w:w="260" w:type="dxa"/>
            <w:vAlign w:val="bottom"/>
            <w:tcBorders>
              <w:top w:val="single" w:sz="8" w:color="auto"/>
              <w:bottom w:val="single" w:sz="8" w:color="auto"/>
            </w:tcBorders>
            <w:shd w:val="clear" w:color="auto" w:fill="D6F3E8"/>
          </w:tcPr>
          <w:p>
            <w:pPr>
              <w:jc w:val="right"/>
              <w:ind w:right="7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12,264</w:t>
            </w:r>
          </w:p>
        </w:tc>
        <w:tc>
          <w:tcPr>
            <w:tcW w:w="140" w:type="dxa"/>
            <w:vAlign w:val="bottom"/>
            <w:tcBorders>
              <w:top w:val="single" w:sz="8" w:color="D6F3E8"/>
              <w:bottom w:val="single" w:sz="8" w:color="D6F3E8"/>
            </w:tcBorders>
            <w:shd w:val="clear" w:color="auto" w:fill="D6F3E8"/>
          </w:tcPr>
          <w:p>
            <w:pPr>
              <w:spacing w:after="0"/>
              <w:rPr>
                <w:sz w:val="18"/>
                <w:szCs w:val="18"/>
                <w:color w:val="auto"/>
              </w:rPr>
            </w:pPr>
          </w:p>
        </w:tc>
        <w:tc>
          <w:tcPr>
            <w:tcW w:w="80" w:type="dxa"/>
            <w:vAlign w:val="bottom"/>
            <w:tcBorders>
              <w:top w:val="single" w:sz="8" w:color="D6F3E8"/>
              <w:bottom w:val="single" w:sz="8" w:color="D6F3E8"/>
            </w:tcBorders>
            <w:shd w:val="clear" w:color="auto" w:fill="D6F3E8"/>
          </w:tcPr>
          <w:p>
            <w:pPr>
              <w:spacing w:after="0"/>
              <w:rPr>
                <w:sz w:val="18"/>
                <w:szCs w:val="18"/>
                <w:color w:val="auto"/>
              </w:rPr>
            </w:pPr>
          </w:p>
        </w:tc>
        <w:tc>
          <w:tcPr>
            <w:tcW w:w="300" w:type="dxa"/>
            <w:vAlign w:val="bottom"/>
            <w:tcBorders>
              <w:top w:val="single" w:sz="8" w:color="auto"/>
              <w:bottom w:val="single" w:sz="8" w:color="auto"/>
            </w:tcBorders>
            <w:shd w:val="clear" w:color="auto" w:fill="D6F3E8"/>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26,721</w:t>
            </w:r>
          </w:p>
        </w:tc>
        <w:tc>
          <w:tcPr>
            <w:tcW w:w="120" w:type="dxa"/>
            <w:vAlign w:val="bottom"/>
            <w:tcBorders>
              <w:top w:val="single" w:sz="8" w:color="D6F3E8"/>
              <w:bottom w:val="single" w:sz="8" w:color="D6F3E8"/>
            </w:tcBorders>
            <w:shd w:val="clear" w:color="auto" w:fill="D6F3E8"/>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23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On June 2, 2008, the Company announced plans to idle the Charles City Manufacturing Facility by August 1, 2008 and transfer the Class C motor home production to the Forest City campus. This closure will, in turn, result in a reduction of our work force by approximately 270 salaried and hourly employees. We anticipate that we will record pretax charges of $2.5 million to $5.5 million during the fourth quarter of Fiscal 2008, primarily for the impairment of the value of the Charles City motor home production facility.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Management’s Discussion and Analysis of Financial Condition and Results of Operations</w:t>
      </w:r>
    </w:p>
    <w:p>
      <w:pPr>
        <w:spacing w:after="0" w:line="15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It is suggested that this Management’s Discussion be read in conjunction with the Management’s Discussion and Analysis included in our Annual Report to Shareholders for the year ended August 25, 2007.</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64"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Winnebago Industries, Inc. is a leading motor home manufacturer with a proud history of manufacturing recreation vehicles for the last 50 years. Our retail market share per Statistical Surveys, Inc. of Class A and Class C motor homes for the first four months of calendar 2008 compared to the first four months of calendar 2007 was 17.5 percent compared to 18.2 percent, respectively. Our strategy is to manufacture quality motor homes in a profitable manner. We measure profitability by using five guidelines: return on assets, return on equity, return on invested capital, operating income as a percent of net revenues and net income as a percent of net revenues. Our primary goal is to be a leader in profitability in the recreation vehicle industry. Our performance has enabled us to return significant profits to our shareholders through stock repurchases and dividends. During the forty weeks ended May 31, 2008, we repurchased approximately 692,000 shares of stock for $17.8 million and paid out dividends of $10.5 million to our shareholders.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Outlook</w:t>
      </w:r>
    </w:p>
    <w:p>
      <w:pPr>
        <w:spacing w:after="0" w:line="164" w:lineRule="exact"/>
        <w:rPr>
          <w:sz w:val="20"/>
          <w:szCs w:val="20"/>
          <w:color w:val="auto"/>
        </w:rPr>
      </w:pPr>
    </w:p>
    <w:p>
      <w:pPr>
        <w:ind w:right="100"/>
        <w:spacing w:after="0" w:line="314" w:lineRule="auto"/>
        <w:rPr>
          <w:sz w:val="20"/>
          <w:szCs w:val="20"/>
          <w:color w:val="auto"/>
        </w:rPr>
      </w:pPr>
      <w:r>
        <w:rPr>
          <w:rFonts w:ascii="Arial" w:cs="Arial" w:eastAsia="Arial" w:hAnsi="Arial"/>
          <w:sz w:val="15"/>
          <w:szCs w:val="15"/>
          <w:color w:val="auto"/>
        </w:rPr>
        <w:t>The Recreation Vehicle (RV) industry is cyclical and susceptible to slowdowns in the general economy. RV industry sales have been characterized by cycles of growth and contraction in consumer demand, reflecting prevailing economic conditions that affect disposable income for leisure-time activities. The motorized portion of the RV industry has experienced a volume decline for nearly four years, most significantly in the past year due to high fuel costs, low discretionary spending and low consumer confidence which has adversely affected our business, results of operations and financial condition. We have continued to adjust our factory schedule as necessary to reflect the demand for our products. On June 2, 2008, the Company announced that we will shut down the Charles City Class C motor home production facility by August 1, 2008. This closure will result in a decrease of about 270 salaried and hourly employees and the transfer of the Class</w:t>
      </w:r>
    </w:p>
    <w:p>
      <w:pPr>
        <w:sectPr>
          <w:pgSz w:w="11900" w:h="16838" w:orient="portrait"/>
          <w:cols w:equalWidth="0" w:num="1">
            <w:col w:w="11420"/>
          </w:cols>
          <w:pgMar w:left="240" w:top="125" w:right="239" w:bottom="0" w:gutter="0" w:footer="0" w:header="0"/>
        </w:sectPr>
      </w:pPr>
    </w:p>
    <w:bookmarkStart w:id="8" w:name="page9"/>
    <w:bookmarkEnd w:id="8"/>
    <w:p>
      <w:pPr>
        <w:spacing w:after="0" w:line="13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C motor home production to the Forest City campus. We anticipate that we will record pretax charges of $2.5 million to $5.5 million during the fourth quarter of Fiscal 2008, primarily for the impairment of the value of the Charles City motor home production facility.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Order backlog for our motor homes by units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740"/>
              <w:spacing w:after="0"/>
              <w:rPr>
                <w:sz w:val="20"/>
                <w:szCs w:val="20"/>
                <w:color w:val="auto"/>
              </w:rPr>
            </w:pPr>
            <w:r>
              <w:rPr>
                <w:rFonts w:ascii="Arial" w:cs="Arial" w:eastAsia="Arial" w:hAnsi="Arial"/>
                <w:sz w:val="14"/>
                <w:szCs w:val="14"/>
                <w:b w:val="1"/>
                <w:bCs w:val="1"/>
                <w:color w:val="auto"/>
              </w:rPr>
              <w:t>As Of</w:t>
            </w: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right"/>
              <w:ind w:right="196"/>
              <w:spacing w:after="0" w:line="129" w:lineRule="exact"/>
              <w:rPr>
                <w:sz w:val="20"/>
                <w:szCs w:val="20"/>
                <w:color w:val="auto"/>
              </w:rPr>
            </w:pPr>
            <w:r>
              <w:rPr>
                <w:rFonts w:ascii="Arial" w:cs="Arial" w:eastAsia="Arial" w:hAnsi="Arial"/>
                <w:sz w:val="14"/>
                <w:szCs w:val="14"/>
                <w:b w:val="1"/>
                <w:bCs w:val="1"/>
                <w:color w:val="auto"/>
              </w:rPr>
              <w:t>May 31,</w:t>
            </w:r>
          </w:p>
        </w:tc>
        <w:tc>
          <w:tcPr>
            <w:tcW w:w="360" w:type="dxa"/>
            <w:vAlign w:val="bottom"/>
          </w:tcPr>
          <w:p>
            <w:pPr>
              <w:spacing w:after="0"/>
              <w:rPr>
                <w:sz w:val="11"/>
                <w:szCs w:val="11"/>
                <w:color w:val="auto"/>
              </w:rPr>
            </w:pPr>
          </w:p>
        </w:tc>
        <w:tc>
          <w:tcPr>
            <w:tcW w:w="110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Product Mix</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May 26,</w:t>
            </w:r>
          </w:p>
        </w:tc>
        <w:tc>
          <w:tcPr>
            <w:tcW w:w="124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Product Mix</w:t>
            </w:r>
          </w:p>
        </w:tc>
        <w:tc>
          <w:tcPr>
            <w:tcW w:w="140" w:type="dxa"/>
            <w:vAlign w:val="bottom"/>
          </w:tcPr>
          <w:p>
            <w:pPr>
              <w:spacing w:after="0"/>
              <w:rPr>
                <w:sz w:val="11"/>
                <w:szCs w:val="11"/>
                <w:color w:val="auto"/>
              </w:rPr>
            </w:pPr>
          </w:p>
        </w:tc>
        <w:tc>
          <w:tcPr>
            <w:tcW w:w="1200" w:type="dxa"/>
            <w:vAlign w:val="bottom"/>
            <w:gridSpan w:val="2"/>
          </w:tcPr>
          <w:p>
            <w:pPr>
              <w:jc w:val="right"/>
              <w:ind w:right="518"/>
              <w:spacing w:after="0" w:line="129" w:lineRule="exact"/>
              <w:rPr>
                <w:sz w:val="20"/>
                <w:szCs w:val="20"/>
                <w:color w:val="auto"/>
              </w:rPr>
            </w:pPr>
            <w:r>
              <w:rPr>
                <w:rFonts w:ascii="Arial" w:cs="Arial" w:eastAsia="Arial" w:hAnsi="Arial"/>
                <w:sz w:val="14"/>
                <w:szCs w:val="14"/>
                <w:b w:val="1"/>
                <w:bCs w:val="1"/>
                <w:color w:val="auto"/>
              </w:rPr>
              <w:t>Increase</w:t>
            </w:r>
          </w:p>
        </w:tc>
        <w:tc>
          <w:tcPr>
            <w:tcW w:w="920" w:type="dxa"/>
            <w:vAlign w:val="bottom"/>
          </w:tcPr>
          <w:p>
            <w:pPr>
              <w:jc w:val="right"/>
              <w:ind w:right="316"/>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296"/>
              <w:spacing w:after="0"/>
              <w:rPr>
                <w:sz w:val="20"/>
                <w:szCs w:val="20"/>
                <w:color w:val="auto"/>
              </w:rPr>
            </w:pPr>
            <w:r>
              <w:rPr>
                <w:rFonts w:ascii="Arial" w:cs="Arial" w:eastAsia="Arial" w:hAnsi="Arial"/>
                <w:sz w:val="14"/>
                <w:szCs w:val="14"/>
                <w:b w:val="1"/>
                <w:bCs w:val="1"/>
                <w:color w:val="auto"/>
              </w:rPr>
              <w:t>2008</w:t>
            </w:r>
          </w:p>
        </w:tc>
        <w:tc>
          <w:tcPr>
            <w:tcW w:w="1280" w:type="dxa"/>
            <w:vAlign w:val="bottom"/>
            <w:gridSpan w:val="2"/>
          </w:tcPr>
          <w:p>
            <w:pPr>
              <w:jc w:val="right"/>
              <w:ind w:right="317"/>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298"/>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900" w:type="dxa"/>
            <w:vAlign w:val="bottom"/>
          </w:tcPr>
          <w:p>
            <w:pPr>
              <w:jc w:val="right"/>
              <w:ind w:right="297"/>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458"/>
              <w:spacing w:after="0"/>
              <w:rPr>
                <w:sz w:val="20"/>
                <w:szCs w:val="20"/>
                <w:color w:val="auto"/>
              </w:rPr>
            </w:pPr>
            <w:r>
              <w:rPr>
                <w:rFonts w:ascii="Arial" w:cs="Arial" w:eastAsia="Arial" w:hAnsi="Arial"/>
                <w:sz w:val="14"/>
                <w:szCs w:val="14"/>
                <w:b w:val="1"/>
                <w:bCs w:val="1"/>
                <w:color w:val="auto"/>
                <w:w w:val="89"/>
              </w:rPr>
              <w:t>(Decrease)</w:t>
            </w:r>
          </w:p>
        </w:tc>
        <w:tc>
          <w:tcPr>
            <w:tcW w:w="1020" w:type="dxa"/>
            <w:vAlign w:val="bottom"/>
            <w:gridSpan w:val="2"/>
          </w:tcPr>
          <w:p>
            <w:pPr>
              <w:jc w:val="right"/>
              <w:ind w:right="25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3780" w:type="dxa"/>
            <w:vAlign w:val="bottom"/>
            <w:tcBorders>
              <w:top w:val="single" w:sz="8" w:color="D6F3E8"/>
            </w:tcBorders>
            <w:shd w:val="clear" w:color="auto" w:fill="D6F3E8"/>
          </w:tcPr>
          <w:p>
            <w:pPr>
              <w:spacing w:after="0" w:line="202" w:lineRule="exact"/>
              <w:rPr>
                <w:sz w:val="20"/>
                <w:szCs w:val="20"/>
                <w:color w:val="auto"/>
              </w:rPr>
            </w:pPr>
            <w:r>
              <w:rPr>
                <w:rFonts w:ascii="Arial" w:cs="Arial" w:eastAsia="Arial" w:hAnsi="Arial"/>
                <w:sz w:val="18"/>
                <w:szCs w:val="18"/>
                <w:color w:val="auto"/>
              </w:rPr>
              <w:t>Class A gas</w:t>
            </w:r>
          </w:p>
        </w:tc>
        <w:tc>
          <w:tcPr>
            <w:tcW w:w="200" w:type="dxa"/>
            <w:vAlign w:val="bottom"/>
            <w:tcBorders>
              <w:top w:val="single" w:sz="8" w:color="auto"/>
            </w:tcBorders>
            <w:shd w:val="clear" w:color="auto" w:fill="D6F3E8"/>
          </w:tcPr>
          <w:p>
            <w:pPr>
              <w:spacing w:after="0"/>
              <w:rPr>
                <w:sz w:val="18"/>
                <w:szCs w:val="18"/>
                <w:color w:val="auto"/>
              </w:rPr>
            </w:pPr>
          </w:p>
        </w:tc>
        <w:tc>
          <w:tcPr>
            <w:tcW w:w="8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280</w:t>
            </w:r>
          </w:p>
        </w:tc>
        <w:tc>
          <w:tcPr>
            <w:tcW w:w="360" w:type="dxa"/>
            <w:vAlign w:val="bottom"/>
            <w:tcBorders>
              <w:top w:val="single" w:sz="8" w:color="D6F3E8"/>
            </w:tcBorders>
            <w:shd w:val="clear" w:color="auto" w:fill="D6F3E8"/>
          </w:tcPr>
          <w:p>
            <w:pPr>
              <w:spacing w:after="0"/>
              <w:rPr>
                <w:sz w:val="18"/>
                <w:szCs w:val="18"/>
                <w:color w:val="auto"/>
              </w:rPr>
            </w:pPr>
          </w:p>
        </w:tc>
        <w:tc>
          <w:tcPr>
            <w:tcW w:w="9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24.4</w:t>
            </w:r>
          </w:p>
        </w:tc>
        <w:tc>
          <w:tcPr>
            <w:tcW w:w="180" w:type="dxa"/>
            <w:vAlign w:val="bottom"/>
            <w:tcBorders>
              <w:top w:val="single" w:sz="8" w:color="D6F3E8"/>
            </w:tcBorders>
            <w:shd w:val="clear" w:color="auto" w:fill="D6F3E8"/>
          </w:tcPr>
          <w:p>
            <w:pPr>
              <w:spacing w:after="0"/>
              <w:rPr>
                <w:sz w:val="18"/>
                <w:szCs w:val="18"/>
                <w:color w:val="auto"/>
              </w:rPr>
            </w:pPr>
          </w:p>
        </w:tc>
        <w:tc>
          <w:tcPr>
            <w:tcW w:w="180" w:type="dxa"/>
            <w:vAlign w:val="bottom"/>
            <w:tcBorders>
              <w:top w:val="single" w:sz="8" w:color="D6F3E8"/>
            </w:tcBorders>
            <w:shd w:val="clear" w:color="auto" w:fill="D6F3E8"/>
          </w:tcPr>
          <w:p>
            <w:pPr>
              <w:spacing w:after="0"/>
              <w:rPr>
                <w:sz w:val="18"/>
                <w:szCs w:val="18"/>
                <w:color w:val="auto"/>
              </w:rPr>
            </w:pPr>
          </w:p>
        </w:tc>
        <w:tc>
          <w:tcPr>
            <w:tcW w:w="180" w:type="dxa"/>
            <w:vAlign w:val="bottom"/>
            <w:tcBorders>
              <w:top w:val="single" w:sz="8" w:color="auto"/>
            </w:tcBorders>
            <w:shd w:val="clear" w:color="auto" w:fill="D6F3E8"/>
          </w:tcPr>
          <w:p>
            <w:pPr>
              <w:spacing w:after="0"/>
              <w:rPr>
                <w:sz w:val="18"/>
                <w:szCs w:val="18"/>
                <w:color w:val="auto"/>
              </w:rPr>
            </w:pPr>
          </w:p>
        </w:tc>
        <w:tc>
          <w:tcPr>
            <w:tcW w:w="8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907</w:t>
            </w:r>
          </w:p>
        </w:tc>
        <w:tc>
          <w:tcPr>
            <w:tcW w:w="340" w:type="dxa"/>
            <w:vAlign w:val="bottom"/>
            <w:tcBorders>
              <w:top w:val="single" w:sz="8" w:color="D6F3E8"/>
            </w:tcBorders>
            <w:shd w:val="clear" w:color="auto" w:fill="D6F3E8"/>
          </w:tcPr>
          <w:p>
            <w:pPr>
              <w:spacing w:after="0"/>
              <w:rPr>
                <w:sz w:val="18"/>
                <w:szCs w:val="18"/>
                <w:color w:val="auto"/>
              </w:rPr>
            </w:pPr>
          </w:p>
        </w:tc>
        <w:tc>
          <w:tcPr>
            <w:tcW w:w="9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38.2</w:t>
            </w:r>
          </w:p>
        </w:tc>
        <w:tc>
          <w:tcPr>
            <w:tcW w:w="34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spacing w:after="0"/>
              <w:rPr>
                <w:sz w:val="18"/>
                <w:szCs w:val="18"/>
                <w:color w:val="auto"/>
              </w:rPr>
            </w:pPr>
          </w:p>
        </w:tc>
        <w:tc>
          <w:tcPr>
            <w:tcW w:w="8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(627)</w:t>
            </w:r>
          </w:p>
        </w:tc>
        <w:tc>
          <w:tcPr>
            <w:tcW w:w="340" w:type="dxa"/>
            <w:vAlign w:val="bottom"/>
            <w:tcBorders>
              <w:top w:val="single" w:sz="8" w:color="D6F3E8"/>
            </w:tcBorders>
            <w:shd w:val="clear" w:color="auto" w:fill="D6F3E8"/>
          </w:tcPr>
          <w:p>
            <w:pPr>
              <w:spacing w:after="0"/>
              <w:rPr>
                <w:sz w:val="18"/>
                <w:szCs w:val="18"/>
                <w:color w:val="auto"/>
              </w:rPr>
            </w:pPr>
          </w:p>
        </w:tc>
        <w:tc>
          <w:tcPr>
            <w:tcW w:w="9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Class A diesel</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w:t>
            </w:r>
          </w:p>
        </w:tc>
        <w:tc>
          <w:tcPr>
            <w:tcW w:w="1460" w:type="dxa"/>
            <w:vAlign w:val="bottom"/>
            <w:gridSpan w:val="3"/>
          </w:tcPr>
          <w:p>
            <w:pPr>
              <w:jc w:val="right"/>
              <w:ind w:right="180"/>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409</w:t>
            </w:r>
          </w:p>
        </w:tc>
        <w:tc>
          <w:tcPr>
            <w:tcW w:w="34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17.2</w:t>
            </w:r>
          </w:p>
        </w:tc>
        <w:tc>
          <w:tcPr>
            <w:tcW w:w="140" w:type="dxa"/>
            <w:vAlign w:val="bottom"/>
          </w:tcPr>
          <w:p>
            <w:pPr>
              <w:spacing w:after="0"/>
              <w:rPr>
                <w:sz w:val="18"/>
                <w:szCs w:val="18"/>
                <w:color w:val="auto"/>
              </w:rPr>
            </w:pPr>
          </w:p>
        </w:tc>
        <w:tc>
          <w:tcPr>
            <w:tcW w:w="1200" w:type="dxa"/>
            <w:vAlign w:val="bottom"/>
            <w:gridSpan w:val="2"/>
          </w:tcPr>
          <w:p>
            <w:pPr>
              <w:jc w:val="right"/>
              <w:ind w:right="198"/>
              <w:spacing w:after="0"/>
              <w:rPr>
                <w:sz w:val="20"/>
                <w:szCs w:val="20"/>
                <w:color w:val="auto"/>
              </w:rPr>
            </w:pPr>
            <w:r>
              <w:rPr>
                <w:rFonts w:ascii="Arial" w:cs="Arial" w:eastAsia="Arial" w:hAnsi="Arial"/>
                <w:sz w:val="18"/>
                <w:szCs w:val="18"/>
                <w:color w:val="auto"/>
              </w:rPr>
              <w:t>(273)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0"/>
        </w:trPr>
        <w:tc>
          <w:tcPr>
            <w:tcW w:w="3780" w:type="dxa"/>
            <w:vAlign w:val="bottom"/>
            <w:tcBorders>
              <w:top w:val="single" w:sz="8" w:color="D6F3E8"/>
            </w:tcBorders>
            <w:shd w:val="clear" w:color="auto" w:fill="D6F3E8"/>
          </w:tcPr>
          <w:p>
            <w:pPr>
              <w:spacing w:after="0" w:line="202" w:lineRule="exact"/>
              <w:rPr>
                <w:sz w:val="20"/>
                <w:szCs w:val="20"/>
                <w:color w:val="auto"/>
              </w:rPr>
            </w:pPr>
            <w:r>
              <w:rPr>
                <w:rFonts w:ascii="Arial" w:cs="Arial" w:eastAsia="Arial" w:hAnsi="Arial"/>
                <w:sz w:val="18"/>
                <w:szCs w:val="18"/>
                <w:color w:val="auto"/>
              </w:rPr>
              <w:t>Total Class A</w:t>
            </w:r>
          </w:p>
        </w:tc>
        <w:tc>
          <w:tcPr>
            <w:tcW w:w="200" w:type="dxa"/>
            <w:vAlign w:val="bottom"/>
            <w:tcBorders>
              <w:top w:val="single" w:sz="8" w:color="auto"/>
            </w:tcBorders>
            <w:shd w:val="clear" w:color="auto" w:fill="D6F3E8"/>
          </w:tcPr>
          <w:p>
            <w:pPr>
              <w:spacing w:after="0"/>
              <w:rPr>
                <w:sz w:val="18"/>
                <w:szCs w:val="18"/>
                <w:color w:val="auto"/>
              </w:rPr>
            </w:pPr>
          </w:p>
        </w:tc>
        <w:tc>
          <w:tcPr>
            <w:tcW w:w="8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416</w:t>
            </w:r>
          </w:p>
        </w:tc>
        <w:tc>
          <w:tcPr>
            <w:tcW w:w="360" w:type="dxa"/>
            <w:vAlign w:val="bottom"/>
            <w:tcBorders>
              <w:top w:val="single" w:sz="8" w:color="D6F3E8"/>
            </w:tcBorders>
            <w:shd w:val="clear" w:color="auto" w:fill="D6F3E8"/>
          </w:tcPr>
          <w:p>
            <w:pPr>
              <w:spacing w:after="0"/>
              <w:rPr>
                <w:sz w:val="18"/>
                <w:szCs w:val="18"/>
                <w:color w:val="auto"/>
              </w:rPr>
            </w:pPr>
          </w:p>
        </w:tc>
        <w:tc>
          <w:tcPr>
            <w:tcW w:w="9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36.3</w:t>
            </w:r>
          </w:p>
        </w:tc>
        <w:tc>
          <w:tcPr>
            <w:tcW w:w="180" w:type="dxa"/>
            <w:vAlign w:val="bottom"/>
            <w:tcBorders>
              <w:top w:val="single" w:sz="8" w:color="D6F3E8"/>
            </w:tcBorders>
            <w:shd w:val="clear" w:color="auto" w:fill="D6F3E8"/>
          </w:tcPr>
          <w:p>
            <w:pPr>
              <w:spacing w:after="0"/>
              <w:rPr>
                <w:sz w:val="18"/>
                <w:szCs w:val="18"/>
                <w:color w:val="auto"/>
              </w:rPr>
            </w:pPr>
          </w:p>
        </w:tc>
        <w:tc>
          <w:tcPr>
            <w:tcW w:w="180" w:type="dxa"/>
            <w:vAlign w:val="bottom"/>
            <w:tcBorders>
              <w:top w:val="single" w:sz="8" w:color="D6F3E8"/>
            </w:tcBorders>
            <w:shd w:val="clear" w:color="auto" w:fill="D6F3E8"/>
          </w:tcPr>
          <w:p>
            <w:pPr>
              <w:spacing w:after="0"/>
              <w:rPr>
                <w:sz w:val="18"/>
                <w:szCs w:val="18"/>
                <w:color w:val="auto"/>
              </w:rPr>
            </w:pPr>
          </w:p>
        </w:tc>
        <w:tc>
          <w:tcPr>
            <w:tcW w:w="180" w:type="dxa"/>
            <w:vAlign w:val="bottom"/>
            <w:tcBorders>
              <w:top w:val="single" w:sz="8" w:color="auto"/>
            </w:tcBorders>
            <w:shd w:val="clear" w:color="auto" w:fill="D6F3E8"/>
          </w:tcPr>
          <w:p>
            <w:pPr>
              <w:spacing w:after="0"/>
              <w:rPr>
                <w:sz w:val="18"/>
                <w:szCs w:val="18"/>
                <w:color w:val="auto"/>
              </w:rPr>
            </w:pPr>
          </w:p>
        </w:tc>
        <w:tc>
          <w:tcPr>
            <w:tcW w:w="8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1,316</w:t>
            </w:r>
          </w:p>
        </w:tc>
        <w:tc>
          <w:tcPr>
            <w:tcW w:w="340" w:type="dxa"/>
            <w:vAlign w:val="bottom"/>
            <w:tcBorders>
              <w:top w:val="single" w:sz="8" w:color="D6F3E8"/>
            </w:tcBorders>
            <w:shd w:val="clear" w:color="auto" w:fill="D6F3E8"/>
          </w:tcPr>
          <w:p>
            <w:pPr>
              <w:spacing w:after="0"/>
              <w:rPr>
                <w:sz w:val="18"/>
                <w:szCs w:val="18"/>
                <w:color w:val="auto"/>
              </w:rPr>
            </w:pPr>
          </w:p>
        </w:tc>
        <w:tc>
          <w:tcPr>
            <w:tcW w:w="9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55.4</w:t>
            </w:r>
          </w:p>
        </w:tc>
        <w:tc>
          <w:tcPr>
            <w:tcW w:w="34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spacing w:after="0"/>
              <w:rPr>
                <w:sz w:val="18"/>
                <w:szCs w:val="18"/>
                <w:color w:val="auto"/>
              </w:rPr>
            </w:pPr>
          </w:p>
        </w:tc>
        <w:tc>
          <w:tcPr>
            <w:tcW w:w="8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(900)</w:t>
            </w:r>
          </w:p>
        </w:tc>
        <w:tc>
          <w:tcPr>
            <w:tcW w:w="340" w:type="dxa"/>
            <w:vAlign w:val="bottom"/>
            <w:tcBorders>
              <w:top w:val="single" w:sz="8" w:color="D6F3E8"/>
            </w:tcBorders>
            <w:shd w:val="clear" w:color="auto" w:fill="D6F3E8"/>
          </w:tcPr>
          <w:p>
            <w:pPr>
              <w:spacing w:after="0"/>
              <w:rPr>
                <w:sz w:val="18"/>
                <w:szCs w:val="18"/>
                <w:color w:val="auto"/>
              </w:rPr>
            </w:pPr>
          </w:p>
        </w:tc>
        <w:tc>
          <w:tcPr>
            <w:tcW w:w="9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Class C</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44.9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1,059</w:t>
            </w:r>
          </w:p>
        </w:tc>
        <w:tc>
          <w:tcPr>
            <w:tcW w:w="34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44.6</w:t>
            </w:r>
          </w:p>
        </w:tc>
        <w:tc>
          <w:tcPr>
            <w:tcW w:w="140" w:type="dxa"/>
            <w:vAlign w:val="bottom"/>
          </w:tcPr>
          <w:p>
            <w:pPr>
              <w:spacing w:after="0"/>
              <w:rPr>
                <w:sz w:val="18"/>
                <w:szCs w:val="18"/>
                <w:color w:val="auto"/>
              </w:rPr>
            </w:pPr>
          </w:p>
        </w:tc>
        <w:tc>
          <w:tcPr>
            <w:tcW w:w="1200" w:type="dxa"/>
            <w:vAlign w:val="bottom"/>
            <w:gridSpan w:val="2"/>
          </w:tcPr>
          <w:p>
            <w:pPr>
              <w:jc w:val="right"/>
              <w:ind w:right="198"/>
              <w:spacing w:after="0"/>
              <w:rPr>
                <w:sz w:val="20"/>
                <w:szCs w:val="20"/>
                <w:color w:val="auto"/>
              </w:rPr>
            </w:pPr>
            <w:r>
              <w:rPr>
                <w:rFonts w:ascii="Arial" w:cs="Arial" w:eastAsia="Arial" w:hAnsi="Arial"/>
                <w:sz w:val="18"/>
                <w:szCs w:val="18"/>
                <w:color w:val="auto"/>
              </w:rPr>
              <w:t>(544)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3780" w:type="dxa"/>
            <w:vAlign w:val="bottom"/>
            <w:shd w:val="clear" w:color="auto" w:fill="D6F3E8"/>
          </w:tcPr>
          <w:p>
            <w:pPr>
              <w:spacing w:after="0"/>
              <w:rPr>
                <w:sz w:val="20"/>
                <w:szCs w:val="20"/>
                <w:color w:val="auto"/>
              </w:rPr>
            </w:pPr>
            <w:r>
              <w:rPr>
                <w:rFonts w:ascii="Arial" w:cs="Arial" w:eastAsia="Arial" w:hAnsi="Arial"/>
                <w:sz w:val="18"/>
                <w:szCs w:val="18"/>
                <w:color w:val="auto"/>
              </w:rPr>
              <w:t>Class B</w:t>
            </w:r>
          </w:p>
        </w:tc>
        <w:tc>
          <w:tcPr>
            <w:tcW w:w="20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216</w:t>
            </w:r>
          </w:p>
        </w:tc>
        <w:tc>
          <w:tcPr>
            <w:tcW w:w="12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18.8</w:t>
            </w:r>
          </w:p>
        </w:tc>
        <w:tc>
          <w:tcPr>
            <w:tcW w:w="18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18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D6F3E8"/>
          </w:tcPr>
          <w:p>
            <w:pPr>
              <w:spacing w:after="0"/>
              <w:rPr>
                <w:sz w:val="18"/>
                <w:szCs w:val="18"/>
                <w:color w:val="auto"/>
              </w:rPr>
            </w:pP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216</w:t>
            </w:r>
          </w:p>
        </w:tc>
        <w:tc>
          <w:tcPr>
            <w:tcW w:w="340" w:type="dxa"/>
            <w:vAlign w:val="bottom"/>
            <w:shd w:val="clear" w:color="auto" w:fill="D6F3E8"/>
          </w:tcPr>
          <w:p>
            <w:pPr>
              <w:spacing w:after="0"/>
              <w:rPr>
                <w:sz w:val="18"/>
                <w:szCs w:val="18"/>
                <w:color w:val="auto"/>
              </w:rPr>
            </w:pPr>
          </w:p>
        </w:tc>
        <w:tc>
          <w:tcPr>
            <w:tcW w:w="1020" w:type="dxa"/>
            <w:vAlign w:val="bottom"/>
            <w:gridSpan w:val="2"/>
            <w:shd w:val="clear" w:color="auto" w:fill="D6F3E8"/>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D6F3E8"/>
            </w:tcBorders>
          </w:tcPr>
          <w:p>
            <w:pPr>
              <w:spacing w:after="0" w:line="202" w:lineRule="exact"/>
              <w:rPr>
                <w:sz w:val="20"/>
                <w:szCs w:val="20"/>
                <w:color w:val="auto"/>
              </w:rPr>
            </w:pPr>
            <w:r>
              <w:rPr>
                <w:rFonts w:ascii="Arial" w:cs="Arial" w:eastAsia="Arial" w:hAnsi="Arial"/>
                <w:sz w:val="18"/>
                <w:szCs w:val="18"/>
                <w:color w:val="auto"/>
              </w:rPr>
              <w:t>Total backlog</w:t>
            </w:r>
          </w:p>
        </w:tc>
        <w:tc>
          <w:tcPr>
            <w:tcW w:w="20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1,147</w:t>
            </w:r>
          </w:p>
        </w:tc>
        <w:tc>
          <w:tcPr>
            <w:tcW w:w="360" w:type="dxa"/>
            <w:vAlign w:val="bottom"/>
            <w:tcBorders>
              <w:bottom w:val="single" w:sz="8" w:color="D6F3E8"/>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D6F3E8"/>
            </w:tcBorders>
          </w:tcPr>
          <w:p>
            <w:pPr>
              <w:spacing w:after="0"/>
              <w:rPr>
                <w:sz w:val="21"/>
                <w:szCs w:val="21"/>
                <w:color w:val="auto"/>
              </w:rPr>
            </w:pPr>
          </w:p>
        </w:tc>
        <w:tc>
          <w:tcPr>
            <w:tcW w:w="180" w:type="dxa"/>
            <w:vAlign w:val="bottom"/>
            <w:tcBorders>
              <w:bottom w:val="single" w:sz="8" w:color="D6F3E8"/>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2,375</w:t>
            </w:r>
          </w:p>
        </w:tc>
        <w:tc>
          <w:tcPr>
            <w:tcW w:w="340" w:type="dxa"/>
            <w:vAlign w:val="bottom"/>
            <w:tcBorders>
              <w:bottom w:val="single" w:sz="8" w:color="D6F3E8"/>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Borders>
              <w:bottom w:val="single" w:sz="8" w:color="D6F3E8"/>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(1,228</w:t>
            </w:r>
          </w:p>
        </w:tc>
        <w:tc>
          <w:tcPr>
            <w:tcW w:w="340" w:type="dxa"/>
            <w:vAlign w:val="bottom"/>
            <w:tcBorders>
              <w:bottom w:val="single" w:sz="8" w:color="D6F3E8"/>
            </w:tcBorders>
          </w:tcPr>
          <w:p>
            <w:pPr>
              <w:jc w:val="right"/>
              <w:ind w:right="198"/>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D6F3E8"/>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3780" w:type="dxa"/>
            <w:vAlign w:val="bottom"/>
            <w:tcBorders>
              <w:bottom w:val="single" w:sz="8" w:color="D6F3E8"/>
            </w:tcBorders>
            <w:shd w:val="clear" w:color="auto" w:fill="D6F3E8"/>
          </w:tcPr>
          <w:p>
            <w:pPr>
              <w:spacing w:after="0" w:line="182" w:lineRule="exact"/>
              <w:rPr>
                <w:sz w:val="20"/>
                <w:szCs w:val="20"/>
                <w:color w:val="auto"/>
              </w:rPr>
            </w:pPr>
            <w:r>
              <w:rPr>
                <w:rFonts w:ascii="Arial" w:cs="Arial" w:eastAsia="Arial" w:hAnsi="Arial"/>
                <w:sz w:val="18"/>
                <w:szCs w:val="18"/>
                <w:color w:val="auto"/>
              </w:rPr>
              <w:t>Total approximate revenue dollars (in millions)</w:t>
            </w:r>
          </w:p>
        </w:tc>
        <w:tc>
          <w:tcPr>
            <w:tcW w:w="200" w:type="dxa"/>
            <w:vAlign w:val="bottom"/>
            <w:tcBorders>
              <w:bottom w:val="single" w:sz="8" w:color="auto"/>
            </w:tcBorders>
            <w:shd w:val="clear" w:color="auto" w:fill="D6F3E8"/>
          </w:tcPr>
          <w:p>
            <w:pPr>
              <w:jc w:val="right"/>
              <w:ind w:right="12"/>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D6F3E8"/>
          </w:tcPr>
          <w:p>
            <w:pPr>
              <w:jc w:val="right"/>
              <w:spacing w:after="0" w:line="196" w:lineRule="exact"/>
              <w:rPr>
                <w:sz w:val="20"/>
                <w:szCs w:val="20"/>
                <w:color w:val="auto"/>
              </w:rPr>
            </w:pPr>
            <w:r>
              <w:rPr>
                <w:rFonts w:ascii="Arial" w:cs="Arial" w:eastAsia="Arial" w:hAnsi="Arial"/>
                <w:sz w:val="18"/>
                <w:szCs w:val="18"/>
                <w:color w:val="auto"/>
              </w:rPr>
              <w:t>93.9</w:t>
            </w:r>
          </w:p>
        </w:tc>
        <w:tc>
          <w:tcPr>
            <w:tcW w:w="360" w:type="dxa"/>
            <w:vAlign w:val="bottom"/>
            <w:tcBorders>
              <w:bottom w:val="single" w:sz="8" w:color="D6F3E8"/>
            </w:tcBorders>
            <w:shd w:val="clear" w:color="auto" w:fill="D6F3E8"/>
          </w:tcPr>
          <w:p>
            <w:pPr>
              <w:spacing w:after="0"/>
              <w:rPr>
                <w:sz w:val="17"/>
                <w:szCs w:val="17"/>
                <w:color w:val="auto"/>
              </w:rPr>
            </w:pPr>
          </w:p>
        </w:tc>
        <w:tc>
          <w:tcPr>
            <w:tcW w:w="920" w:type="dxa"/>
            <w:vAlign w:val="bottom"/>
            <w:tcBorders>
              <w:bottom w:val="single" w:sz="8" w:color="D6F3E8"/>
            </w:tcBorders>
            <w:shd w:val="clear" w:color="auto" w:fill="D6F3E8"/>
          </w:tcPr>
          <w:p>
            <w:pPr>
              <w:spacing w:after="0"/>
              <w:rPr>
                <w:sz w:val="17"/>
                <w:szCs w:val="17"/>
                <w:color w:val="auto"/>
              </w:rPr>
            </w:pPr>
          </w:p>
        </w:tc>
        <w:tc>
          <w:tcPr>
            <w:tcW w:w="180" w:type="dxa"/>
            <w:vAlign w:val="bottom"/>
            <w:tcBorders>
              <w:bottom w:val="single" w:sz="8" w:color="D6F3E8"/>
            </w:tcBorders>
            <w:shd w:val="clear" w:color="auto" w:fill="D6F3E8"/>
          </w:tcPr>
          <w:p>
            <w:pPr>
              <w:spacing w:after="0"/>
              <w:rPr>
                <w:sz w:val="17"/>
                <w:szCs w:val="17"/>
                <w:color w:val="auto"/>
              </w:rPr>
            </w:pPr>
          </w:p>
        </w:tc>
        <w:tc>
          <w:tcPr>
            <w:tcW w:w="180" w:type="dxa"/>
            <w:vAlign w:val="bottom"/>
            <w:tcBorders>
              <w:bottom w:val="single" w:sz="8" w:color="D6F3E8"/>
            </w:tcBorders>
            <w:shd w:val="clear" w:color="auto" w:fill="D6F3E8"/>
          </w:tcPr>
          <w:p>
            <w:pPr>
              <w:spacing w:after="0"/>
              <w:rPr>
                <w:sz w:val="17"/>
                <w:szCs w:val="17"/>
                <w:color w:val="auto"/>
              </w:rPr>
            </w:pPr>
          </w:p>
        </w:tc>
        <w:tc>
          <w:tcPr>
            <w:tcW w:w="180" w:type="dxa"/>
            <w:vAlign w:val="bottom"/>
            <w:tcBorders>
              <w:bottom w:val="single" w:sz="8" w:color="auto"/>
            </w:tcBorders>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D6F3E8"/>
          </w:tcPr>
          <w:p>
            <w:pPr>
              <w:jc w:val="right"/>
              <w:spacing w:after="0" w:line="196" w:lineRule="exact"/>
              <w:rPr>
                <w:sz w:val="20"/>
                <w:szCs w:val="20"/>
                <w:color w:val="auto"/>
              </w:rPr>
            </w:pPr>
            <w:r>
              <w:rPr>
                <w:rFonts w:ascii="Arial" w:cs="Arial" w:eastAsia="Arial" w:hAnsi="Arial"/>
                <w:sz w:val="18"/>
                <w:szCs w:val="18"/>
                <w:color w:val="auto"/>
              </w:rPr>
              <w:t>207.6</w:t>
            </w:r>
          </w:p>
        </w:tc>
        <w:tc>
          <w:tcPr>
            <w:tcW w:w="340" w:type="dxa"/>
            <w:vAlign w:val="bottom"/>
            <w:tcBorders>
              <w:bottom w:val="single" w:sz="8" w:color="D6F3E8"/>
            </w:tcBorders>
            <w:shd w:val="clear" w:color="auto" w:fill="D6F3E8"/>
          </w:tcPr>
          <w:p>
            <w:pPr>
              <w:spacing w:after="0"/>
              <w:rPr>
                <w:sz w:val="17"/>
                <w:szCs w:val="17"/>
                <w:color w:val="auto"/>
              </w:rPr>
            </w:pPr>
          </w:p>
        </w:tc>
        <w:tc>
          <w:tcPr>
            <w:tcW w:w="900" w:type="dxa"/>
            <w:vAlign w:val="bottom"/>
            <w:tcBorders>
              <w:bottom w:val="single" w:sz="8" w:color="D6F3E8"/>
            </w:tcBorders>
            <w:shd w:val="clear" w:color="auto" w:fill="D6F3E8"/>
          </w:tcPr>
          <w:p>
            <w:pPr>
              <w:spacing w:after="0"/>
              <w:rPr>
                <w:sz w:val="17"/>
                <w:szCs w:val="17"/>
                <w:color w:val="auto"/>
              </w:rPr>
            </w:pPr>
          </w:p>
        </w:tc>
        <w:tc>
          <w:tcPr>
            <w:tcW w:w="340" w:type="dxa"/>
            <w:vAlign w:val="bottom"/>
            <w:tcBorders>
              <w:bottom w:val="single" w:sz="8" w:color="D6F3E8"/>
            </w:tcBorders>
            <w:shd w:val="clear" w:color="auto" w:fill="D6F3E8"/>
          </w:tcPr>
          <w:p>
            <w:pPr>
              <w:spacing w:after="0"/>
              <w:rPr>
                <w:sz w:val="17"/>
                <w:szCs w:val="17"/>
                <w:color w:val="auto"/>
              </w:rPr>
            </w:pPr>
          </w:p>
        </w:tc>
        <w:tc>
          <w:tcPr>
            <w:tcW w:w="1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D6F3E8"/>
          </w:tcPr>
          <w:p>
            <w:pPr>
              <w:jc w:val="right"/>
              <w:spacing w:after="0" w:line="196" w:lineRule="exact"/>
              <w:rPr>
                <w:sz w:val="20"/>
                <w:szCs w:val="20"/>
                <w:color w:val="auto"/>
              </w:rPr>
            </w:pPr>
            <w:r>
              <w:rPr>
                <w:rFonts w:ascii="Arial" w:cs="Arial" w:eastAsia="Arial" w:hAnsi="Arial"/>
                <w:sz w:val="18"/>
                <w:szCs w:val="18"/>
                <w:color w:val="auto"/>
              </w:rPr>
              <w:t>(113.7)</w:t>
            </w:r>
          </w:p>
        </w:tc>
        <w:tc>
          <w:tcPr>
            <w:tcW w:w="340" w:type="dxa"/>
            <w:vAlign w:val="bottom"/>
            <w:tcBorders>
              <w:bottom w:val="single" w:sz="8" w:color="D6F3E8"/>
            </w:tcBorders>
            <w:shd w:val="clear" w:color="auto" w:fill="D6F3E8"/>
          </w:tcPr>
          <w:p>
            <w:pPr>
              <w:spacing w:after="0"/>
              <w:rPr>
                <w:sz w:val="17"/>
                <w:szCs w:val="17"/>
                <w:color w:val="auto"/>
              </w:rPr>
            </w:pPr>
          </w:p>
        </w:tc>
        <w:tc>
          <w:tcPr>
            <w:tcW w:w="920" w:type="dxa"/>
            <w:vAlign w:val="bottom"/>
            <w:tcBorders>
              <w:bottom w:val="single" w:sz="8" w:color="auto"/>
            </w:tcBorders>
            <w:shd w:val="clear" w:color="auto" w:fill="D6F3E8"/>
          </w:tcPr>
          <w:p>
            <w:pPr>
              <w:jc w:val="right"/>
              <w:spacing w:after="0" w:line="196" w:lineRule="exact"/>
              <w:rPr>
                <w:sz w:val="20"/>
                <w:szCs w:val="20"/>
                <w:color w:val="auto"/>
              </w:rPr>
            </w:pPr>
            <w:r>
              <w:rPr>
                <w:rFonts w:ascii="Arial" w:cs="Arial" w:eastAsia="Arial" w:hAnsi="Arial"/>
                <w:sz w:val="18"/>
                <w:szCs w:val="18"/>
                <w:color w:val="auto"/>
              </w:rPr>
              <w:t>(54.8)</w:t>
            </w:r>
          </w:p>
        </w:tc>
        <w:tc>
          <w:tcPr>
            <w:tcW w:w="100" w:type="dxa"/>
            <w:vAlign w:val="bottom"/>
            <w:tcBorders>
              <w:bottom w:val="single" w:sz="8" w:color="D6F3E8"/>
            </w:tcBorders>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color w:val="auto"/>
              </w:rPr>
              <w:t>Dealer inventory (units)</w:t>
            </w: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80" w:type="dxa"/>
            <w:vAlign w:val="bottom"/>
            <w:vMerge w:val="continue"/>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4,341</w:t>
            </w: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4,604</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(263)</w:t>
            </w:r>
          </w:p>
        </w:tc>
        <w:tc>
          <w:tcPr>
            <w:tcW w:w="340" w:type="dxa"/>
            <w:vAlign w:val="bottom"/>
            <w:tcBorders>
              <w:top w:val="single" w:sz="8" w:color="D6F3E8"/>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w:t>
            </w:r>
          </w:p>
        </w:tc>
        <w:tc>
          <w:tcPr>
            <w:tcW w:w="100" w:type="dxa"/>
            <w:vAlign w:val="bottom"/>
            <w:tcBorders>
              <w:top w:val="single" w:sz="8" w:color="D6F3E8"/>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We include in our backlog all accepted purchase orders from dealers to be shipped within the next six months. Orders in backlog can be canceled or postponed at the option of the purchaser at any time without penalty and, therefore, backlog may not necessarily be an accurate measure of future sales.</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While current economic conditions are adversely affecting us and the industry, long-term demographics still remain favorable for our target market of consumers age 50 and older which is expected to substantially increase over the next 30 years due to the aging of the baby boom market. Also, according to a 2005 study conducted by the University of Michigan, the age at which the motor home consumer is purchasing motor homes has broadened. Motor home buyers are entering the market earlier than in the past, as young as 35, and living active and healthier lives with more buyers remaining in the RV lifestyle over the age of 75. The study also indicates that owners are using their motor homes for more than just traditional camping, having a positive impact on long-term motor home market growth. The study shows that motor homes are used to pursue consumers’ many lifestyle passions which may include going to motor sports events or tailgating at sporting events.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64"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Our consolidated financial statements are prepared in accordance with accounting principles generally accepted in the United States (“GAAP”). In connection with the preparation of our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that we believe to be relevant at the time our consolidated financial statements are prepared. On a regular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10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We believe that the following accounting estimates and policies are the most critical to aid in fully understanding and evaluating our reported financial results and they require our most difficult, subjective or complex judgments resulting from the need to make estimates about the effect of matters that are inherently uncertain. We have reviewed these critical accounting estimates and related disclosures with the Audit Committee of our Board of Directors.</w:t>
      </w:r>
    </w:p>
    <w:p>
      <w:pPr>
        <w:spacing w:after="0" w:line="87"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Generally, revenues for motor homes are recorded when all of the following conditions are met: an order for a product has been received</w:t>
      </w:r>
      <w:r>
        <w:rPr>
          <w:rFonts w:ascii="Arial" w:cs="Arial" w:eastAsia="Arial" w:hAnsi="Arial"/>
          <w:sz w:val="16"/>
          <w:szCs w:val="16"/>
          <w:b w:val="1"/>
          <w:bCs w:val="1"/>
          <w:color w:val="auto"/>
        </w:rPr>
        <w:t xml:space="preserve"> </w:t>
      </w:r>
      <w:r>
        <w:rPr>
          <w:rFonts w:ascii="Arial" w:cs="Arial" w:eastAsia="Arial" w:hAnsi="Arial"/>
          <w:sz w:val="16"/>
          <w:szCs w:val="16"/>
          <w:color w:val="auto"/>
        </w:rPr>
        <w:t>from a dealer; written or verbal approval for payment has been received from the dealer’s floorplan financing institution; and the product is delivered to the dealer who placed the order. Most sales are financed under floorplan financing arrangements with banks or finance companies.</w:t>
      </w:r>
    </w:p>
    <w:p>
      <w:pPr>
        <w:spacing w:after="0" w:line="90"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Revenues from the sales of our original equipment manufacturing components and motor home-related parts are recorded as the products are shipped from our location. The title of ownership transfers on these products as they leave our location due to the freight terms of F.O.B. - Forest City, Iowa.</w:t>
      </w:r>
    </w:p>
    <w:p>
      <w:pPr>
        <w:spacing w:after="0" w:line="66"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b w:val="1"/>
          <w:bCs w:val="1"/>
          <w:color w:val="auto"/>
        </w:rPr>
        <w:t xml:space="preserve">Postretirement Benefits Obligations and Costs. </w:t>
      </w:r>
      <w:r>
        <w:rPr>
          <w:rFonts w:ascii="Arial" w:cs="Arial" w:eastAsia="Arial" w:hAnsi="Arial"/>
          <w:sz w:val="16"/>
          <w:szCs w:val="16"/>
          <w:color w:val="auto"/>
        </w:rPr>
        <w:t>We provide certain health care benefits for retired employees, hired before April 1, 2001, who have fulfilled</w:t>
      </w:r>
      <w:r>
        <w:rPr>
          <w:rFonts w:ascii="Arial" w:cs="Arial" w:eastAsia="Arial" w:hAnsi="Arial"/>
          <w:sz w:val="16"/>
          <w:szCs w:val="16"/>
          <w:b w:val="1"/>
          <w:bCs w:val="1"/>
          <w:color w:val="auto"/>
        </w:rPr>
        <w:t xml:space="preserve"> </w:t>
      </w:r>
      <w:r>
        <w:rPr>
          <w:rFonts w:ascii="Arial" w:cs="Arial" w:eastAsia="Arial" w:hAnsi="Arial"/>
          <w:sz w:val="16"/>
          <w:szCs w:val="16"/>
          <w:color w:val="auto"/>
        </w:rPr>
        <w:t>eligibility requirements at age 55 with 15 years of continuous service. Postretirement benefit liabilities are determined by actuaries using assumptions about the discount rate and health care cost-trend rates. Thus, a significant increase or decrease in interest rates could have a significant impact on our operating results. Further discussion of our postretirement benefit plan and related assumptions is included in Note 8 to the Consolidated Financial Statements.</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color w:val="auto"/>
        </w:rPr>
        <w:t xml:space="preserve">Warranty. </w:t>
      </w:r>
      <w:r>
        <w:rPr>
          <w:rFonts w:ascii="Arial" w:cs="Arial" w:eastAsia="Arial" w:hAnsi="Arial"/>
          <w:sz w:val="16"/>
          <w:szCs w:val="16"/>
          <w:color w:val="auto"/>
        </w:rPr>
        <w:t>We provide, with the purchase of any new motor home, a comprehensive 12-month/15,000-mile warranty and a 3-year/36,000-mile warranty on</w:t>
      </w:r>
      <w:r>
        <w:rPr>
          <w:rFonts w:ascii="Arial" w:cs="Arial" w:eastAsia="Arial" w:hAnsi="Arial"/>
          <w:sz w:val="16"/>
          <w:szCs w:val="16"/>
          <w:b w:val="1"/>
          <w:bCs w:val="1"/>
          <w:color w:val="auto"/>
        </w:rPr>
        <w:t xml:space="preserve"> </w:t>
      </w:r>
      <w:r>
        <w:rPr>
          <w:rFonts w:ascii="Arial" w:cs="Arial" w:eastAsia="Arial" w:hAnsi="Arial"/>
          <w:sz w:val="16"/>
          <w:szCs w:val="16"/>
          <w:color w:val="auto"/>
        </w:rPr>
        <w:t>sidewalls and floors. Estimated costs related to product warranty are accrued at the time of sale and are based upon past warranty claims and unit sales history and adjusted as required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 We also incur costs as a result of additional service actions not covered by our warranties, including product recalls and customer satisfaction actions. Estimated costs are accrued at the time the service action is implemented and are based upon past claim rate experiences and the estimated cost of the repairs. Further discussion of our warranty costs and associated accruals is included in Note 6.</w:t>
      </w:r>
    </w:p>
    <w:p>
      <w:pPr>
        <w:spacing w:after="0" w:line="100" w:lineRule="exact"/>
        <w:rPr>
          <w:sz w:val="20"/>
          <w:szCs w:val="20"/>
          <w:color w:val="auto"/>
        </w:rPr>
      </w:pPr>
    </w:p>
    <w:p>
      <w:pPr>
        <w:jc w:val="both"/>
        <w:ind w:right="260"/>
        <w:spacing w:after="0" w:line="262"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We have granted both stock options and restricted stock awards to our key employees and nonemployee directors as part of their</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In years prior to Fiscal 2007, stock-based compensation consisted primarily of stock options. In the first quarter of both Fiscal 2008 and Fiscal 2007, we granted restricted stock awards to key employees.</w:t>
      </w:r>
    </w:p>
    <w:p>
      <w:pPr>
        <w:spacing w:after="0" w:line="12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amount of compensation expense incurred related to stock awards and to be incurred in future periods is dependent upon a number of factors, such as the number of awards, both options and shares granted, the timing of stock option exercises and actual forfeiture rates. We estimate the fair value of all stock option awards as of the date of grant by applying the Black-Scholes option-pricing model. The application of this valuation model involves assumptions, some of which are judgmental and highly sensitive, in determination of stock option compensation expense. These assumptions include, among others, our expected stock price volatility and the expected life of our stock options, which are based primarily on our historical experience.</w:t>
      </w:r>
    </w:p>
    <w:p>
      <w:pPr>
        <w:spacing w:after="0" w:line="102" w:lineRule="exact"/>
        <w:rPr>
          <w:sz w:val="20"/>
          <w:szCs w:val="20"/>
          <w:color w:val="auto"/>
        </w:rPr>
      </w:pPr>
    </w:p>
    <w:p>
      <w:pPr>
        <w:ind w:right="200"/>
        <w:spacing w:after="0" w:line="370" w:lineRule="auto"/>
        <w:rPr>
          <w:sz w:val="20"/>
          <w:szCs w:val="20"/>
          <w:color w:val="auto"/>
        </w:rPr>
      </w:pPr>
      <w:r>
        <w:rPr>
          <w:rFonts w:ascii="Arial" w:cs="Arial" w:eastAsia="Arial" w:hAnsi="Arial"/>
          <w:sz w:val="15"/>
          <w:szCs w:val="15"/>
          <w:color w:val="auto"/>
        </w:rPr>
        <w:t>The value of the restricted stock is based on the closing price of our common stock on the date of grant. The fair value of each award is amortized on a straight-line basis over the requisite service period or to an employee’s eligible retirement date, if earlier. This is because our awards typically vest over three years or</w:t>
      </w:r>
    </w:p>
    <w:p>
      <w:pPr>
        <w:sectPr>
          <w:pgSz w:w="11900" w:h="16975" w:orient="portrait"/>
          <w:cols w:equalWidth="0" w:num="1">
            <w:col w:w="11420"/>
          </w:cols>
          <w:pgMar w:left="240" w:top="131" w:right="239" w:bottom="0" w:gutter="0" w:footer="0" w:header="0"/>
        </w:sectPr>
      </w:pPr>
    </w:p>
    <w:bookmarkStart w:id="9" w:name="page10"/>
    <w:bookmarkEnd w:id="9"/>
    <w:p>
      <w:pPr>
        <w:ind w:right="140"/>
        <w:spacing w:after="0" w:line="255" w:lineRule="auto"/>
        <w:rPr>
          <w:sz w:val="20"/>
          <w:szCs w:val="20"/>
          <w:color w:val="auto"/>
        </w:rPr>
      </w:pPr>
      <w:r>
        <w:rPr>
          <w:rFonts w:ascii="Arial" w:cs="Arial" w:eastAsia="Arial" w:hAnsi="Arial"/>
          <w:sz w:val="18"/>
          <w:szCs w:val="18"/>
          <w:color w:val="auto"/>
        </w:rPr>
        <w:t>upon retirement if earlier; thus, options and restricted stock awards are expensed immediately upon grant for retirement-eligible employees. This feature accelerates expense in the period of grant (typically our first fiscal quarter) and creates an uneven pattern of stock-based compensation that results in relatively higher expense in our first fiscal quarter and relatively lower expense in our second through fourth quarters. The impact of this feature is significant since a majority of our awards are made to retirement-eligible employees. Further discussion of our stock-based compensation is included in Note 2 to the Consolidated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We have reserves for unrecognized tax benefits and other loss exposures, such as litigation, product liability, repurchase commitments, worker’s</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employee medical claims, inventory and accounts receivable. We also have loss exposure on loan guarantees. Establishing loss reserves for these matters requires the use of estimates and judgment in regards to risk exposure and ultimate liability. We estimate losses under the programs using consistent and appropriate methods; however, changes in assumptions could materially affect our recorded liabilities for loss.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Third Quarter Compared to the Third Quarter Last Year</w:t>
      </w:r>
    </w:p>
    <w:p>
      <w:pPr>
        <w:spacing w:after="0" w:line="16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following is an analysis of changes in key items included in the consolidated statements of income for the quarter ended May 31, 2008 compared to the quarter ended May 26, 2007.</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right"/>
              <w:ind w:right="740"/>
              <w:spacing w:after="0"/>
              <w:rPr>
                <w:sz w:val="20"/>
                <w:szCs w:val="20"/>
                <w:color w:val="auto"/>
              </w:rPr>
            </w:pPr>
            <w:r>
              <w:rPr>
                <w:rFonts w:ascii="Arial" w:cs="Arial" w:eastAsia="Arial" w:hAnsi="Arial"/>
                <w:sz w:val="14"/>
                <w:szCs w:val="14"/>
                <w:b w:val="1"/>
                <w:bCs w:val="1"/>
                <w:color w:val="auto"/>
              </w:rPr>
              <w:t>Quarter Ended</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jc w:val="right"/>
              <w:ind w:right="360"/>
              <w:spacing w:after="0" w:line="129" w:lineRule="exact"/>
              <w:rPr>
                <w:sz w:val="20"/>
                <w:szCs w:val="20"/>
                <w:color w:val="auto"/>
              </w:rPr>
            </w:pPr>
            <w:r>
              <w:rPr>
                <w:rFonts w:ascii="Arial" w:cs="Arial" w:eastAsia="Arial" w:hAnsi="Arial"/>
                <w:sz w:val="14"/>
                <w:szCs w:val="14"/>
                <w:b w:val="1"/>
                <w:bCs w:val="1"/>
                <w:color w:val="auto"/>
              </w:rPr>
              <w:t>May 31,</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jc w:val="right"/>
              <w:ind w:right="420"/>
              <w:spacing w:after="0" w:line="129" w:lineRule="exact"/>
              <w:rPr>
                <w:sz w:val="20"/>
                <w:szCs w:val="20"/>
                <w:color w:val="auto"/>
              </w:rPr>
            </w:pPr>
            <w:r>
              <w:rPr>
                <w:rFonts w:ascii="Arial" w:cs="Arial" w:eastAsia="Arial" w:hAnsi="Arial"/>
                <w:sz w:val="14"/>
                <w:szCs w:val="14"/>
                <w:b w:val="1"/>
                <w:bCs w:val="1"/>
                <w:color w:val="auto"/>
              </w:rPr>
              <w:t>May 26,</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ind w:right="276"/>
              <w:spacing w:after="0" w:line="12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82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percent and per share data)</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4"/>
          </w:tcPr>
          <w:p>
            <w:pPr>
              <w:ind w:left="20"/>
              <w:spacing w:after="0"/>
              <w:rPr>
                <w:sz w:val="20"/>
                <w:szCs w:val="20"/>
                <w:color w:val="auto"/>
              </w:rPr>
            </w:pPr>
            <w:r>
              <w:rPr>
                <w:rFonts w:ascii="Arial" w:cs="Arial" w:eastAsia="Arial" w:hAnsi="Arial"/>
                <w:sz w:val="14"/>
                <w:szCs w:val="14"/>
                <w:b w:val="1"/>
                <w:bCs w:val="1"/>
                <w:color w:val="auto"/>
              </w:rPr>
              <w:t>% of Revenues</w:t>
            </w:r>
          </w:p>
        </w:tc>
        <w:tc>
          <w:tcPr>
            <w:tcW w:w="120" w:type="dxa"/>
            <w:vAlign w:val="bottom"/>
          </w:tcPr>
          <w:p>
            <w:pPr>
              <w:spacing w:after="0"/>
              <w:rPr>
                <w:sz w:val="14"/>
                <w:szCs w:val="14"/>
                <w:color w:val="auto"/>
              </w:rPr>
            </w:pPr>
          </w:p>
        </w:tc>
        <w:tc>
          <w:tcPr>
            <w:tcW w:w="680" w:type="dxa"/>
            <w:vAlign w:val="bottom"/>
          </w:tcPr>
          <w:p>
            <w:pPr>
              <w:jc w:val="right"/>
              <w:ind w:right="76"/>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8"/>
              </w:rPr>
              <w:t>% of Revenues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4"/>
          </w:tcPr>
          <w:p>
            <w:pPr>
              <w:ind w:left="160"/>
              <w:spacing w:after="0"/>
              <w:rPr>
                <w:sz w:val="20"/>
                <w:szCs w:val="20"/>
                <w:color w:val="auto"/>
              </w:rPr>
            </w:pPr>
            <w:r>
              <w:rPr>
                <w:rFonts w:ascii="Arial" w:cs="Arial" w:eastAsia="Arial" w:hAnsi="Arial"/>
                <w:sz w:val="14"/>
                <w:szCs w:val="14"/>
                <w:b w:val="1"/>
                <w:bCs w:val="1"/>
                <w:color w:val="auto"/>
              </w:rPr>
              <w:t>Decrease</w:t>
            </w:r>
          </w:p>
        </w:tc>
        <w:tc>
          <w:tcPr>
            <w:tcW w:w="960" w:type="dxa"/>
            <w:vAlign w:val="bottom"/>
            <w:gridSpan w:val="2"/>
          </w:tcPr>
          <w:p>
            <w:pPr>
              <w:jc w:val="right"/>
              <w:ind w:right="23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3820" w:type="dxa"/>
            <w:vAlign w:val="bottom"/>
            <w:tcBorders>
              <w:top w:val="single" w:sz="8" w:color="D6F3E8"/>
            </w:tcBorders>
            <w:gridSpan w:val="2"/>
            <w:shd w:val="clear" w:color="auto" w:fill="D6F3E8"/>
          </w:tcPr>
          <w:p>
            <w:pPr>
              <w:spacing w:after="0" w:line="202" w:lineRule="exact"/>
              <w:rPr>
                <w:sz w:val="20"/>
                <w:szCs w:val="20"/>
                <w:color w:val="auto"/>
              </w:rPr>
            </w:pPr>
            <w:r>
              <w:rPr>
                <w:rFonts w:ascii="Arial" w:cs="Arial" w:eastAsia="Arial" w:hAnsi="Arial"/>
                <w:sz w:val="18"/>
                <w:szCs w:val="18"/>
                <w:color w:val="auto"/>
              </w:rPr>
              <w:t>Net revenues</w:t>
            </w:r>
          </w:p>
        </w:tc>
        <w:tc>
          <w:tcPr>
            <w:tcW w:w="100" w:type="dxa"/>
            <w:vAlign w:val="bottom"/>
            <w:tcBorders>
              <w:top w:val="single" w:sz="8" w:color="auto"/>
            </w:tcBorders>
            <w:shd w:val="clear" w:color="auto" w:fill="D6F3E8"/>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139,736</w:t>
            </w:r>
          </w:p>
        </w:tc>
        <w:tc>
          <w:tcPr>
            <w:tcW w:w="80" w:type="dxa"/>
            <w:vAlign w:val="bottom"/>
            <w:tcBorders>
              <w:top w:val="single" w:sz="8" w:color="D6F3E8"/>
            </w:tcBorders>
            <w:shd w:val="clear" w:color="auto" w:fill="D6F3E8"/>
          </w:tcPr>
          <w:p>
            <w:pPr>
              <w:spacing w:after="0"/>
              <w:rPr>
                <w:sz w:val="18"/>
                <w:szCs w:val="18"/>
                <w:color w:val="auto"/>
              </w:rPr>
            </w:pPr>
          </w:p>
        </w:tc>
        <w:tc>
          <w:tcPr>
            <w:tcW w:w="260" w:type="dxa"/>
            <w:vAlign w:val="bottom"/>
            <w:tcBorders>
              <w:top w:val="single" w:sz="8" w:color="D6F3E8"/>
            </w:tcBorders>
            <w:shd w:val="clear" w:color="auto" w:fill="D6F3E8"/>
          </w:tcPr>
          <w:p>
            <w:pPr>
              <w:spacing w:after="0"/>
              <w:rPr>
                <w:sz w:val="18"/>
                <w:szCs w:val="18"/>
                <w:color w:val="auto"/>
              </w:rPr>
            </w:pPr>
          </w:p>
        </w:tc>
        <w:tc>
          <w:tcPr>
            <w:tcW w:w="92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Borders>
              <w:top w:val="single" w:sz="8" w:color="D6F3E8"/>
            </w:tcBorders>
            <w:shd w:val="clear" w:color="auto" w:fill="D6F3E8"/>
          </w:tcPr>
          <w:p>
            <w:pPr>
              <w:spacing w:after="0"/>
              <w:rPr>
                <w:sz w:val="18"/>
                <w:szCs w:val="18"/>
                <w:color w:val="auto"/>
              </w:rPr>
            </w:pPr>
          </w:p>
        </w:tc>
        <w:tc>
          <w:tcPr>
            <w:tcW w:w="200" w:type="dxa"/>
            <w:vAlign w:val="bottom"/>
            <w:tcBorders>
              <w:top w:val="single" w:sz="8" w:color="D6F3E8"/>
            </w:tcBorders>
            <w:shd w:val="clear" w:color="auto" w:fill="D6F3E8"/>
          </w:tcPr>
          <w:p>
            <w:pPr>
              <w:spacing w:after="0"/>
              <w:rPr>
                <w:sz w:val="18"/>
                <w:szCs w:val="18"/>
                <w:color w:val="auto"/>
              </w:rPr>
            </w:pPr>
          </w:p>
        </w:tc>
        <w:tc>
          <w:tcPr>
            <w:tcW w:w="1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231,692</w:t>
            </w:r>
          </w:p>
        </w:tc>
        <w:tc>
          <w:tcPr>
            <w:tcW w:w="140" w:type="dxa"/>
            <w:vAlign w:val="bottom"/>
            <w:tcBorders>
              <w:top w:val="single" w:sz="8" w:color="D6F3E8"/>
            </w:tcBorders>
            <w:shd w:val="clear" w:color="auto" w:fill="D6F3E8"/>
          </w:tcPr>
          <w:p>
            <w:pPr>
              <w:spacing w:after="0"/>
              <w:rPr>
                <w:sz w:val="18"/>
                <w:szCs w:val="18"/>
                <w:color w:val="auto"/>
              </w:rPr>
            </w:pPr>
          </w:p>
        </w:tc>
        <w:tc>
          <w:tcPr>
            <w:tcW w:w="200" w:type="dxa"/>
            <w:vAlign w:val="bottom"/>
            <w:tcBorders>
              <w:top w:val="single" w:sz="8" w:color="D6F3E8"/>
            </w:tcBorders>
            <w:shd w:val="clear" w:color="auto" w:fill="D6F3E8"/>
          </w:tcPr>
          <w:p>
            <w:pPr>
              <w:spacing w:after="0"/>
              <w:rPr>
                <w:sz w:val="18"/>
                <w:szCs w:val="18"/>
                <w:color w:val="auto"/>
              </w:rPr>
            </w:pPr>
          </w:p>
        </w:tc>
        <w:tc>
          <w:tcPr>
            <w:tcW w:w="94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D6F3E8"/>
            </w:tcBorders>
            <w:shd w:val="clear" w:color="auto" w:fill="D6F3E8"/>
          </w:tcPr>
          <w:p>
            <w:pPr>
              <w:spacing w:after="0"/>
              <w:rPr>
                <w:sz w:val="18"/>
                <w:szCs w:val="18"/>
                <w:color w:val="auto"/>
              </w:rPr>
            </w:pPr>
          </w:p>
        </w:tc>
        <w:tc>
          <w:tcPr>
            <w:tcW w:w="1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(91,956)</w:t>
            </w:r>
          </w:p>
        </w:tc>
        <w:tc>
          <w:tcPr>
            <w:tcW w:w="200" w:type="dxa"/>
            <w:vAlign w:val="bottom"/>
            <w:tcBorders>
              <w:top w:val="single" w:sz="8" w:color="D6F3E8"/>
            </w:tcBorders>
            <w:shd w:val="clear" w:color="auto" w:fill="D6F3E8"/>
          </w:tcPr>
          <w:p>
            <w:pPr>
              <w:spacing w:after="0"/>
              <w:rPr>
                <w:sz w:val="18"/>
                <w:szCs w:val="18"/>
                <w:color w:val="auto"/>
              </w:rPr>
            </w:pPr>
          </w:p>
        </w:tc>
        <w:tc>
          <w:tcPr>
            <w:tcW w:w="160" w:type="dxa"/>
            <w:vAlign w:val="bottom"/>
            <w:tcBorders>
              <w:top w:val="single" w:sz="8" w:color="D6F3E8"/>
            </w:tcBorders>
            <w:shd w:val="clear" w:color="auto" w:fill="D6F3E8"/>
          </w:tcPr>
          <w:p>
            <w:pPr>
              <w:spacing w:after="0"/>
              <w:rPr>
                <w:sz w:val="18"/>
                <w:szCs w:val="18"/>
                <w:color w:val="auto"/>
              </w:rPr>
            </w:pPr>
          </w:p>
        </w:tc>
        <w:tc>
          <w:tcPr>
            <w:tcW w:w="8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137,112</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98.1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205,436</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88.7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58"/>
              <w:spacing w:after="0"/>
              <w:rPr>
                <w:sz w:val="20"/>
                <w:szCs w:val="20"/>
                <w:color w:val="auto"/>
              </w:rPr>
            </w:pPr>
            <w:r>
              <w:rPr>
                <w:rFonts w:ascii="Arial" w:cs="Arial" w:eastAsia="Arial" w:hAnsi="Arial"/>
                <w:sz w:val="18"/>
                <w:szCs w:val="18"/>
                <w:color w:val="auto"/>
              </w:rPr>
              <w:t>(68,324)</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0"/>
        </w:trPr>
        <w:tc>
          <w:tcPr>
            <w:tcW w:w="3820" w:type="dxa"/>
            <w:vAlign w:val="bottom"/>
            <w:tcBorders>
              <w:top w:val="single" w:sz="8" w:color="D6F3E8"/>
            </w:tcBorders>
            <w:gridSpan w:val="2"/>
            <w:shd w:val="clear" w:color="auto" w:fill="D6F3E8"/>
          </w:tcPr>
          <w:p>
            <w:pPr>
              <w:spacing w:after="0" w:line="202" w:lineRule="exact"/>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bottom w:val="single" w:sz="8" w:color="auto"/>
            </w:tcBorders>
            <w:shd w:val="clear" w:color="auto" w:fill="D6F3E8"/>
          </w:tcPr>
          <w:p>
            <w:pPr>
              <w:spacing w:after="0"/>
              <w:rPr>
                <w:sz w:val="18"/>
                <w:szCs w:val="18"/>
                <w:color w:val="auto"/>
              </w:rPr>
            </w:pPr>
          </w:p>
        </w:tc>
        <w:tc>
          <w:tcPr>
            <w:tcW w:w="920" w:type="dxa"/>
            <w:vAlign w:val="bottom"/>
            <w:tcBorders>
              <w:top w:val="single" w:sz="8" w:color="auto"/>
              <w:bottom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2,624</w:t>
            </w:r>
          </w:p>
        </w:tc>
        <w:tc>
          <w:tcPr>
            <w:tcW w:w="80" w:type="dxa"/>
            <w:vAlign w:val="bottom"/>
            <w:tcBorders>
              <w:top w:val="single" w:sz="8" w:color="D6F3E8"/>
            </w:tcBorders>
            <w:shd w:val="clear" w:color="auto" w:fill="D6F3E8"/>
          </w:tcPr>
          <w:p>
            <w:pPr>
              <w:spacing w:after="0"/>
              <w:rPr>
                <w:sz w:val="18"/>
                <w:szCs w:val="18"/>
                <w:color w:val="auto"/>
              </w:rPr>
            </w:pPr>
          </w:p>
        </w:tc>
        <w:tc>
          <w:tcPr>
            <w:tcW w:w="260" w:type="dxa"/>
            <w:vAlign w:val="bottom"/>
            <w:tcBorders>
              <w:top w:val="single" w:sz="8" w:color="D6F3E8"/>
            </w:tcBorders>
            <w:shd w:val="clear" w:color="auto" w:fill="D6F3E8"/>
          </w:tcPr>
          <w:p>
            <w:pPr>
              <w:spacing w:after="0"/>
              <w:rPr>
                <w:sz w:val="18"/>
                <w:szCs w:val="18"/>
                <w:color w:val="auto"/>
              </w:rPr>
            </w:pPr>
          </w:p>
        </w:tc>
        <w:tc>
          <w:tcPr>
            <w:tcW w:w="920" w:type="dxa"/>
            <w:vAlign w:val="bottom"/>
            <w:tcBorders>
              <w:top w:val="single" w:sz="8" w:color="auto"/>
              <w:bottom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top w:val="single" w:sz="8" w:color="D6F3E8"/>
            </w:tcBorders>
            <w:shd w:val="clear" w:color="auto" w:fill="D6F3E8"/>
          </w:tcPr>
          <w:p>
            <w:pPr>
              <w:spacing w:after="0"/>
              <w:rPr>
                <w:sz w:val="18"/>
                <w:szCs w:val="18"/>
                <w:color w:val="auto"/>
              </w:rPr>
            </w:pPr>
          </w:p>
        </w:tc>
        <w:tc>
          <w:tcPr>
            <w:tcW w:w="200" w:type="dxa"/>
            <w:vAlign w:val="bottom"/>
            <w:tcBorders>
              <w:top w:val="single" w:sz="8" w:color="D6F3E8"/>
            </w:tcBorders>
            <w:shd w:val="clear" w:color="auto" w:fill="D6F3E8"/>
          </w:tcPr>
          <w:p>
            <w:pPr>
              <w:spacing w:after="0"/>
              <w:rPr>
                <w:sz w:val="18"/>
                <w:szCs w:val="18"/>
                <w:color w:val="auto"/>
              </w:rPr>
            </w:pPr>
          </w:p>
        </w:tc>
        <w:tc>
          <w:tcPr>
            <w:tcW w:w="120" w:type="dxa"/>
            <w:vAlign w:val="bottom"/>
            <w:tcBorders>
              <w:top w:val="single" w:sz="8" w:color="auto"/>
              <w:bottom w:val="single" w:sz="8" w:color="auto"/>
            </w:tcBorders>
            <w:shd w:val="clear" w:color="auto" w:fill="D6F3E8"/>
          </w:tcPr>
          <w:p>
            <w:pPr>
              <w:spacing w:after="0"/>
              <w:rPr>
                <w:sz w:val="18"/>
                <w:szCs w:val="18"/>
                <w:color w:val="auto"/>
              </w:rPr>
            </w:pPr>
          </w:p>
        </w:tc>
        <w:tc>
          <w:tcPr>
            <w:tcW w:w="900" w:type="dxa"/>
            <w:vAlign w:val="bottom"/>
            <w:tcBorders>
              <w:top w:val="single" w:sz="8" w:color="auto"/>
              <w:bottom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26,256</w:t>
            </w:r>
          </w:p>
        </w:tc>
        <w:tc>
          <w:tcPr>
            <w:tcW w:w="140" w:type="dxa"/>
            <w:vAlign w:val="bottom"/>
            <w:tcBorders>
              <w:top w:val="single" w:sz="8" w:color="D6F3E8"/>
            </w:tcBorders>
            <w:shd w:val="clear" w:color="auto" w:fill="D6F3E8"/>
          </w:tcPr>
          <w:p>
            <w:pPr>
              <w:spacing w:after="0"/>
              <w:rPr>
                <w:sz w:val="18"/>
                <w:szCs w:val="18"/>
                <w:color w:val="auto"/>
              </w:rPr>
            </w:pPr>
          </w:p>
        </w:tc>
        <w:tc>
          <w:tcPr>
            <w:tcW w:w="200" w:type="dxa"/>
            <w:vAlign w:val="bottom"/>
            <w:tcBorders>
              <w:top w:val="single" w:sz="8" w:color="D6F3E8"/>
            </w:tcBorders>
            <w:shd w:val="clear" w:color="auto" w:fill="D6F3E8"/>
          </w:tcPr>
          <w:p>
            <w:pPr>
              <w:spacing w:after="0"/>
              <w:rPr>
                <w:sz w:val="18"/>
                <w:szCs w:val="18"/>
                <w:color w:val="auto"/>
              </w:rPr>
            </w:pPr>
          </w:p>
        </w:tc>
        <w:tc>
          <w:tcPr>
            <w:tcW w:w="940" w:type="dxa"/>
            <w:vAlign w:val="bottom"/>
            <w:tcBorders>
              <w:top w:val="single" w:sz="8" w:color="auto"/>
              <w:bottom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D6F3E8"/>
            </w:tcBorders>
            <w:shd w:val="clear" w:color="auto" w:fill="D6F3E8"/>
          </w:tcPr>
          <w:p>
            <w:pPr>
              <w:spacing w:after="0"/>
              <w:rPr>
                <w:sz w:val="18"/>
                <w:szCs w:val="18"/>
                <w:color w:val="auto"/>
              </w:rPr>
            </w:pPr>
          </w:p>
        </w:tc>
        <w:tc>
          <w:tcPr>
            <w:tcW w:w="100" w:type="dxa"/>
            <w:vAlign w:val="bottom"/>
            <w:tcBorders>
              <w:top w:val="single" w:sz="8" w:color="auto"/>
              <w:bottom w:val="single" w:sz="8" w:color="auto"/>
            </w:tcBorders>
            <w:shd w:val="clear" w:color="auto" w:fill="D6F3E8"/>
          </w:tcPr>
          <w:p>
            <w:pPr>
              <w:spacing w:after="0"/>
              <w:rPr>
                <w:sz w:val="18"/>
                <w:szCs w:val="18"/>
                <w:color w:val="auto"/>
              </w:rPr>
            </w:pPr>
          </w:p>
        </w:tc>
        <w:tc>
          <w:tcPr>
            <w:tcW w:w="920" w:type="dxa"/>
            <w:vAlign w:val="bottom"/>
            <w:tcBorders>
              <w:top w:val="single" w:sz="8" w:color="auto"/>
              <w:bottom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(23,632)</w:t>
            </w:r>
          </w:p>
        </w:tc>
        <w:tc>
          <w:tcPr>
            <w:tcW w:w="200" w:type="dxa"/>
            <w:vAlign w:val="bottom"/>
            <w:tcBorders>
              <w:top w:val="single" w:sz="8" w:color="D6F3E8"/>
              <w:bottom w:val="single" w:sz="8" w:color="D6F3E8"/>
            </w:tcBorders>
            <w:shd w:val="clear" w:color="auto" w:fill="D6F3E8"/>
          </w:tcPr>
          <w:p>
            <w:pPr>
              <w:spacing w:after="0"/>
              <w:rPr>
                <w:sz w:val="18"/>
                <w:szCs w:val="18"/>
                <w:color w:val="auto"/>
              </w:rPr>
            </w:pPr>
          </w:p>
        </w:tc>
        <w:tc>
          <w:tcPr>
            <w:tcW w:w="160" w:type="dxa"/>
            <w:vAlign w:val="bottom"/>
            <w:tcBorders>
              <w:top w:val="single" w:sz="8" w:color="D6F3E8"/>
              <w:bottom w:val="single" w:sz="8" w:color="D6F3E8"/>
            </w:tcBorders>
            <w:shd w:val="clear" w:color="auto" w:fill="D6F3E8"/>
          </w:tcPr>
          <w:p>
            <w:pPr>
              <w:spacing w:after="0"/>
              <w:rPr>
                <w:sz w:val="18"/>
                <w:szCs w:val="18"/>
                <w:color w:val="auto"/>
              </w:rPr>
            </w:pPr>
          </w:p>
        </w:tc>
        <w:tc>
          <w:tcPr>
            <w:tcW w:w="8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Borders>
              <w:top w:val="single" w:sz="8" w:color="D6F3E8"/>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gridSpan w:val="2"/>
          </w:tcPr>
          <w:p>
            <w:pPr>
              <w:spacing w:after="0" w:line="202" w:lineRule="exact"/>
              <w:rPr>
                <w:sz w:val="20"/>
                <w:szCs w:val="20"/>
                <w:color w:val="auto"/>
              </w:rPr>
            </w:pPr>
            <w:r>
              <w:rPr>
                <w:rFonts w:ascii="Arial" w:cs="Arial" w:eastAsia="Arial" w:hAnsi="Arial"/>
                <w:sz w:val="18"/>
                <w:szCs w:val="18"/>
                <w:color w:val="auto"/>
              </w:rPr>
              <w:t>Selling</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5,085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5,511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(426)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D6F3E8"/>
          </w:tcPr>
          <w:p>
            <w:pPr>
              <w:spacing w:after="0"/>
              <w:rPr>
                <w:sz w:val="18"/>
                <w:szCs w:val="18"/>
                <w:color w:val="auto"/>
              </w:rPr>
            </w:pPr>
          </w:p>
        </w:tc>
        <w:tc>
          <w:tcPr>
            <w:tcW w:w="1000" w:type="dxa"/>
            <w:vAlign w:val="bottom"/>
            <w:gridSpan w:val="3"/>
            <w:shd w:val="clear" w:color="auto" w:fill="D6F3E8"/>
          </w:tcPr>
          <w:p>
            <w:pPr>
              <w:jc w:val="right"/>
              <w:ind w:right="80"/>
              <w:spacing w:after="0"/>
              <w:rPr>
                <w:sz w:val="20"/>
                <w:szCs w:val="20"/>
                <w:color w:val="auto"/>
              </w:rPr>
            </w:pPr>
            <w:r>
              <w:rPr>
                <w:rFonts w:ascii="Arial" w:cs="Arial" w:eastAsia="Arial" w:hAnsi="Arial"/>
                <w:sz w:val="18"/>
                <w:szCs w:val="18"/>
                <w:color w:val="auto"/>
              </w:rPr>
              <w:t>4,442</w:t>
            </w:r>
          </w:p>
        </w:tc>
        <w:tc>
          <w:tcPr>
            <w:tcW w:w="118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040" w:type="dxa"/>
            <w:vAlign w:val="bottom"/>
            <w:gridSpan w:val="3"/>
            <w:shd w:val="clear" w:color="auto" w:fill="D6F3E8"/>
          </w:tcPr>
          <w:p>
            <w:pPr>
              <w:jc w:val="right"/>
              <w:ind w:right="140"/>
              <w:spacing w:after="0"/>
              <w:rPr>
                <w:sz w:val="20"/>
                <w:szCs w:val="20"/>
                <w:color w:val="auto"/>
              </w:rPr>
            </w:pPr>
            <w:r>
              <w:rPr>
                <w:rFonts w:ascii="Arial" w:cs="Arial" w:eastAsia="Arial" w:hAnsi="Arial"/>
                <w:sz w:val="18"/>
                <w:szCs w:val="18"/>
                <w:color w:val="auto"/>
              </w:rPr>
              <w:t>6,086</w:t>
            </w:r>
          </w:p>
        </w:tc>
        <w:tc>
          <w:tcPr>
            <w:tcW w:w="114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120" w:type="dxa"/>
            <w:vAlign w:val="bottom"/>
            <w:gridSpan w:val="3"/>
            <w:shd w:val="clear" w:color="auto" w:fill="D6F3E8"/>
          </w:tcPr>
          <w:p>
            <w:pPr>
              <w:jc w:val="right"/>
              <w:ind w:right="58"/>
              <w:spacing w:after="0"/>
              <w:rPr>
                <w:sz w:val="20"/>
                <w:szCs w:val="20"/>
                <w:color w:val="auto"/>
              </w:rPr>
            </w:pPr>
            <w:r>
              <w:rPr>
                <w:rFonts w:ascii="Arial" w:cs="Arial" w:eastAsia="Arial" w:hAnsi="Arial"/>
                <w:sz w:val="18"/>
                <w:szCs w:val="18"/>
                <w:color w:val="auto"/>
              </w:rPr>
              <w:t>(1,644)</w:t>
            </w:r>
          </w:p>
        </w:tc>
        <w:tc>
          <w:tcPr>
            <w:tcW w:w="160" w:type="dxa"/>
            <w:vAlign w:val="bottom"/>
            <w:shd w:val="clear" w:color="auto" w:fill="D6F3E8"/>
          </w:tcPr>
          <w:p>
            <w:pPr>
              <w:spacing w:after="0"/>
              <w:rPr>
                <w:sz w:val="18"/>
                <w:szCs w:val="18"/>
                <w:color w:val="auto"/>
              </w:rPr>
            </w:pPr>
          </w:p>
        </w:tc>
        <w:tc>
          <w:tcPr>
            <w:tcW w:w="96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0"/>
        </w:trPr>
        <w:tc>
          <w:tcPr>
            <w:tcW w:w="3820" w:type="dxa"/>
            <w:vAlign w:val="bottom"/>
            <w:tcBorders>
              <w:bottom w:val="single" w:sz="8" w:color="D6F3E8"/>
            </w:tcBorders>
            <w:gridSpan w:val="2"/>
          </w:tcPr>
          <w:p>
            <w:pPr>
              <w:spacing w:after="0" w:line="202" w:lineRule="exact"/>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9,527</w:t>
            </w:r>
          </w:p>
        </w:tc>
        <w:tc>
          <w:tcPr>
            <w:tcW w:w="80" w:type="dxa"/>
            <w:vAlign w:val="bottom"/>
            <w:tcBorders>
              <w:bottom w:val="single" w:sz="8" w:color="D6F3E8"/>
            </w:tcBorders>
          </w:tcPr>
          <w:p>
            <w:pPr>
              <w:spacing w:after="0"/>
              <w:rPr>
                <w:sz w:val="18"/>
                <w:szCs w:val="18"/>
                <w:color w:val="auto"/>
              </w:rPr>
            </w:pPr>
          </w:p>
        </w:tc>
        <w:tc>
          <w:tcPr>
            <w:tcW w:w="260" w:type="dxa"/>
            <w:vAlign w:val="bottom"/>
            <w:tcBorders>
              <w:bottom w:val="single" w:sz="8" w:color="D6F3E8"/>
            </w:tcBorders>
          </w:tcPr>
          <w:p>
            <w:pPr>
              <w:spacing w:after="0"/>
              <w:rPr>
                <w:sz w:val="18"/>
                <w:szCs w:val="18"/>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6.8</w:t>
            </w:r>
          </w:p>
        </w:tc>
        <w:tc>
          <w:tcPr>
            <w:tcW w:w="140" w:type="dxa"/>
            <w:vAlign w:val="bottom"/>
            <w:tcBorders>
              <w:bottom w:val="single" w:sz="8" w:color="D6F3E8"/>
            </w:tcBorders>
          </w:tcPr>
          <w:p>
            <w:pPr>
              <w:spacing w:after="0"/>
              <w:rPr>
                <w:sz w:val="18"/>
                <w:szCs w:val="18"/>
                <w:color w:val="auto"/>
              </w:rPr>
            </w:pPr>
          </w:p>
        </w:tc>
        <w:tc>
          <w:tcPr>
            <w:tcW w:w="200" w:type="dxa"/>
            <w:vAlign w:val="bottom"/>
            <w:tcBorders>
              <w:bottom w:val="single" w:sz="8" w:color="D6F3E8"/>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11,597</w:t>
            </w:r>
          </w:p>
        </w:tc>
        <w:tc>
          <w:tcPr>
            <w:tcW w:w="140" w:type="dxa"/>
            <w:vAlign w:val="bottom"/>
            <w:tcBorders>
              <w:bottom w:val="single" w:sz="8" w:color="D6F3E8"/>
            </w:tcBorders>
          </w:tcPr>
          <w:p>
            <w:pPr>
              <w:spacing w:after="0"/>
              <w:rPr>
                <w:sz w:val="18"/>
                <w:szCs w:val="18"/>
                <w:color w:val="auto"/>
              </w:rPr>
            </w:pPr>
          </w:p>
        </w:tc>
        <w:tc>
          <w:tcPr>
            <w:tcW w:w="200" w:type="dxa"/>
            <w:vAlign w:val="bottom"/>
            <w:tcBorders>
              <w:bottom w:val="single" w:sz="8" w:color="D6F3E8"/>
            </w:tcBorders>
          </w:tcPr>
          <w:p>
            <w:pPr>
              <w:spacing w:after="0"/>
              <w:rPr>
                <w:sz w:val="18"/>
                <w:szCs w:val="18"/>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D6F3E8"/>
            </w:tcBorders>
          </w:tcPr>
          <w:p>
            <w:pPr>
              <w:spacing w:after="0"/>
              <w:rPr>
                <w:sz w:val="18"/>
                <w:szCs w:val="18"/>
                <w:color w:val="auto"/>
              </w:rPr>
            </w:pPr>
          </w:p>
        </w:tc>
        <w:tc>
          <w:tcPr>
            <w:tcW w:w="140" w:type="dxa"/>
            <w:vAlign w:val="bottom"/>
            <w:tcBorders>
              <w:bottom w:val="single" w:sz="8" w:color="D6F3E8"/>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(2,070)</w:t>
            </w:r>
          </w:p>
        </w:tc>
        <w:tc>
          <w:tcPr>
            <w:tcW w:w="200" w:type="dxa"/>
            <w:vAlign w:val="bottom"/>
            <w:tcBorders>
              <w:top w:val="single" w:sz="8" w:color="D6F3E8"/>
              <w:bottom w:val="single" w:sz="8" w:color="D6F3E8"/>
            </w:tcBorders>
          </w:tcPr>
          <w:p>
            <w:pPr>
              <w:spacing w:after="0"/>
              <w:rPr>
                <w:sz w:val="18"/>
                <w:szCs w:val="18"/>
                <w:color w:val="auto"/>
              </w:rPr>
            </w:pPr>
          </w:p>
        </w:tc>
        <w:tc>
          <w:tcPr>
            <w:tcW w:w="160" w:type="dxa"/>
            <w:vAlign w:val="bottom"/>
            <w:tcBorders>
              <w:top w:val="single" w:sz="8" w:color="D6F3E8"/>
              <w:bottom w:val="single" w:sz="8" w:color="D6F3E8"/>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top w:val="single" w:sz="8" w:color="D6F3E8"/>
              <w:bottom w:val="single" w:sz="8" w:color="D6F3E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gridSpan w:val="2"/>
            <w:shd w:val="clear" w:color="auto" w:fill="D6F3E8"/>
          </w:tcPr>
          <w:p>
            <w:pPr>
              <w:spacing w:after="0" w:line="202" w:lineRule="exact"/>
              <w:rPr>
                <w:sz w:val="20"/>
                <w:szCs w:val="20"/>
                <w:color w:val="auto"/>
              </w:rPr>
            </w:pPr>
            <w:r>
              <w:rPr>
                <w:rFonts w:ascii="Arial" w:cs="Arial" w:eastAsia="Arial" w:hAnsi="Arial"/>
                <w:sz w:val="18"/>
                <w:szCs w:val="18"/>
                <w:color w:val="auto"/>
              </w:rPr>
              <w:t>Operating (loss) income</w:t>
            </w:r>
          </w:p>
        </w:tc>
        <w:tc>
          <w:tcPr>
            <w:tcW w:w="100" w:type="dxa"/>
            <w:vAlign w:val="bottom"/>
            <w:shd w:val="clear" w:color="auto" w:fill="D6F3E8"/>
          </w:tcPr>
          <w:p>
            <w:pPr>
              <w:spacing w:after="0"/>
              <w:rPr>
                <w:sz w:val="18"/>
                <w:szCs w:val="18"/>
                <w:color w:val="auto"/>
              </w:rPr>
            </w:pPr>
          </w:p>
        </w:tc>
        <w:tc>
          <w:tcPr>
            <w:tcW w:w="9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(6,903)</w:t>
            </w:r>
          </w:p>
        </w:tc>
        <w:tc>
          <w:tcPr>
            <w:tcW w:w="8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9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9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14,659</w:t>
            </w:r>
          </w:p>
        </w:tc>
        <w:tc>
          <w:tcPr>
            <w:tcW w:w="1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9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9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(21,562)</w:t>
            </w:r>
          </w:p>
        </w:tc>
        <w:tc>
          <w:tcPr>
            <w:tcW w:w="20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(147.1)</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Financial income</w:t>
            </w:r>
          </w:p>
        </w:tc>
        <w:tc>
          <w:tcPr>
            <w:tcW w:w="10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1,053</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1,799</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58"/>
              <w:spacing w:after="0"/>
              <w:rPr>
                <w:sz w:val="20"/>
                <w:szCs w:val="20"/>
                <w:color w:val="auto"/>
              </w:rPr>
            </w:pPr>
            <w:r>
              <w:rPr>
                <w:rFonts w:ascii="Arial" w:cs="Arial" w:eastAsia="Arial" w:hAnsi="Arial"/>
                <w:sz w:val="18"/>
                <w:szCs w:val="18"/>
                <w:color w:val="auto"/>
              </w:rPr>
              <w:t>(746)</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0"/>
        </w:trPr>
        <w:tc>
          <w:tcPr>
            <w:tcW w:w="3820" w:type="dxa"/>
            <w:vAlign w:val="bottom"/>
            <w:tcBorders>
              <w:top w:val="single" w:sz="8" w:color="D6F3E8"/>
            </w:tcBorders>
            <w:gridSpan w:val="2"/>
            <w:shd w:val="clear" w:color="auto" w:fill="D6F3E8"/>
          </w:tcPr>
          <w:p>
            <w:pPr>
              <w:spacing w:after="0" w:line="202" w:lineRule="exact"/>
              <w:rPr>
                <w:sz w:val="20"/>
                <w:szCs w:val="20"/>
                <w:color w:val="auto"/>
              </w:rPr>
            </w:pPr>
            <w:r>
              <w:rPr>
                <w:rFonts w:ascii="Arial" w:cs="Arial" w:eastAsia="Arial" w:hAnsi="Arial"/>
                <w:sz w:val="18"/>
                <w:szCs w:val="18"/>
                <w:color w:val="auto"/>
              </w:rPr>
              <w:t>(Loss) income before income taxes</w:t>
            </w:r>
          </w:p>
        </w:tc>
        <w:tc>
          <w:tcPr>
            <w:tcW w:w="100" w:type="dxa"/>
            <w:vAlign w:val="bottom"/>
            <w:tcBorders>
              <w:top w:val="single" w:sz="8" w:color="auto"/>
            </w:tcBorders>
            <w:shd w:val="clear" w:color="auto" w:fill="D6F3E8"/>
          </w:tcPr>
          <w:p>
            <w:pPr>
              <w:spacing w:after="0"/>
              <w:rPr>
                <w:sz w:val="18"/>
                <w:szCs w:val="18"/>
                <w:color w:val="auto"/>
              </w:rPr>
            </w:pPr>
          </w:p>
        </w:tc>
        <w:tc>
          <w:tcPr>
            <w:tcW w:w="92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(5,850)</w:t>
            </w:r>
          </w:p>
        </w:tc>
        <w:tc>
          <w:tcPr>
            <w:tcW w:w="80" w:type="dxa"/>
            <w:vAlign w:val="bottom"/>
            <w:tcBorders>
              <w:top w:val="single" w:sz="8" w:color="D6F3E8"/>
            </w:tcBorders>
            <w:shd w:val="clear" w:color="auto" w:fill="D6F3E8"/>
          </w:tcPr>
          <w:p>
            <w:pPr>
              <w:spacing w:after="0"/>
              <w:rPr>
                <w:sz w:val="18"/>
                <w:szCs w:val="18"/>
                <w:color w:val="auto"/>
              </w:rPr>
            </w:pPr>
          </w:p>
        </w:tc>
        <w:tc>
          <w:tcPr>
            <w:tcW w:w="260" w:type="dxa"/>
            <w:vAlign w:val="bottom"/>
            <w:tcBorders>
              <w:top w:val="single" w:sz="8" w:color="D6F3E8"/>
            </w:tcBorders>
            <w:shd w:val="clear" w:color="auto" w:fill="D6F3E8"/>
          </w:tcPr>
          <w:p>
            <w:pPr>
              <w:spacing w:after="0"/>
              <w:rPr>
                <w:sz w:val="18"/>
                <w:szCs w:val="18"/>
                <w:color w:val="auto"/>
              </w:rPr>
            </w:pPr>
          </w:p>
        </w:tc>
        <w:tc>
          <w:tcPr>
            <w:tcW w:w="92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(4.2)</w:t>
            </w:r>
          </w:p>
        </w:tc>
        <w:tc>
          <w:tcPr>
            <w:tcW w:w="140" w:type="dxa"/>
            <w:vAlign w:val="bottom"/>
            <w:tcBorders>
              <w:top w:val="single" w:sz="8" w:color="D6F3E8"/>
            </w:tcBorders>
            <w:shd w:val="clear" w:color="auto" w:fill="D6F3E8"/>
          </w:tcPr>
          <w:p>
            <w:pPr>
              <w:spacing w:after="0"/>
              <w:rPr>
                <w:sz w:val="18"/>
                <w:szCs w:val="18"/>
                <w:color w:val="auto"/>
              </w:rPr>
            </w:pPr>
          </w:p>
        </w:tc>
        <w:tc>
          <w:tcPr>
            <w:tcW w:w="200" w:type="dxa"/>
            <w:vAlign w:val="bottom"/>
            <w:tcBorders>
              <w:top w:val="single" w:sz="8" w:color="D6F3E8"/>
            </w:tcBorders>
            <w:shd w:val="clear" w:color="auto" w:fill="D6F3E8"/>
          </w:tcPr>
          <w:p>
            <w:pPr>
              <w:spacing w:after="0"/>
              <w:rPr>
                <w:sz w:val="18"/>
                <w:szCs w:val="18"/>
                <w:color w:val="auto"/>
              </w:rPr>
            </w:pPr>
          </w:p>
        </w:tc>
        <w:tc>
          <w:tcPr>
            <w:tcW w:w="120" w:type="dxa"/>
            <w:vAlign w:val="bottom"/>
            <w:tcBorders>
              <w:top w:val="single" w:sz="8" w:color="auto"/>
            </w:tcBorders>
            <w:shd w:val="clear" w:color="auto" w:fill="D6F3E8"/>
          </w:tcPr>
          <w:p>
            <w:pPr>
              <w:spacing w:after="0"/>
              <w:rPr>
                <w:sz w:val="18"/>
                <w:szCs w:val="18"/>
                <w:color w:val="auto"/>
              </w:rPr>
            </w:pPr>
          </w:p>
        </w:tc>
        <w:tc>
          <w:tcPr>
            <w:tcW w:w="90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16,458</w:t>
            </w:r>
          </w:p>
        </w:tc>
        <w:tc>
          <w:tcPr>
            <w:tcW w:w="140" w:type="dxa"/>
            <w:vAlign w:val="bottom"/>
            <w:tcBorders>
              <w:top w:val="single" w:sz="8" w:color="D6F3E8"/>
            </w:tcBorders>
            <w:shd w:val="clear" w:color="auto" w:fill="D6F3E8"/>
          </w:tcPr>
          <w:p>
            <w:pPr>
              <w:spacing w:after="0"/>
              <w:rPr>
                <w:sz w:val="18"/>
                <w:szCs w:val="18"/>
                <w:color w:val="auto"/>
              </w:rPr>
            </w:pPr>
          </w:p>
        </w:tc>
        <w:tc>
          <w:tcPr>
            <w:tcW w:w="200" w:type="dxa"/>
            <w:vAlign w:val="bottom"/>
            <w:tcBorders>
              <w:top w:val="single" w:sz="8" w:color="D6F3E8"/>
            </w:tcBorders>
            <w:shd w:val="clear" w:color="auto" w:fill="D6F3E8"/>
          </w:tcPr>
          <w:p>
            <w:pPr>
              <w:spacing w:after="0"/>
              <w:rPr>
                <w:sz w:val="18"/>
                <w:szCs w:val="18"/>
                <w:color w:val="auto"/>
              </w:rPr>
            </w:pPr>
          </w:p>
        </w:tc>
        <w:tc>
          <w:tcPr>
            <w:tcW w:w="94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7.1</w:t>
            </w:r>
          </w:p>
        </w:tc>
        <w:tc>
          <w:tcPr>
            <w:tcW w:w="20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D6F3E8"/>
            </w:tcBorders>
            <w:shd w:val="clear" w:color="auto" w:fill="D6F3E8"/>
          </w:tcPr>
          <w:p>
            <w:pPr>
              <w:spacing w:after="0"/>
              <w:rPr>
                <w:sz w:val="18"/>
                <w:szCs w:val="18"/>
                <w:color w:val="auto"/>
              </w:rPr>
            </w:pPr>
          </w:p>
        </w:tc>
        <w:tc>
          <w:tcPr>
            <w:tcW w:w="100" w:type="dxa"/>
            <w:vAlign w:val="bottom"/>
            <w:tcBorders>
              <w:top w:val="single" w:sz="8" w:color="auto"/>
            </w:tcBorders>
            <w:shd w:val="clear" w:color="auto" w:fill="D6F3E8"/>
          </w:tcPr>
          <w:p>
            <w:pPr>
              <w:spacing w:after="0"/>
              <w:rPr>
                <w:sz w:val="18"/>
                <w:szCs w:val="18"/>
                <w:color w:val="auto"/>
              </w:rPr>
            </w:pPr>
          </w:p>
        </w:tc>
        <w:tc>
          <w:tcPr>
            <w:tcW w:w="92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(22,308)</w:t>
            </w:r>
          </w:p>
        </w:tc>
        <w:tc>
          <w:tcPr>
            <w:tcW w:w="200" w:type="dxa"/>
            <w:vAlign w:val="bottom"/>
            <w:tcBorders>
              <w:top w:val="single" w:sz="8" w:color="D6F3E8"/>
            </w:tcBorders>
            <w:shd w:val="clear" w:color="auto" w:fill="D6F3E8"/>
          </w:tcPr>
          <w:p>
            <w:pPr>
              <w:spacing w:after="0"/>
              <w:rPr>
                <w:sz w:val="18"/>
                <w:szCs w:val="18"/>
                <w:color w:val="auto"/>
              </w:rPr>
            </w:pPr>
          </w:p>
        </w:tc>
        <w:tc>
          <w:tcPr>
            <w:tcW w:w="160" w:type="dxa"/>
            <w:vAlign w:val="bottom"/>
            <w:tcBorders>
              <w:top w:val="single" w:sz="8" w:color="D6F3E8"/>
            </w:tcBorders>
            <w:shd w:val="clear" w:color="auto" w:fill="D6F3E8"/>
          </w:tcPr>
          <w:p>
            <w:pPr>
              <w:spacing w:after="0"/>
              <w:rPr>
                <w:sz w:val="18"/>
                <w:szCs w:val="18"/>
                <w:color w:val="auto"/>
              </w:rPr>
            </w:pPr>
          </w:p>
        </w:tc>
        <w:tc>
          <w:tcPr>
            <w:tcW w:w="8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(135.5)</w:t>
            </w:r>
          </w:p>
        </w:tc>
        <w:tc>
          <w:tcPr>
            <w:tcW w:w="12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(Benefit) provision for taxes</w:t>
            </w:r>
          </w:p>
        </w:tc>
        <w:tc>
          <w:tcPr>
            <w:tcW w:w="10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(8,850)</w:t>
            </w:r>
          </w:p>
        </w:tc>
        <w:tc>
          <w:tcPr>
            <w:tcW w:w="1320" w:type="dxa"/>
            <w:vAlign w:val="bottom"/>
            <w:gridSpan w:val="4"/>
          </w:tcPr>
          <w:p>
            <w:pPr>
              <w:jc w:val="right"/>
              <w:ind w:right="80"/>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5,205</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58"/>
              <w:spacing w:after="0"/>
              <w:rPr>
                <w:sz w:val="20"/>
                <w:szCs w:val="20"/>
                <w:color w:val="auto"/>
              </w:rPr>
            </w:pPr>
            <w:r>
              <w:rPr>
                <w:rFonts w:ascii="Arial" w:cs="Arial" w:eastAsia="Arial" w:hAnsi="Arial"/>
                <w:sz w:val="18"/>
                <w:szCs w:val="18"/>
                <w:color w:val="auto"/>
              </w:rPr>
              <w:t>(14,055)</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10"/>
        </w:trPr>
        <w:tc>
          <w:tcPr>
            <w:tcW w:w="3820" w:type="dxa"/>
            <w:vAlign w:val="bottom"/>
            <w:tcBorders>
              <w:top w:val="single" w:sz="8" w:color="D6F3E8"/>
              <w:bottom w:val="single" w:sz="8" w:color="D6F3E8"/>
            </w:tcBorders>
            <w:gridSpan w:val="2"/>
            <w:shd w:val="clear" w:color="auto" w:fill="D6F3E8"/>
          </w:tcPr>
          <w:p>
            <w:pPr>
              <w:spacing w:after="0" w:line="202" w:lineRule="exact"/>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shd w:val="clear" w:color="auto" w:fill="D6F3E8"/>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Borders>
              <w:top w:val="single" w:sz="8" w:color="D6F3E8"/>
              <w:bottom w:val="single" w:sz="8" w:color="D6F3E8"/>
            </w:tcBorders>
            <w:shd w:val="clear" w:color="auto" w:fill="D6F3E8"/>
          </w:tcPr>
          <w:p>
            <w:pPr>
              <w:spacing w:after="0"/>
              <w:rPr>
                <w:sz w:val="18"/>
                <w:szCs w:val="18"/>
                <w:color w:val="auto"/>
              </w:rPr>
            </w:pPr>
          </w:p>
        </w:tc>
        <w:tc>
          <w:tcPr>
            <w:tcW w:w="260" w:type="dxa"/>
            <w:vAlign w:val="bottom"/>
            <w:tcBorders>
              <w:top w:val="single" w:sz="8" w:color="D6F3E8"/>
              <w:bottom w:val="single" w:sz="8" w:color="D6F3E8"/>
            </w:tcBorders>
            <w:shd w:val="clear" w:color="auto" w:fill="D6F3E8"/>
          </w:tcPr>
          <w:p>
            <w:pPr>
              <w:spacing w:after="0"/>
              <w:rPr>
                <w:sz w:val="18"/>
                <w:szCs w:val="18"/>
                <w:color w:val="auto"/>
              </w:rPr>
            </w:pPr>
          </w:p>
        </w:tc>
        <w:tc>
          <w:tcPr>
            <w:tcW w:w="920" w:type="dxa"/>
            <w:vAlign w:val="bottom"/>
            <w:tcBorders>
              <w:top w:val="single" w:sz="8" w:color="auto"/>
              <w:bottom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top w:val="single" w:sz="8" w:color="D6F3E8"/>
              <w:bottom w:val="single" w:sz="8" w:color="D6F3E8"/>
            </w:tcBorders>
            <w:shd w:val="clear" w:color="auto" w:fill="D6F3E8"/>
          </w:tcPr>
          <w:p>
            <w:pPr>
              <w:spacing w:after="0"/>
              <w:rPr>
                <w:sz w:val="18"/>
                <w:szCs w:val="18"/>
                <w:color w:val="auto"/>
              </w:rPr>
            </w:pPr>
          </w:p>
        </w:tc>
        <w:tc>
          <w:tcPr>
            <w:tcW w:w="200" w:type="dxa"/>
            <w:vAlign w:val="bottom"/>
            <w:tcBorders>
              <w:top w:val="single" w:sz="8" w:color="D6F3E8"/>
              <w:bottom w:val="single" w:sz="8" w:color="D6F3E8"/>
            </w:tcBorders>
            <w:shd w:val="clear" w:color="auto" w:fill="D6F3E8"/>
          </w:tcPr>
          <w:p>
            <w:pPr>
              <w:spacing w:after="0"/>
              <w:rPr>
                <w:sz w:val="18"/>
                <w:szCs w:val="18"/>
                <w:color w:val="auto"/>
              </w:rPr>
            </w:pPr>
          </w:p>
        </w:tc>
        <w:tc>
          <w:tcPr>
            <w:tcW w:w="1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11,253</w:t>
            </w:r>
          </w:p>
        </w:tc>
        <w:tc>
          <w:tcPr>
            <w:tcW w:w="140" w:type="dxa"/>
            <w:vAlign w:val="bottom"/>
            <w:tcBorders>
              <w:top w:val="single" w:sz="8" w:color="D6F3E8"/>
              <w:bottom w:val="single" w:sz="8" w:color="D6F3E8"/>
            </w:tcBorders>
            <w:shd w:val="clear" w:color="auto" w:fill="D6F3E8"/>
          </w:tcPr>
          <w:p>
            <w:pPr>
              <w:spacing w:after="0"/>
              <w:rPr>
                <w:sz w:val="18"/>
                <w:szCs w:val="18"/>
                <w:color w:val="auto"/>
              </w:rPr>
            </w:pPr>
          </w:p>
        </w:tc>
        <w:tc>
          <w:tcPr>
            <w:tcW w:w="200" w:type="dxa"/>
            <w:vAlign w:val="bottom"/>
            <w:tcBorders>
              <w:top w:val="single" w:sz="8" w:color="D6F3E8"/>
              <w:bottom w:val="single" w:sz="8" w:color="D6F3E8"/>
            </w:tcBorders>
            <w:shd w:val="clear" w:color="auto" w:fill="D6F3E8"/>
          </w:tcPr>
          <w:p>
            <w:pPr>
              <w:spacing w:after="0"/>
              <w:rPr>
                <w:sz w:val="18"/>
                <w:szCs w:val="18"/>
                <w:color w:val="auto"/>
              </w:rPr>
            </w:pPr>
          </w:p>
        </w:tc>
        <w:tc>
          <w:tcPr>
            <w:tcW w:w="940" w:type="dxa"/>
            <w:vAlign w:val="bottom"/>
            <w:tcBorders>
              <w:top w:val="single" w:sz="8" w:color="auto"/>
              <w:bottom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4.9</w:t>
            </w:r>
          </w:p>
        </w:tc>
        <w:tc>
          <w:tcPr>
            <w:tcW w:w="200" w:type="dxa"/>
            <w:vAlign w:val="bottom"/>
            <w:tcBorders>
              <w:top w:val="single" w:sz="8" w:color="D6F3E8"/>
              <w:bottom w:val="single" w:sz="8" w:color="D6F3E8"/>
            </w:tcBorders>
            <w:shd w:val="clear" w:color="auto" w:fill="D6F3E8"/>
          </w:tcPr>
          <w:p>
            <w:pPr>
              <w:spacing w:after="0"/>
              <w:rPr>
                <w:sz w:val="18"/>
                <w:szCs w:val="18"/>
                <w:color w:val="auto"/>
              </w:rPr>
            </w:pPr>
          </w:p>
        </w:tc>
        <w:tc>
          <w:tcPr>
            <w:tcW w:w="140" w:type="dxa"/>
            <w:vAlign w:val="bottom"/>
            <w:tcBorders>
              <w:top w:val="single" w:sz="8" w:color="D6F3E8"/>
              <w:bottom w:val="single" w:sz="8" w:color="D6F3E8"/>
            </w:tcBorders>
            <w:shd w:val="clear" w:color="auto" w:fill="D6F3E8"/>
          </w:tcPr>
          <w:p>
            <w:pPr>
              <w:spacing w:after="0"/>
              <w:rPr>
                <w:sz w:val="18"/>
                <w:szCs w:val="18"/>
                <w:color w:val="auto"/>
              </w:rPr>
            </w:pPr>
          </w:p>
        </w:tc>
        <w:tc>
          <w:tcPr>
            <w:tcW w:w="1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(8,253)</w:t>
            </w:r>
          </w:p>
        </w:tc>
        <w:tc>
          <w:tcPr>
            <w:tcW w:w="200" w:type="dxa"/>
            <w:vAlign w:val="bottom"/>
            <w:tcBorders>
              <w:top w:val="single" w:sz="8" w:color="D6F3E8"/>
              <w:bottom w:val="single" w:sz="8" w:color="D6F3E8"/>
            </w:tcBorders>
            <w:shd w:val="clear" w:color="auto" w:fill="D6F3E8"/>
          </w:tcPr>
          <w:p>
            <w:pPr>
              <w:spacing w:after="0"/>
              <w:rPr>
                <w:sz w:val="18"/>
                <w:szCs w:val="18"/>
                <w:color w:val="auto"/>
              </w:rPr>
            </w:pPr>
          </w:p>
        </w:tc>
        <w:tc>
          <w:tcPr>
            <w:tcW w:w="160" w:type="dxa"/>
            <w:vAlign w:val="bottom"/>
            <w:tcBorders>
              <w:top w:val="single" w:sz="8" w:color="D6F3E8"/>
              <w:bottom w:val="single" w:sz="8" w:color="D6F3E8"/>
            </w:tcBorders>
            <w:shd w:val="clear" w:color="auto" w:fill="D6F3E8"/>
          </w:tcPr>
          <w:p>
            <w:pPr>
              <w:spacing w:after="0"/>
              <w:rPr>
                <w:sz w:val="18"/>
                <w:szCs w:val="18"/>
                <w:color w:val="auto"/>
              </w:rPr>
            </w:pPr>
          </w:p>
        </w:tc>
        <w:tc>
          <w:tcPr>
            <w:tcW w:w="8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Borders>
              <w:top w:val="single" w:sz="8" w:color="D6F3E8"/>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color w:val="auto"/>
              </w:rPr>
              <w:t>Diluted income per share</w:t>
            </w: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20" w:type="dxa"/>
            <w:vAlign w:val="bottom"/>
            <w:tcBorders>
              <w:bottom w:val="single" w:sz="8" w:color="D6F3E8"/>
            </w:tcBorders>
            <w:gridSpan w:val="2"/>
            <w:vMerge w:val="continue"/>
          </w:tcPr>
          <w:p>
            <w:pPr>
              <w:spacing w:after="0"/>
              <w:rPr>
                <w:sz w:val="20"/>
                <w:szCs w:val="20"/>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0.10</w:t>
            </w:r>
          </w:p>
        </w:tc>
        <w:tc>
          <w:tcPr>
            <w:tcW w:w="80" w:type="dxa"/>
            <w:vAlign w:val="bottom"/>
            <w:tcBorders>
              <w:bottom w:val="single" w:sz="8" w:color="D6F3E8"/>
            </w:tcBorders>
          </w:tcPr>
          <w:p>
            <w:pPr>
              <w:spacing w:after="0"/>
              <w:rPr>
                <w:sz w:val="20"/>
                <w:szCs w:val="20"/>
                <w:color w:val="auto"/>
              </w:rPr>
            </w:pPr>
          </w:p>
        </w:tc>
        <w:tc>
          <w:tcPr>
            <w:tcW w:w="260" w:type="dxa"/>
            <w:vAlign w:val="bottom"/>
            <w:tcBorders>
              <w:bottom w:val="single" w:sz="8" w:color="D6F3E8"/>
            </w:tcBorders>
          </w:tcPr>
          <w:p>
            <w:pPr>
              <w:spacing w:after="0"/>
              <w:rPr>
                <w:sz w:val="20"/>
                <w:szCs w:val="20"/>
                <w:color w:val="auto"/>
              </w:rPr>
            </w:pPr>
          </w:p>
        </w:tc>
        <w:tc>
          <w:tcPr>
            <w:tcW w:w="700" w:type="dxa"/>
            <w:vAlign w:val="bottom"/>
            <w:tcBorders>
              <w:top w:val="single" w:sz="8" w:color="auto"/>
              <w:bottom w:val="single" w:sz="8" w:color="D6F3E8"/>
            </w:tcBorders>
          </w:tcPr>
          <w:p>
            <w:pPr>
              <w:spacing w:after="0"/>
              <w:rPr>
                <w:sz w:val="20"/>
                <w:szCs w:val="20"/>
                <w:color w:val="auto"/>
              </w:rPr>
            </w:pPr>
          </w:p>
        </w:tc>
        <w:tc>
          <w:tcPr>
            <w:tcW w:w="220" w:type="dxa"/>
            <w:vAlign w:val="bottom"/>
            <w:tcBorders>
              <w:top w:val="single" w:sz="8" w:color="auto"/>
              <w:bottom w:val="single" w:sz="8" w:color="D6F3E8"/>
            </w:tcBorders>
          </w:tcPr>
          <w:p>
            <w:pPr>
              <w:spacing w:after="0"/>
              <w:rPr>
                <w:sz w:val="20"/>
                <w:szCs w:val="20"/>
                <w:color w:val="auto"/>
              </w:rPr>
            </w:pPr>
          </w:p>
        </w:tc>
        <w:tc>
          <w:tcPr>
            <w:tcW w:w="140" w:type="dxa"/>
            <w:vAlign w:val="bottom"/>
            <w:tcBorders>
              <w:bottom w:val="single" w:sz="8" w:color="D6F3E8"/>
            </w:tcBorders>
          </w:tcPr>
          <w:p>
            <w:pPr>
              <w:spacing w:after="0"/>
              <w:rPr>
                <w:sz w:val="20"/>
                <w:szCs w:val="20"/>
                <w:color w:val="auto"/>
              </w:rPr>
            </w:pPr>
          </w:p>
        </w:tc>
        <w:tc>
          <w:tcPr>
            <w:tcW w:w="200" w:type="dxa"/>
            <w:vAlign w:val="bottom"/>
            <w:tcBorders>
              <w:bottom w:val="single" w:sz="8" w:color="D6F3E8"/>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0.35</w:t>
            </w:r>
          </w:p>
        </w:tc>
        <w:tc>
          <w:tcPr>
            <w:tcW w:w="140" w:type="dxa"/>
            <w:vAlign w:val="bottom"/>
            <w:tcBorders>
              <w:bottom w:val="single" w:sz="8" w:color="D6F3E8"/>
            </w:tcBorders>
          </w:tcPr>
          <w:p>
            <w:pPr>
              <w:spacing w:after="0"/>
              <w:rPr>
                <w:sz w:val="20"/>
                <w:szCs w:val="20"/>
                <w:color w:val="auto"/>
              </w:rPr>
            </w:pPr>
          </w:p>
        </w:tc>
        <w:tc>
          <w:tcPr>
            <w:tcW w:w="200" w:type="dxa"/>
            <w:vAlign w:val="bottom"/>
            <w:tcBorders>
              <w:bottom w:val="single" w:sz="8" w:color="D6F3E8"/>
            </w:tcBorders>
          </w:tcPr>
          <w:p>
            <w:pPr>
              <w:spacing w:after="0"/>
              <w:rPr>
                <w:sz w:val="20"/>
                <w:szCs w:val="20"/>
                <w:color w:val="auto"/>
              </w:rPr>
            </w:pPr>
          </w:p>
        </w:tc>
        <w:tc>
          <w:tcPr>
            <w:tcW w:w="780" w:type="dxa"/>
            <w:vAlign w:val="bottom"/>
            <w:tcBorders>
              <w:top w:val="single" w:sz="8" w:color="auto"/>
              <w:bottom w:val="single" w:sz="8" w:color="D6F3E8"/>
            </w:tcBorders>
          </w:tcPr>
          <w:p>
            <w:pPr>
              <w:spacing w:after="0"/>
              <w:rPr>
                <w:sz w:val="20"/>
                <w:szCs w:val="20"/>
                <w:color w:val="auto"/>
              </w:rPr>
            </w:pPr>
          </w:p>
        </w:tc>
        <w:tc>
          <w:tcPr>
            <w:tcW w:w="160" w:type="dxa"/>
            <w:vAlign w:val="bottom"/>
            <w:tcBorders>
              <w:top w:val="single" w:sz="8" w:color="auto"/>
              <w:bottom w:val="single" w:sz="8" w:color="D6F3E8"/>
            </w:tcBorders>
          </w:tcPr>
          <w:p>
            <w:pPr>
              <w:spacing w:after="0"/>
              <w:rPr>
                <w:sz w:val="20"/>
                <w:szCs w:val="20"/>
                <w:color w:val="auto"/>
              </w:rPr>
            </w:pPr>
          </w:p>
        </w:tc>
        <w:tc>
          <w:tcPr>
            <w:tcW w:w="200" w:type="dxa"/>
            <w:vAlign w:val="bottom"/>
            <w:tcBorders>
              <w:bottom w:val="single" w:sz="8" w:color="D6F3E8"/>
            </w:tcBorders>
          </w:tcPr>
          <w:p>
            <w:pPr>
              <w:spacing w:after="0"/>
              <w:rPr>
                <w:sz w:val="20"/>
                <w:szCs w:val="20"/>
                <w:color w:val="auto"/>
              </w:rPr>
            </w:pPr>
          </w:p>
        </w:tc>
        <w:tc>
          <w:tcPr>
            <w:tcW w:w="140" w:type="dxa"/>
            <w:vAlign w:val="bottom"/>
            <w:tcBorders>
              <w:bottom w:val="single" w:sz="8" w:color="D6F3E8"/>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(0.25</w:t>
            </w:r>
          </w:p>
        </w:tc>
        <w:tc>
          <w:tcPr>
            <w:tcW w:w="200" w:type="dxa"/>
            <w:vAlign w:val="bottom"/>
            <w:tcBorders>
              <w:top w:val="single" w:sz="8" w:color="D6F3E8"/>
              <w:bottom w:val="single" w:sz="8" w:color="D6F3E8"/>
            </w:tcBorders>
          </w:tcPr>
          <w:p>
            <w:pPr>
              <w:jc w:val="right"/>
              <w:ind w:right="58"/>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D6F3E8"/>
              <w:bottom w:val="single" w:sz="8" w:color="D6F3E8"/>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(71.4</w:t>
            </w:r>
          </w:p>
        </w:tc>
        <w:tc>
          <w:tcPr>
            <w:tcW w:w="120" w:type="dxa"/>
            <w:vAlign w:val="bottom"/>
            <w:tcBorders>
              <w:top w:val="single" w:sz="8" w:color="D6F3E8"/>
              <w:bottom w:val="single" w:sz="8" w:color="D6F3E8"/>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3820" w:type="dxa"/>
            <w:vAlign w:val="bottom"/>
            <w:tcBorders>
              <w:bottom w:val="single" w:sz="8" w:color="D6F3E8"/>
            </w:tcBorders>
            <w:gridSpan w:val="2"/>
            <w:shd w:val="clear" w:color="auto" w:fill="D6F3E8"/>
          </w:tcPr>
          <w:p>
            <w:pPr>
              <w:spacing w:after="0" w:line="182" w:lineRule="exact"/>
              <w:rPr>
                <w:sz w:val="20"/>
                <w:szCs w:val="20"/>
                <w:color w:val="auto"/>
              </w:rPr>
            </w:pPr>
            <w:r>
              <w:rPr>
                <w:rFonts w:ascii="Arial" w:cs="Arial" w:eastAsia="Arial" w:hAnsi="Arial"/>
                <w:sz w:val="18"/>
                <w:szCs w:val="18"/>
                <w:color w:val="auto"/>
              </w:rPr>
              <w:t>Fully diluted average shares outstanding</w:t>
            </w:r>
          </w:p>
        </w:tc>
        <w:tc>
          <w:tcPr>
            <w:tcW w:w="100" w:type="dxa"/>
            <w:vAlign w:val="bottom"/>
            <w:tcBorders>
              <w:bottom w:val="single" w:sz="8" w:color="auto"/>
            </w:tcBorders>
            <w:shd w:val="clear" w:color="auto" w:fill="D6F3E8"/>
          </w:tcPr>
          <w:p>
            <w:pPr>
              <w:spacing w:after="0"/>
              <w:rPr>
                <w:sz w:val="17"/>
                <w:szCs w:val="17"/>
                <w:color w:val="auto"/>
              </w:rPr>
            </w:pPr>
          </w:p>
        </w:tc>
        <w:tc>
          <w:tcPr>
            <w:tcW w:w="920" w:type="dxa"/>
            <w:vAlign w:val="bottom"/>
            <w:tcBorders>
              <w:bottom w:val="single" w:sz="8" w:color="auto"/>
            </w:tcBorders>
            <w:gridSpan w:val="2"/>
            <w:shd w:val="clear" w:color="auto" w:fill="D6F3E8"/>
          </w:tcPr>
          <w:p>
            <w:pPr>
              <w:jc w:val="right"/>
              <w:spacing w:after="0" w:line="196" w:lineRule="exact"/>
              <w:rPr>
                <w:sz w:val="20"/>
                <w:szCs w:val="20"/>
                <w:color w:val="auto"/>
              </w:rPr>
            </w:pPr>
            <w:r>
              <w:rPr>
                <w:rFonts w:ascii="Arial" w:cs="Arial" w:eastAsia="Arial" w:hAnsi="Arial"/>
                <w:sz w:val="18"/>
                <w:szCs w:val="18"/>
                <w:color w:val="auto"/>
              </w:rPr>
              <w:t>29,048</w:t>
            </w:r>
          </w:p>
        </w:tc>
        <w:tc>
          <w:tcPr>
            <w:tcW w:w="80" w:type="dxa"/>
            <w:vAlign w:val="bottom"/>
            <w:tcBorders>
              <w:bottom w:val="single" w:sz="8" w:color="D6F3E8"/>
            </w:tcBorders>
            <w:shd w:val="clear" w:color="auto" w:fill="D6F3E8"/>
          </w:tcPr>
          <w:p>
            <w:pPr>
              <w:spacing w:after="0"/>
              <w:rPr>
                <w:sz w:val="17"/>
                <w:szCs w:val="17"/>
                <w:color w:val="auto"/>
              </w:rPr>
            </w:pPr>
          </w:p>
        </w:tc>
        <w:tc>
          <w:tcPr>
            <w:tcW w:w="260" w:type="dxa"/>
            <w:vAlign w:val="bottom"/>
            <w:tcBorders>
              <w:bottom w:val="single" w:sz="8" w:color="D6F3E8"/>
            </w:tcBorders>
            <w:shd w:val="clear" w:color="auto" w:fill="D6F3E8"/>
          </w:tcPr>
          <w:p>
            <w:pPr>
              <w:spacing w:after="0"/>
              <w:rPr>
                <w:sz w:val="17"/>
                <w:szCs w:val="17"/>
                <w:color w:val="auto"/>
              </w:rPr>
            </w:pPr>
          </w:p>
        </w:tc>
        <w:tc>
          <w:tcPr>
            <w:tcW w:w="700" w:type="dxa"/>
            <w:vAlign w:val="bottom"/>
            <w:tcBorders>
              <w:bottom w:val="single" w:sz="8" w:color="D6F3E8"/>
            </w:tcBorders>
            <w:shd w:val="clear" w:color="auto" w:fill="D6F3E8"/>
          </w:tcPr>
          <w:p>
            <w:pPr>
              <w:spacing w:after="0"/>
              <w:rPr>
                <w:sz w:val="17"/>
                <w:szCs w:val="17"/>
                <w:color w:val="auto"/>
              </w:rPr>
            </w:pPr>
          </w:p>
        </w:tc>
        <w:tc>
          <w:tcPr>
            <w:tcW w:w="220" w:type="dxa"/>
            <w:vAlign w:val="bottom"/>
            <w:tcBorders>
              <w:bottom w:val="single" w:sz="8" w:color="D6F3E8"/>
            </w:tcBorders>
            <w:shd w:val="clear" w:color="auto" w:fill="D6F3E8"/>
          </w:tcPr>
          <w:p>
            <w:pPr>
              <w:spacing w:after="0"/>
              <w:rPr>
                <w:sz w:val="17"/>
                <w:szCs w:val="17"/>
                <w:color w:val="auto"/>
              </w:rPr>
            </w:pPr>
          </w:p>
        </w:tc>
        <w:tc>
          <w:tcPr>
            <w:tcW w:w="140" w:type="dxa"/>
            <w:vAlign w:val="bottom"/>
            <w:tcBorders>
              <w:bottom w:val="single" w:sz="8" w:color="D6F3E8"/>
            </w:tcBorders>
            <w:shd w:val="clear" w:color="auto" w:fill="D6F3E8"/>
          </w:tcPr>
          <w:p>
            <w:pPr>
              <w:spacing w:after="0"/>
              <w:rPr>
                <w:sz w:val="17"/>
                <w:szCs w:val="17"/>
                <w:color w:val="auto"/>
              </w:rPr>
            </w:pPr>
          </w:p>
        </w:tc>
        <w:tc>
          <w:tcPr>
            <w:tcW w:w="200" w:type="dxa"/>
            <w:vAlign w:val="bottom"/>
            <w:tcBorders>
              <w:bottom w:val="single" w:sz="8" w:color="D6F3E8"/>
            </w:tcBorders>
            <w:shd w:val="clear" w:color="auto" w:fill="D6F3E8"/>
          </w:tcPr>
          <w:p>
            <w:pPr>
              <w:spacing w:after="0"/>
              <w:rPr>
                <w:sz w:val="17"/>
                <w:szCs w:val="17"/>
                <w:color w:val="auto"/>
              </w:rPr>
            </w:pPr>
          </w:p>
        </w:tc>
        <w:tc>
          <w:tcPr>
            <w:tcW w:w="120" w:type="dxa"/>
            <w:vAlign w:val="bottom"/>
            <w:tcBorders>
              <w:bottom w:val="single" w:sz="8" w:color="auto"/>
            </w:tcBorders>
            <w:shd w:val="clear" w:color="auto" w:fill="D6F3E8"/>
          </w:tcPr>
          <w:p>
            <w:pPr>
              <w:spacing w:after="0"/>
              <w:rPr>
                <w:sz w:val="17"/>
                <w:szCs w:val="17"/>
                <w:color w:val="auto"/>
              </w:rPr>
            </w:pPr>
          </w:p>
        </w:tc>
        <w:tc>
          <w:tcPr>
            <w:tcW w:w="900" w:type="dxa"/>
            <w:vAlign w:val="bottom"/>
            <w:tcBorders>
              <w:bottom w:val="single" w:sz="8" w:color="auto"/>
            </w:tcBorders>
            <w:gridSpan w:val="2"/>
            <w:shd w:val="clear" w:color="auto" w:fill="D6F3E8"/>
          </w:tcPr>
          <w:p>
            <w:pPr>
              <w:jc w:val="right"/>
              <w:spacing w:after="0" w:line="196" w:lineRule="exact"/>
              <w:rPr>
                <w:sz w:val="20"/>
                <w:szCs w:val="20"/>
                <w:color w:val="auto"/>
              </w:rPr>
            </w:pPr>
            <w:r>
              <w:rPr>
                <w:rFonts w:ascii="Arial" w:cs="Arial" w:eastAsia="Arial" w:hAnsi="Arial"/>
                <w:sz w:val="18"/>
                <w:szCs w:val="18"/>
                <w:color w:val="auto"/>
              </w:rPr>
              <w:t>31,761</w:t>
            </w:r>
          </w:p>
        </w:tc>
        <w:tc>
          <w:tcPr>
            <w:tcW w:w="140" w:type="dxa"/>
            <w:vAlign w:val="bottom"/>
            <w:tcBorders>
              <w:bottom w:val="single" w:sz="8" w:color="D6F3E8"/>
            </w:tcBorders>
            <w:shd w:val="clear" w:color="auto" w:fill="D6F3E8"/>
          </w:tcPr>
          <w:p>
            <w:pPr>
              <w:spacing w:after="0"/>
              <w:rPr>
                <w:sz w:val="17"/>
                <w:szCs w:val="17"/>
                <w:color w:val="auto"/>
              </w:rPr>
            </w:pPr>
          </w:p>
        </w:tc>
        <w:tc>
          <w:tcPr>
            <w:tcW w:w="200" w:type="dxa"/>
            <w:vAlign w:val="bottom"/>
            <w:tcBorders>
              <w:bottom w:val="single" w:sz="8" w:color="D6F3E8"/>
            </w:tcBorders>
            <w:shd w:val="clear" w:color="auto" w:fill="D6F3E8"/>
          </w:tcPr>
          <w:p>
            <w:pPr>
              <w:spacing w:after="0"/>
              <w:rPr>
                <w:sz w:val="17"/>
                <w:szCs w:val="17"/>
                <w:color w:val="auto"/>
              </w:rPr>
            </w:pPr>
          </w:p>
        </w:tc>
        <w:tc>
          <w:tcPr>
            <w:tcW w:w="780" w:type="dxa"/>
            <w:vAlign w:val="bottom"/>
            <w:tcBorders>
              <w:bottom w:val="single" w:sz="8" w:color="D6F3E8"/>
            </w:tcBorders>
            <w:shd w:val="clear" w:color="auto" w:fill="D6F3E8"/>
          </w:tcPr>
          <w:p>
            <w:pPr>
              <w:spacing w:after="0"/>
              <w:rPr>
                <w:sz w:val="17"/>
                <w:szCs w:val="17"/>
                <w:color w:val="auto"/>
              </w:rPr>
            </w:pPr>
          </w:p>
        </w:tc>
        <w:tc>
          <w:tcPr>
            <w:tcW w:w="160" w:type="dxa"/>
            <w:vAlign w:val="bottom"/>
            <w:tcBorders>
              <w:bottom w:val="single" w:sz="8" w:color="D6F3E8"/>
            </w:tcBorders>
            <w:shd w:val="clear" w:color="auto" w:fill="D6F3E8"/>
          </w:tcPr>
          <w:p>
            <w:pPr>
              <w:spacing w:after="0"/>
              <w:rPr>
                <w:sz w:val="17"/>
                <w:szCs w:val="17"/>
                <w:color w:val="auto"/>
              </w:rPr>
            </w:pPr>
          </w:p>
        </w:tc>
        <w:tc>
          <w:tcPr>
            <w:tcW w:w="200" w:type="dxa"/>
            <w:vAlign w:val="bottom"/>
            <w:tcBorders>
              <w:bottom w:val="single" w:sz="8" w:color="D6F3E8"/>
            </w:tcBorders>
            <w:shd w:val="clear" w:color="auto" w:fill="D6F3E8"/>
          </w:tcPr>
          <w:p>
            <w:pPr>
              <w:spacing w:after="0"/>
              <w:rPr>
                <w:sz w:val="17"/>
                <w:szCs w:val="17"/>
                <w:color w:val="auto"/>
              </w:rPr>
            </w:pPr>
          </w:p>
        </w:tc>
        <w:tc>
          <w:tcPr>
            <w:tcW w:w="140" w:type="dxa"/>
            <w:vAlign w:val="bottom"/>
            <w:tcBorders>
              <w:bottom w:val="single" w:sz="8" w:color="D6F3E8"/>
            </w:tcBorders>
            <w:shd w:val="clear" w:color="auto" w:fill="D6F3E8"/>
          </w:tcPr>
          <w:p>
            <w:pPr>
              <w:spacing w:after="0"/>
              <w:rPr>
                <w:sz w:val="17"/>
                <w:szCs w:val="17"/>
                <w:color w:val="auto"/>
              </w:rPr>
            </w:pPr>
          </w:p>
        </w:tc>
        <w:tc>
          <w:tcPr>
            <w:tcW w:w="100" w:type="dxa"/>
            <w:vAlign w:val="bottom"/>
            <w:tcBorders>
              <w:bottom w:val="single" w:sz="8" w:color="auto"/>
            </w:tcBorders>
            <w:shd w:val="clear" w:color="auto" w:fill="D6F3E8"/>
          </w:tcPr>
          <w:p>
            <w:pPr>
              <w:spacing w:after="0"/>
              <w:rPr>
                <w:sz w:val="17"/>
                <w:szCs w:val="17"/>
                <w:color w:val="auto"/>
              </w:rPr>
            </w:pPr>
          </w:p>
        </w:tc>
        <w:tc>
          <w:tcPr>
            <w:tcW w:w="920" w:type="dxa"/>
            <w:vAlign w:val="bottom"/>
            <w:tcBorders>
              <w:bottom w:val="single" w:sz="8" w:color="auto"/>
            </w:tcBorders>
            <w:gridSpan w:val="2"/>
            <w:shd w:val="clear" w:color="auto" w:fill="D6F3E8"/>
          </w:tcPr>
          <w:p>
            <w:pPr>
              <w:jc w:val="right"/>
              <w:spacing w:after="0" w:line="196" w:lineRule="exact"/>
              <w:rPr>
                <w:sz w:val="20"/>
                <w:szCs w:val="20"/>
                <w:color w:val="auto"/>
              </w:rPr>
            </w:pPr>
            <w:r>
              <w:rPr>
                <w:rFonts w:ascii="Arial" w:cs="Arial" w:eastAsia="Arial" w:hAnsi="Arial"/>
                <w:sz w:val="18"/>
                <w:szCs w:val="18"/>
                <w:color w:val="auto"/>
              </w:rPr>
              <w:t>(2,713)</w:t>
            </w:r>
          </w:p>
        </w:tc>
        <w:tc>
          <w:tcPr>
            <w:tcW w:w="200" w:type="dxa"/>
            <w:vAlign w:val="bottom"/>
            <w:tcBorders>
              <w:bottom w:val="single" w:sz="8" w:color="D6F3E8"/>
            </w:tcBorders>
            <w:shd w:val="clear" w:color="auto" w:fill="D6F3E8"/>
          </w:tcPr>
          <w:p>
            <w:pPr>
              <w:spacing w:after="0"/>
              <w:rPr>
                <w:sz w:val="17"/>
                <w:szCs w:val="17"/>
                <w:color w:val="auto"/>
              </w:rPr>
            </w:pPr>
          </w:p>
        </w:tc>
        <w:tc>
          <w:tcPr>
            <w:tcW w:w="160" w:type="dxa"/>
            <w:vAlign w:val="bottom"/>
            <w:tcBorders>
              <w:bottom w:val="single" w:sz="8" w:color="D6F3E8"/>
            </w:tcBorders>
            <w:shd w:val="clear" w:color="auto" w:fill="D6F3E8"/>
          </w:tcPr>
          <w:p>
            <w:pPr>
              <w:spacing w:after="0"/>
              <w:rPr>
                <w:sz w:val="17"/>
                <w:szCs w:val="17"/>
                <w:color w:val="auto"/>
              </w:rPr>
            </w:pPr>
          </w:p>
        </w:tc>
        <w:tc>
          <w:tcPr>
            <w:tcW w:w="840" w:type="dxa"/>
            <w:vAlign w:val="bottom"/>
            <w:tcBorders>
              <w:bottom w:val="single" w:sz="8" w:color="auto"/>
            </w:tcBorders>
            <w:shd w:val="clear" w:color="auto" w:fill="D6F3E8"/>
          </w:tcPr>
          <w:p>
            <w:pPr>
              <w:jc w:val="right"/>
              <w:spacing w:after="0" w:line="196" w:lineRule="exact"/>
              <w:rPr>
                <w:sz w:val="20"/>
                <w:szCs w:val="20"/>
                <w:color w:val="auto"/>
              </w:rPr>
            </w:pPr>
            <w:r>
              <w:rPr>
                <w:rFonts w:ascii="Arial" w:cs="Arial" w:eastAsia="Arial" w:hAnsi="Arial"/>
                <w:sz w:val="18"/>
                <w:szCs w:val="18"/>
                <w:color w:val="auto"/>
              </w:rPr>
              <w:t>(8.5)</w:t>
            </w:r>
          </w:p>
        </w:tc>
        <w:tc>
          <w:tcPr>
            <w:tcW w:w="120" w:type="dxa"/>
            <w:vAlign w:val="bottom"/>
            <w:tcBorders>
              <w:bottom w:val="single" w:sz="8" w:color="D6F3E8"/>
            </w:tcBorders>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color w:val="auto"/>
              </w:rPr>
              <w:t>Unit deliveries consisted of the following:</w:t>
            </w: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D6F3E8"/>
            </w:tcBorders>
          </w:tcPr>
          <w:p>
            <w:pPr>
              <w:spacing w:after="0" w:line="20" w:lineRule="exact"/>
              <w:rPr>
                <w:sz w:val="1"/>
                <w:szCs w:val="1"/>
                <w:color w:val="auto"/>
              </w:rPr>
            </w:pPr>
          </w:p>
        </w:tc>
        <w:tc>
          <w:tcPr>
            <w:tcW w:w="160" w:type="dxa"/>
            <w:vAlign w:val="bottom"/>
            <w:tcBorders>
              <w:bottom w:val="single" w:sz="8" w:color="D6F3E8"/>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38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5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6"/>
          </w:tcPr>
          <w:p>
            <w:pPr>
              <w:jc w:val="right"/>
              <w:ind w:right="860"/>
              <w:spacing w:after="0"/>
              <w:rPr>
                <w:sz w:val="20"/>
                <w:szCs w:val="20"/>
                <w:color w:val="auto"/>
              </w:rPr>
            </w:pPr>
            <w:r>
              <w:rPr>
                <w:rFonts w:ascii="Arial" w:cs="Arial" w:eastAsia="Arial" w:hAnsi="Arial"/>
                <w:sz w:val="14"/>
                <w:szCs w:val="14"/>
                <w:b w:val="1"/>
                <w:bCs w:val="1"/>
                <w:color w:val="auto"/>
              </w:rPr>
              <w:t>Quarter Ended</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May 31,</w:t>
            </w:r>
          </w:p>
        </w:tc>
        <w:tc>
          <w:tcPr>
            <w:tcW w:w="1520" w:type="dxa"/>
            <w:vAlign w:val="bottom"/>
            <w:gridSpan w:val="5"/>
          </w:tcPr>
          <w:p>
            <w:pPr>
              <w:ind w:left="120"/>
              <w:spacing w:after="0" w:line="129" w:lineRule="exact"/>
              <w:rPr>
                <w:sz w:val="20"/>
                <w:szCs w:val="20"/>
                <w:color w:val="auto"/>
              </w:rPr>
            </w:pPr>
            <w:r>
              <w:rPr>
                <w:rFonts w:ascii="Arial" w:cs="Arial" w:eastAsia="Arial" w:hAnsi="Arial"/>
                <w:sz w:val="14"/>
                <w:szCs w:val="14"/>
                <w:b w:val="1"/>
                <w:bCs w:val="1"/>
                <w:color w:val="auto"/>
              </w:rPr>
              <w:t>Product Mix</w:t>
            </w:r>
          </w:p>
        </w:tc>
        <w:tc>
          <w:tcPr>
            <w:tcW w:w="1160" w:type="dxa"/>
            <w:vAlign w:val="bottom"/>
            <w:gridSpan w:val="4"/>
          </w:tcPr>
          <w:p>
            <w:pPr>
              <w:jc w:val="right"/>
              <w:ind w:right="620"/>
              <w:spacing w:after="0" w:line="129" w:lineRule="exact"/>
              <w:rPr>
                <w:sz w:val="20"/>
                <w:szCs w:val="20"/>
                <w:color w:val="auto"/>
              </w:rPr>
            </w:pPr>
            <w:r>
              <w:rPr>
                <w:rFonts w:ascii="Arial" w:cs="Arial" w:eastAsia="Arial" w:hAnsi="Arial"/>
                <w:sz w:val="14"/>
                <w:szCs w:val="14"/>
                <w:b w:val="1"/>
                <w:bCs w:val="1"/>
                <w:color w:val="auto"/>
              </w:rPr>
              <w:t>May 26,</w:t>
            </w:r>
          </w:p>
        </w:tc>
        <w:tc>
          <w:tcPr>
            <w:tcW w:w="1140" w:type="dxa"/>
            <w:vAlign w:val="bottom"/>
            <w:gridSpan w:val="3"/>
          </w:tcPr>
          <w:p>
            <w:pPr>
              <w:jc w:val="right"/>
              <w:ind w:right="280"/>
              <w:spacing w:after="0" w:line="129" w:lineRule="exact"/>
              <w:rPr>
                <w:sz w:val="20"/>
                <w:szCs w:val="20"/>
                <w:color w:val="auto"/>
              </w:rPr>
            </w:pPr>
            <w:r>
              <w:rPr>
                <w:rFonts w:ascii="Arial" w:cs="Arial" w:eastAsia="Arial" w:hAnsi="Arial"/>
                <w:sz w:val="14"/>
                <w:szCs w:val="14"/>
                <w:b w:val="1"/>
                <w:bCs w:val="1"/>
                <w:color w:val="auto"/>
              </w:rPr>
              <w:t>Product Mix</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4"/>
          </w:tcPr>
          <w:p>
            <w:pPr>
              <w:jc w:val="center"/>
              <w:ind w:right="760"/>
              <w:spacing w:after="0" w:line="129" w:lineRule="exact"/>
              <w:rPr>
                <w:sz w:val="20"/>
                <w:szCs w:val="20"/>
                <w:color w:val="auto"/>
              </w:rPr>
            </w:pPr>
            <w:r>
              <w:rPr>
                <w:rFonts w:ascii="Arial" w:cs="Arial" w:eastAsia="Arial" w:hAnsi="Arial"/>
                <w:sz w:val="14"/>
                <w:szCs w:val="14"/>
                <w:b w:val="1"/>
                <w:bCs w:val="1"/>
                <w:color w:val="auto"/>
                <w:w w:val="84"/>
              </w:rPr>
              <w:t>Increase</w:t>
            </w:r>
          </w:p>
        </w:tc>
        <w:tc>
          <w:tcPr>
            <w:tcW w:w="840" w:type="dxa"/>
            <w:vAlign w:val="bottom"/>
          </w:tcPr>
          <w:p>
            <w:pPr>
              <w:jc w:val="right"/>
              <w:ind w:right="356"/>
              <w:spacing w:after="0" w:line="12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820" w:type="dxa"/>
            <w:vAlign w:val="bottom"/>
            <w:gridSpan w:val="2"/>
          </w:tcPr>
          <w:p>
            <w:pPr>
              <w:spacing w:after="0"/>
              <w:rPr>
                <w:sz w:val="20"/>
                <w:szCs w:val="20"/>
                <w:color w:val="auto"/>
              </w:rPr>
            </w:pPr>
            <w:r>
              <w:rPr>
                <w:rFonts w:ascii="Arial" w:cs="Arial" w:eastAsia="Arial" w:hAnsi="Arial"/>
                <w:sz w:val="14"/>
                <w:szCs w:val="14"/>
                <w:b w:val="1"/>
                <w:bCs w:val="1"/>
                <w:color w:val="auto"/>
              </w:rPr>
              <w:t>Motor home unit deliveries:</w:t>
            </w:r>
          </w:p>
        </w:tc>
        <w:tc>
          <w:tcPr>
            <w:tcW w:w="100" w:type="dxa"/>
            <w:vAlign w:val="bottom"/>
          </w:tcPr>
          <w:p>
            <w:pPr>
              <w:spacing w:after="0"/>
              <w:rPr>
                <w:sz w:val="14"/>
                <w:szCs w:val="14"/>
                <w:color w:val="auto"/>
              </w:rPr>
            </w:pPr>
          </w:p>
        </w:tc>
        <w:tc>
          <w:tcPr>
            <w:tcW w:w="620" w:type="dxa"/>
            <w:vAlign w:val="bottom"/>
          </w:tcPr>
          <w:p>
            <w:pPr>
              <w:jc w:val="right"/>
              <w:ind w:right="255"/>
              <w:spacing w:after="0"/>
              <w:rPr>
                <w:sz w:val="20"/>
                <w:szCs w:val="20"/>
                <w:color w:val="auto"/>
              </w:rPr>
            </w:pPr>
            <w:r>
              <w:rPr>
                <w:rFonts w:ascii="Arial" w:cs="Arial" w:eastAsia="Arial" w:hAnsi="Arial"/>
                <w:sz w:val="14"/>
                <w:szCs w:val="14"/>
                <w:b w:val="1"/>
                <w:bCs w:val="1"/>
                <w:color w:val="auto"/>
                <w:w w:val="83"/>
              </w:rPr>
              <w:t>2008</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33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276"/>
              <w:spacing w:after="0"/>
              <w:rPr>
                <w:sz w:val="20"/>
                <w:szCs w:val="20"/>
                <w:color w:val="auto"/>
              </w:rPr>
            </w:pPr>
            <w:r>
              <w:rPr>
                <w:rFonts w:ascii="Arial" w:cs="Arial" w:eastAsia="Arial" w:hAnsi="Arial"/>
                <w:sz w:val="14"/>
                <w:szCs w:val="14"/>
                <w:b w:val="1"/>
                <w:bCs w:val="1"/>
                <w:color w:val="auto"/>
                <w:w w:val="96"/>
              </w:rPr>
              <w:t>2007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334"/>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5"/>
          </w:tcPr>
          <w:p>
            <w:pPr>
              <w:jc w:val="center"/>
              <w:ind w:right="660"/>
              <w:spacing w:after="0"/>
              <w:rPr>
                <w:sz w:val="20"/>
                <w:szCs w:val="20"/>
                <w:color w:val="auto"/>
              </w:rPr>
            </w:pPr>
            <w:r>
              <w:rPr>
                <w:rFonts w:ascii="Arial" w:cs="Arial" w:eastAsia="Arial" w:hAnsi="Arial"/>
                <w:sz w:val="14"/>
                <w:szCs w:val="14"/>
                <w:b w:val="1"/>
                <w:bCs w:val="1"/>
                <w:color w:val="auto"/>
                <w:w w:val="83"/>
              </w:rPr>
              <w:t>(Decrease)</w:t>
            </w:r>
          </w:p>
        </w:tc>
        <w:tc>
          <w:tcPr>
            <w:tcW w:w="960" w:type="dxa"/>
            <w:vAlign w:val="bottom"/>
            <w:gridSpan w:val="2"/>
          </w:tcPr>
          <w:p>
            <w:pPr>
              <w:jc w:val="right"/>
              <w:ind w:right="31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3580" w:type="dxa"/>
            <w:vAlign w:val="bottom"/>
            <w:tcBorders>
              <w:top w:val="single" w:sz="8" w:color="D6F3E8"/>
            </w:tcBorders>
            <w:shd w:val="clear" w:color="auto" w:fill="D6F3E8"/>
          </w:tcPr>
          <w:p>
            <w:pPr>
              <w:spacing w:after="0" w:line="202" w:lineRule="exact"/>
              <w:rPr>
                <w:sz w:val="20"/>
                <w:szCs w:val="20"/>
                <w:color w:val="auto"/>
              </w:rPr>
            </w:pPr>
            <w:r>
              <w:rPr>
                <w:rFonts w:ascii="Arial" w:cs="Arial" w:eastAsia="Arial" w:hAnsi="Arial"/>
                <w:sz w:val="18"/>
                <w:szCs w:val="18"/>
                <w:color w:val="auto"/>
              </w:rPr>
              <w:t>Class A gas</w:t>
            </w:r>
          </w:p>
        </w:tc>
        <w:tc>
          <w:tcPr>
            <w:tcW w:w="240" w:type="dxa"/>
            <w:vAlign w:val="bottom"/>
            <w:tcBorders>
              <w:top w:val="single" w:sz="8" w:color="auto"/>
            </w:tcBorders>
            <w:shd w:val="clear" w:color="auto" w:fill="D6F3E8"/>
          </w:tcPr>
          <w:p>
            <w:pPr>
              <w:spacing w:after="0"/>
              <w:rPr>
                <w:sz w:val="18"/>
                <w:szCs w:val="18"/>
                <w:color w:val="auto"/>
              </w:rPr>
            </w:pPr>
          </w:p>
        </w:tc>
        <w:tc>
          <w:tcPr>
            <w:tcW w:w="100" w:type="dxa"/>
            <w:vAlign w:val="bottom"/>
            <w:tcBorders>
              <w:top w:val="single" w:sz="8" w:color="auto"/>
            </w:tcBorders>
            <w:shd w:val="clear" w:color="auto" w:fill="D6F3E8"/>
          </w:tcPr>
          <w:p>
            <w:pPr>
              <w:spacing w:after="0"/>
              <w:rPr>
                <w:sz w:val="18"/>
                <w:szCs w:val="18"/>
                <w:color w:val="auto"/>
              </w:rPr>
            </w:pPr>
          </w:p>
        </w:tc>
        <w:tc>
          <w:tcPr>
            <w:tcW w:w="6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457</w:t>
            </w:r>
          </w:p>
        </w:tc>
        <w:tc>
          <w:tcPr>
            <w:tcW w:w="300" w:type="dxa"/>
            <w:vAlign w:val="bottom"/>
            <w:tcBorders>
              <w:top w:val="single" w:sz="8" w:color="D6F3E8"/>
            </w:tcBorders>
            <w:shd w:val="clear" w:color="auto" w:fill="D6F3E8"/>
          </w:tcPr>
          <w:p>
            <w:pPr>
              <w:spacing w:after="0"/>
              <w:rPr>
                <w:sz w:val="18"/>
                <w:szCs w:val="18"/>
                <w:color w:val="auto"/>
              </w:rPr>
            </w:pPr>
          </w:p>
        </w:tc>
        <w:tc>
          <w:tcPr>
            <w:tcW w:w="80" w:type="dxa"/>
            <w:vAlign w:val="bottom"/>
            <w:tcBorders>
              <w:top w:val="single" w:sz="8" w:color="D6F3E8"/>
            </w:tcBorders>
            <w:shd w:val="clear" w:color="auto" w:fill="D6F3E8"/>
          </w:tcPr>
          <w:p>
            <w:pPr>
              <w:spacing w:after="0"/>
              <w:rPr>
                <w:sz w:val="18"/>
                <w:szCs w:val="18"/>
                <w:color w:val="auto"/>
              </w:rPr>
            </w:pPr>
          </w:p>
        </w:tc>
        <w:tc>
          <w:tcPr>
            <w:tcW w:w="96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28.1</w:t>
            </w:r>
          </w:p>
        </w:tc>
        <w:tc>
          <w:tcPr>
            <w:tcW w:w="22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D6F3E8"/>
            </w:tcBorders>
            <w:shd w:val="clear" w:color="auto" w:fill="D6F3E8"/>
          </w:tcPr>
          <w:p>
            <w:pPr>
              <w:spacing w:after="0"/>
              <w:rPr>
                <w:sz w:val="18"/>
                <w:szCs w:val="18"/>
                <w:color w:val="auto"/>
              </w:rPr>
            </w:pPr>
          </w:p>
        </w:tc>
        <w:tc>
          <w:tcPr>
            <w:tcW w:w="200" w:type="dxa"/>
            <w:vAlign w:val="bottom"/>
            <w:tcBorders>
              <w:top w:val="single" w:sz="8" w:color="auto"/>
            </w:tcBorders>
            <w:shd w:val="clear" w:color="auto" w:fill="D6F3E8"/>
          </w:tcPr>
          <w:p>
            <w:pPr>
              <w:spacing w:after="0"/>
              <w:rPr>
                <w:sz w:val="18"/>
                <w:szCs w:val="18"/>
                <w:color w:val="auto"/>
              </w:rPr>
            </w:pPr>
          </w:p>
        </w:tc>
        <w:tc>
          <w:tcPr>
            <w:tcW w:w="120" w:type="dxa"/>
            <w:vAlign w:val="bottom"/>
            <w:tcBorders>
              <w:top w:val="single" w:sz="8" w:color="auto"/>
            </w:tcBorders>
            <w:shd w:val="clear" w:color="auto" w:fill="D6F3E8"/>
          </w:tcPr>
          <w:p>
            <w:pPr>
              <w:spacing w:after="0"/>
              <w:rPr>
                <w:sz w:val="18"/>
                <w:szCs w:val="18"/>
                <w:color w:val="auto"/>
              </w:rPr>
            </w:pPr>
          </w:p>
        </w:tc>
        <w:tc>
          <w:tcPr>
            <w:tcW w:w="6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904</w:t>
            </w:r>
          </w:p>
        </w:tc>
        <w:tc>
          <w:tcPr>
            <w:tcW w:w="22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D6F3E8"/>
            </w:tcBorders>
            <w:shd w:val="clear" w:color="auto" w:fill="D6F3E8"/>
          </w:tcPr>
          <w:p>
            <w:pPr>
              <w:spacing w:after="0"/>
              <w:rPr>
                <w:sz w:val="18"/>
                <w:szCs w:val="18"/>
                <w:color w:val="auto"/>
              </w:rPr>
            </w:pPr>
          </w:p>
        </w:tc>
        <w:tc>
          <w:tcPr>
            <w:tcW w:w="98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35.2</w:t>
            </w:r>
          </w:p>
        </w:tc>
        <w:tc>
          <w:tcPr>
            <w:tcW w:w="160" w:type="dxa"/>
            <w:vAlign w:val="bottom"/>
            <w:tcBorders>
              <w:top w:val="single" w:sz="8" w:color="D6F3E8"/>
            </w:tcBorders>
            <w:shd w:val="clear" w:color="auto" w:fill="D6F3E8"/>
          </w:tcPr>
          <w:p>
            <w:pPr>
              <w:spacing w:after="0"/>
              <w:rPr>
                <w:sz w:val="18"/>
                <w:szCs w:val="18"/>
                <w:color w:val="auto"/>
              </w:rPr>
            </w:pPr>
          </w:p>
        </w:tc>
        <w:tc>
          <w:tcPr>
            <w:tcW w:w="20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spacing w:after="0"/>
              <w:rPr>
                <w:sz w:val="18"/>
                <w:szCs w:val="18"/>
                <w:color w:val="auto"/>
              </w:rPr>
            </w:pPr>
          </w:p>
        </w:tc>
        <w:tc>
          <w:tcPr>
            <w:tcW w:w="100" w:type="dxa"/>
            <w:vAlign w:val="bottom"/>
            <w:tcBorders>
              <w:top w:val="single" w:sz="8" w:color="auto"/>
            </w:tcBorders>
            <w:shd w:val="clear" w:color="auto" w:fill="D6F3E8"/>
          </w:tcPr>
          <w:p>
            <w:pPr>
              <w:spacing w:after="0"/>
              <w:rPr>
                <w:sz w:val="18"/>
                <w:szCs w:val="18"/>
                <w:color w:val="auto"/>
              </w:rPr>
            </w:pPr>
          </w:p>
        </w:tc>
        <w:tc>
          <w:tcPr>
            <w:tcW w:w="7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(447)</w:t>
            </w:r>
          </w:p>
        </w:tc>
        <w:tc>
          <w:tcPr>
            <w:tcW w:w="160" w:type="dxa"/>
            <w:vAlign w:val="bottom"/>
            <w:tcBorders>
              <w:top w:val="single" w:sz="8" w:color="D6F3E8"/>
            </w:tcBorders>
            <w:shd w:val="clear" w:color="auto" w:fill="D6F3E8"/>
          </w:tcPr>
          <w:p>
            <w:pPr>
              <w:spacing w:after="0"/>
              <w:rPr>
                <w:sz w:val="18"/>
                <w:szCs w:val="18"/>
                <w:color w:val="auto"/>
              </w:rPr>
            </w:pPr>
          </w:p>
        </w:tc>
        <w:tc>
          <w:tcPr>
            <w:tcW w:w="200" w:type="dxa"/>
            <w:vAlign w:val="bottom"/>
            <w:tcBorders>
              <w:top w:val="single" w:sz="8" w:color="D6F3E8"/>
            </w:tcBorders>
            <w:shd w:val="clear" w:color="auto" w:fill="D6F3E8"/>
          </w:tcPr>
          <w:p>
            <w:pPr>
              <w:spacing w:after="0"/>
              <w:rPr>
                <w:sz w:val="18"/>
                <w:szCs w:val="18"/>
                <w:color w:val="auto"/>
              </w:rPr>
            </w:pPr>
          </w:p>
        </w:tc>
        <w:tc>
          <w:tcPr>
            <w:tcW w:w="160" w:type="dxa"/>
            <w:vAlign w:val="bottom"/>
            <w:tcBorders>
              <w:top w:val="single" w:sz="8" w:color="auto"/>
            </w:tcBorders>
            <w:shd w:val="clear" w:color="auto" w:fill="D6F3E8"/>
          </w:tcPr>
          <w:p>
            <w:pPr>
              <w:spacing w:after="0"/>
              <w:rPr>
                <w:sz w:val="18"/>
                <w:szCs w:val="18"/>
                <w:color w:val="auto"/>
              </w:rPr>
            </w:pPr>
          </w:p>
        </w:tc>
        <w:tc>
          <w:tcPr>
            <w:tcW w:w="8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Class A diesel</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397</w:t>
            </w: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0"/>
        </w:trPr>
        <w:tc>
          <w:tcPr>
            <w:tcW w:w="3580" w:type="dxa"/>
            <w:vAlign w:val="bottom"/>
            <w:tcBorders>
              <w:top w:val="single" w:sz="8" w:color="D6F3E8"/>
            </w:tcBorders>
            <w:shd w:val="clear" w:color="auto" w:fill="D6F3E8"/>
          </w:tcPr>
          <w:p>
            <w:pPr>
              <w:spacing w:after="0" w:line="202" w:lineRule="exact"/>
              <w:rPr>
                <w:sz w:val="20"/>
                <w:szCs w:val="20"/>
                <w:color w:val="auto"/>
              </w:rPr>
            </w:pPr>
            <w:r>
              <w:rPr>
                <w:rFonts w:ascii="Arial" w:cs="Arial" w:eastAsia="Arial" w:hAnsi="Arial"/>
                <w:sz w:val="18"/>
                <w:szCs w:val="18"/>
                <w:color w:val="auto"/>
              </w:rPr>
              <w:t>Total Class A</w:t>
            </w:r>
          </w:p>
        </w:tc>
        <w:tc>
          <w:tcPr>
            <w:tcW w:w="240" w:type="dxa"/>
            <w:vAlign w:val="bottom"/>
            <w:tcBorders>
              <w:top w:val="single" w:sz="8" w:color="auto"/>
            </w:tcBorders>
            <w:shd w:val="clear" w:color="auto" w:fill="D6F3E8"/>
          </w:tcPr>
          <w:p>
            <w:pPr>
              <w:spacing w:after="0"/>
              <w:rPr>
                <w:sz w:val="18"/>
                <w:szCs w:val="18"/>
                <w:color w:val="auto"/>
              </w:rPr>
            </w:pPr>
          </w:p>
        </w:tc>
        <w:tc>
          <w:tcPr>
            <w:tcW w:w="100" w:type="dxa"/>
            <w:vAlign w:val="bottom"/>
            <w:tcBorders>
              <w:top w:val="single" w:sz="8" w:color="auto"/>
            </w:tcBorders>
            <w:shd w:val="clear" w:color="auto" w:fill="D6F3E8"/>
          </w:tcPr>
          <w:p>
            <w:pPr>
              <w:spacing w:after="0"/>
              <w:rPr>
                <w:sz w:val="18"/>
                <w:szCs w:val="18"/>
                <w:color w:val="auto"/>
              </w:rPr>
            </w:pPr>
          </w:p>
        </w:tc>
        <w:tc>
          <w:tcPr>
            <w:tcW w:w="6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608</w:t>
            </w:r>
          </w:p>
        </w:tc>
        <w:tc>
          <w:tcPr>
            <w:tcW w:w="300" w:type="dxa"/>
            <w:vAlign w:val="bottom"/>
            <w:tcBorders>
              <w:top w:val="single" w:sz="8" w:color="D6F3E8"/>
            </w:tcBorders>
            <w:shd w:val="clear" w:color="auto" w:fill="D6F3E8"/>
          </w:tcPr>
          <w:p>
            <w:pPr>
              <w:spacing w:after="0"/>
              <w:rPr>
                <w:sz w:val="18"/>
                <w:szCs w:val="18"/>
                <w:color w:val="auto"/>
              </w:rPr>
            </w:pPr>
          </w:p>
        </w:tc>
        <w:tc>
          <w:tcPr>
            <w:tcW w:w="80" w:type="dxa"/>
            <w:vAlign w:val="bottom"/>
            <w:tcBorders>
              <w:top w:val="single" w:sz="8" w:color="D6F3E8"/>
            </w:tcBorders>
            <w:shd w:val="clear" w:color="auto" w:fill="D6F3E8"/>
          </w:tcPr>
          <w:p>
            <w:pPr>
              <w:spacing w:after="0"/>
              <w:rPr>
                <w:sz w:val="18"/>
                <w:szCs w:val="18"/>
                <w:color w:val="auto"/>
              </w:rPr>
            </w:pPr>
          </w:p>
        </w:tc>
        <w:tc>
          <w:tcPr>
            <w:tcW w:w="96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37.4</w:t>
            </w:r>
          </w:p>
        </w:tc>
        <w:tc>
          <w:tcPr>
            <w:tcW w:w="22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D6F3E8"/>
            </w:tcBorders>
            <w:shd w:val="clear" w:color="auto" w:fill="D6F3E8"/>
          </w:tcPr>
          <w:p>
            <w:pPr>
              <w:spacing w:after="0"/>
              <w:rPr>
                <w:sz w:val="18"/>
                <w:szCs w:val="18"/>
                <w:color w:val="auto"/>
              </w:rPr>
            </w:pPr>
          </w:p>
        </w:tc>
        <w:tc>
          <w:tcPr>
            <w:tcW w:w="200" w:type="dxa"/>
            <w:vAlign w:val="bottom"/>
            <w:tcBorders>
              <w:top w:val="single" w:sz="8" w:color="auto"/>
            </w:tcBorders>
            <w:shd w:val="clear" w:color="auto" w:fill="D6F3E8"/>
          </w:tcPr>
          <w:p>
            <w:pPr>
              <w:spacing w:after="0"/>
              <w:rPr>
                <w:sz w:val="18"/>
                <w:szCs w:val="18"/>
                <w:color w:val="auto"/>
              </w:rPr>
            </w:pPr>
          </w:p>
        </w:tc>
        <w:tc>
          <w:tcPr>
            <w:tcW w:w="120" w:type="dxa"/>
            <w:vAlign w:val="bottom"/>
            <w:tcBorders>
              <w:top w:val="single" w:sz="8" w:color="auto"/>
            </w:tcBorders>
            <w:shd w:val="clear" w:color="auto" w:fill="D6F3E8"/>
          </w:tcPr>
          <w:p>
            <w:pPr>
              <w:spacing w:after="0"/>
              <w:rPr>
                <w:sz w:val="18"/>
                <w:szCs w:val="18"/>
                <w:color w:val="auto"/>
              </w:rPr>
            </w:pPr>
          </w:p>
        </w:tc>
        <w:tc>
          <w:tcPr>
            <w:tcW w:w="6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1,301</w:t>
            </w:r>
          </w:p>
        </w:tc>
        <w:tc>
          <w:tcPr>
            <w:tcW w:w="22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D6F3E8"/>
            </w:tcBorders>
            <w:shd w:val="clear" w:color="auto" w:fill="D6F3E8"/>
          </w:tcPr>
          <w:p>
            <w:pPr>
              <w:spacing w:after="0"/>
              <w:rPr>
                <w:sz w:val="18"/>
                <w:szCs w:val="18"/>
                <w:color w:val="auto"/>
              </w:rPr>
            </w:pPr>
          </w:p>
        </w:tc>
        <w:tc>
          <w:tcPr>
            <w:tcW w:w="98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50.6</w:t>
            </w:r>
          </w:p>
        </w:tc>
        <w:tc>
          <w:tcPr>
            <w:tcW w:w="160" w:type="dxa"/>
            <w:vAlign w:val="bottom"/>
            <w:tcBorders>
              <w:top w:val="single" w:sz="8" w:color="D6F3E8"/>
            </w:tcBorders>
            <w:shd w:val="clear" w:color="auto" w:fill="D6F3E8"/>
          </w:tcPr>
          <w:p>
            <w:pPr>
              <w:spacing w:after="0"/>
              <w:rPr>
                <w:sz w:val="18"/>
                <w:szCs w:val="18"/>
                <w:color w:val="auto"/>
              </w:rPr>
            </w:pPr>
          </w:p>
        </w:tc>
        <w:tc>
          <w:tcPr>
            <w:tcW w:w="20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spacing w:after="0"/>
              <w:rPr>
                <w:sz w:val="18"/>
                <w:szCs w:val="18"/>
                <w:color w:val="auto"/>
              </w:rPr>
            </w:pPr>
          </w:p>
        </w:tc>
        <w:tc>
          <w:tcPr>
            <w:tcW w:w="100" w:type="dxa"/>
            <w:vAlign w:val="bottom"/>
            <w:tcBorders>
              <w:top w:val="single" w:sz="8" w:color="auto"/>
            </w:tcBorders>
            <w:shd w:val="clear" w:color="auto" w:fill="D6F3E8"/>
          </w:tcPr>
          <w:p>
            <w:pPr>
              <w:spacing w:after="0"/>
              <w:rPr>
                <w:sz w:val="18"/>
                <w:szCs w:val="18"/>
                <w:color w:val="auto"/>
              </w:rPr>
            </w:pPr>
          </w:p>
        </w:tc>
        <w:tc>
          <w:tcPr>
            <w:tcW w:w="7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(693)</w:t>
            </w:r>
          </w:p>
        </w:tc>
        <w:tc>
          <w:tcPr>
            <w:tcW w:w="160" w:type="dxa"/>
            <w:vAlign w:val="bottom"/>
            <w:tcBorders>
              <w:top w:val="single" w:sz="8" w:color="D6F3E8"/>
            </w:tcBorders>
            <w:shd w:val="clear" w:color="auto" w:fill="D6F3E8"/>
          </w:tcPr>
          <w:p>
            <w:pPr>
              <w:spacing w:after="0"/>
              <w:rPr>
                <w:sz w:val="18"/>
                <w:szCs w:val="18"/>
                <w:color w:val="auto"/>
              </w:rPr>
            </w:pPr>
          </w:p>
        </w:tc>
        <w:tc>
          <w:tcPr>
            <w:tcW w:w="200" w:type="dxa"/>
            <w:vAlign w:val="bottom"/>
            <w:tcBorders>
              <w:top w:val="single" w:sz="8" w:color="D6F3E8"/>
            </w:tcBorders>
            <w:shd w:val="clear" w:color="auto" w:fill="D6F3E8"/>
          </w:tcPr>
          <w:p>
            <w:pPr>
              <w:spacing w:after="0"/>
              <w:rPr>
                <w:sz w:val="18"/>
                <w:szCs w:val="18"/>
                <w:color w:val="auto"/>
              </w:rPr>
            </w:pPr>
          </w:p>
        </w:tc>
        <w:tc>
          <w:tcPr>
            <w:tcW w:w="160" w:type="dxa"/>
            <w:vAlign w:val="bottom"/>
            <w:tcBorders>
              <w:top w:val="single" w:sz="8" w:color="auto"/>
            </w:tcBorders>
            <w:shd w:val="clear" w:color="auto" w:fill="D6F3E8"/>
          </w:tcPr>
          <w:p>
            <w:pPr>
              <w:spacing w:after="0"/>
              <w:rPr>
                <w:sz w:val="18"/>
                <w:szCs w:val="18"/>
                <w:color w:val="auto"/>
              </w:rPr>
            </w:pPr>
          </w:p>
        </w:tc>
        <w:tc>
          <w:tcPr>
            <w:tcW w:w="8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Class C</w:t>
            </w: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972</w:t>
            </w: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59.7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1,268</w:t>
            </w: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49.4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3580" w:type="dxa"/>
            <w:vAlign w:val="bottom"/>
            <w:shd w:val="clear" w:color="auto" w:fill="D6F3E8"/>
          </w:tcPr>
          <w:p>
            <w:pPr>
              <w:spacing w:after="0"/>
              <w:rPr>
                <w:sz w:val="20"/>
                <w:szCs w:val="20"/>
                <w:color w:val="auto"/>
              </w:rPr>
            </w:pPr>
            <w:r>
              <w:rPr>
                <w:rFonts w:ascii="Arial" w:cs="Arial" w:eastAsia="Arial" w:hAnsi="Arial"/>
                <w:sz w:val="18"/>
                <w:szCs w:val="18"/>
                <w:color w:val="auto"/>
              </w:rPr>
              <w:t>Class B</w:t>
            </w:r>
          </w:p>
        </w:tc>
        <w:tc>
          <w:tcPr>
            <w:tcW w:w="24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920" w:type="dxa"/>
            <w:vAlign w:val="bottom"/>
            <w:gridSpan w:val="2"/>
            <w:shd w:val="clear" w:color="auto" w:fill="D6F3E8"/>
          </w:tcPr>
          <w:p>
            <w:pPr>
              <w:jc w:val="right"/>
              <w:ind w:right="300"/>
              <w:spacing w:after="0"/>
              <w:rPr>
                <w:sz w:val="20"/>
                <w:szCs w:val="20"/>
                <w:color w:val="auto"/>
              </w:rPr>
            </w:pPr>
            <w:r>
              <w:rPr>
                <w:rFonts w:ascii="Arial" w:cs="Arial" w:eastAsia="Arial" w:hAnsi="Arial"/>
                <w:sz w:val="18"/>
                <w:szCs w:val="18"/>
                <w:color w:val="auto"/>
              </w:rPr>
              <w:t>47</w:t>
            </w:r>
          </w:p>
        </w:tc>
        <w:tc>
          <w:tcPr>
            <w:tcW w:w="80" w:type="dxa"/>
            <w:vAlign w:val="bottom"/>
            <w:shd w:val="clear" w:color="auto" w:fill="D6F3E8"/>
          </w:tcPr>
          <w:p>
            <w:pPr>
              <w:spacing w:after="0"/>
              <w:rPr>
                <w:sz w:val="18"/>
                <w:szCs w:val="18"/>
                <w:color w:val="auto"/>
              </w:rPr>
            </w:pPr>
          </w:p>
        </w:tc>
        <w:tc>
          <w:tcPr>
            <w:tcW w:w="96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040" w:type="dxa"/>
            <w:vAlign w:val="bottom"/>
            <w:gridSpan w:val="3"/>
            <w:shd w:val="clear" w:color="auto" w:fill="D6F3E8"/>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D6F3E8"/>
          </w:tcPr>
          <w:p>
            <w:pPr>
              <w:spacing w:after="0"/>
              <w:rPr>
                <w:sz w:val="18"/>
                <w:szCs w:val="18"/>
                <w:color w:val="auto"/>
              </w:rPr>
            </w:pPr>
          </w:p>
        </w:tc>
        <w:tc>
          <w:tcPr>
            <w:tcW w:w="94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92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47</w:t>
            </w:r>
          </w:p>
        </w:tc>
        <w:tc>
          <w:tcPr>
            <w:tcW w:w="20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960" w:type="dxa"/>
            <w:vAlign w:val="bottom"/>
            <w:gridSpan w:val="2"/>
            <w:shd w:val="clear" w:color="auto" w:fill="D6F3E8"/>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160"/>
              <w:spacing w:after="0"/>
              <w:rPr>
                <w:sz w:val="20"/>
                <w:szCs w:val="20"/>
                <w:color w:val="auto"/>
              </w:rPr>
            </w:pPr>
            <w:r>
              <w:rPr>
                <w:rFonts w:ascii="Arial" w:cs="Arial" w:eastAsia="Arial" w:hAnsi="Arial"/>
                <w:sz w:val="18"/>
                <w:szCs w:val="18"/>
                <w:color w:val="auto"/>
              </w:rPr>
              <w:t>Total deliveries</w:t>
            </w: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1,627</w:t>
            </w:r>
          </w:p>
        </w:tc>
        <w:tc>
          <w:tcPr>
            <w:tcW w:w="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2,569</w:t>
            </w:r>
          </w:p>
        </w:tc>
        <w:tc>
          <w:tcPr>
            <w:tcW w:w="2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(942)</w:t>
            </w:r>
          </w:p>
        </w:tc>
        <w:tc>
          <w:tcPr>
            <w:tcW w:w="1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-2032000</wp:posOffset>
            </wp:positionV>
            <wp:extent cx="2146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-2032000</wp:posOffset>
            </wp:positionV>
            <wp:extent cx="2146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120"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Net revenues decreased $92.0 million, or 39.7 percent, primarily due to a reduction in motor home deliveries of 942 units, or 36.7 percent, and a decrease in the average selling price of our motor homes of 7.5% for the quarter ended May 31, 2008 when compared to the quarter ended May 26, 2007. The decrease in average selling price was primarily due to a greater percentage of Class C units as compared to Class A unit deliveries due to additional rental unit deliveries.</w:t>
      </w:r>
    </w:p>
    <w:p>
      <w:pPr>
        <w:spacing w:after="0" w:line="93"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Gross profit margin decreased $23.6 million, or 90.0 percent, from 11.3 percent for the quarter ended May 26, 2007 to 1.9 percent for the quarter ended May 31, 2008. Gross profit was negatively impacted by the significant reduction in production resulting in low absorption of fixed costs. Also contributing to the decrease in gross profit margin were additional wholesale and retail promotions and increased Class C mix due to additional rental unit deliveries.</w:t>
      </w:r>
    </w:p>
    <w:p>
      <w:pPr>
        <w:spacing w:after="0" w:line="16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Selling expenses decreased $426,000, or 7.7 percent, for the quarter ended May 31, 2008. As a percent of net revenues, selling expenses were 3.6 percent and 2.4 percent for the quarters ended May 31, 2008 and May 26, 2007, respectively. The decrease in spending was due primarily to a reduction in advertising expenses of $214,000 and a reduction in salesmen incentive compensation of $200,000. The increase in percentage of net revenues was caused by the significant difference in revenue levels for the two periods.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General and administrative expenses decreased $1.6 million, or 27.0 percent, for the quarter ended May 31, 2008 primarily as a result of reduced product liability and legal expenses of $980,000 and a reduction in bonus expense of $800,000. As a percent of net revenues, general and administrative expenses were 3.2 percent and 2.6 percent for the quarters ended May 31, 2008 and May 26, 2007, respectively. The increase in percentage of net revenues was caused by the significant difference in revenue levels for the two periods.</w:t>
      </w:r>
    </w:p>
    <w:p>
      <w:pPr>
        <w:sectPr>
          <w:pgSz w:w="11900" w:h="16838" w:orient="portrait"/>
          <w:cols w:equalWidth="0" w:num="1">
            <w:col w:w="11420"/>
          </w:cols>
          <w:pgMar w:left="240" w:top="131" w:right="239" w:bottom="133" w:gutter="0" w:footer="0" w:header="0"/>
        </w:sectPr>
      </w:pPr>
    </w:p>
    <w:bookmarkStart w:id="10" w:name="page11"/>
    <w:bookmarkEnd w:id="10"/>
    <w:p>
      <w:pPr>
        <w:spacing w:after="0" w:line="13"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Financial income decreased $746,000, or 41.5 percent, for the quarter ended May 31, 2008. The decrease in financial income was due to a lower average investment balance.</w:t>
      </w:r>
    </w:p>
    <w:p>
      <w:pPr>
        <w:spacing w:after="0" w:line="186"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We had an operating loss of $6.9 million for the quarter ended May 31, 2008 as compared to an operating income of $14.7 million for the quarter ended May 26, 2007.</w:t>
      </w:r>
    </w:p>
    <w:p>
      <w:pPr>
        <w:spacing w:after="0" w:line="18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overall effective income tax rate for the quarter ended May 31, 2008 was a benefit of 151.3 percent compared to a tax provision of 31.6 percent for the quarter ended May 26, 2007.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breaks down the two aforementioned tax rates: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20" w:type="dxa"/>
            <w:vAlign w:val="bottom"/>
            <w:gridSpan w:val="4"/>
          </w:tcPr>
          <w:p>
            <w:pPr>
              <w:jc w:val="right"/>
              <w:ind w:right="1140"/>
              <w:spacing w:after="0" w:line="142" w:lineRule="exact"/>
              <w:rPr>
                <w:sz w:val="20"/>
                <w:szCs w:val="20"/>
                <w:color w:val="auto"/>
              </w:rPr>
            </w:pPr>
            <w:r>
              <w:rPr>
                <w:rFonts w:ascii="Arial" w:cs="Arial" w:eastAsia="Arial" w:hAnsi="Arial"/>
                <w:sz w:val="14"/>
                <w:szCs w:val="14"/>
                <w:b w:val="1"/>
                <w:bCs w:val="1"/>
                <w:color w:val="auto"/>
              </w:rPr>
              <w:t>May 31, 2008</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140" w:type="dxa"/>
            <w:vAlign w:val="bottom"/>
            <w:gridSpan w:val="3"/>
          </w:tcPr>
          <w:p>
            <w:pPr>
              <w:jc w:val="right"/>
              <w:ind w:right="915"/>
              <w:spacing w:after="0" w:line="142" w:lineRule="exact"/>
              <w:rPr>
                <w:sz w:val="20"/>
                <w:szCs w:val="20"/>
                <w:color w:val="auto"/>
              </w:rPr>
            </w:pPr>
            <w:r>
              <w:rPr>
                <w:rFonts w:ascii="Arial" w:cs="Arial" w:eastAsia="Arial" w:hAnsi="Arial"/>
                <w:sz w:val="14"/>
                <w:szCs w:val="14"/>
                <w:b w:val="1"/>
                <w:bCs w:val="1"/>
                <w:color w:val="auto"/>
              </w:rPr>
              <w:t>May 26, 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80" w:type="dxa"/>
            <w:vAlign w:val="bottom"/>
            <w:tcBorders>
              <w:bottom w:val="single" w:sz="8" w:color="D6F3E8"/>
            </w:tcBorders>
            <w:vMerge w:val="continue"/>
          </w:tcPr>
          <w:p>
            <w:pPr>
              <w:spacing w:after="0"/>
              <w:rPr>
                <w:sz w:val="12"/>
                <w:szCs w:val="12"/>
                <w:color w:val="auto"/>
              </w:rPr>
            </w:pPr>
          </w:p>
        </w:tc>
        <w:tc>
          <w:tcPr>
            <w:tcW w:w="960" w:type="dxa"/>
            <w:vAlign w:val="bottom"/>
            <w:tcBorders>
              <w:bottom w:val="single" w:sz="8" w:color="D6F3E8"/>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D6F3E8"/>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Effective Rate</w:t>
            </w:r>
          </w:p>
        </w:tc>
        <w:tc>
          <w:tcPr>
            <w:tcW w:w="140" w:type="dxa"/>
            <w:vAlign w:val="bottom"/>
            <w:tcBorders>
              <w:bottom w:val="single" w:sz="8" w:color="D6F3E8"/>
            </w:tcBorders>
          </w:tcPr>
          <w:p>
            <w:pPr>
              <w:spacing w:after="0"/>
              <w:rPr>
                <w:sz w:val="12"/>
                <w:szCs w:val="12"/>
                <w:color w:val="auto"/>
              </w:rPr>
            </w:pPr>
          </w:p>
        </w:tc>
        <w:tc>
          <w:tcPr>
            <w:tcW w:w="80" w:type="dxa"/>
            <w:vAlign w:val="bottom"/>
            <w:tcBorders>
              <w:bottom w:val="single" w:sz="8" w:color="D6F3E8"/>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D6F3E8"/>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Effective Rate</w:t>
            </w:r>
          </w:p>
        </w:tc>
        <w:tc>
          <w:tcPr>
            <w:tcW w:w="160" w:type="dxa"/>
            <w:vAlign w:val="bottom"/>
            <w:tcBorders>
              <w:bottom w:val="single" w:sz="8" w:color="D6F3E8"/>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D6F3E8"/>
          </w:tcPr>
          <w:p>
            <w:pPr>
              <w:spacing w:after="0" w:line="202" w:lineRule="exact"/>
              <w:rPr>
                <w:sz w:val="20"/>
                <w:szCs w:val="20"/>
                <w:color w:val="auto"/>
              </w:rPr>
            </w:pPr>
            <w:r>
              <w:rPr>
                <w:rFonts w:ascii="Arial" w:cs="Arial" w:eastAsia="Arial" w:hAnsi="Arial"/>
                <w:sz w:val="18"/>
                <w:szCs w:val="18"/>
                <w:color w:val="auto"/>
              </w:rPr>
              <w:t>Tax (benefit) provision before discrete items (1)</w:t>
            </w:r>
          </w:p>
        </w:tc>
        <w:tc>
          <w:tcPr>
            <w:tcW w:w="960" w:type="dxa"/>
            <w:vAlign w:val="bottom"/>
            <w:shd w:val="clear" w:color="auto" w:fill="D6F3E8"/>
          </w:tcPr>
          <w:p>
            <w:pPr>
              <w:spacing w:after="0"/>
              <w:rPr>
                <w:sz w:val="18"/>
                <w:szCs w:val="18"/>
                <w:color w:val="auto"/>
              </w:rPr>
            </w:pPr>
          </w:p>
        </w:tc>
        <w:tc>
          <w:tcPr>
            <w:tcW w:w="460" w:type="dxa"/>
            <w:vAlign w:val="bottom"/>
            <w:shd w:val="clear" w:color="auto" w:fill="D6F3E8"/>
          </w:tcPr>
          <w:p>
            <w:pPr>
              <w:jc w:val="right"/>
              <w:ind w:right="30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(1,363)</w:t>
            </w:r>
          </w:p>
        </w:tc>
        <w:tc>
          <w:tcPr>
            <w:tcW w:w="240" w:type="dxa"/>
            <w:vAlign w:val="bottom"/>
            <w:shd w:val="clear" w:color="auto" w:fill="D6F3E8"/>
          </w:tcPr>
          <w:p>
            <w:pPr>
              <w:spacing w:after="0"/>
              <w:rPr>
                <w:sz w:val="18"/>
                <w:szCs w:val="18"/>
                <w:color w:val="auto"/>
              </w:rPr>
            </w:pP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(23.3%)</w:t>
            </w:r>
          </w:p>
        </w:tc>
        <w:tc>
          <w:tcPr>
            <w:tcW w:w="14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620" w:type="dxa"/>
            <w:vAlign w:val="bottom"/>
            <w:shd w:val="clear" w:color="auto" w:fill="D6F3E8"/>
          </w:tcPr>
          <w:p>
            <w:pPr>
              <w:jc w:val="right"/>
              <w:ind w:right="43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5,205</w:t>
            </w:r>
          </w:p>
        </w:tc>
        <w:tc>
          <w:tcPr>
            <w:tcW w:w="220" w:type="dxa"/>
            <w:vAlign w:val="bottom"/>
            <w:shd w:val="clear" w:color="auto" w:fill="D6F3E8"/>
          </w:tcPr>
          <w:p>
            <w:pPr>
              <w:spacing w:after="0"/>
              <w:rPr>
                <w:sz w:val="18"/>
                <w:szCs w:val="18"/>
                <w:color w:val="auto"/>
              </w:rPr>
            </w:pPr>
          </w:p>
        </w:tc>
        <w:tc>
          <w:tcPr>
            <w:tcW w:w="138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8"/>
        </w:trPr>
        <w:tc>
          <w:tcPr>
            <w:tcW w:w="4580" w:type="dxa"/>
            <w:vAlign w:val="bottom"/>
          </w:tcPr>
          <w:p>
            <w:pPr>
              <w:spacing w:after="0"/>
              <w:rPr>
                <w:sz w:val="20"/>
                <w:szCs w:val="20"/>
                <w:color w:val="auto"/>
              </w:rPr>
            </w:pPr>
            <w:r>
              <w:rPr>
                <w:rFonts w:ascii="Arial" w:cs="Arial" w:eastAsia="Arial" w:hAnsi="Arial"/>
                <w:sz w:val="18"/>
                <w:szCs w:val="18"/>
                <w:color w:val="auto"/>
              </w:rPr>
              <w:t>Discrete items:</w:t>
            </w: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tcPr>
          <w:p>
            <w:pPr>
              <w:ind w:left="140"/>
              <w:spacing w:after="0"/>
              <w:rPr>
                <w:sz w:val="20"/>
                <w:szCs w:val="20"/>
                <w:color w:val="auto"/>
              </w:rPr>
            </w:pPr>
            <w:r>
              <w:rPr>
                <w:rFonts w:ascii="Arial" w:cs="Arial" w:eastAsia="Arial" w:hAnsi="Arial"/>
                <w:sz w:val="18"/>
                <w:szCs w:val="18"/>
                <w:color w:val="auto"/>
              </w:rPr>
              <w:t>Settlements of uncertain tax positions (2)</w:t>
            </w: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(4,175)</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(71.4%)</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580" w:type="dxa"/>
            <w:vAlign w:val="bottom"/>
            <w:shd w:val="clear" w:color="auto" w:fill="D6F3E8"/>
          </w:tcPr>
          <w:p>
            <w:pPr>
              <w:ind w:left="140"/>
              <w:spacing w:after="0"/>
              <w:rPr>
                <w:sz w:val="20"/>
                <w:szCs w:val="20"/>
                <w:color w:val="auto"/>
              </w:rPr>
            </w:pPr>
            <w:r>
              <w:rPr>
                <w:rFonts w:ascii="Arial" w:cs="Arial" w:eastAsia="Arial" w:hAnsi="Arial"/>
                <w:sz w:val="18"/>
                <w:szCs w:val="18"/>
                <w:color w:val="auto"/>
              </w:rPr>
              <w:t>Reduction of tax expense previously recorded (3)</w:t>
            </w:r>
          </w:p>
        </w:tc>
        <w:tc>
          <w:tcPr>
            <w:tcW w:w="96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108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(1,722)</w:t>
            </w:r>
          </w:p>
        </w:tc>
        <w:tc>
          <w:tcPr>
            <w:tcW w:w="134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(29.4%)</w:t>
            </w:r>
          </w:p>
        </w:tc>
        <w:tc>
          <w:tcPr>
            <w:tcW w:w="80" w:type="dxa"/>
            <w:vAlign w:val="bottom"/>
            <w:shd w:val="clear" w:color="auto" w:fill="D6F3E8"/>
          </w:tcPr>
          <w:p>
            <w:pPr>
              <w:spacing w:after="0"/>
              <w:rPr>
                <w:sz w:val="18"/>
                <w:szCs w:val="18"/>
                <w:color w:val="auto"/>
              </w:rPr>
            </w:pPr>
          </w:p>
        </w:tc>
        <w:tc>
          <w:tcPr>
            <w:tcW w:w="620" w:type="dxa"/>
            <w:vAlign w:val="bottom"/>
            <w:shd w:val="clear" w:color="auto" w:fill="D6F3E8"/>
          </w:tcPr>
          <w:p>
            <w:pPr>
              <w:spacing w:after="0"/>
              <w:rPr>
                <w:sz w:val="18"/>
                <w:szCs w:val="18"/>
                <w:color w:val="auto"/>
              </w:rPr>
            </w:pPr>
          </w:p>
        </w:tc>
        <w:tc>
          <w:tcPr>
            <w:tcW w:w="92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rPr>
                <w:sz w:val="20"/>
                <w:szCs w:val="20"/>
                <w:color w:val="auto"/>
              </w:rPr>
            </w:pPr>
            <w:r>
              <w:rPr>
                <w:rFonts w:ascii="Arial" w:cs="Arial" w:eastAsia="Arial" w:hAnsi="Arial"/>
                <w:sz w:val="18"/>
                <w:szCs w:val="18"/>
                <w:color w:val="auto"/>
              </w:rPr>
              <w:t>Tax planning initiatives (4)</w:t>
            </w: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(1,391)</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D6F3E8"/>
          </w:tcPr>
          <w:p>
            <w:pPr>
              <w:ind w:left="140"/>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108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(199)</w:t>
            </w:r>
          </w:p>
        </w:tc>
        <w:tc>
          <w:tcPr>
            <w:tcW w:w="134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shd w:val="clear" w:color="auto" w:fill="D6F3E8"/>
          </w:tcPr>
          <w:p>
            <w:pPr>
              <w:spacing w:after="0"/>
              <w:rPr>
                <w:sz w:val="18"/>
                <w:szCs w:val="18"/>
                <w:color w:val="auto"/>
              </w:rPr>
            </w:pPr>
          </w:p>
        </w:tc>
        <w:tc>
          <w:tcPr>
            <w:tcW w:w="620" w:type="dxa"/>
            <w:vAlign w:val="bottom"/>
            <w:shd w:val="clear" w:color="auto" w:fill="D6F3E8"/>
          </w:tcPr>
          <w:p>
            <w:pPr>
              <w:spacing w:after="0"/>
              <w:rPr>
                <w:sz w:val="18"/>
                <w:szCs w:val="18"/>
                <w:color w:val="auto"/>
              </w:rPr>
            </w:pPr>
          </w:p>
        </w:tc>
        <w:tc>
          <w:tcPr>
            <w:tcW w:w="92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Total (benefit) provision for taxes</w:t>
            </w:r>
          </w:p>
        </w:tc>
        <w:tc>
          <w:tcPr>
            <w:tcW w:w="9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D6F3E8"/>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D6F3E8"/>
          </w:tcPr>
          <w:p>
            <w:pPr>
              <w:spacing w:after="0" w:line="20" w:lineRule="exact"/>
              <w:rPr>
                <w:sz w:val="1"/>
                <w:szCs w:val="1"/>
                <w:color w:val="auto"/>
              </w:rPr>
            </w:pPr>
          </w:p>
        </w:tc>
        <w:tc>
          <w:tcPr>
            <w:tcW w:w="80" w:type="dxa"/>
            <w:vAlign w:val="bottom"/>
            <w:shd w:val="clear" w:color="auto" w:fill="D6F3E8"/>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460" w:type="dxa"/>
            <w:vAlign w:val="bottom"/>
          </w:tcPr>
          <w:p>
            <w:pPr>
              <w:jc w:val="right"/>
              <w:ind w:right="30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(8,850)</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ind w:right="43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5,205</w:t>
            </w:r>
          </w:p>
        </w:tc>
        <w:tc>
          <w:tcPr>
            <w:tcW w:w="2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40" w:right="100" w:hanging="316"/>
        <w:spacing w:after="0" w:line="254"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lower effective tax rate is primarily before discrete items of (23.3%) as compared to 31.6% attributable to increased tax-exempt income as an overall percent of our pretax income.</w:t>
      </w:r>
    </w:p>
    <w:p>
      <w:pPr>
        <w:ind w:left="540" w:hanging="316"/>
        <w:spacing w:after="0"/>
        <w:tabs>
          <w:tab w:leader="none" w:pos="540" w:val="left"/>
        </w:tabs>
        <w:numPr>
          <w:ilvl w:val="0"/>
          <w:numId w:val="2"/>
        </w:numPr>
        <w:rPr>
          <w:rFonts w:ascii="Arial" w:cs="Arial" w:eastAsia="Arial" w:hAnsi="Arial"/>
          <w:sz w:val="16"/>
          <w:szCs w:val="16"/>
          <w:color w:val="auto"/>
        </w:rPr>
      </w:pPr>
      <w:r>
        <w:rPr>
          <w:rFonts w:ascii="Arial" w:cs="Arial" w:eastAsia="Arial" w:hAnsi="Arial"/>
          <w:sz w:val="16"/>
          <w:szCs w:val="16"/>
          <w:color w:val="auto"/>
        </w:rPr>
        <w:t>Approximately a benefit of $4.2 million was recorded based on the favorable settlements of uncertain tax positions with various taxing jurisdictions.</w:t>
      </w:r>
    </w:p>
    <w:p>
      <w:pPr>
        <w:spacing w:after="0" w:line="32" w:lineRule="exact"/>
        <w:rPr>
          <w:rFonts w:ascii="Arial" w:cs="Arial" w:eastAsia="Arial" w:hAnsi="Arial"/>
          <w:sz w:val="16"/>
          <w:szCs w:val="16"/>
          <w:color w:val="auto"/>
        </w:rPr>
      </w:pPr>
    </w:p>
    <w:p>
      <w:pPr>
        <w:ind w:left="540" w:right="80" w:hanging="316"/>
        <w:spacing w:after="0" w:line="250"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effective tax rate was reduced to 23.3 percent from 32.6 percent due to lower year-to-date pretax income which resulted in a reduction of tax expense previously recorded of $1.7 million.</w:t>
      </w:r>
    </w:p>
    <w:p>
      <w:pPr>
        <w:ind w:left="540" w:hanging="316"/>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Benefits of $1.4 million were recorded due to tax planning initiatives that were recognized during the quarter.</w:t>
      </w:r>
    </w:p>
    <w:p>
      <w:pPr>
        <w:spacing w:after="0" w:line="219" w:lineRule="exact"/>
        <w:rPr>
          <w:sz w:val="20"/>
          <w:szCs w:val="20"/>
          <w:color w:val="auto"/>
        </w:rPr>
      </w:pPr>
    </w:p>
    <w:p>
      <w:pPr>
        <w:jc w:val="both"/>
        <w:ind w:right="300"/>
        <w:spacing w:after="0" w:line="335" w:lineRule="auto"/>
        <w:rPr>
          <w:sz w:val="20"/>
          <w:szCs w:val="20"/>
          <w:color w:val="auto"/>
        </w:rPr>
      </w:pPr>
      <w:r>
        <w:rPr>
          <w:rFonts w:ascii="Arial" w:cs="Arial" w:eastAsia="Arial" w:hAnsi="Arial"/>
          <w:sz w:val="15"/>
          <w:szCs w:val="15"/>
          <w:color w:val="auto"/>
        </w:rPr>
        <w:t>Net income decreased by 73.3 percent and income per diluted share decreased by 71.4 percent when comparing the quarter ended May 31, 2008 to the quarter ended May 26, 2007. The reason for the difference in the decrease in net income compared to the decrease in income per diluted share was due primarily to a lower number of shares of common stock outstanding during the quarter ended May 31, 2008, as a result of shares repurchased during Fiscal 2007.</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Forty Weeks Ended May 31, 2008 Compared to the Thirty-Nine Weeks Ended May 26, 2007</w:t>
      </w:r>
    </w:p>
    <w:p>
      <w:pPr>
        <w:spacing w:after="0" w:line="23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following is an analysis of changes in key items included in the consolidated statements of income for the forty weeks ended May 31, 2008 compared to the thirty-nine weeks ended May 26, 2007.</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7"/>
              </w:rPr>
              <w:t>Forty</w:t>
            </w: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5"/>
              </w:rPr>
              <w:t>Weeks Ended</w:t>
            </w:r>
          </w:p>
        </w:tc>
        <w:tc>
          <w:tcPr>
            <w:tcW w:w="120" w:type="dxa"/>
            <w:vAlign w:val="bottom"/>
          </w:tcPr>
          <w:p>
            <w:pPr>
              <w:spacing w:after="0"/>
              <w:rPr>
                <w:sz w:val="15"/>
                <w:szCs w:val="15"/>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Thirty-Nine</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37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2"/>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restart"/>
          </w:tcPr>
          <w:p>
            <w:pPr>
              <w:jc w:val="center"/>
              <w:ind w:right="398"/>
              <w:spacing w:after="0"/>
              <w:rPr>
                <w:sz w:val="20"/>
                <w:szCs w:val="20"/>
                <w:color w:val="auto"/>
              </w:rPr>
            </w:pPr>
            <w:r>
              <w:rPr>
                <w:rFonts w:ascii="Arial" w:cs="Arial" w:eastAsia="Arial" w:hAnsi="Arial"/>
                <w:sz w:val="14"/>
                <w:szCs w:val="14"/>
                <w:b w:val="1"/>
                <w:bCs w:val="1"/>
                <w:color w:val="auto"/>
                <w:w w:val="83"/>
              </w:rPr>
              <w:t>(Decrease)</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90"/>
              </w:rPr>
              <w:t>May 31,</w:t>
            </w: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0"/>
              </w:rPr>
              <w:t>May 26,</w:t>
            </w: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80" w:type="dxa"/>
            <w:vAlign w:val="bottom"/>
          </w:tcPr>
          <w:p>
            <w:pPr>
              <w:spacing w:after="0"/>
              <w:rPr>
                <w:sz w:val="20"/>
                <w:szCs w:val="20"/>
                <w:color w:val="auto"/>
              </w:rPr>
            </w:pPr>
            <w:r>
              <w:rPr>
                <w:rFonts w:ascii="Arial" w:cs="Arial" w:eastAsia="Arial" w:hAnsi="Arial"/>
                <w:sz w:val="14"/>
                <w:szCs w:val="14"/>
                <w:b w:val="1"/>
                <w:bCs w:val="1"/>
                <w:color w:val="auto"/>
              </w:rPr>
              <w:t>(In thousands, except percent and per share data)</w:t>
            </w:r>
          </w:p>
        </w:tc>
        <w:tc>
          <w:tcPr>
            <w:tcW w:w="200" w:type="dxa"/>
            <w:vAlign w:val="bottom"/>
          </w:tcPr>
          <w:p>
            <w:pPr>
              <w:spacing w:after="0"/>
              <w:rPr>
                <w:sz w:val="14"/>
                <w:szCs w:val="14"/>
                <w:color w:val="auto"/>
              </w:rPr>
            </w:pPr>
          </w:p>
        </w:tc>
        <w:tc>
          <w:tcPr>
            <w:tcW w:w="840" w:type="dxa"/>
            <w:vAlign w:val="bottom"/>
          </w:tcPr>
          <w:p>
            <w:pPr>
              <w:jc w:val="center"/>
              <w:ind w:right="97"/>
              <w:spacing w:after="0"/>
              <w:rPr>
                <w:sz w:val="20"/>
                <w:szCs w:val="20"/>
                <w:color w:val="auto"/>
              </w:rPr>
            </w:pPr>
            <w:r>
              <w:rPr>
                <w:rFonts w:ascii="Arial" w:cs="Arial" w:eastAsia="Arial" w:hAnsi="Arial"/>
                <w:sz w:val="14"/>
                <w:szCs w:val="14"/>
                <w:b w:val="1"/>
                <w:bCs w:val="1"/>
                <w:color w:val="auto"/>
                <w:w w:val="83"/>
              </w:rPr>
              <w:t>2008</w:t>
            </w:r>
          </w:p>
        </w:tc>
        <w:tc>
          <w:tcPr>
            <w:tcW w:w="36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 of Revenues</w:t>
            </w:r>
          </w:p>
        </w:tc>
        <w:tc>
          <w:tcPr>
            <w:tcW w:w="120" w:type="dxa"/>
            <w:vAlign w:val="bottom"/>
          </w:tcPr>
          <w:p>
            <w:pPr>
              <w:spacing w:after="0"/>
              <w:rPr>
                <w:sz w:val="14"/>
                <w:szCs w:val="14"/>
                <w:color w:val="auto"/>
              </w:rPr>
            </w:pPr>
          </w:p>
        </w:tc>
        <w:tc>
          <w:tcPr>
            <w:tcW w:w="88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6"/>
              </w:rPr>
              <w:t>% of Revenues</w:t>
            </w:r>
          </w:p>
        </w:tc>
        <w:tc>
          <w:tcPr>
            <w:tcW w:w="140" w:type="dxa"/>
            <w:vAlign w:val="bottom"/>
          </w:tcPr>
          <w:p>
            <w:pPr>
              <w:spacing w:after="0"/>
              <w:rPr>
                <w:sz w:val="14"/>
                <w:szCs w:val="14"/>
                <w:color w:val="auto"/>
              </w:rPr>
            </w:pPr>
          </w:p>
        </w:tc>
        <w:tc>
          <w:tcPr>
            <w:tcW w:w="1200" w:type="dxa"/>
            <w:vAlign w:val="bottom"/>
            <w:gridSpan w:val="2"/>
          </w:tcPr>
          <w:p>
            <w:pPr>
              <w:jc w:val="center"/>
              <w:ind w:right="398"/>
              <w:spacing w:after="0"/>
              <w:rPr>
                <w:sz w:val="20"/>
                <w:szCs w:val="20"/>
                <w:color w:val="auto"/>
              </w:rPr>
            </w:pPr>
            <w:r>
              <w:rPr>
                <w:rFonts w:ascii="Arial" w:cs="Arial" w:eastAsia="Arial" w:hAnsi="Arial"/>
                <w:sz w:val="14"/>
                <w:szCs w:val="14"/>
                <w:b w:val="1"/>
                <w:bCs w:val="1"/>
                <w:color w:val="auto"/>
                <w:w w:val="84"/>
              </w:rPr>
              <w:t>Increase</w:t>
            </w:r>
          </w:p>
        </w:tc>
        <w:tc>
          <w:tcPr>
            <w:tcW w:w="1020" w:type="dxa"/>
            <w:vAlign w:val="bottom"/>
            <w:gridSpan w:val="2"/>
          </w:tcPr>
          <w:p>
            <w:pPr>
              <w:jc w:val="center"/>
              <w:ind w:right="18"/>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3780" w:type="dxa"/>
            <w:vAlign w:val="bottom"/>
            <w:tcBorders>
              <w:top w:val="single" w:sz="8" w:color="D6F3E8"/>
            </w:tcBorders>
            <w:shd w:val="clear" w:color="auto" w:fill="D6F3E8"/>
          </w:tcPr>
          <w:p>
            <w:pPr>
              <w:spacing w:after="0" w:line="202" w:lineRule="exact"/>
              <w:rPr>
                <w:sz w:val="20"/>
                <w:szCs w:val="20"/>
                <w:color w:val="auto"/>
              </w:rPr>
            </w:pPr>
            <w:r>
              <w:rPr>
                <w:rFonts w:ascii="Arial" w:cs="Arial" w:eastAsia="Arial" w:hAnsi="Arial"/>
                <w:sz w:val="18"/>
                <w:szCs w:val="18"/>
                <w:color w:val="auto"/>
              </w:rPr>
              <w:t>Net revenues</w:t>
            </w:r>
          </w:p>
        </w:tc>
        <w:tc>
          <w:tcPr>
            <w:tcW w:w="200" w:type="dxa"/>
            <w:vAlign w:val="bottom"/>
            <w:tcBorders>
              <w:top w:val="single" w:sz="8" w:color="auto"/>
            </w:tcBorders>
            <w:shd w:val="clear" w:color="auto" w:fill="D6F3E8"/>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519,081</w:t>
            </w:r>
          </w:p>
        </w:tc>
        <w:tc>
          <w:tcPr>
            <w:tcW w:w="360" w:type="dxa"/>
            <w:vAlign w:val="bottom"/>
            <w:tcBorders>
              <w:top w:val="single" w:sz="8" w:color="D6F3E8"/>
            </w:tcBorders>
            <w:shd w:val="clear" w:color="auto" w:fill="D6F3E8"/>
          </w:tcPr>
          <w:p>
            <w:pPr>
              <w:spacing w:after="0"/>
              <w:rPr>
                <w:sz w:val="18"/>
                <w:szCs w:val="18"/>
                <w:color w:val="auto"/>
              </w:rPr>
            </w:pPr>
          </w:p>
        </w:tc>
        <w:tc>
          <w:tcPr>
            <w:tcW w:w="9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Borders>
              <w:top w:val="single" w:sz="8" w:color="D6F3E8"/>
              <w:right w:val="single" w:sz="8" w:color="D6F3E8"/>
            </w:tcBorders>
            <w:shd w:val="clear" w:color="auto" w:fill="D6F3E8"/>
          </w:tcPr>
          <w:p>
            <w:pPr>
              <w:spacing w:after="0"/>
              <w:rPr>
                <w:sz w:val="18"/>
                <w:szCs w:val="18"/>
                <w:color w:val="auto"/>
              </w:rPr>
            </w:pPr>
          </w:p>
        </w:tc>
        <w:tc>
          <w:tcPr>
            <w:tcW w:w="1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632,471</w:t>
            </w:r>
          </w:p>
        </w:tc>
        <w:tc>
          <w:tcPr>
            <w:tcW w:w="320" w:type="dxa"/>
            <w:vAlign w:val="bottom"/>
            <w:tcBorders>
              <w:top w:val="single" w:sz="8" w:color="D6F3E8"/>
            </w:tcBorders>
            <w:shd w:val="clear" w:color="auto" w:fill="D6F3E8"/>
          </w:tcPr>
          <w:p>
            <w:pPr>
              <w:spacing w:after="0"/>
              <w:rPr>
                <w:sz w:val="18"/>
                <w:szCs w:val="18"/>
                <w:color w:val="auto"/>
              </w:rPr>
            </w:pPr>
          </w:p>
        </w:tc>
        <w:tc>
          <w:tcPr>
            <w:tcW w:w="20" w:type="dxa"/>
            <w:vAlign w:val="bottom"/>
            <w:tcBorders>
              <w:top w:val="single" w:sz="8" w:color="D6F3E8"/>
            </w:tcBorders>
            <w:shd w:val="clear" w:color="auto" w:fill="D6F3E8"/>
          </w:tcPr>
          <w:p>
            <w:pPr>
              <w:spacing w:after="0"/>
              <w:rPr>
                <w:sz w:val="18"/>
                <w:szCs w:val="18"/>
                <w:color w:val="auto"/>
              </w:rPr>
            </w:pPr>
          </w:p>
        </w:tc>
        <w:tc>
          <w:tcPr>
            <w:tcW w:w="90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Borders>
              <w:top w:val="single" w:sz="8" w:color="D6F3E8"/>
              <w:right w:val="single" w:sz="8" w:color="D6F3E8"/>
            </w:tcBorders>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(113,390)</w:t>
            </w:r>
          </w:p>
        </w:tc>
        <w:tc>
          <w:tcPr>
            <w:tcW w:w="340" w:type="dxa"/>
            <w:vAlign w:val="bottom"/>
            <w:tcBorders>
              <w:top w:val="single" w:sz="8" w:color="D6F3E8"/>
            </w:tcBorders>
            <w:shd w:val="clear" w:color="auto" w:fill="D6F3E8"/>
          </w:tcPr>
          <w:p>
            <w:pPr>
              <w:spacing w:after="0"/>
              <w:rPr>
                <w:sz w:val="18"/>
                <w:szCs w:val="18"/>
                <w:color w:val="auto"/>
              </w:rPr>
            </w:pPr>
          </w:p>
        </w:tc>
        <w:tc>
          <w:tcPr>
            <w:tcW w:w="9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478,648</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565,866</w:t>
            </w:r>
          </w:p>
        </w:tc>
        <w:tc>
          <w:tcPr>
            <w:tcW w:w="1580" w:type="dxa"/>
            <w:vAlign w:val="bottom"/>
            <w:gridSpan w:val="5"/>
          </w:tcPr>
          <w:p>
            <w:pPr>
              <w:jc w:val="right"/>
              <w:ind w:right="340"/>
              <w:spacing w:after="0"/>
              <w:rPr>
                <w:sz w:val="20"/>
                <w:szCs w:val="20"/>
                <w:color w:val="auto"/>
              </w:rPr>
            </w:pPr>
            <w:r>
              <w:rPr>
                <w:rFonts w:ascii="Arial" w:cs="Arial" w:eastAsia="Arial" w:hAnsi="Arial"/>
                <w:sz w:val="18"/>
                <w:szCs w:val="18"/>
                <w:color w:val="auto"/>
              </w:rPr>
              <w:t>89.5</w:t>
            </w:r>
          </w:p>
        </w:tc>
        <w:tc>
          <w:tcPr>
            <w:tcW w:w="140" w:type="dxa"/>
            <w:vAlign w:val="bottom"/>
          </w:tcPr>
          <w:p>
            <w:pPr>
              <w:spacing w:after="0"/>
              <w:rPr>
                <w:sz w:val="18"/>
                <w:szCs w:val="18"/>
                <w:color w:val="auto"/>
              </w:rPr>
            </w:pPr>
          </w:p>
        </w:tc>
        <w:tc>
          <w:tcPr>
            <w:tcW w:w="1200" w:type="dxa"/>
            <w:vAlign w:val="bottom"/>
            <w:gridSpan w:val="2"/>
          </w:tcPr>
          <w:p>
            <w:pPr>
              <w:jc w:val="right"/>
              <w:ind w:right="198"/>
              <w:spacing w:after="0"/>
              <w:rPr>
                <w:sz w:val="20"/>
                <w:szCs w:val="20"/>
                <w:color w:val="auto"/>
              </w:rPr>
            </w:pPr>
            <w:r>
              <w:rPr>
                <w:rFonts w:ascii="Arial" w:cs="Arial" w:eastAsia="Arial" w:hAnsi="Arial"/>
                <w:sz w:val="18"/>
                <w:szCs w:val="18"/>
                <w:color w:val="auto"/>
              </w:rPr>
              <w:t>(87,218)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0"/>
        </w:trPr>
        <w:tc>
          <w:tcPr>
            <w:tcW w:w="3780" w:type="dxa"/>
            <w:vAlign w:val="bottom"/>
            <w:tcBorders>
              <w:top w:val="single" w:sz="8" w:color="D6F3E8"/>
            </w:tcBorders>
            <w:shd w:val="clear" w:color="auto" w:fill="D6F3E8"/>
          </w:tcPr>
          <w:p>
            <w:pPr>
              <w:spacing w:after="0" w:line="202" w:lineRule="exact"/>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bottom w:val="single" w:sz="8" w:color="auto"/>
            </w:tcBorders>
            <w:shd w:val="clear" w:color="auto" w:fill="D6F3E8"/>
          </w:tcPr>
          <w:p>
            <w:pPr>
              <w:spacing w:after="0"/>
              <w:rPr>
                <w:sz w:val="18"/>
                <w:szCs w:val="18"/>
                <w:color w:val="auto"/>
              </w:rPr>
            </w:pPr>
          </w:p>
        </w:tc>
        <w:tc>
          <w:tcPr>
            <w:tcW w:w="8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40,433</w:t>
            </w:r>
          </w:p>
        </w:tc>
        <w:tc>
          <w:tcPr>
            <w:tcW w:w="360" w:type="dxa"/>
            <w:vAlign w:val="bottom"/>
            <w:tcBorders>
              <w:top w:val="single" w:sz="8" w:color="D6F3E8"/>
            </w:tcBorders>
            <w:shd w:val="clear" w:color="auto" w:fill="D6F3E8"/>
          </w:tcPr>
          <w:p>
            <w:pPr>
              <w:spacing w:after="0"/>
              <w:rPr>
                <w:sz w:val="18"/>
                <w:szCs w:val="18"/>
                <w:color w:val="auto"/>
              </w:rPr>
            </w:pPr>
          </w:p>
        </w:tc>
        <w:tc>
          <w:tcPr>
            <w:tcW w:w="9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7.8</w:t>
            </w:r>
          </w:p>
        </w:tc>
        <w:tc>
          <w:tcPr>
            <w:tcW w:w="360" w:type="dxa"/>
            <w:vAlign w:val="bottom"/>
            <w:tcBorders>
              <w:top w:val="single" w:sz="8" w:color="D6F3E8"/>
              <w:right w:val="single" w:sz="8" w:color="D6F3E8"/>
            </w:tcBorders>
            <w:shd w:val="clear" w:color="auto" w:fill="D6F3E8"/>
          </w:tcPr>
          <w:p>
            <w:pPr>
              <w:spacing w:after="0"/>
              <w:rPr>
                <w:sz w:val="18"/>
                <w:szCs w:val="18"/>
                <w:color w:val="auto"/>
              </w:rPr>
            </w:pPr>
          </w:p>
        </w:tc>
        <w:tc>
          <w:tcPr>
            <w:tcW w:w="120" w:type="dxa"/>
            <w:vAlign w:val="bottom"/>
            <w:tcBorders>
              <w:top w:val="single" w:sz="8" w:color="auto"/>
              <w:bottom w:val="single" w:sz="8" w:color="auto"/>
            </w:tcBorders>
            <w:shd w:val="clear" w:color="auto" w:fill="D6F3E8"/>
          </w:tcPr>
          <w:p>
            <w:pPr>
              <w:spacing w:after="0"/>
              <w:rPr>
                <w:sz w:val="18"/>
                <w:szCs w:val="18"/>
                <w:color w:val="auto"/>
              </w:rPr>
            </w:pPr>
          </w:p>
        </w:tc>
        <w:tc>
          <w:tcPr>
            <w:tcW w:w="900" w:type="dxa"/>
            <w:vAlign w:val="bottom"/>
            <w:tcBorders>
              <w:top w:val="single" w:sz="8" w:color="auto"/>
              <w:bottom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66,605</w:t>
            </w:r>
          </w:p>
        </w:tc>
        <w:tc>
          <w:tcPr>
            <w:tcW w:w="320" w:type="dxa"/>
            <w:vAlign w:val="bottom"/>
            <w:tcBorders>
              <w:top w:val="single" w:sz="8" w:color="D6F3E8"/>
            </w:tcBorders>
            <w:shd w:val="clear" w:color="auto" w:fill="D6F3E8"/>
          </w:tcPr>
          <w:p>
            <w:pPr>
              <w:spacing w:after="0"/>
              <w:rPr>
                <w:sz w:val="18"/>
                <w:szCs w:val="18"/>
                <w:color w:val="auto"/>
              </w:rPr>
            </w:pPr>
          </w:p>
        </w:tc>
        <w:tc>
          <w:tcPr>
            <w:tcW w:w="20" w:type="dxa"/>
            <w:vAlign w:val="bottom"/>
            <w:tcBorders>
              <w:top w:val="single" w:sz="8" w:color="D6F3E8"/>
            </w:tcBorders>
            <w:shd w:val="clear" w:color="auto" w:fill="D6F3E8"/>
          </w:tcPr>
          <w:p>
            <w:pPr>
              <w:spacing w:after="0"/>
              <w:rPr>
                <w:sz w:val="18"/>
                <w:szCs w:val="18"/>
                <w:color w:val="auto"/>
              </w:rPr>
            </w:pPr>
          </w:p>
        </w:tc>
        <w:tc>
          <w:tcPr>
            <w:tcW w:w="900" w:type="dxa"/>
            <w:vAlign w:val="bottom"/>
            <w:tcBorders>
              <w:top w:val="single" w:sz="8" w:color="auto"/>
              <w:bottom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10.5</w:t>
            </w:r>
          </w:p>
        </w:tc>
        <w:tc>
          <w:tcPr>
            <w:tcW w:w="340" w:type="dxa"/>
            <w:vAlign w:val="bottom"/>
            <w:tcBorders>
              <w:top w:val="single" w:sz="8" w:color="D6F3E8"/>
              <w:right w:val="single" w:sz="8" w:color="D6F3E8"/>
            </w:tcBorders>
            <w:shd w:val="clear" w:color="auto" w:fill="D6F3E8"/>
          </w:tcPr>
          <w:p>
            <w:pPr>
              <w:spacing w:after="0"/>
              <w:rPr>
                <w:sz w:val="18"/>
                <w:szCs w:val="18"/>
                <w:color w:val="auto"/>
              </w:rPr>
            </w:pPr>
          </w:p>
        </w:tc>
        <w:tc>
          <w:tcPr>
            <w:tcW w:w="140" w:type="dxa"/>
            <w:vAlign w:val="bottom"/>
            <w:tcBorders>
              <w:top w:val="single" w:sz="8" w:color="auto"/>
              <w:bottom w:val="single" w:sz="8" w:color="auto"/>
            </w:tcBorders>
            <w:shd w:val="clear" w:color="auto" w:fill="D6F3E8"/>
          </w:tcPr>
          <w:p>
            <w:pPr>
              <w:spacing w:after="0"/>
              <w:rPr>
                <w:sz w:val="18"/>
                <w:szCs w:val="18"/>
                <w:color w:val="auto"/>
              </w:rPr>
            </w:pPr>
          </w:p>
        </w:tc>
        <w:tc>
          <w:tcPr>
            <w:tcW w:w="8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(26,172)</w:t>
            </w:r>
          </w:p>
        </w:tc>
        <w:tc>
          <w:tcPr>
            <w:tcW w:w="340" w:type="dxa"/>
            <w:vAlign w:val="bottom"/>
            <w:tcBorders>
              <w:top w:val="single" w:sz="8" w:color="D6F3E8"/>
              <w:bottom w:val="single" w:sz="8" w:color="D6F3E8"/>
            </w:tcBorders>
            <w:shd w:val="clear" w:color="auto" w:fill="D6F3E8"/>
          </w:tcPr>
          <w:p>
            <w:pPr>
              <w:spacing w:after="0"/>
              <w:rPr>
                <w:sz w:val="18"/>
                <w:szCs w:val="18"/>
                <w:color w:val="auto"/>
              </w:rPr>
            </w:pPr>
          </w:p>
        </w:tc>
        <w:tc>
          <w:tcPr>
            <w:tcW w:w="9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top w:val="single" w:sz="8" w:color="D6F3E8"/>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Pr>
          <w:p>
            <w:pPr>
              <w:spacing w:after="0" w:line="202" w:lineRule="exact"/>
              <w:rPr>
                <w:sz w:val="20"/>
                <w:szCs w:val="20"/>
                <w:color w:val="auto"/>
              </w:rPr>
            </w:pPr>
            <w:r>
              <w:rPr>
                <w:rFonts w:ascii="Arial" w:cs="Arial" w:eastAsia="Arial" w:hAnsi="Arial"/>
                <w:sz w:val="18"/>
                <w:szCs w:val="18"/>
                <w:color w:val="auto"/>
              </w:rPr>
              <w:t>Selling</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14,948</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14,553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395</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D6F3E8"/>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16,350</w:t>
            </w:r>
          </w:p>
        </w:tc>
        <w:tc>
          <w:tcPr>
            <w:tcW w:w="36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3.1</w:t>
            </w:r>
          </w:p>
        </w:tc>
        <w:tc>
          <w:tcPr>
            <w:tcW w:w="360" w:type="dxa"/>
            <w:vAlign w:val="bottom"/>
            <w:tcBorders>
              <w:right w:val="single" w:sz="8" w:color="D6F3E8"/>
            </w:tcBorders>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9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17,893</w:t>
            </w:r>
          </w:p>
        </w:tc>
        <w:tc>
          <w:tcPr>
            <w:tcW w:w="1580" w:type="dxa"/>
            <w:vAlign w:val="bottom"/>
            <w:tcBorders>
              <w:right w:val="single" w:sz="8" w:color="D6F3E8"/>
            </w:tcBorders>
            <w:gridSpan w:val="5"/>
            <w:shd w:val="clear" w:color="auto" w:fill="D6F3E8"/>
          </w:tcPr>
          <w:p>
            <w:pPr>
              <w:jc w:val="right"/>
              <w:ind w:right="34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D6F3E8"/>
          </w:tcPr>
          <w:p>
            <w:pPr>
              <w:spacing w:after="0"/>
              <w:rPr>
                <w:sz w:val="18"/>
                <w:szCs w:val="18"/>
                <w:color w:val="auto"/>
              </w:rPr>
            </w:pPr>
          </w:p>
        </w:tc>
        <w:tc>
          <w:tcPr>
            <w:tcW w:w="1200" w:type="dxa"/>
            <w:vAlign w:val="bottom"/>
            <w:gridSpan w:val="2"/>
            <w:shd w:val="clear" w:color="auto" w:fill="D6F3E8"/>
          </w:tcPr>
          <w:p>
            <w:pPr>
              <w:jc w:val="right"/>
              <w:ind w:right="198"/>
              <w:spacing w:after="0"/>
              <w:rPr>
                <w:sz w:val="20"/>
                <w:szCs w:val="20"/>
                <w:color w:val="auto"/>
              </w:rPr>
            </w:pPr>
            <w:r>
              <w:rPr>
                <w:rFonts w:ascii="Arial" w:cs="Arial" w:eastAsia="Arial" w:hAnsi="Arial"/>
                <w:sz w:val="18"/>
                <w:szCs w:val="18"/>
                <w:color w:val="auto"/>
              </w:rPr>
              <w:t>(1,543)</w:t>
            </w:r>
          </w:p>
        </w:tc>
        <w:tc>
          <w:tcPr>
            <w:tcW w:w="10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0"/>
        </w:trPr>
        <w:tc>
          <w:tcPr>
            <w:tcW w:w="3780" w:type="dxa"/>
            <w:vAlign w:val="bottom"/>
            <w:tcBorders>
              <w:bottom w:val="single" w:sz="8" w:color="D6F3E8"/>
            </w:tcBorders>
          </w:tcPr>
          <w:p>
            <w:pPr>
              <w:spacing w:after="0" w:line="202" w:lineRule="exact"/>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31,298</w:t>
            </w:r>
          </w:p>
        </w:tc>
        <w:tc>
          <w:tcPr>
            <w:tcW w:w="360" w:type="dxa"/>
            <w:vAlign w:val="bottom"/>
            <w:tcBorders>
              <w:bottom w:val="single" w:sz="8" w:color="D6F3E8"/>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360" w:type="dxa"/>
            <w:vAlign w:val="bottom"/>
            <w:tcBorders>
              <w:bottom w:val="single" w:sz="8" w:color="D6F3E8"/>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32,446</w:t>
            </w:r>
          </w:p>
        </w:tc>
        <w:tc>
          <w:tcPr>
            <w:tcW w:w="320" w:type="dxa"/>
            <w:vAlign w:val="bottom"/>
            <w:tcBorders>
              <w:bottom w:val="single" w:sz="8" w:color="D6F3E8"/>
            </w:tcBorders>
          </w:tcPr>
          <w:p>
            <w:pPr>
              <w:spacing w:after="0"/>
              <w:rPr>
                <w:sz w:val="18"/>
                <w:szCs w:val="18"/>
                <w:color w:val="auto"/>
              </w:rPr>
            </w:pPr>
          </w:p>
        </w:tc>
        <w:tc>
          <w:tcPr>
            <w:tcW w:w="20" w:type="dxa"/>
            <w:vAlign w:val="bottom"/>
            <w:tcBorders>
              <w:bottom w:val="single" w:sz="8" w:color="D6F3E8"/>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5.1</w:t>
            </w:r>
          </w:p>
        </w:tc>
        <w:tc>
          <w:tcPr>
            <w:tcW w:w="340" w:type="dxa"/>
            <w:vAlign w:val="bottom"/>
            <w:tcBorders>
              <w:bottom w:val="single" w:sz="8" w:color="D6F3E8"/>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340" w:type="dxa"/>
            <w:vAlign w:val="bottom"/>
            <w:tcBorders>
              <w:top w:val="single" w:sz="8" w:color="D6F3E8"/>
              <w:bottom w:val="single" w:sz="8" w:color="D6F3E8"/>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D6F3E8"/>
              <w:bottom w:val="single" w:sz="8" w:color="D6F3E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shd w:val="clear" w:color="auto" w:fill="D6F3E8"/>
          </w:tcPr>
          <w:p>
            <w:pPr>
              <w:spacing w:after="0" w:line="202" w:lineRule="exact"/>
              <w:rPr>
                <w:sz w:val="20"/>
                <w:szCs w:val="20"/>
                <w:color w:val="auto"/>
              </w:rPr>
            </w:pPr>
            <w:r>
              <w:rPr>
                <w:rFonts w:ascii="Arial" w:cs="Arial" w:eastAsia="Arial" w:hAnsi="Arial"/>
                <w:sz w:val="18"/>
                <w:szCs w:val="18"/>
                <w:color w:val="auto"/>
              </w:rPr>
              <w:t>Operating income</w:t>
            </w:r>
          </w:p>
        </w:tc>
        <w:tc>
          <w:tcPr>
            <w:tcW w:w="20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9,135</w:t>
            </w:r>
          </w:p>
        </w:tc>
        <w:tc>
          <w:tcPr>
            <w:tcW w:w="36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w:t>
            </w:r>
          </w:p>
        </w:tc>
        <w:tc>
          <w:tcPr>
            <w:tcW w:w="360" w:type="dxa"/>
            <w:vAlign w:val="bottom"/>
            <w:tcBorders>
              <w:right w:val="single" w:sz="8" w:color="D6F3E8"/>
            </w:tcBorders>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9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34,159</w:t>
            </w:r>
          </w:p>
        </w:tc>
        <w:tc>
          <w:tcPr>
            <w:tcW w:w="3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9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5.4</w:t>
            </w:r>
          </w:p>
        </w:tc>
        <w:tc>
          <w:tcPr>
            <w:tcW w:w="340" w:type="dxa"/>
            <w:vAlign w:val="bottom"/>
            <w:tcBorders>
              <w:right w:val="single" w:sz="8" w:color="D6F3E8"/>
            </w:tcBorders>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(25,024)</w:t>
            </w:r>
          </w:p>
        </w:tc>
        <w:tc>
          <w:tcPr>
            <w:tcW w:w="34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(73.3)</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Financial income</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3,529</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0.6</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4,964</w:t>
            </w:r>
          </w:p>
        </w:tc>
        <w:tc>
          <w:tcPr>
            <w:tcW w:w="1580" w:type="dxa"/>
            <w:vAlign w:val="bottom"/>
            <w:gridSpan w:val="5"/>
          </w:tcPr>
          <w:p>
            <w:pPr>
              <w:jc w:val="right"/>
              <w:ind w:right="340"/>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8"/>
                <w:szCs w:val="18"/>
                <w:color w:val="auto"/>
              </w:rPr>
            </w:pPr>
          </w:p>
        </w:tc>
        <w:tc>
          <w:tcPr>
            <w:tcW w:w="1200" w:type="dxa"/>
            <w:vAlign w:val="bottom"/>
            <w:gridSpan w:val="2"/>
          </w:tcPr>
          <w:p>
            <w:pPr>
              <w:jc w:val="right"/>
              <w:ind w:right="198"/>
              <w:spacing w:after="0"/>
              <w:rPr>
                <w:sz w:val="20"/>
                <w:szCs w:val="20"/>
                <w:color w:val="auto"/>
              </w:rPr>
            </w:pPr>
            <w:r>
              <w:rPr>
                <w:rFonts w:ascii="Arial" w:cs="Arial" w:eastAsia="Arial" w:hAnsi="Arial"/>
                <w:sz w:val="18"/>
                <w:szCs w:val="18"/>
                <w:color w:val="auto"/>
              </w:rPr>
              <w:t>(1,435)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0"/>
        </w:trPr>
        <w:tc>
          <w:tcPr>
            <w:tcW w:w="3780" w:type="dxa"/>
            <w:vAlign w:val="bottom"/>
            <w:tcBorders>
              <w:top w:val="single" w:sz="8" w:color="D6F3E8"/>
            </w:tcBorders>
            <w:shd w:val="clear" w:color="auto" w:fill="D6F3E8"/>
          </w:tcPr>
          <w:p>
            <w:pPr>
              <w:spacing w:after="0" w:line="202" w:lineRule="exact"/>
              <w:rPr>
                <w:sz w:val="20"/>
                <w:szCs w:val="20"/>
                <w:color w:val="auto"/>
              </w:rPr>
            </w:pPr>
            <w:r>
              <w:rPr>
                <w:rFonts w:ascii="Arial" w:cs="Arial" w:eastAsia="Arial" w:hAnsi="Arial"/>
                <w:sz w:val="18"/>
                <w:szCs w:val="18"/>
                <w:color w:val="auto"/>
              </w:rPr>
              <w:t>Income before income taxes</w:t>
            </w:r>
          </w:p>
        </w:tc>
        <w:tc>
          <w:tcPr>
            <w:tcW w:w="200" w:type="dxa"/>
            <w:vAlign w:val="bottom"/>
            <w:tcBorders>
              <w:top w:val="single" w:sz="8" w:color="auto"/>
            </w:tcBorders>
            <w:shd w:val="clear" w:color="auto" w:fill="D6F3E8"/>
          </w:tcPr>
          <w:p>
            <w:pPr>
              <w:spacing w:after="0"/>
              <w:rPr>
                <w:sz w:val="18"/>
                <w:szCs w:val="18"/>
                <w:color w:val="auto"/>
              </w:rPr>
            </w:pPr>
          </w:p>
        </w:tc>
        <w:tc>
          <w:tcPr>
            <w:tcW w:w="8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12,664</w:t>
            </w:r>
          </w:p>
        </w:tc>
        <w:tc>
          <w:tcPr>
            <w:tcW w:w="360" w:type="dxa"/>
            <w:vAlign w:val="bottom"/>
            <w:tcBorders>
              <w:top w:val="single" w:sz="8" w:color="D6F3E8"/>
            </w:tcBorders>
            <w:shd w:val="clear" w:color="auto" w:fill="D6F3E8"/>
          </w:tcPr>
          <w:p>
            <w:pPr>
              <w:spacing w:after="0"/>
              <w:rPr>
                <w:sz w:val="18"/>
                <w:szCs w:val="18"/>
                <w:color w:val="auto"/>
              </w:rPr>
            </w:pPr>
          </w:p>
        </w:tc>
        <w:tc>
          <w:tcPr>
            <w:tcW w:w="9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2.4</w:t>
            </w:r>
          </w:p>
        </w:tc>
        <w:tc>
          <w:tcPr>
            <w:tcW w:w="360" w:type="dxa"/>
            <w:vAlign w:val="bottom"/>
            <w:tcBorders>
              <w:top w:val="single" w:sz="8" w:color="D6F3E8"/>
              <w:right w:val="single" w:sz="8" w:color="D6F3E8"/>
            </w:tcBorders>
            <w:shd w:val="clear" w:color="auto" w:fill="D6F3E8"/>
          </w:tcPr>
          <w:p>
            <w:pPr>
              <w:spacing w:after="0"/>
              <w:rPr>
                <w:sz w:val="18"/>
                <w:szCs w:val="18"/>
                <w:color w:val="auto"/>
              </w:rPr>
            </w:pPr>
          </w:p>
        </w:tc>
        <w:tc>
          <w:tcPr>
            <w:tcW w:w="120" w:type="dxa"/>
            <w:vAlign w:val="bottom"/>
            <w:tcBorders>
              <w:top w:val="single" w:sz="8" w:color="auto"/>
            </w:tcBorders>
            <w:shd w:val="clear" w:color="auto" w:fill="D6F3E8"/>
          </w:tcPr>
          <w:p>
            <w:pPr>
              <w:spacing w:after="0"/>
              <w:rPr>
                <w:sz w:val="18"/>
                <w:szCs w:val="18"/>
                <w:color w:val="auto"/>
              </w:rPr>
            </w:pPr>
          </w:p>
        </w:tc>
        <w:tc>
          <w:tcPr>
            <w:tcW w:w="90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39,123</w:t>
            </w:r>
          </w:p>
        </w:tc>
        <w:tc>
          <w:tcPr>
            <w:tcW w:w="320" w:type="dxa"/>
            <w:vAlign w:val="bottom"/>
            <w:tcBorders>
              <w:top w:val="single" w:sz="8" w:color="D6F3E8"/>
            </w:tcBorders>
            <w:shd w:val="clear" w:color="auto" w:fill="D6F3E8"/>
          </w:tcPr>
          <w:p>
            <w:pPr>
              <w:spacing w:after="0"/>
              <w:rPr>
                <w:sz w:val="18"/>
                <w:szCs w:val="18"/>
                <w:color w:val="auto"/>
              </w:rPr>
            </w:pPr>
          </w:p>
        </w:tc>
        <w:tc>
          <w:tcPr>
            <w:tcW w:w="20" w:type="dxa"/>
            <w:vAlign w:val="bottom"/>
            <w:tcBorders>
              <w:top w:val="single" w:sz="8" w:color="D6F3E8"/>
            </w:tcBorders>
            <w:shd w:val="clear" w:color="auto" w:fill="D6F3E8"/>
          </w:tcPr>
          <w:p>
            <w:pPr>
              <w:spacing w:after="0"/>
              <w:rPr>
                <w:sz w:val="18"/>
                <w:szCs w:val="18"/>
                <w:color w:val="auto"/>
              </w:rPr>
            </w:pPr>
          </w:p>
        </w:tc>
        <w:tc>
          <w:tcPr>
            <w:tcW w:w="90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6.2</w:t>
            </w:r>
          </w:p>
        </w:tc>
        <w:tc>
          <w:tcPr>
            <w:tcW w:w="340" w:type="dxa"/>
            <w:vAlign w:val="bottom"/>
            <w:tcBorders>
              <w:top w:val="single" w:sz="8" w:color="D6F3E8"/>
              <w:right w:val="single" w:sz="8" w:color="D6F3E8"/>
            </w:tcBorders>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spacing w:after="0"/>
              <w:rPr>
                <w:sz w:val="18"/>
                <w:szCs w:val="18"/>
                <w:color w:val="auto"/>
              </w:rPr>
            </w:pPr>
          </w:p>
        </w:tc>
        <w:tc>
          <w:tcPr>
            <w:tcW w:w="8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(26,459)</w:t>
            </w:r>
          </w:p>
        </w:tc>
        <w:tc>
          <w:tcPr>
            <w:tcW w:w="340" w:type="dxa"/>
            <w:vAlign w:val="bottom"/>
            <w:tcBorders>
              <w:top w:val="single" w:sz="8" w:color="D6F3E8"/>
            </w:tcBorders>
            <w:shd w:val="clear" w:color="auto" w:fill="D6F3E8"/>
          </w:tcPr>
          <w:p>
            <w:pPr>
              <w:spacing w:after="0"/>
              <w:rPr>
                <w:sz w:val="18"/>
                <w:szCs w:val="18"/>
                <w:color w:val="auto"/>
              </w:rPr>
            </w:pPr>
          </w:p>
        </w:tc>
        <w:tc>
          <w:tcPr>
            <w:tcW w:w="9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(Benefit) provision for taxes</w:t>
            </w:r>
          </w:p>
        </w:tc>
        <w:tc>
          <w:tcPr>
            <w:tcW w:w="2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(2,815)</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12,402</w:t>
            </w:r>
          </w:p>
        </w:tc>
        <w:tc>
          <w:tcPr>
            <w:tcW w:w="1580" w:type="dxa"/>
            <w:vAlign w:val="bottom"/>
            <w:gridSpan w:val="5"/>
          </w:tcPr>
          <w:p>
            <w:pPr>
              <w:jc w:val="right"/>
              <w:ind w:right="34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1200" w:type="dxa"/>
            <w:vAlign w:val="bottom"/>
            <w:gridSpan w:val="2"/>
          </w:tcPr>
          <w:p>
            <w:pPr>
              <w:jc w:val="right"/>
              <w:ind w:right="198"/>
              <w:spacing w:after="0"/>
              <w:rPr>
                <w:sz w:val="20"/>
                <w:szCs w:val="20"/>
                <w:color w:val="auto"/>
              </w:rPr>
            </w:pPr>
            <w:r>
              <w:rPr>
                <w:rFonts w:ascii="Arial" w:cs="Arial" w:eastAsia="Arial" w:hAnsi="Arial"/>
                <w:sz w:val="18"/>
                <w:szCs w:val="18"/>
                <w:color w:val="auto"/>
              </w:rPr>
              <w:t>(15,217)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10"/>
        </w:trPr>
        <w:tc>
          <w:tcPr>
            <w:tcW w:w="3780" w:type="dxa"/>
            <w:vAlign w:val="bottom"/>
            <w:tcBorders>
              <w:top w:val="single" w:sz="8" w:color="D6F3E8"/>
              <w:bottom w:val="single" w:sz="8" w:color="D6F3E8"/>
            </w:tcBorders>
            <w:shd w:val="clear" w:color="auto" w:fill="D6F3E8"/>
          </w:tcPr>
          <w:p>
            <w:pPr>
              <w:spacing w:after="0" w:line="202" w:lineRule="exact"/>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bottom w:val="single" w:sz="8" w:color="auto"/>
            </w:tcBorders>
            <w:shd w:val="clear" w:color="auto" w:fill="D6F3E8"/>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15,479</w:t>
            </w:r>
          </w:p>
        </w:tc>
        <w:tc>
          <w:tcPr>
            <w:tcW w:w="360" w:type="dxa"/>
            <w:vAlign w:val="bottom"/>
            <w:tcBorders>
              <w:top w:val="single" w:sz="8" w:color="D6F3E8"/>
              <w:bottom w:val="single" w:sz="8" w:color="D6F3E8"/>
            </w:tcBorders>
            <w:shd w:val="clear" w:color="auto" w:fill="D6F3E8"/>
          </w:tcPr>
          <w:p>
            <w:pPr>
              <w:spacing w:after="0"/>
              <w:rPr>
                <w:sz w:val="18"/>
                <w:szCs w:val="18"/>
                <w:color w:val="auto"/>
              </w:rPr>
            </w:pPr>
          </w:p>
        </w:tc>
        <w:tc>
          <w:tcPr>
            <w:tcW w:w="9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3.0</w:t>
            </w:r>
          </w:p>
        </w:tc>
        <w:tc>
          <w:tcPr>
            <w:tcW w:w="360" w:type="dxa"/>
            <w:vAlign w:val="bottom"/>
            <w:tcBorders>
              <w:top w:val="single" w:sz="8" w:color="D6F3E8"/>
              <w:bottom w:val="single" w:sz="8" w:color="D6F3E8"/>
              <w:right w:val="single" w:sz="8" w:color="D6F3E8"/>
            </w:tcBorders>
            <w:shd w:val="clear" w:color="auto" w:fill="D6F3E8"/>
          </w:tcPr>
          <w:p>
            <w:pPr>
              <w:spacing w:after="0"/>
              <w:rPr>
                <w:sz w:val="18"/>
                <w:szCs w:val="18"/>
                <w:color w:val="auto"/>
              </w:rPr>
            </w:pPr>
          </w:p>
        </w:tc>
        <w:tc>
          <w:tcPr>
            <w:tcW w:w="1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26,721</w:t>
            </w:r>
          </w:p>
        </w:tc>
        <w:tc>
          <w:tcPr>
            <w:tcW w:w="320" w:type="dxa"/>
            <w:vAlign w:val="bottom"/>
            <w:tcBorders>
              <w:top w:val="single" w:sz="8" w:color="D6F3E8"/>
              <w:bottom w:val="single" w:sz="8" w:color="D6F3E8"/>
            </w:tcBorders>
            <w:shd w:val="clear" w:color="auto" w:fill="D6F3E8"/>
          </w:tcPr>
          <w:p>
            <w:pPr>
              <w:spacing w:after="0"/>
              <w:rPr>
                <w:sz w:val="18"/>
                <w:szCs w:val="18"/>
                <w:color w:val="auto"/>
              </w:rPr>
            </w:pPr>
          </w:p>
        </w:tc>
        <w:tc>
          <w:tcPr>
            <w:tcW w:w="20" w:type="dxa"/>
            <w:vAlign w:val="bottom"/>
            <w:tcBorders>
              <w:top w:val="single" w:sz="8" w:color="D6F3E8"/>
              <w:bottom w:val="single" w:sz="8" w:color="D6F3E8"/>
            </w:tcBorders>
            <w:shd w:val="clear" w:color="auto" w:fill="D6F3E8"/>
          </w:tcPr>
          <w:p>
            <w:pPr>
              <w:spacing w:after="0"/>
              <w:rPr>
                <w:sz w:val="18"/>
                <w:szCs w:val="18"/>
                <w:color w:val="auto"/>
              </w:rPr>
            </w:pPr>
          </w:p>
        </w:tc>
        <w:tc>
          <w:tcPr>
            <w:tcW w:w="900" w:type="dxa"/>
            <w:vAlign w:val="bottom"/>
            <w:tcBorders>
              <w:top w:val="single" w:sz="8" w:color="auto"/>
              <w:bottom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4.2</w:t>
            </w:r>
          </w:p>
        </w:tc>
        <w:tc>
          <w:tcPr>
            <w:tcW w:w="340" w:type="dxa"/>
            <w:vAlign w:val="bottom"/>
            <w:tcBorders>
              <w:top w:val="single" w:sz="8" w:color="D6F3E8"/>
              <w:bottom w:val="single" w:sz="8" w:color="D6F3E8"/>
              <w:right w:val="single" w:sz="8" w:color="D6F3E8"/>
            </w:tcBorders>
            <w:shd w:val="clear" w:color="auto" w:fill="D6F3E8"/>
          </w:tcPr>
          <w:p>
            <w:pPr>
              <w:spacing w:after="0"/>
              <w:rPr>
                <w:sz w:val="18"/>
                <w:szCs w:val="18"/>
                <w:color w:val="auto"/>
              </w:rPr>
            </w:pPr>
          </w:p>
        </w:tc>
        <w:tc>
          <w:tcPr>
            <w:tcW w:w="1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(11,242)</w:t>
            </w:r>
          </w:p>
        </w:tc>
        <w:tc>
          <w:tcPr>
            <w:tcW w:w="340" w:type="dxa"/>
            <w:vAlign w:val="bottom"/>
            <w:tcBorders>
              <w:top w:val="single" w:sz="8" w:color="D6F3E8"/>
              <w:bottom w:val="single" w:sz="8" w:color="D6F3E8"/>
            </w:tcBorders>
            <w:shd w:val="clear" w:color="auto" w:fill="D6F3E8"/>
          </w:tcPr>
          <w:p>
            <w:pPr>
              <w:spacing w:after="0"/>
              <w:rPr>
                <w:sz w:val="18"/>
                <w:szCs w:val="18"/>
                <w:color w:val="auto"/>
              </w:rPr>
            </w:pPr>
          </w:p>
        </w:tc>
        <w:tc>
          <w:tcPr>
            <w:tcW w:w="9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Borders>
              <w:top w:val="single" w:sz="8" w:color="D6F3E8"/>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color w:val="auto"/>
              </w:rPr>
              <w:t>Diluted income per share</w:t>
            </w: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80" w:type="dxa"/>
            <w:vAlign w:val="bottom"/>
            <w:tcBorders>
              <w:bottom w:val="single" w:sz="8" w:color="D6F3E8"/>
            </w:tcBorders>
            <w:vMerge w:val="continue"/>
          </w:tcPr>
          <w:p>
            <w:pPr>
              <w:spacing w:after="0"/>
              <w:rPr>
                <w:sz w:val="20"/>
                <w:szCs w:val="20"/>
                <w:color w:val="auto"/>
              </w:rPr>
            </w:pPr>
          </w:p>
        </w:tc>
        <w:tc>
          <w:tcPr>
            <w:tcW w:w="200" w:type="dxa"/>
            <w:vAlign w:val="bottom"/>
            <w:tcBorders>
              <w:top w:val="single" w:sz="8" w:color="auto"/>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0.53</w:t>
            </w:r>
          </w:p>
        </w:tc>
        <w:tc>
          <w:tcPr>
            <w:tcW w:w="360" w:type="dxa"/>
            <w:vAlign w:val="bottom"/>
            <w:tcBorders>
              <w:bottom w:val="single" w:sz="8" w:color="D6F3E8"/>
            </w:tcBorders>
          </w:tcPr>
          <w:p>
            <w:pPr>
              <w:spacing w:after="0"/>
              <w:rPr>
                <w:sz w:val="20"/>
                <w:szCs w:val="20"/>
                <w:color w:val="auto"/>
              </w:rPr>
            </w:pPr>
          </w:p>
        </w:tc>
        <w:tc>
          <w:tcPr>
            <w:tcW w:w="920" w:type="dxa"/>
            <w:vAlign w:val="bottom"/>
            <w:tcBorders>
              <w:top w:val="single" w:sz="8" w:color="auto"/>
              <w:bottom w:val="single" w:sz="8" w:color="D6F3E8"/>
            </w:tcBorders>
          </w:tcPr>
          <w:p>
            <w:pPr>
              <w:spacing w:after="0"/>
              <w:rPr>
                <w:sz w:val="20"/>
                <w:szCs w:val="20"/>
                <w:color w:val="auto"/>
              </w:rPr>
            </w:pPr>
          </w:p>
        </w:tc>
        <w:tc>
          <w:tcPr>
            <w:tcW w:w="360" w:type="dxa"/>
            <w:vAlign w:val="bottom"/>
            <w:tcBorders>
              <w:bottom w:val="single" w:sz="8" w:color="D6F3E8"/>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0.84</w:t>
            </w:r>
          </w:p>
        </w:tc>
        <w:tc>
          <w:tcPr>
            <w:tcW w:w="320" w:type="dxa"/>
            <w:vAlign w:val="bottom"/>
            <w:tcBorders>
              <w:bottom w:val="single" w:sz="8" w:color="D6F3E8"/>
            </w:tcBorders>
          </w:tcPr>
          <w:p>
            <w:pPr>
              <w:spacing w:after="0"/>
              <w:rPr>
                <w:sz w:val="20"/>
                <w:szCs w:val="20"/>
                <w:color w:val="auto"/>
              </w:rPr>
            </w:pPr>
          </w:p>
        </w:tc>
        <w:tc>
          <w:tcPr>
            <w:tcW w:w="20" w:type="dxa"/>
            <w:vAlign w:val="bottom"/>
            <w:tcBorders>
              <w:bottom w:val="single" w:sz="8" w:color="D6F3E8"/>
            </w:tcBorders>
          </w:tcPr>
          <w:p>
            <w:pPr>
              <w:spacing w:after="0"/>
              <w:rPr>
                <w:sz w:val="20"/>
                <w:szCs w:val="20"/>
                <w:color w:val="auto"/>
              </w:rPr>
            </w:pPr>
          </w:p>
        </w:tc>
        <w:tc>
          <w:tcPr>
            <w:tcW w:w="880" w:type="dxa"/>
            <w:vAlign w:val="bottom"/>
            <w:tcBorders>
              <w:top w:val="single" w:sz="8" w:color="auto"/>
              <w:bottom w:val="single" w:sz="8" w:color="D6F3E8"/>
            </w:tcBorders>
          </w:tcPr>
          <w:p>
            <w:pPr>
              <w:spacing w:after="0"/>
              <w:rPr>
                <w:sz w:val="20"/>
                <w:szCs w:val="20"/>
                <w:color w:val="auto"/>
              </w:rPr>
            </w:pPr>
          </w:p>
        </w:tc>
        <w:tc>
          <w:tcPr>
            <w:tcW w:w="20" w:type="dxa"/>
            <w:vAlign w:val="bottom"/>
            <w:tcBorders>
              <w:top w:val="single" w:sz="8" w:color="auto"/>
              <w:bottom w:val="single" w:sz="8" w:color="D6F3E8"/>
            </w:tcBorders>
          </w:tcPr>
          <w:p>
            <w:pPr>
              <w:spacing w:after="0"/>
              <w:rPr>
                <w:sz w:val="20"/>
                <w:szCs w:val="20"/>
                <w:color w:val="auto"/>
              </w:rPr>
            </w:pPr>
          </w:p>
        </w:tc>
        <w:tc>
          <w:tcPr>
            <w:tcW w:w="340" w:type="dxa"/>
            <w:vAlign w:val="bottom"/>
            <w:tcBorders>
              <w:bottom w:val="single" w:sz="8" w:color="D6F3E8"/>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(0.31</w:t>
            </w:r>
          </w:p>
        </w:tc>
        <w:tc>
          <w:tcPr>
            <w:tcW w:w="340" w:type="dxa"/>
            <w:vAlign w:val="bottom"/>
            <w:tcBorders>
              <w:top w:val="single" w:sz="8" w:color="D6F3E8"/>
              <w:bottom w:val="single" w:sz="8" w:color="D6F3E8"/>
            </w:tcBorders>
          </w:tcPr>
          <w:p>
            <w:pPr>
              <w:jc w:val="right"/>
              <w:ind w:right="198"/>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(36.9</w:t>
            </w:r>
          </w:p>
        </w:tc>
        <w:tc>
          <w:tcPr>
            <w:tcW w:w="100" w:type="dxa"/>
            <w:vAlign w:val="bottom"/>
            <w:tcBorders>
              <w:top w:val="single" w:sz="8" w:color="D6F3E8"/>
              <w:bottom w:val="single" w:sz="8" w:color="D6F3E8"/>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3780" w:type="dxa"/>
            <w:vAlign w:val="bottom"/>
            <w:tcBorders>
              <w:bottom w:val="single" w:sz="8" w:color="D6F3E8"/>
            </w:tcBorders>
            <w:shd w:val="clear" w:color="auto" w:fill="D6F3E8"/>
          </w:tcPr>
          <w:p>
            <w:pPr>
              <w:spacing w:after="0" w:line="182" w:lineRule="exact"/>
              <w:rPr>
                <w:sz w:val="20"/>
                <w:szCs w:val="20"/>
                <w:color w:val="auto"/>
              </w:rPr>
            </w:pPr>
            <w:r>
              <w:rPr>
                <w:rFonts w:ascii="Arial" w:cs="Arial" w:eastAsia="Arial" w:hAnsi="Arial"/>
                <w:sz w:val="18"/>
                <w:szCs w:val="18"/>
                <w:color w:val="auto"/>
              </w:rPr>
              <w:t>Fully diluted average shares outstanding</w:t>
            </w:r>
          </w:p>
        </w:tc>
        <w:tc>
          <w:tcPr>
            <w:tcW w:w="200" w:type="dxa"/>
            <w:vAlign w:val="bottom"/>
            <w:tcBorders>
              <w:bottom w:val="single" w:sz="8" w:color="auto"/>
            </w:tcBorders>
            <w:shd w:val="clear" w:color="auto" w:fill="D6F3E8"/>
          </w:tcPr>
          <w:p>
            <w:pPr>
              <w:spacing w:after="0"/>
              <w:rPr>
                <w:sz w:val="17"/>
                <w:szCs w:val="17"/>
                <w:color w:val="auto"/>
              </w:rPr>
            </w:pPr>
          </w:p>
        </w:tc>
        <w:tc>
          <w:tcPr>
            <w:tcW w:w="840" w:type="dxa"/>
            <w:vAlign w:val="bottom"/>
            <w:tcBorders>
              <w:bottom w:val="single" w:sz="8" w:color="auto"/>
            </w:tcBorders>
            <w:shd w:val="clear" w:color="auto" w:fill="D6F3E8"/>
          </w:tcPr>
          <w:p>
            <w:pPr>
              <w:jc w:val="right"/>
              <w:spacing w:after="0" w:line="196" w:lineRule="exact"/>
              <w:rPr>
                <w:sz w:val="20"/>
                <w:szCs w:val="20"/>
                <w:color w:val="auto"/>
              </w:rPr>
            </w:pPr>
            <w:r>
              <w:rPr>
                <w:rFonts w:ascii="Arial" w:cs="Arial" w:eastAsia="Arial" w:hAnsi="Arial"/>
                <w:sz w:val="18"/>
                <w:szCs w:val="18"/>
                <w:color w:val="auto"/>
              </w:rPr>
              <w:t>29,183</w:t>
            </w:r>
          </w:p>
        </w:tc>
        <w:tc>
          <w:tcPr>
            <w:tcW w:w="360" w:type="dxa"/>
            <w:vAlign w:val="bottom"/>
            <w:tcBorders>
              <w:bottom w:val="single" w:sz="8" w:color="D6F3E8"/>
            </w:tcBorders>
            <w:shd w:val="clear" w:color="auto" w:fill="D6F3E8"/>
          </w:tcPr>
          <w:p>
            <w:pPr>
              <w:spacing w:after="0"/>
              <w:rPr>
                <w:sz w:val="17"/>
                <w:szCs w:val="17"/>
                <w:color w:val="auto"/>
              </w:rPr>
            </w:pPr>
          </w:p>
        </w:tc>
        <w:tc>
          <w:tcPr>
            <w:tcW w:w="920" w:type="dxa"/>
            <w:vAlign w:val="bottom"/>
            <w:tcBorders>
              <w:bottom w:val="single" w:sz="8" w:color="D6F3E8"/>
            </w:tcBorders>
            <w:shd w:val="clear" w:color="auto" w:fill="D6F3E8"/>
          </w:tcPr>
          <w:p>
            <w:pPr>
              <w:spacing w:after="0"/>
              <w:rPr>
                <w:sz w:val="17"/>
                <w:szCs w:val="17"/>
                <w:color w:val="auto"/>
              </w:rPr>
            </w:pPr>
          </w:p>
        </w:tc>
        <w:tc>
          <w:tcPr>
            <w:tcW w:w="360" w:type="dxa"/>
            <w:vAlign w:val="bottom"/>
            <w:tcBorders>
              <w:bottom w:val="single" w:sz="8" w:color="D6F3E8"/>
              <w:right w:val="single" w:sz="8" w:color="D6F3E8"/>
            </w:tcBorders>
            <w:shd w:val="clear" w:color="auto" w:fill="D6F3E8"/>
          </w:tcPr>
          <w:p>
            <w:pPr>
              <w:spacing w:after="0"/>
              <w:rPr>
                <w:sz w:val="17"/>
                <w:szCs w:val="17"/>
                <w:color w:val="auto"/>
              </w:rPr>
            </w:pPr>
          </w:p>
        </w:tc>
        <w:tc>
          <w:tcPr>
            <w:tcW w:w="120" w:type="dxa"/>
            <w:vAlign w:val="bottom"/>
            <w:tcBorders>
              <w:bottom w:val="single" w:sz="8" w:color="auto"/>
            </w:tcBorders>
            <w:shd w:val="clear" w:color="auto" w:fill="D6F3E8"/>
          </w:tcPr>
          <w:p>
            <w:pPr>
              <w:spacing w:after="0"/>
              <w:rPr>
                <w:sz w:val="17"/>
                <w:szCs w:val="17"/>
                <w:color w:val="auto"/>
              </w:rPr>
            </w:pPr>
          </w:p>
        </w:tc>
        <w:tc>
          <w:tcPr>
            <w:tcW w:w="900" w:type="dxa"/>
            <w:vAlign w:val="bottom"/>
            <w:tcBorders>
              <w:bottom w:val="single" w:sz="8" w:color="auto"/>
            </w:tcBorders>
            <w:gridSpan w:val="2"/>
            <w:shd w:val="clear" w:color="auto" w:fill="D6F3E8"/>
          </w:tcPr>
          <w:p>
            <w:pPr>
              <w:jc w:val="right"/>
              <w:spacing w:after="0" w:line="196" w:lineRule="exact"/>
              <w:rPr>
                <w:sz w:val="20"/>
                <w:szCs w:val="20"/>
                <w:color w:val="auto"/>
              </w:rPr>
            </w:pPr>
            <w:r>
              <w:rPr>
                <w:rFonts w:ascii="Arial" w:cs="Arial" w:eastAsia="Arial" w:hAnsi="Arial"/>
                <w:sz w:val="18"/>
                <w:szCs w:val="18"/>
                <w:color w:val="auto"/>
              </w:rPr>
              <w:t>31,697</w:t>
            </w:r>
          </w:p>
        </w:tc>
        <w:tc>
          <w:tcPr>
            <w:tcW w:w="320" w:type="dxa"/>
            <w:vAlign w:val="bottom"/>
            <w:tcBorders>
              <w:bottom w:val="single" w:sz="8" w:color="D6F3E8"/>
            </w:tcBorders>
            <w:shd w:val="clear" w:color="auto" w:fill="D6F3E8"/>
          </w:tcPr>
          <w:p>
            <w:pPr>
              <w:spacing w:after="0"/>
              <w:rPr>
                <w:sz w:val="17"/>
                <w:szCs w:val="17"/>
                <w:color w:val="auto"/>
              </w:rPr>
            </w:pPr>
          </w:p>
        </w:tc>
        <w:tc>
          <w:tcPr>
            <w:tcW w:w="20" w:type="dxa"/>
            <w:vAlign w:val="bottom"/>
            <w:tcBorders>
              <w:bottom w:val="single" w:sz="8" w:color="D6F3E8"/>
            </w:tcBorders>
            <w:shd w:val="clear" w:color="auto" w:fill="D6F3E8"/>
          </w:tcPr>
          <w:p>
            <w:pPr>
              <w:spacing w:after="0"/>
              <w:rPr>
                <w:sz w:val="17"/>
                <w:szCs w:val="17"/>
                <w:color w:val="auto"/>
              </w:rPr>
            </w:pPr>
          </w:p>
        </w:tc>
        <w:tc>
          <w:tcPr>
            <w:tcW w:w="880" w:type="dxa"/>
            <w:vAlign w:val="bottom"/>
            <w:tcBorders>
              <w:bottom w:val="single" w:sz="8" w:color="D6F3E8"/>
            </w:tcBorders>
            <w:shd w:val="clear" w:color="auto" w:fill="D6F3E8"/>
          </w:tcPr>
          <w:p>
            <w:pPr>
              <w:spacing w:after="0"/>
              <w:rPr>
                <w:sz w:val="17"/>
                <w:szCs w:val="17"/>
                <w:color w:val="auto"/>
              </w:rPr>
            </w:pPr>
          </w:p>
        </w:tc>
        <w:tc>
          <w:tcPr>
            <w:tcW w:w="20" w:type="dxa"/>
            <w:vAlign w:val="bottom"/>
            <w:tcBorders>
              <w:bottom w:val="single" w:sz="8" w:color="D6F3E8"/>
            </w:tcBorders>
            <w:shd w:val="clear" w:color="auto" w:fill="D6F3E8"/>
          </w:tcPr>
          <w:p>
            <w:pPr>
              <w:spacing w:after="0"/>
              <w:rPr>
                <w:sz w:val="17"/>
                <w:szCs w:val="17"/>
                <w:color w:val="auto"/>
              </w:rPr>
            </w:pPr>
          </w:p>
        </w:tc>
        <w:tc>
          <w:tcPr>
            <w:tcW w:w="340" w:type="dxa"/>
            <w:vAlign w:val="bottom"/>
            <w:tcBorders>
              <w:bottom w:val="single" w:sz="8" w:color="D6F3E8"/>
              <w:right w:val="single" w:sz="8" w:color="D6F3E8"/>
            </w:tcBorders>
            <w:shd w:val="clear" w:color="auto" w:fill="D6F3E8"/>
          </w:tcPr>
          <w:p>
            <w:pPr>
              <w:spacing w:after="0"/>
              <w:rPr>
                <w:sz w:val="17"/>
                <w:szCs w:val="17"/>
                <w:color w:val="auto"/>
              </w:rPr>
            </w:pPr>
          </w:p>
        </w:tc>
        <w:tc>
          <w:tcPr>
            <w:tcW w:w="140" w:type="dxa"/>
            <w:vAlign w:val="bottom"/>
            <w:tcBorders>
              <w:bottom w:val="single" w:sz="8" w:color="auto"/>
            </w:tcBorders>
            <w:shd w:val="clear" w:color="auto" w:fill="D6F3E8"/>
          </w:tcPr>
          <w:p>
            <w:pPr>
              <w:spacing w:after="0"/>
              <w:rPr>
                <w:sz w:val="17"/>
                <w:szCs w:val="17"/>
                <w:color w:val="auto"/>
              </w:rPr>
            </w:pPr>
          </w:p>
        </w:tc>
        <w:tc>
          <w:tcPr>
            <w:tcW w:w="860" w:type="dxa"/>
            <w:vAlign w:val="bottom"/>
            <w:tcBorders>
              <w:bottom w:val="single" w:sz="8" w:color="auto"/>
            </w:tcBorders>
            <w:shd w:val="clear" w:color="auto" w:fill="D6F3E8"/>
          </w:tcPr>
          <w:p>
            <w:pPr>
              <w:jc w:val="right"/>
              <w:spacing w:after="0" w:line="196" w:lineRule="exact"/>
              <w:rPr>
                <w:sz w:val="20"/>
                <w:szCs w:val="20"/>
                <w:color w:val="auto"/>
              </w:rPr>
            </w:pPr>
            <w:r>
              <w:rPr>
                <w:rFonts w:ascii="Arial" w:cs="Arial" w:eastAsia="Arial" w:hAnsi="Arial"/>
                <w:sz w:val="18"/>
                <w:szCs w:val="18"/>
                <w:color w:val="auto"/>
              </w:rPr>
              <w:t>(2,514)</w:t>
            </w:r>
          </w:p>
        </w:tc>
        <w:tc>
          <w:tcPr>
            <w:tcW w:w="340" w:type="dxa"/>
            <w:vAlign w:val="bottom"/>
            <w:tcBorders>
              <w:bottom w:val="single" w:sz="8" w:color="D6F3E8"/>
            </w:tcBorders>
            <w:shd w:val="clear" w:color="auto" w:fill="D6F3E8"/>
          </w:tcPr>
          <w:p>
            <w:pPr>
              <w:spacing w:after="0"/>
              <w:rPr>
                <w:sz w:val="17"/>
                <w:szCs w:val="17"/>
                <w:color w:val="auto"/>
              </w:rPr>
            </w:pPr>
          </w:p>
        </w:tc>
        <w:tc>
          <w:tcPr>
            <w:tcW w:w="920" w:type="dxa"/>
            <w:vAlign w:val="bottom"/>
            <w:tcBorders>
              <w:bottom w:val="single" w:sz="8" w:color="auto"/>
            </w:tcBorders>
            <w:shd w:val="clear" w:color="auto" w:fill="D6F3E8"/>
          </w:tcPr>
          <w:p>
            <w:pPr>
              <w:jc w:val="right"/>
              <w:spacing w:after="0" w:line="196" w:lineRule="exact"/>
              <w:rPr>
                <w:sz w:val="20"/>
                <w:szCs w:val="20"/>
                <w:color w:val="auto"/>
              </w:rPr>
            </w:pPr>
            <w:r>
              <w:rPr>
                <w:rFonts w:ascii="Arial" w:cs="Arial" w:eastAsia="Arial" w:hAnsi="Arial"/>
                <w:sz w:val="18"/>
                <w:szCs w:val="18"/>
                <w:color w:val="auto"/>
              </w:rPr>
              <w:t>(7.9)</w:t>
            </w:r>
          </w:p>
        </w:tc>
        <w:tc>
          <w:tcPr>
            <w:tcW w:w="100" w:type="dxa"/>
            <w:vAlign w:val="bottom"/>
            <w:tcBorders>
              <w:bottom w:val="single" w:sz="8" w:color="D6F3E8"/>
            </w:tcBorders>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color w:val="auto"/>
              </w:rPr>
              <w:t>Unit deliveries consisted of the following:</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D6F3E8"/>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37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3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7"/>
              </w:rPr>
              <w:t>Forty</w:t>
            </w: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5"/>
              </w:rPr>
              <w:t>Weeks Ended</w:t>
            </w:r>
          </w:p>
        </w:tc>
        <w:tc>
          <w:tcPr>
            <w:tcW w:w="120" w:type="dxa"/>
            <w:vAlign w:val="bottom"/>
          </w:tcPr>
          <w:p>
            <w:pPr>
              <w:spacing w:after="0"/>
              <w:rPr>
                <w:sz w:val="24"/>
                <w:szCs w:val="2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Thirty-Nine</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37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2"/>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2"/>
              </w:rPr>
              <w:t>Product Mix</w:t>
            </w:r>
          </w:p>
        </w:tc>
        <w:tc>
          <w:tcPr>
            <w:tcW w:w="140" w:type="dxa"/>
            <w:vAlign w:val="bottom"/>
          </w:tcPr>
          <w:p>
            <w:pPr>
              <w:spacing w:after="0"/>
              <w:rPr>
                <w:sz w:val="11"/>
                <w:szCs w:val="11"/>
                <w:color w:val="auto"/>
              </w:rPr>
            </w:pPr>
          </w:p>
        </w:tc>
        <w:tc>
          <w:tcPr>
            <w:tcW w:w="1200" w:type="dxa"/>
            <w:vAlign w:val="bottom"/>
            <w:gridSpan w:val="2"/>
            <w:vMerge w:val="restart"/>
          </w:tcPr>
          <w:p>
            <w:pPr>
              <w:jc w:val="center"/>
              <w:ind w:right="398"/>
              <w:spacing w:after="0"/>
              <w:rPr>
                <w:sz w:val="20"/>
                <w:szCs w:val="20"/>
                <w:color w:val="auto"/>
              </w:rPr>
            </w:pPr>
            <w:r>
              <w:rPr>
                <w:rFonts w:ascii="Arial" w:cs="Arial" w:eastAsia="Arial" w:hAnsi="Arial"/>
                <w:sz w:val="14"/>
                <w:szCs w:val="14"/>
                <w:b w:val="1"/>
                <w:bCs w:val="1"/>
                <w:color w:val="auto"/>
                <w:w w:val="83"/>
              </w:rPr>
              <w:t>(Decrease)</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90"/>
              </w:rPr>
              <w:t>May 31,</w:t>
            </w:r>
          </w:p>
        </w:tc>
        <w:tc>
          <w:tcPr>
            <w:tcW w:w="128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9"/>
              </w:rPr>
              <w:t>Product Mix</w:t>
            </w:r>
          </w:p>
        </w:tc>
        <w:tc>
          <w:tcPr>
            <w:tcW w:w="120" w:type="dxa"/>
            <w:vAlign w:val="bottom"/>
          </w:tcPr>
          <w:p>
            <w:pPr>
              <w:spacing w:after="0"/>
              <w:rPr>
                <w:sz w:val="11"/>
                <w:szCs w:val="11"/>
                <w:color w:val="auto"/>
              </w:rPr>
            </w:pPr>
          </w:p>
        </w:tc>
        <w:tc>
          <w:tcPr>
            <w:tcW w:w="880" w:type="dxa"/>
            <w:vAlign w:val="bottom"/>
          </w:tcPr>
          <w:p>
            <w:pPr>
              <w:jc w:val="center"/>
              <w:ind w:right="57"/>
              <w:spacing w:after="0" w:line="129" w:lineRule="exact"/>
              <w:rPr>
                <w:sz w:val="20"/>
                <w:szCs w:val="20"/>
                <w:color w:val="auto"/>
              </w:rPr>
            </w:pPr>
            <w:r>
              <w:rPr>
                <w:rFonts w:ascii="Arial" w:cs="Arial" w:eastAsia="Arial" w:hAnsi="Arial"/>
                <w:sz w:val="14"/>
                <w:szCs w:val="14"/>
                <w:b w:val="1"/>
                <w:bCs w:val="1"/>
                <w:color w:val="auto"/>
                <w:w w:val="90"/>
              </w:rPr>
              <w:t>May 26,</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80" w:type="dxa"/>
            <w:vAlign w:val="bottom"/>
          </w:tcPr>
          <w:p>
            <w:pPr>
              <w:spacing w:after="0"/>
              <w:rPr>
                <w:sz w:val="20"/>
                <w:szCs w:val="20"/>
                <w:color w:val="auto"/>
              </w:rPr>
            </w:pPr>
            <w:r>
              <w:rPr>
                <w:rFonts w:ascii="Arial" w:cs="Arial" w:eastAsia="Arial" w:hAnsi="Arial"/>
                <w:sz w:val="14"/>
                <w:szCs w:val="14"/>
                <w:b w:val="1"/>
                <w:bCs w:val="1"/>
                <w:color w:val="auto"/>
              </w:rPr>
              <w:t>Motor home unit deliveries:</w:t>
            </w:r>
          </w:p>
        </w:tc>
        <w:tc>
          <w:tcPr>
            <w:tcW w:w="200" w:type="dxa"/>
            <w:vAlign w:val="bottom"/>
          </w:tcPr>
          <w:p>
            <w:pPr>
              <w:spacing w:after="0"/>
              <w:rPr>
                <w:sz w:val="14"/>
                <w:szCs w:val="14"/>
                <w:color w:val="auto"/>
              </w:rPr>
            </w:pPr>
          </w:p>
        </w:tc>
        <w:tc>
          <w:tcPr>
            <w:tcW w:w="840" w:type="dxa"/>
            <w:vAlign w:val="bottom"/>
          </w:tcPr>
          <w:p>
            <w:pPr>
              <w:jc w:val="center"/>
              <w:ind w:right="97"/>
              <w:spacing w:after="0"/>
              <w:rPr>
                <w:sz w:val="20"/>
                <w:szCs w:val="20"/>
                <w:color w:val="auto"/>
              </w:rPr>
            </w:pPr>
            <w:r>
              <w:rPr>
                <w:rFonts w:ascii="Arial" w:cs="Arial" w:eastAsia="Arial" w:hAnsi="Arial"/>
                <w:sz w:val="14"/>
                <w:szCs w:val="14"/>
                <w:b w:val="1"/>
                <w:bCs w:val="1"/>
                <w:color w:val="auto"/>
                <w:w w:val="83"/>
              </w:rPr>
              <w:t>2008</w:t>
            </w:r>
          </w:p>
        </w:tc>
        <w:tc>
          <w:tcPr>
            <w:tcW w:w="3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57"/>
              <w:spacing w:after="0"/>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4"/>
                <w:szCs w:val="14"/>
                <w:color w:val="auto"/>
              </w:rPr>
            </w:pPr>
          </w:p>
        </w:tc>
        <w:tc>
          <w:tcPr>
            <w:tcW w:w="1220" w:type="dxa"/>
            <w:vAlign w:val="bottom"/>
            <w:gridSpan w:val="3"/>
          </w:tcPr>
          <w:p>
            <w:pPr>
              <w:jc w:val="center"/>
              <w:ind w:left="235"/>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398"/>
              <w:spacing w:after="0"/>
              <w:rPr>
                <w:sz w:val="20"/>
                <w:szCs w:val="20"/>
                <w:color w:val="auto"/>
              </w:rPr>
            </w:pPr>
            <w:r>
              <w:rPr>
                <w:rFonts w:ascii="Arial" w:cs="Arial" w:eastAsia="Arial" w:hAnsi="Arial"/>
                <w:sz w:val="14"/>
                <w:szCs w:val="14"/>
                <w:b w:val="1"/>
                <w:bCs w:val="1"/>
                <w:color w:val="auto"/>
                <w:w w:val="84"/>
              </w:rPr>
              <w:t>Increase</w:t>
            </w:r>
          </w:p>
        </w:tc>
        <w:tc>
          <w:tcPr>
            <w:tcW w:w="1020" w:type="dxa"/>
            <w:vAlign w:val="bottom"/>
            <w:gridSpan w:val="2"/>
          </w:tcPr>
          <w:p>
            <w:pPr>
              <w:jc w:val="center"/>
              <w:ind w:right="18"/>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3780" w:type="dxa"/>
            <w:vAlign w:val="bottom"/>
            <w:tcBorders>
              <w:top w:val="single" w:sz="8" w:color="D6F3E8"/>
            </w:tcBorders>
            <w:shd w:val="clear" w:color="auto" w:fill="D6F3E8"/>
          </w:tcPr>
          <w:p>
            <w:pPr>
              <w:spacing w:after="0" w:line="202" w:lineRule="exact"/>
              <w:rPr>
                <w:sz w:val="20"/>
                <w:szCs w:val="20"/>
                <w:color w:val="auto"/>
              </w:rPr>
            </w:pPr>
            <w:r>
              <w:rPr>
                <w:rFonts w:ascii="Arial" w:cs="Arial" w:eastAsia="Arial" w:hAnsi="Arial"/>
                <w:sz w:val="18"/>
                <w:szCs w:val="18"/>
                <w:color w:val="auto"/>
              </w:rPr>
              <w:t>Class A gas</w:t>
            </w:r>
          </w:p>
        </w:tc>
        <w:tc>
          <w:tcPr>
            <w:tcW w:w="200" w:type="dxa"/>
            <w:vAlign w:val="bottom"/>
            <w:tcBorders>
              <w:top w:val="single" w:sz="8" w:color="auto"/>
            </w:tcBorders>
            <w:shd w:val="clear" w:color="auto" w:fill="D6F3E8"/>
          </w:tcPr>
          <w:p>
            <w:pPr>
              <w:spacing w:after="0"/>
              <w:rPr>
                <w:sz w:val="18"/>
                <w:szCs w:val="18"/>
                <w:color w:val="auto"/>
              </w:rPr>
            </w:pPr>
          </w:p>
        </w:tc>
        <w:tc>
          <w:tcPr>
            <w:tcW w:w="8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1,844</w:t>
            </w:r>
          </w:p>
        </w:tc>
        <w:tc>
          <w:tcPr>
            <w:tcW w:w="360" w:type="dxa"/>
            <w:vAlign w:val="bottom"/>
            <w:tcBorders>
              <w:top w:val="single" w:sz="8" w:color="D6F3E8"/>
            </w:tcBorders>
            <w:shd w:val="clear" w:color="auto" w:fill="D6F3E8"/>
          </w:tcPr>
          <w:p>
            <w:pPr>
              <w:spacing w:after="0"/>
              <w:rPr>
                <w:sz w:val="18"/>
                <w:szCs w:val="18"/>
                <w:color w:val="auto"/>
              </w:rPr>
            </w:pPr>
          </w:p>
        </w:tc>
        <w:tc>
          <w:tcPr>
            <w:tcW w:w="9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33.7</w:t>
            </w:r>
          </w:p>
        </w:tc>
        <w:tc>
          <w:tcPr>
            <w:tcW w:w="360" w:type="dxa"/>
            <w:vAlign w:val="bottom"/>
            <w:tcBorders>
              <w:top w:val="single" w:sz="8" w:color="D6F3E8"/>
              <w:right w:val="single" w:sz="8" w:color="D6F3E8"/>
            </w:tcBorders>
            <w:shd w:val="clear" w:color="auto" w:fill="D6F3E8"/>
          </w:tcPr>
          <w:p>
            <w:pPr>
              <w:spacing w:after="0"/>
              <w:rPr>
                <w:sz w:val="18"/>
                <w:szCs w:val="18"/>
                <w:color w:val="auto"/>
              </w:rPr>
            </w:pPr>
          </w:p>
        </w:tc>
        <w:tc>
          <w:tcPr>
            <w:tcW w:w="120" w:type="dxa"/>
            <w:vAlign w:val="bottom"/>
            <w:tcBorders>
              <w:top w:val="single" w:sz="8" w:color="auto"/>
            </w:tcBorders>
            <w:shd w:val="clear" w:color="auto" w:fill="D6F3E8"/>
          </w:tcPr>
          <w:p>
            <w:pPr>
              <w:spacing w:after="0"/>
              <w:rPr>
                <w:sz w:val="18"/>
                <w:szCs w:val="18"/>
                <w:color w:val="auto"/>
              </w:rPr>
            </w:pPr>
          </w:p>
        </w:tc>
        <w:tc>
          <w:tcPr>
            <w:tcW w:w="8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2,562</w:t>
            </w:r>
          </w:p>
        </w:tc>
        <w:tc>
          <w:tcPr>
            <w:tcW w:w="20" w:type="dxa"/>
            <w:vAlign w:val="bottom"/>
            <w:tcBorders>
              <w:top w:val="single" w:sz="8" w:color="D6F3E8"/>
            </w:tcBorders>
            <w:shd w:val="clear" w:color="auto" w:fill="D6F3E8"/>
          </w:tcPr>
          <w:p>
            <w:pPr>
              <w:spacing w:after="0"/>
              <w:rPr>
                <w:sz w:val="18"/>
                <w:szCs w:val="18"/>
                <w:color w:val="auto"/>
              </w:rPr>
            </w:pPr>
          </w:p>
        </w:tc>
        <w:tc>
          <w:tcPr>
            <w:tcW w:w="320" w:type="dxa"/>
            <w:vAlign w:val="bottom"/>
            <w:tcBorders>
              <w:top w:val="single" w:sz="8" w:color="D6F3E8"/>
            </w:tcBorders>
            <w:shd w:val="clear" w:color="auto" w:fill="D6F3E8"/>
          </w:tcPr>
          <w:p>
            <w:pPr>
              <w:spacing w:after="0"/>
              <w:rPr>
                <w:sz w:val="18"/>
                <w:szCs w:val="18"/>
                <w:color w:val="auto"/>
              </w:rPr>
            </w:pPr>
          </w:p>
        </w:tc>
        <w:tc>
          <w:tcPr>
            <w:tcW w:w="90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37.2</w:t>
            </w:r>
          </w:p>
        </w:tc>
        <w:tc>
          <w:tcPr>
            <w:tcW w:w="20" w:type="dxa"/>
            <w:vAlign w:val="bottom"/>
            <w:tcBorders>
              <w:top w:val="single" w:sz="8" w:color="D6F3E8"/>
            </w:tcBorders>
            <w:shd w:val="clear" w:color="auto" w:fill="D6F3E8"/>
          </w:tcPr>
          <w:p>
            <w:pPr>
              <w:spacing w:after="0"/>
              <w:rPr>
                <w:sz w:val="18"/>
                <w:szCs w:val="18"/>
                <w:color w:val="auto"/>
              </w:rPr>
            </w:pPr>
          </w:p>
        </w:tc>
        <w:tc>
          <w:tcPr>
            <w:tcW w:w="340" w:type="dxa"/>
            <w:vAlign w:val="bottom"/>
            <w:tcBorders>
              <w:top w:val="single" w:sz="8" w:color="D6F3E8"/>
              <w:right w:val="single" w:sz="8" w:color="D6F3E8"/>
            </w:tcBorders>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spacing w:after="0"/>
              <w:rPr>
                <w:sz w:val="18"/>
                <w:szCs w:val="18"/>
                <w:color w:val="auto"/>
              </w:rPr>
            </w:pPr>
          </w:p>
        </w:tc>
        <w:tc>
          <w:tcPr>
            <w:tcW w:w="8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(718)</w:t>
            </w:r>
          </w:p>
        </w:tc>
        <w:tc>
          <w:tcPr>
            <w:tcW w:w="340" w:type="dxa"/>
            <w:vAlign w:val="bottom"/>
            <w:tcBorders>
              <w:top w:val="single" w:sz="8" w:color="D6F3E8"/>
            </w:tcBorders>
            <w:shd w:val="clear" w:color="auto" w:fill="D6F3E8"/>
          </w:tcPr>
          <w:p>
            <w:pPr>
              <w:spacing w:after="0"/>
              <w:rPr>
                <w:sz w:val="18"/>
                <w:szCs w:val="18"/>
                <w:color w:val="auto"/>
              </w:rPr>
            </w:pPr>
          </w:p>
        </w:tc>
        <w:tc>
          <w:tcPr>
            <w:tcW w:w="9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Class A diesel</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801</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1,168</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98"/>
              <w:spacing w:after="0"/>
              <w:rPr>
                <w:sz w:val="20"/>
                <w:szCs w:val="20"/>
                <w:color w:val="auto"/>
              </w:rPr>
            </w:pPr>
            <w:r>
              <w:rPr>
                <w:rFonts w:ascii="Arial" w:cs="Arial" w:eastAsia="Arial" w:hAnsi="Arial"/>
                <w:sz w:val="18"/>
                <w:szCs w:val="18"/>
                <w:color w:val="auto"/>
              </w:rPr>
              <w:t>(367)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0"/>
        </w:trPr>
        <w:tc>
          <w:tcPr>
            <w:tcW w:w="3780" w:type="dxa"/>
            <w:vAlign w:val="bottom"/>
            <w:tcBorders>
              <w:top w:val="single" w:sz="8" w:color="D6F3E8"/>
            </w:tcBorders>
            <w:shd w:val="clear" w:color="auto" w:fill="D6F3E8"/>
          </w:tcPr>
          <w:p>
            <w:pPr>
              <w:spacing w:after="0" w:line="202" w:lineRule="exact"/>
              <w:rPr>
                <w:sz w:val="20"/>
                <w:szCs w:val="20"/>
                <w:color w:val="auto"/>
              </w:rPr>
            </w:pPr>
            <w:r>
              <w:rPr>
                <w:rFonts w:ascii="Arial" w:cs="Arial" w:eastAsia="Arial" w:hAnsi="Arial"/>
                <w:sz w:val="18"/>
                <w:szCs w:val="18"/>
                <w:color w:val="auto"/>
              </w:rPr>
              <w:t>Total Class A</w:t>
            </w:r>
          </w:p>
        </w:tc>
        <w:tc>
          <w:tcPr>
            <w:tcW w:w="200" w:type="dxa"/>
            <w:vAlign w:val="bottom"/>
            <w:tcBorders>
              <w:top w:val="single" w:sz="8" w:color="auto"/>
            </w:tcBorders>
            <w:shd w:val="clear" w:color="auto" w:fill="D6F3E8"/>
          </w:tcPr>
          <w:p>
            <w:pPr>
              <w:spacing w:after="0"/>
              <w:rPr>
                <w:sz w:val="18"/>
                <w:szCs w:val="18"/>
                <w:color w:val="auto"/>
              </w:rPr>
            </w:pPr>
          </w:p>
        </w:tc>
        <w:tc>
          <w:tcPr>
            <w:tcW w:w="8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2,645</w:t>
            </w:r>
          </w:p>
        </w:tc>
        <w:tc>
          <w:tcPr>
            <w:tcW w:w="360" w:type="dxa"/>
            <w:vAlign w:val="bottom"/>
            <w:tcBorders>
              <w:top w:val="single" w:sz="8" w:color="D6F3E8"/>
            </w:tcBorders>
            <w:shd w:val="clear" w:color="auto" w:fill="D6F3E8"/>
          </w:tcPr>
          <w:p>
            <w:pPr>
              <w:spacing w:after="0"/>
              <w:rPr>
                <w:sz w:val="18"/>
                <w:szCs w:val="18"/>
                <w:color w:val="auto"/>
              </w:rPr>
            </w:pPr>
          </w:p>
        </w:tc>
        <w:tc>
          <w:tcPr>
            <w:tcW w:w="9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48.3</w:t>
            </w:r>
          </w:p>
        </w:tc>
        <w:tc>
          <w:tcPr>
            <w:tcW w:w="360" w:type="dxa"/>
            <w:vAlign w:val="bottom"/>
            <w:tcBorders>
              <w:top w:val="single" w:sz="8" w:color="D6F3E8"/>
              <w:right w:val="single" w:sz="8" w:color="D6F3E8"/>
            </w:tcBorders>
            <w:shd w:val="clear" w:color="auto" w:fill="D6F3E8"/>
          </w:tcPr>
          <w:p>
            <w:pPr>
              <w:spacing w:after="0"/>
              <w:rPr>
                <w:sz w:val="18"/>
                <w:szCs w:val="18"/>
                <w:color w:val="auto"/>
              </w:rPr>
            </w:pPr>
          </w:p>
        </w:tc>
        <w:tc>
          <w:tcPr>
            <w:tcW w:w="120" w:type="dxa"/>
            <w:vAlign w:val="bottom"/>
            <w:tcBorders>
              <w:top w:val="single" w:sz="8" w:color="auto"/>
            </w:tcBorders>
            <w:shd w:val="clear" w:color="auto" w:fill="D6F3E8"/>
          </w:tcPr>
          <w:p>
            <w:pPr>
              <w:spacing w:after="0"/>
              <w:rPr>
                <w:sz w:val="18"/>
                <w:szCs w:val="18"/>
                <w:color w:val="auto"/>
              </w:rPr>
            </w:pPr>
          </w:p>
        </w:tc>
        <w:tc>
          <w:tcPr>
            <w:tcW w:w="8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3,730</w:t>
            </w:r>
          </w:p>
        </w:tc>
        <w:tc>
          <w:tcPr>
            <w:tcW w:w="20" w:type="dxa"/>
            <w:vAlign w:val="bottom"/>
            <w:tcBorders>
              <w:top w:val="single" w:sz="8" w:color="D6F3E8"/>
            </w:tcBorders>
            <w:shd w:val="clear" w:color="auto" w:fill="D6F3E8"/>
          </w:tcPr>
          <w:p>
            <w:pPr>
              <w:spacing w:after="0"/>
              <w:rPr>
                <w:sz w:val="18"/>
                <w:szCs w:val="18"/>
                <w:color w:val="auto"/>
              </w:rPr>
            </w:pPr>
          </w:p>
        </w:tc>
        <w:tc>
          <w:tcPr>
            <w:tcW w:w="320" w:type="dxa"/>
            <w:vAlign w:val="bottom"/>
            <w:tcBorders>
              <w:top w:val="single" w:sz="8" w:color="D6F3E8"/>
            </w:tcBorders>
            <w:shd w:val="clear" w:color="auto" w:fill="D6F3E8"/>
          </w:tcPr>
          <w:p>
            <w:pPr>
              <w:spacing w:after="0"/>
              <w:rPr>
                <w:sz w:val="18"/>
                <w:szCs w:val="18"/>
                <w:color w:val="auto"/>
              </w:rPr>
            </w:pPr>
          </w:p>
        </w:tc>
        <w:tc>
          <w:tcPr>
            <w:tcW w:w="900" w:type="dxa"/>
            <w:vAlign w:val="bottom"/>
            <w:tcBorders>
              <w:top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54.2</w:t>
            </w:r>
          </w:p>
        </w:tc>
        <w:tc>
          <w:tcPr>
            <w:tcW w:w="20" w:type="dxa"/>
            <w:vAlign w:val="bottom"/>
            <w:tcBorders>
              <w:top w:val="single" w:sz="8" w:color="D6F3E8"/>
            </w:tcBorders>
            <w:shd w:val="clear" w:color="auto" w:fill="D6F3E8"/>
          </w:tcPr>
          <w:p>
            <w:pPr>
              <w:spacing w:after="0"/>
              <w:rPr>
                <w:sz w:val="18"/>
                <w:szCs w:val="18"/>
                <w:color w:val="auto"/>
              </w:rPr>
            </w:pPr>
          </w:p>
        </w:tc>
        <w:tc>
          <w:tcPr>
            <w:tcW w:w="340" w:type="dxa"/>
            <w:vAlign w:val="bottom"/>
            <w:tcBorders>
              <w:top w:val="single" w:sz="8" w:color="D6F3E8"/>
              <w:right w:val="single" w:sz="8" w:color="D6F3E8"/>
            </w:tcBorders>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spacing w:after="0"/>
              <w:rPr>
                <w:sz w:val="18"/>
                <w:szCs w:val="18"/>
                <w:color w:val="auto"/>
              </w:rPr>
            </w:pPr>
          </w:p>
        </w:tc>
        <w:tc>
          <w:tcPr>
            <w:tcW w:w="8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(1,085)</w:t>
            </w:r>
          </w:p>
        </w:tc>
        <w:tc>
          <w:tcPr>
            <w:tcW w:w="340" w:type="dxa"/>
            <w:vAlign w:val="bottom"/>
            <w:tcBorders>
              <w:top w:val="single" w:sz="8" w:color="D6F3E8"/>
            </w:tcBorders>
            <w:shd w:val="clear" w:color="auto" w:fill="D6F3E8"/>
          </w:tcPr>
          <w:p>
            <w:pPr>
              <w:spacing w:after="0"/>
              <w:rPr>
                <w:sz w:val="18"/>
                <w:szCs w:val="18"/>
                <w:color w:val="auto"/>
              </w:rPr>
            </w:pPr>
          </w:p>
        </w:tc>
        <w:tc>
          <w:tcPr>
            <w:tcW w:w="9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Class C</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2,786</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3,151</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45.8</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98"/>
              <w:spacing w:after="0"/>
              <w:rPr>
                <w:sz w:val="20"/>
                <w:szCs w:val="20"/>
                <w:color w:val="auto"/>
              </w:rPr>
            </w:pPr>
            <w:r>
              <w:rPr>
                <w:rFonts w:ascii="Arial" w:cs="Arial" w:eastAsia="Arial" w:hAnsi="Arial"/>
                <w:sz w:val="18"/>
                <w:szCs w:val="18"/>
                <w:color w:val="auto"/>
              </w:rPr>
              <w:t>(365)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3780" w:type="dxa"/>
            <w:vAlign w:val="bottom"/>
            <w:shd w:val="clear" w:color="auto" w:fill="D6F3E8"/>
          </w:tcPr>
          <w:p>
            <w:pPr>
              <w:spacing w:after="0"/>
              <w:rPr>
                <w:sz w:val="20"/>
                <w:szCs w:val="20"/>
                <w:color w:val="auto"/>
              </w:rPr>
            </w:pPr>
            <w:r>
              <w:rPr>
                <w:rFonts w:ascii="Arial" w:cs="Arial" w:eastAsia="Arial" w:hAnsi="Arial"/>
                <w:sz w:val="18"/>
                <w:szCs w:val="18"/>
                <w:color w:val="auto"/>
              </w:rPr>
              <w:t>Class B</w:t>
            </w:r>
          </w:p>
        </w:tc>
        <w:tc>
          <w:tcPr>
            <w:tcW w:w="20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48</w:t>
            </w:r>
          </w:p>
        </w:tc>
        <w:tc>
          <w:tcPr>
            <w:tcW w:w="36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0.9</w:t>
            </w:r>
          </w:p>
        </w:tc>
        <w:tc>
          <w:tcPr>
            <w:tcW w:w="360" w:type="dxa"/>
            <w:vAlign w:val="bottom"/>
            <w:tcBorders>
              <w:right w:val="single" w:sz="8" w:color="D6F3E8"/>
            </w:tcBorders>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90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240" w:type="dxa"/>
            <w:vAlign w:val="bottom"/>
            <w:tcBorders>
              <w:right w:val="single" w:sz="8" w:color="D6F3E8"/>
            </w:tcBorders>
            <w:gridSpan w:val="3"/>
            <w:shd w:val="clear" w:color="auto" w:fill="D6F3E8"/>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D6F3E8"/>
          </w:tcPr>
          <w:p>
            <w:pPr>
              <w:spacing w:after="0"/>
              <w:rPr>
                <w:sz w:val="18"/>
                <w:szCs w:val="18"/>
                <w:color w:val="auto"/>
              </w:rPr>
            </w:pP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48</w:t>
            </w:r>
          </w:p>
        </w:tc>
        <w:tc>
          <w:tcPr>
            <w:tcW w:w="340" w:type="dxa"/>
            <w:vAlign w:val="bottom"/>
            <w:shd w:val="clear" w:color="auto" w:fill="D6F3E8"/>
          </w:tcPr>
          <w:p>
            <w:pPr>
              <w:spacing w:after="0"/>
              <w:rPr>
                <w:sz w:val="18"/>
                <w:szCs w:val="18"/>
                <w:color w:val="auto"/>
              </w:rPr>
            </w:pPr>
          </w:p>
        </w:tc>
        <w:tc>
          <w:tcPr>
            <w:tcW w:w="1020" w:type="dxa"/>
            <w:vAlign w:val="bottom"/>
            <w:gridSpan w:val="2"/>
            <w:shd w:val="clear" w:color="auto" w:fill="D6F3E8"/>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160"/>
              <w:spacing w:after="0"/>
              <w:rPr>
                <w:sz w:val="20"/>
                <w:szCs w:val="20"/>
                <w:color w:val="auto"/>
              </w:rPr>
            </w:pPr>
            <w:r>
              <w:rPr>
                <w:rFonts w:ascii="Arial" w:cs="Arial" w:eastAsia="Arial" w:hAnsi="Arial"/>
                <w:sz w:val="18"/>
                <w:szCs w:val="18"/>
                <w:color w:val="auto"/>
              </w:rPr>
              <w:t>Total deliveries</w:t>
            </w: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5,479</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6,881</w:t>
            </w:r>
          </w:p>
        </w:tc>
        <w:tc>
          <w:tcPr>
            <w:tcW w:w="2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(1,402)</w:t>
            </w:r>
          </w:p>
        </w:tc>
        <w:tc>
          <w:tcPr>
            <w:tcW w:w="340" w:type="dxa"/>
            <w:vAlign w:val="bottom"/>
            <w:vMerge w:val="continue"/>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-2169160</wp:posOffset>
            </wp:positionV>
            <wp:extent cx="2228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3066415</wp:posOffset>
            </wp:positionH>
            <wp:positionV relativeFrom="paragraph">
              <wp:posOffset>-2169160</wp:posOffset>
            </wp:positionV>
            <wp:extent cx="2228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88"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Net revenues for the forty weeks ended May 31, 2008 decreased $113.4 million, or 17.9 percent, primarily as a result of a 20.4 percent decrease in unit deliveries, partially offset by a 1.7% increase in the average selling price of our motor homes.</w:t>
      </w:r>
    </w:p>
    <w:p>
      <w:pPr>
        <w:sectPr>
          <w:pgSz w:w="11900" w:h="16852" w:orient="portrait"/>
          <w:cols w:equalWidth="0" w:num="1">
            <w:col w:w="11420"/>
          </w:cols>
          <w:pgMar w:left="240" w:top="131" w:right="239" w:bottom="0" w:gutter="0" w:footer="0" w:header="0"/>
        </w:sectPr>
      </w:pPr>
    </w:p>
    <w:bookmarkStart w:id="11" w:name="page12"/>
    <w:bookmarkEnd w:id="11"/>
    <w:p>
      <w:pPr>
        <w:ind w:right="100"/>
        <w:spacing w:after="0" w:line="259" w:lineRule="auto"/>
        <w:rPr>
          <w:sz w:val="20"/>
          <w:szCs w:val="20"/>
          <w:color w:val="auto"/>
        </w:rPr>
      </w:pPr>
      <w:r>
        <w:rPr>
          <w:rFonts w:ascii="Arial" w:cs="Arial" w:eastAsia="Arial" w:hAnsi="Arial"/>
          <w:sz w:val="18"/>
          <w:szCs w:val="18"/>
          <w:color w:val="auto"/>
        </w:rPr>
        <w:t>Gross profit margin decreased $26.2 million, from 10.5 percent for the thirty-nine weeks ended May 26, 2007 to 7.8 percent for the forty weeks ended May 31, 2008. The deterioration of margin was primarily due to a significant reduction in production resulting in lower absorption of fixed costs. Also contributing to the reduced margins were additional wholesale and retail promotional programs.</w:t>
      </w:r>
    </w:p>
    <w:p>
      <w:pPr>
        <w:spacing w:after="0" w:line="19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Selling expenses increased $395,000, or 2.7 percent, for the forty weeks ended May 31, 2008. As a percent of net revenues, selling expenses were 2.9 percent and 2.3 percent for the forty weeks ended May 31, 2008 and the thirty-nine weeks ended May 26, 2007, respectively. The increase in dollars was due primarily to an increase in advertising expenses of $420,000, partially offset by a reduction in salesmen incentives of $290,000. The increase in percentage of net revenues was caused by the significant difference in revenue levels for the two periods.</w:t>
      </w:r>
    </w:p>
    <w:p>
      <w:pPr>
        <w:spacing w:after="0" w:line="19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General and administrative expenses decreased $1.5 million, or 8.6 percent, for the forty weeks ended May 31, 2008, primarily as a result of reduced product liability expense of $1.3 million and reduced bonus expense of $1.1 million, partially offset by severance costs of $500,000 and an increase in legal expenses of $200,000. As a percent of net revenues, general and administrative expenses were 3.1 percent and 2.8 percent for the forty weeks ended May 31, 2008 and the thirty-nine weeks ended May 26, 2007, respectively. The increase in percentage of net revenues was caused by the significant difference in revenue levels for the two periods.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Financial income decreased $1.4 million, or 28.9 percent, for the forty weeks ended May 31, 2008. The decrease in financial income was due to a lower average investment balance.</w:t>
      </w:r>
    </w:p>
    <w:p>
      <w:pPr>
        <w:spacing w:after="0" w:line="18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overall effective income tax rate for the forty weeks ended May 31, 2008 was a benefit of 22.2 percent compared to a tax provision of 31.7 percent for the thirty-nine weeks ended May 26, 2007.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breaks down the two aforementioned tax rates:</w:t>
      </w:r>
    </w:p>
    <w:p>
      <w:pPr>
        <w:sectPr>
          <w:pgSz w:w="11900" w:h="16838" w:orient="portrait"/>
          <w:cols w:equalWidth="0" w:num="1">
            <w:col w:w="11400"/>
          </w:cols>
          <w:pgMar w:left="240" w:top="347" w:right="259" w:bottom="0" w:gutter="0" w:footer="0" w:header="0"/>
        </w:sect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(Dollars in thousands)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Tax (benefit) provision before discrete items (1)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Discrete items:</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Settlements of uncertain tax positions (2)</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Tax planning initiatives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(benefit) provision for taxes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36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Forty</w:t>
            </w:r>
          </w:p>
        </w:tc>
        <w:tc>
          <w:tcPr>
            <w:tcW w:w="1720" w:type="dxa"/>
            <w:vAlign w:val="bottom"/>
            <w:gridSpan w:val="3"/>
            <w:vMerge w:val="restart"/>
          </w:tcPr>
          <w:p>
            <w:pPr>
              <w:jc w:val="right"/>
              <w:ind w:right="103"/>
              <w:spacing w:after="0"/>
              <w:rPr>
                <w:sz w:val="20"/>
                <w:szCs w:val="20"/>
                <w:color w:val="auto"/>
              </w:rPr>
            </w:pPr>
            <w:r>
              <w:rPr>
                <w:rFonts w:ascii="Arial" w:cs="Arial" w:eastAsia="Arial" w:hAnsi="Arial"/>
                <w:sz w:val="14"/>
                <w:szCs w:val="14"/>
                <w:b w:val="1"/>
                <w:bCs w:val="1"/>
                <w:color w:val="auto"/>
              </w:rPr>
              <w:t>Weeks Ended</w:t>
            </w:r>
          </w:p>
        </w:tc>
        <w:tc>
          <w:tcPr>
            <w:tcW w:w="1440" w:type="dxa"/>
            <w:vAlign w:val="bottom"/>
            <w:gridSpan w:val="3"/>
          </w:tcPr>
          <w:p>
            <w:pPr>
              <w:jc w:val="center"/>
              <w:ind w:left="79"/>
              <w:spacing w:after="0"/>
              <w:rPr>
                <w:sz w:val="20"/>
                <w:szCs w:val="20"/>
                <w:color w:val="auto"/>
              </w:rPr>
            </w:pPr>
            <w:r>
              <w:rPr>
                <w:rFonts w:ascii="Arial" w:cs="Arial" w:eastAsia="Arial" w:hAnsi="Arial"/>
                <w:sz w:val="14"/>
                <w:szCs w:val="14"/>
                <w:b w:val="1"/>
                <w:bCs w:val="1"/>
                <w:color w:val="auto"/>
                <w:w w:val="91"/>
              </w:rPr>
              <w:t>Thirty-Nine</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3"/>
            <w:vMerge w:val="continue"/>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2380" w:type="dxa"/>
            <w:vAlign w:val="bottom"/>
            <w:gridSpan w:val="4"/>
          </w:tcPr>
          <w:p>
            <w:pPr>
              <w:jc w:val="right"/>
              <w:ind w:right="1160"/>
              <w:spacing w:after="0" w:line="142" w:lineRule="exact"/>
              <w:rPr>
                <w:sz w:val="20"/>
                <w:szCs w:val="20"/>
                <w:color w:val="auto"/>
              </w:rPr>
            </w:pPr>
            <w:r>
              <w:rPr>
                <w:rFonts w:ascii="Arial" w:cs="Arial" w:eastAsia="Arial" w:hAnsi="Arial"/>
                <w:sz w:val="14"/>
                <w:szCs w:val="14"/>
                <w:b w:val="1"/>
                <w:bCs w:val="1"/>
                <w:color w:val="auto"/>
              </w:rPr>
              <w:t>May 31, 2008</w:t>
            </w:r>
          </w:p>
        </w:tc>
        <w:tc>
          <w:tcPr>
            <w:tcW w:w="400" w:type="dxa"/>
            <w:vAlign w:val="bottom"/>
          </w:tcPr>
          <w:p>
            <w:pPr>
              <w:spacing w:after="0"/>
              <w:rPr>
                <w:sz w:val="12"/>
                <w:szCs w:val="12"/>
                <w:color w:val="auto"/>
              </w:rPr>
            </w:pPr>
          </w:p>
        </w:tc>
        <w:tc>
          <w:tcPr>
            <w:tcW w:w="1440" w:type="dxa"/>
            <w:vAlign w:val="bottom"/>
            <w:gridSpan w:val="3"/>
          </w:tcPr>
          <w:p>
            <w:pPr>
              <w:jc w:val="center"/>
              <w:ind w:left="79"/>
              <w:spacing w:after="0" w:line="142" w:lineRule="exact"/>
              <w:rPr>
                <w:sz w:val="20"/>
                <w:szCs w:val="20"/>
                <w:color w:val="auto"/>
              </w:rPr>
            </w:pPr>
            <w:r>
              <w:rPr>
                <w:rFonts w:ascii="Arial" w:cs="Arial" w:eastAsia="Arial" w:hAnsi="Arial"/>
                <w:sz w:val="14"/>
                <w:szCs w:val="14"/>
                <w:b w:val="1"/>
                <w:bCs w:val="1"/>
                <w:color w:val="auto"/>
                <w:w w:val="88"/>
              </w:rPr>
              <w:t>May 26, 2007</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Effective Rate</w:t>
            </w:r>
          </w:p>
        </w:tc>
        <w:tc>
          <w:tcPr>
            <w:tcW w:w="360" w:type="dxa"/>
            <w:vAlign w:val="bottom"/>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Effective Rate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2,951</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23.3%</w:t>
            </w:r>
          </w:p>
        </w:tc>
        <w:tc>
          <w:tcPr>
            <w:tcW w:w="360" w:type="dxa"/>
            <w:vAlign w:val="bottom"/>
          </w:tcPr>
          <w:p>
            <w:pPr>
              <w:spacing w:after="0"/>
              <w:rPr>
                <w:sz w:val="18"/>
                <w:szCs w:val="18"/>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12,402</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417"/>
        </w:trPr>
        <w:tc>
          <w:tcPr>
            <w:tcW w:w="36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(5,117)</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(40.4%)</w:t>
            </w:r>
          </w:p>
        </w:tc>
        <w:tc>
          <w:tcPr>
            <w:tcW w:w="400" w:type="dxa"/>
            <w:vAlign w:val="bottom"/>
          </w:tcPr>
          <w:p>
            <w:pPr>
              <w:spacing w:after="0"/>
              <w:rPr>
                <w:sz w:val="24"/>
                <w:szCs w:val="24"/>
                <w:color w:val="auto"/>
              </w:rPr>
            </w:pPr>
          </w:p>
        </w:tc>
        <w:tc>
          <w:tcPr>
            <w:tcW w:w="1440" w:type="dxa"/>
            <w:vAlign w:val="bottom"/>
            <w:gridSpan w:val="3"/>
          </w:tcPr>
          <w:p>
            <w:pPr>
              <w:jc w:val="right"/>
              <w:ind w:right="71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(649)</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(5.1%)</w:t>
            </w:r>
          </w:p>
        </w:tc>
        <w:tc>
          <w:tcPr>
            <w:tcW w:w="400" w:type="dxa"/>
            <w:vAlign w:val="bottom"/>
          </w:tcPr>
          <w:p>
            <w:pPr>
              <w:spacing w:after="0"/>
              <w:rPr>
                <w:sz w:val="19"/>
                <w:szCs w:val="19"/>
                <w:color w:val="auto"/>
              </w:rPr>
            </w:pPr>
          </w:p>
        </w:tc>
        <w:tc>
          <w:tcPr>
            <w:tcW w:w="1440" w:type="dxa"/>
            <w:vAlign w:val="bottom"/>
            <w:gridSpan w:val="3"/>
          </w:tcPr>
          <w:p>
            <w:pPr>
              <w:jc w:val="right"/>
              <w:ind w:right="71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shd w:val="clear" w:color="auto" w:fill="D6F3E8"/>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(2,815)</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(22.2%)</w:t>
            </w:r>
          </w:p>
        </w:tc>
        <w:tc>
          <w:tcPr>
            <w:tcW w:w="360" w:type="dxa"/>
            <w:vAlign w:val="bottom"/>
          </w:tcPr>
          <w:p>
            <w:pPr>
              <w:spacing w:after="0"/>
              <w:rPr>
                <w:sz w:val="18"/>
                <w:szCs w:val="18"/>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12,402</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
        </w:trPr>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-728345</wp:posOffset>
            </wp:positionV>
            <wp:extent cx="72466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-3880485</wp:posOffset>
            </wp:positionH>
            <wp:positionV relativeFrom="paragraph">
              <wp:posOffset>-307975</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720"/>
            <w:col w:w="5280"/>
          </w:cols>
          <w:pgMar w:left="240" w:top="347" w:right="259" w:bottom="0" w:gutter="0" w:footer="0" w:header="0"/>
          <w:type w:val="continuous"/>
        </w:sectPr>
      </w:pPr>
    </w:p>
    <w:p>
      <w:pPr>
        <w:spacing w:after="0" w:line="8" w:lineRule="exact"/>
        <w:rPr>
          <w:sz w:val="20"/>
          <w:szCs w:val="20"/>
          <w:color w:val="auto"/>
        </w:rPr>
      </w:pPr>
    </w:p>
    <w:p>
      <w:pPr>
        <w:ind w:left="380" w:right="120" w:hanging="372"/>
        <w:spacing w:after="0" w:line="254"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lower effective tax rate before discrete items of 23.3% as compared to 31.7% is primarily attributable to the increased tax-exempt income as an overall percent of our pretax income.</w:t>
      </w: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Approximately a benefit of $5.1 million was recorded based on the favorable settlements of uncertain tax positions with various taxing jurisdictions.</w:t>
      </w:r>
    </w:p>
    <w:p>
      <w:pPr>
        <w:spacing w:after="0" w:line="32"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benefits of $700,000 were recorded due to tax planning initiatives.</w:t>
      </w:r>
    </w:p>
    <w:p>
      <w:pPr>
        <w:spacing w:after="0" w:line="219"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Net income decreased by 42.1 percent and income per diluted share decreased by 36.9 percent when comparing the forty weeks ended May 31, 2008 to the thirty-nine weeks ended May 26, 2007. The smaller percentage decrease in income per diluted share was due primarily to a lower number of shares of common stock outstanding during the forty weeks ended May 31, 2008, as a result of shares of common stock repurchased during Fiscal 2007.</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Financial Condition, Liquidity and Resources</w:t>
      </w:r>
    </w:p>
    <w:p>
      <w:pPr>
        <w:spacing w:after="0" w:line="16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prior fiscal years, we have generated substantial cash from operations, which has enabled us to meet our working capital needs and make appropriate investments in manufacturing equipment and facilities, as well as pay increased cash dividends and repurchase stock. As described below, fiscal year-to-date cash provided by operating activities was significantly lower than last year. Cash and cash equivalents totaled $46.2 million and $6.9 million as of May 31, 2008 and August 25, 2007, respectively, while investments were $40.1 million as of May 31, 2008 and $102.7 million as of August 25, 2007. These investments were comprised of ARSs. For additional information on our investments, please refer to Note 4.</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Until February 2008, the ARS market was highly liquid. Starting the week of February 11, 2008, a substantial number of auctions “failed,” meaning that there was not enough demand to sell all of the securities that holders desired to sell at auction. During our fiscal third quarter ended May 31, 2008, we successfully sold $11.6 million of our $54.2 million (par value) portfolio. The securities for which auctions have failed will continue to accrue interest at the contractual rate and be auctioned generally every 35 days until the auction succeeds, the issuer calls the securities or they mature. We continue to believe that we will ultimately recover all amounts invested in these ARSs. Management does not believe that the current illiquidity of these securities will have a material impact on our ability to execute the current business plan.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64"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Cash provided by operating activities was $10.5 million and $25.1 million for the forty weeks ended May 31, 2008 and thirty-nine weeks ended May 26, 2007, respectively. Significant reductions in accounts receivables and net income were partially offset by a decrease in accounts payable and an increase in raw material chassis inventories, which increase was offset partially by a decrease in finished goods inventories during the forty weeks ended May 31, 2008. During the thirty-nine weeks ended May 26, 2007, net income and an increase in accounts payable were partially offset by increases in inventories and accounts receivable.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6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Cash provided by investing activities was due to proceeds from the sale or maturity of investments for the forty weeks ended May 31, 2008, whereas during the thirty-nine weeks ended May 26, 2007, we used cash to purchase investments.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47" w:right="259" w:bottom="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used cash for financing activities by repurchasing our common stock and paying dividends during the forty weeks ended May 31, 2008. During the thirty-nine weeks ended May 26, 2007, we used cash for repurchasing our common stock and paying dividends, offset partially by cash received from the exercise of stock options. (See Unaudited Consolidated Statements of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Repurchases</w:t>
      </w:r>
    </w:p>
    <w:p>
      <w:pPr>
        <w:spacing w:after="0" w:line="23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As of May 31, 2008, we have $59.8 million remaining under the December 19, 2007 Board of Directors authorization to repurchase up to $60 million of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Anticipated Use of Funds</w:t>
      </w:r>
    </w:p>
    <w:p>
      <w:pPr>
        <w:spacing w:after="0" w:line="164"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At May 31, 2008, estimated uses of our liquid assets for the remainder of Fiscal 2008 include $3.5 million for payments of cash dividends (assuming dividends continue to be paid at the current rate and the number of outstanding shares does not change significantly from the number outstanding at May 31, 2008). We expect spending for capital expenditures will be approximately $750,000 for the remainder of Fiscal 2008.</w:t>
      </w:r>
    </w:p>
    <w:p>
      <w:pPr>
        <w:spacing w:after="0" w:line="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March 26, 2008, the Board of Directors declared a quarterly cash dividend of $0.12 per common share, payable July 8, 2008 to shareholders of record on June 6, 2008. On June 26, 2008, the Board of Directors declared a quarterly cash dividend of $0.12 per common share payable October 6, 2008 to shareholders of record on September 5, 2008.</w:t>
      </w:r>
    </w:p>
    <w:p>
      <w:pPr>
        <w:spacing w:after="0" w:line="12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total long-term liability for uncertain tax positions at May 31, 2008 was approximately $8.8 million (refer to Note 7). We do not have reason to believe there will be a significant change in the total amount of unrecognized tax benefits as of May 31, 2008 within the next twelve months. As stated in Note 7, we settled $11.6 million of uncertain tax positions during the third quarter. We estimate we will make additional tax payments of $6.3 million associated with these settlements in our fourth quarter.</w:t>
      </w:r>
    </w:p>
    <w:p>
      <w:pPr>
        <w:spacing w:after="0" w:line="130"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Other than recorded liabilities for uncertain tax positions as noted above, there have been no material changes with respect to the contractual obligations as described in our 2007 Annual Report on Form 10-K.</w:t>
      </w:r>
    </w:p>
    <w:p>
      <w:pPr>
        <w:spacing w:after="0" w:line="9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Quantitative and Qualitative Disclosures About Market Risk.</w:t>
      </w:r>
    </w:p>
    <w:p>
      <w:pPr>
        <w:spacing w:after="0" w:line="15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investments are comprised of ARSs. These securities have historically traded at par and are callable at par at the option of the issuer. Interest is typically paid at the end of each auction period or semiannually. At May 31, 2008, the majority of the ARSs we held were AAA/Aaa rated with most collateralized by student loans guaranteed by the U.S. government under the Federal Family Education Loan Program. In the case of a failed auction, with respect to the ARSs held by the Company, the ARS is deemed not currently liquid. In the case of funds invested by the Company in ARSs which are the subject of a failed auction, we may not be able to access the funds without a loss of principal, unless a future auction on these investments is successful or the issuer calls the security pursuant to a mandatory tender or redemption prior to maturity. Until February 2008, the auction rate securities market was highly liquid. Starting the week of February 11, 2008, a substantial number of auctions “failed,” meaning that there was not enough demand to sell all of the securities that holders desired to sell at auction. The immediate effect of a failed auction is that such holders cannot sell the securities at auction and the interest rate on the security generally resets to a maximum auction rate. In the case of a failed auction, with respect to ARSs we held, the ARS is deemed not currently liquid. In the case of funds invested in ARSs which are the subject of a failed auction, we may not be able to access the funds without a loss of principal, unless a future auction on these investments is successful or the issuer calls the security pursuant to a mandatory tender or redemption prior to maturity.</w:t>
      </w:r>
    </w:p>
    <w:p>
      <w:pPr>
        <w:spacing w:after="0" w:line="11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auction feature for each instrument is an opportunity to accept the reset rate or liquidate the instrument at its face value. In the past, the auction process has allowed investors to roll over their holdings or obtain immediate liquidity by selling the securities at par. We do not intend to hold these securities to maturity, but rather to use the auction feature to provide liquidity as the auction process permits. We continue to believe that we will ultimately recover all amounts invested in these ARSs. We have no reason to believe that any of the underlying issuers of our auction rate securities are presently at risk of default. However, the above recent developments have resulted in the classification of all of these securities as long-term investments in our consolidated financial statements and a temporary impairment of $2.5 million or 5.8 percent of our initial investment. If we are unable to successfully sell the ARS we hold at auction and the issuers’ credit ratings deteriorate, we may, in the future, be required to record additional impairment charges on these investments. We believe we will ultimately be able to liquidate our investment without significant loss primarily due to the collateral securing most of the ARSs. However, it could take until final maturity of the ARS (up to 33 years) to realize our investments’ par value.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Controls and Procedures.</w:t>
      </w:r>
    </w:p>
    <w:p>
      <w:pPr>
        <w:spacing w:after="0" w:line="158"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As of the end of the period covered by this report, we, with the participation of our Chief Executive Officer and Chief Financial Officer, conducted an evaluation of the effectiveness of the design and operation of our disclosure controls and procedures, as required by Securities Exchange Act of 1934, as amended (the “Exchange Act”) Rule 13a-15(f). Based on this evaluation, the Chief Executive Officer and Chief Financial Officer have concluded that our disclosure controls and procedures were effective to ensure that information required to be disclosed by us in the reports that we file or submit under the Exchange Act is recorded, processed, summarized and reported within the time periods specified by the Securities and Exchange Commission’s (SEC) rules and forms.</w:t>
      </w:r>
    </w:p>
    <w:p>
      <w:pPr>
        <w:spacing w:after="0" w:line="10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including the Chief Executive Officer and the Chief Financial Officer, do not expect that our disclosure controls and procedures will prevent all errors or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ectPr>
          <w:pgSz w:w="11900" w:h="16838" w:orient="portrait"/>
          <w:cols w:equalWidth="0" w:num="1">
            <w:col w:w="11420"/>
          </w:cols>
          <w:pgMar w:left="240" w:top="131" w:right="239" w:bottom="0" w:gutter="0" w:footer="0" w:header="0"/>
        </w:sectPr>
      </w:pPr>
    </w:p>
    <w:bookmarkStart w:id="13" w:name="page14"/>
    <w:bookmarkEnd w:id="13"/>
    <w:p>
      <w:pPr>
        <w:spacing w:after="0" w:line="12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are responsible for establishing and maintaining adequate internal control over financial reporting as defined in Exchange Act Rule 13a-15(f). We conducted an evaluation of the effectiveness of our internal control over financial reporting based on the framework and criteria established in Internal Control - Integrated Framework, issued by the Committee of Sponsoring Organizations of the Treadway Commission. Based on this evaluation, our management concluded that our internal control over financial reporting was effective as of May 31, 2008. During our assessment, we did not identify any material weaknesses in our internal control over financial reporting.</w:t>
      </w:r>
    </w:p>
    <w:p>
      <w:pPr>
        <w:spacing w:after="0" w:line="129"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There have been no significant changes in our internal controls or in other factors which could significantly affect internal controls over financial reporting subsequent to the date we carried out its evaluation.</w:t>
      </w:r>
    </w:p>
    <w:p>
      <w:pPr>
        <w:spacing w:after="0" w:line="118"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In connection with the evaluation of internal control over financial reporting described above, no changes in our internal control over financing reporting were identified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Winnebago Industries,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Forest City, Iowa</w:t>
      </w:r>
    </w:p>
    <w:p>
      <w:pPr>
        <w:spacing w:after="0" w:line="21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have reviewed the accompanying condensed consolidated balance sheet of Winnebago Industries, Inc. and subsidiaries (the “Company”) as of May 31, 2008, and the related condensed consolidated statements of income for the thirteen and forty week periods ended May 31, 2008, and the thirteen and thirty-nine weeks ended May 26, 2007, and of cash flows for the forty week period ended May 31, 2008, and the thirty-nine week period ended May 26, 2007. These interim financial statements are the responsibility of the Company’s management.</w:t>
      </w:r>
    </w:p>
    <w:p>
      <w:pPr>
        <w:spacing w:after="0" w:line="197"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6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such condensed consolidated interim financial statements for them to be in conformity with accounting principles generally accepted in the United States of America.</w:t>
      </w:r>
    </w:p>
    <w:p>
      <w:pPr>
        <w:spacing w:after="0" w:line="18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As discussed in Note 7 to the condensed consolidated interim financial statements, the Company changed its method of accounting for unrecognized tax benefits to conform to Statement of Financial Accounting Standards Interpretation No. 48 effective August 26, 2007.</w:t>
      </w:r>
    </w:p>
    <w:p>
      <w:pPr>
        <w:spacing w:after="0" w:line="18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have previously audited, in accordance with the standards of the Public Company Accounting Oversight Board (United States), the consolidated balance sheet of the Company as of August 25, 2007, and the related consolidated statements of income, stockholders’ equity, and cash flows for the year then ended (not presented herein); and in our report dated October 22, 2007, we expressed an unqualified opinion on those consolidated financial statements.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 2008</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PART II</w:t>
      </w:r>
      <w:r>
        <w:rPr>
          <w:sz w:val="20"/>
          <w:szCs w:val="20"/>
          <w:color w:val="auto"/>
        </w:rPr>
        <w:tab/>
      </w:r>
      <w:r>
        <w:rPr>
          <w:rFonts w:ascii="Arial" w:cs="Arial" w:eastAsia="Arial" w:hAnsi="Arial"/>
          <w:sz w:val="22"/>
          <w:szCs w:val="22"/>
          <w:b w:val="1"/>
          <w:bCs w:val="1"/>
          <w:color w:val="auto"/>
        </w:rPr>
        <w:t>OTHER INFORMATION</w:t>
      </w:r>
    </w:p>
    <w:p>
      <w:pPr>
        <w:spacing w:after="0" w:line="13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58"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are involved in various legal proceedings which are ordinary routine litigation incident to our business, some of which are covered in whole or in part by insurance. While it is impossible to estimate with certainty the ultimate legal and financial liability with respect to this litigation, we are of the opinion that while the final resolution of any such litigation may have an impact on our consolidated results for a particular reporting period, the ultimate disposition of such litigation will not have any material adverse effect on our financial position, results of operations or liquidity.</w:t>
      </w:r>
    </w:p>
    <w:p>
      <w:pPr>
        <w:spacing w:after="0" w:line="80"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15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Other than with respect to the risk factor below, there have been no material changes from the risk factors previously disclosed on Part I, Item 1A, of our Annual Report on Form 10-K for the fiscal year ended August 25, 2007.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Auction Rate Securities</w:t>
      </w:r>
    </w:p>
    <w:p>
      <w:pPr>
        <w:spacing w:after="0" w:line="21" w:lineRule="exact"/>
        <w:rPr>
          <w:sz w:val="20"/>
          <w:szCs w:val="20"/>
          <w:color w:val="auto"/>
        </w:rPr>
      </w:pPr>
    </w:p>
    <w:p>
      <w:pPr>
        <w:ind w:right="340"/>
        <w:spacing w:after="0" w:line="323" w:lineRule="auto"/>
        <w:rPr>
          <w:sz w:val="20"/>
          <w:szCs w:val="20"/>
          <w:color w:val="auto"/>
        </w:rPr>
      </w:pPr>
      <w:r>
        <w:rPr>
          <w:rFonts w:ascii="Arial" w:cs="Arial" w:eastAsia="Arial" w:hAnsi="Arial"/>
          <w:sz w:val="16"/>
          <w:szCs w:val="16"/>
          <w:color w:val="auto"/>
        </w:rPr>
        <w:t>Our investments are comprised of ARSs. The securities have historically traded at par and are callable at par on any interest payment date at the option of the issuer. Interest is typically paid at the end of each auction period or semiannually. At the end of the fiscal quarter, the majority of the ARSs we held were</w:t>
      </w:r>
    </w:p>
    <w:p>
      <w:pPr>
        <w:sectPr>
          <w:pgSz w:w="11900" w:h="16958" w:orient="portrait"/>
          <w:cols w:equalWidth="0" w:num="1">
            <w:col w:w="11400"/>
          </w:cols>
          <w:pgMar w:left="240" w:top="131" w:right="259" w:bottom="0" w:gutter="0" w:footer="0" w:header="0"/>
        </w:sectPr>
      </w:pPr>
    </w:p>
    <w:bookmarkStart w:id="14" w:name="page15"/>
    <w:bookmarkEnd w:id="14"/>
    <w:p>
      <w:pPr>
        <w:ind w:right="80"/>
        <w:spacing w:after="0" w:line="291" w:lineRule="auto"/>
        <w:rPr>
          <w:sz w:val="20"/>
          <w:szCs w:val="20"/>
          <w:color w:val="auto"/>
        </w:rPr>
      </w:pPr>
      <w:r>
        <w:rPr>
          <w:rFonts w:ascii="Arial" w:cs="Arial" w:eastAsia="Arial" w:hAnsi="Arial"/>
          <w:sz w:val="16"/>
          <w:szCs w:val="16"/>
          <w:color w:val="auto"/>
        </w:rPr>
        <w:t>AAA/Aaa rated with most collateralized by student loans guaranteed by the U.S. government under the Federal Family Education Loan Program and a majority of the remaining securities backed by monoline bond insurance companies. Until February 2008, the auction rate securities market was highly liquid. Starting the week of February 11, 2008, a substantial number of auctions “failed,” meaning that there was not enough demand to sell all of the securities that holders desired to sell at auction. In the case of a failed auction, with respect to the ARSs held by the Company, the ARS is deemed not currently liquid. In the case of funds invested by the Company in ARSs which are the subject of a failed auction, we may not be able to access the funds without a loss of principal, unless a future auction on these investments is successful or the issuer calls the security pursuant to a mandatory tender or redemption prior to maturity.</w:t>
      </w:r>
    </w:p>
    <w:p>
      <w:pPr>
        <w:spacing w:after="0" w:line="17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auction feature for each instrument is an opportunity to accept the reset rate or sell the instrument at its face value. In the past, the auction process has allowed investors to roll over their holdings or obtain immediate liquidity by selling the securities at par. We do not intend to hold these securities to maturity, but rather to use the auction feature to provide liquidity as the auction process permits. We continue to believe that we will ultimately recover all amounts invested in these ARSs. We have no reason to believe that any of the issuers of our ARS investments are presently at risk of default. However, the above recent developments have resulted in the classification of all of these securities as long-term investments in our consolidated financial statements and a temporary impairment as detailed in Note 4. If we are unable to successfully sell the ARS we hold at auction and the issuers’ credit ratings deteriorate, we may, in the future, be required to record additional impairment charges on these investments.</w:t>
      </w:r>
    </w:p>
    <w:p>
      <w:pPr>
        <w:spacing w:after="0" w:line="8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Unregistered Sales of Equity Securities and Use of Proceeds.</w:t>
      </w:r>
    </w:p>
    <w:p>
      <w:pPr>
        <w:spacing w:after="0" w:line="158"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On December 19, 2007 the Board of Directors authorized the repurchase of outstanding shares of our common stock, depending on market conditions, for an aggregate consideration of up to $60 million. There is no time restriction on this authorization. During the third quarter of Fiscal 2008, 16,120 shares were repurchased under this authorization for an aggregate consideration of approximately $240,500. This table provides information with respect to purchases by us of shares of our common stock during each fiscal month of the third quarter of Fiscal 2008.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Number of Shares Purchased</w:t>
            </w:r>
          </w:p>
        </w:tc>
        <w:tc>
          <w:tcPr>
            <w:tcW w:w="1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Approximate Dollar Value of</w:t>
            </w: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as Part of Publicly</w:t>
            </w:r>
          </w:p>
        </w:tc>
        <w:tc>
          <w:tcPr>
            <w:tcW w:w="140" w:type="dxa"/>
            <w:vAlign w:val="bottom"/>
          </w:tcPr>
          <w:p>
            <w:pPr>
              <w:spacing w:after="0"/>
              <w:rPr>
                <w:sz w:val="12"/>
                <w:szCs w:val="12"/>
                <w:color w:val="auto"/>
              </w:rPr>
            </w:pPr>
          </w:p>
        </w:tc>
        <w:tc>
          <w:tcPr>
            <w:tcW w:w="1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Shares That May Yet Be</w:t>
            </w: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ind w:right="19"/>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360" w:type="dxa"/>
            <w:vAlign w:val="bottom"/>
          </w:tcPr>
          <w:p>
            <w:pPr>
              <w:spacing w:after="0"/>
              <w:rPr>
                <w:sz w:val="12"/>
                <w:szCs w:val="12"/>
                <w:color w:val="auto"/>
              </w:rPr>
            </w:pPr>
          </w:p>
        </w:tc>
        <w:tc>
          <w:tcPr>
            <w:tcW w:w="160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91"/>
              </w:rPr>
              <w:t>Average Price Paid</w:t>
            </w:r>
          </w:p>
        </w:tc>
        <w:tc>
          <w:tcPr>
            <w:tcW w:w="2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Announced Plans or</w:t>
            </w:r>
          </w:p>
        </w:tc>
        <w:tc>
          <w:tcPr>
            <w:tcW w:w="1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Purchased Under the Plans or</w:t>
            </w:r>
          </w:p>
        </w:tc>
        <w:tc>
          <w:tcPr>
            <w:tcW w:w="0" w:type="dxa"/>
            <w:vAlign w:val="bottom"/>
          </w:tcPr>
          <w:p>
            <w:pPr>
              <w:spacing w:after="0"/>
              <w:rPr>
                <w:sz w:val="1"/>
                <w:szCs w:val="1"/>
                <w:color w:val="auto"/>
              </w:rPr>
            </w:pPr>
          </w:p>
        </w:tc>
      </w:tr>
      <w:tr>
        <w:trPr>
          <w:trHeight w:val="161"/>
        </w:trPr>
        <w:tc>
          <w:tcPr>
            <w:tcW w:w="980" w:type="dxa"/>
            <w:vAlign w:val="bottom"/>
          </w:tcPr>
          <w:p>
            <w:pPr>
              <w:spacing w:after="0"/>
              <w:rPr>
                <w:sz w:val="14"/>
                <w:szCs w:val="14"/>
                <w:color w:val="auto"/>
              </w:rPr>
            </w:pPr>
          </w:p>
        </w:tc>
        <w:tc>
          <w:tcPr>
            <w:tcW w:w="3380" w:type="dxa"/>
            <w:vAlign w:val="bottom"/>
            <w:gridSpan w:val="2"/>
          </w:tcPr>
          <w:p>
            <w:pPr>
              <w:ind w:left="840"/>
              <w:spacing w:after="0"/>
              <w:rPr>
                <w:sz w:val="20"/>
                <w:szCs w:val="20"/>
                <w:color w:val="auto"/>
              </w:rPr>
            </w:pPr>
            <w:r>
              <w:rPr>
                <w:rFonts w:ascii="Arial" w:cs="Arial" w:eastAsia="Arial" w:hAnsi="Arial"/>
                <w:sz w:val="14"/>
                <w:szCs w:val="14"/>
                <w:b w:val="1"/>
                <w:bCs w:val="1"/>
                <w:color w:val="auto"/>
              </w:rPr>
              <w:t>Period</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86"/>
              </w:rPr>
              <w:t>Shares Purchased</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per Share</w:t>
            </w:r>
          </w:p>
        </w:tc>
        <w:tc>
          <w:tcPr>
            <w:tcW w:w="2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Programs</w:t>
            </w:r>
          </w:p>
        </w:tc>
        <w:tc>
          <w:tcPr>
            <w:tcW w:w="140" w:type="dxa"/>
            <w:vAlign w:val="bottom"/>
          </w:tcPr>
          <w:p>
            <w:pPr>
              <w:spacing w:after="0"/>
              <w:rPr>
                <w:sz w:val="14"/>
                <w:szCs w:val="14"/>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Programs</w:t>
            </w:r>
          </w:p>
        </w:tc>
        <w:tc>
          <w:tcPr>
            <w:tcW w:w="0" w:type="dxa"/>
            <w:vAlign w:val="bottom"/>
          </w:tcPr>
          <w:p>
            <w:pPr>
              <w:spacing w:after="0"/>
              <w:rPr>
                <w:sz w:val="1"/>
                <w:szCs w:val="1"/>
                <w:color w:val="auto"/>
              </w:rPr>
            </w:pPr>
          </w:p>
        </w:tc>
      </w:tr>
      <w:tr>
        <w:trPr>
          <w:trHeight w:val="210"/>
        </w:trPr>
        <w:tc>
          <w:tcPr>
            <w:tcW w:w="4000" w:type="dxa"/>
            <w:vAlign w:val="bottom"/>
            <w:tcBorders>
              <w:top w:val="single" w:sz="8" w:color="auto"/>
            </w:tcBorders>
            <w:gridSpan w:val="2"/>
            <w:shd w:val="clear" w:color="auto" w:fill="D6F3E8"/>
          </w:tcPr>
          <w:p>
            <w:pPr>
              <w:spacing w:after="0"/>
              <w:rPr>
                <w:sz w:val="20"/>
                <w:szCs w:val="20"/>
                <w:color w:val="auto"/>
              </w:rPr>
            </w:pPr>
            <w:r>
              <w:rPr>
                <w:rFonts w:ascii="Arial" w:cs="Arial" w:eastAsia="Arial" w:hAnsi="Arial"/>
                <w:sz w:val="18"/>
                <w:szCs w:val="18"/>
                <w:color w:val="auto"/>
              </w:rPr>
              <w:t>03/02/08 – 04/05/08</w:t>
            </w:r>
          </w:p>
        </w:tc>
        <w:tc>
          <w:tcPr>
            <w:tcW w:w="360" w:type="dxa"/>
            <w:vAlign w:val="bottom"/>
            <w:tcBorders>
              <w:top w:val="single" w:sz="8" w:color="D6F3E8"/>
            </w:tcBorders>
            <w:shd w:val="clear" w:color="auto" w:fill="D6F3E8"/>
          </w:tcPr>
          <w:p>
            <w:pPr>
              <w:spacing w:after="0"/>
              <w:rPr>
                <w:sz w:val="18"/>
                <w:szCs w:val="18"/>
                <w:color w:val="auto"/>
              </w:rPr>
            </w:pPr>
          </w:p>
        </w:tc>
        <w:tc>
          <w:tcPr>
            <w:tcW w:w="11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D6F3E8"/>
            </w:tcBorders>
            <w:shd w:val="clear" w:color="auto" w:fill="D6F3E8"/>
          </w:tcPr>
          <w:p>
            <w:pPr>
              <w:spacing w:after="0"/>
              <w:rPr>
                <w:sz w:val="18"/>
                <w:szCs w:val="18"/>
                <w:color w:val="auto"/>
              </w:rPr>
            </w:pPr>
          </w:p>
        </w:tc>
        <w:tc>
          <w:tcPr>
            <w:tcW w:w="220" w:type="dxa"/>
            <w:vAlign w:val="bottom"/>
            <w:tcBorders>
              <w:top w:val="single" w:sz="8" w:color="auto"/>
            </w:tcBorders>
            <w:shd w:val="clear" w:color="auto" w:fill="D6F3E8"/>
          </w:tcPr>
          <w:p>
            <w:pPr>
              <w:jc w:val="right"/>
              <w:ind w:right="6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D6F3E8"/>
            </w:tcBorders>
            <w:shd w:val="clear" w:color="auto" w:fill="D6F3E8"/>
          </w:tcPr>
          <w:p>
            <w:pPr>
              <w:spacing w:after="0"/>
              <w:rPr>
                <w:sz w:val="18"/>
                <w:szCs w:val="18"/>
                <w:color w:val="auto"/>
              </w:rPr>
            </w:pPr>
          </w:p>
        </w:tc>
        <w:tc>
          <w:tcPr>
            <w:tcW w:w="17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D6F3E8"/>
            </w:tcBorders>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59,992,442</w:t>
            </w:r>
          </w:p>
        </w:tc>
        <w:tc>
          <w:tcPr>
            <w:tcW w:w="100" w:type="dxa"/>
            <w:vAlign w:val="bottom"/>
            <w:tcBorders>
              <w:top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04/06/08 – 05/03/08</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59,992,442</w:t>
            </w: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D6F3E8"/>
          </w:tcPr>
          <w:p>
            <w:pPr>
              <w:spacing w:after="0"/>
              <w:rPr>
                <w:sz w:val="20"/>
                <w:szCs w:val="20"/>
                <w:color w:val="auto"/>
              </w:rPr>
            </w:pPr>
            <w:r>
              <w:rPr>
                <w:rFonts w:ascii="Arial" w:cs="Arial" w:eastAsia="Arial" w:hAnsi="Arial"/>
                <w:sz w:val="18"/>
                <w:szCs w:val="18"/>
                <w:color w:val="auto"/>
              </w:rPr>
              <w:t>05/04/08 – 05/31/08</w:t>
            </w: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16,120</w:t>
            </w:r>
          </w:p>
        </w:tc>
        <w:tc>
          <w:tcPr>
            <w:tcW w:w="36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14.92</w:t>
            </w:r>
          </w:p>
        </w:tc>
        <w:tc>
          <w:tcPr>
            <w:tcW w:w="340" w:type="dxa"/>
            <w:vAlign w:val="bottom"/>
            <w:shd w:val="clear" w:color="auto" w:fill="D6F3E8"/>
          </w:tcPr>
          <w:p>
            <w:pPr>
              <w:spacing w:after="0"/>
              <w:rPr>
                <w:sz w:val="18"/>
                <w:szCs w:val="18"/>
                <w:color w:val="auto"/>
              </w:rPr>
            </w:pPr>
          </w:p>
        </w:tc>
        <w:tc>
          <w:tcPr>
            <w:tcW w:w="204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16,120</w:t>
            </w:r>
          </w:p>
        </w:tc>
        <w:tc>
          <w:tcPr>
            <w:tcW w:w="140" w:type="dxa"/>
            <w:vAlign w:val="bottom"/>
            <w:shd w:val="clear" w:color="auto" w:fill="D6F3E8"/>
          </w:tcPr>
          <w:p>
            <w:pPr>
              <w:spacing w:after="0"/>
              <w:rPr>
                <w:sz w:val="18"/>
                <w:szCs w:val="18"/>
                <w:color w:val="auto"/>
              </w:rPr>
            </w:pPr>
          </w:p>
        </w:tc>
        <w:tc>
          <w:tcPr>
            <w:tcW w:w="17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59,751,932</w:t>
            </w:r>
          </w:p>
        </w:tc>
        <w:tc>
          <w:tcPr>
            <w:tcW w:w="0" w:type="dxa"/>
            <w:vAlign w:val="bottom"/>
          </w:tcPr>
          <w:p>
            <w:pPr>
              <w:spacing w:after="0"/>
              <w:rPr>
                <w:sz w:val="1"/>
                <w:szCs w:val="1"/>
                <w:color w:val="auto"/>
              </w:rPr>
            </w:pPr>
          </w:p>
        </w:tc>
      </w:tr>
      <w:tr>
        <w:trPr>
          <w:trHeight w:val="210"/>
        </w:trPr>
        <w:tc>
          <w:tcPr>
            <w:tcW w:w="980" w:type="dxa"/>
            <w:vAlign w:val="bottom"/>
          </w:tcPr>
          <w:p>
            <w:pPr>
              <w:spacing w:after="0" w:line="202" w:lineRule="exact"/>
              <w:rPr>
                <w:sz w:val="20"/>
                <w:szCs w:val="20"/>
                <w:color w:val="auto"/>
              </w:rPr>
            </w:pPr>
            <w:r>
              <w:rPr>
                <w:rFonts w:ascii="Arial" w:cs="Arial" w:eastAsia="Arial" w:hAnsi="Arial"/>
                <w:sz w:val="18"/>
                <w:szCs w:val="18"/>
                <w:color w:val="auto"/>
              </w:rPr>
              <w:t>Total</w:t>
            </w:r>
          </w:p>
        </w:tc>
        <w:tc>
          <w:tcPr>
            <w:tcW w:w="3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16,120</w:t>
            </w:r>
          </w:p>
        </w:tc>
        <w:tc>
          <w:tcPr>
            <w:tcW w:w="3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14.92</w:t>
            </w:r>
          </w:p>
        </w:tc>
        <w:tc>
          <w:tcPr>
            <w:tcW w:w="340" w:type="dxa"/>
            <w:vAlign w:val="bottom"/>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16,120</w:t>
            </w: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59,751,932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rPr>
                <w:sz w:val="20"/>
                <w:szCs w:val="20"/>
                <w:color w:val="auto"/>
              </w:rPr>
            </w:pPr>
            <w:r>
              <w:rPr>
                <w:rFonts w:ascii="Arial" w:cs="Arial" w:eastAsia="Arial" w:hAnsi="Arial"/>
                <w:sz w:val="22"/>
                <w:szCs w:val="22"/>
                <w:b w:val="1"/>
                <w:bCs w:val="1"/>
                <w:color w:val="auto"/>
              </w:rPr>
              <w:t>Item 6.</w:t>
            </w:r>
          </w:p>
        </w:tc>
        <w:tc>
          <w:tcPr>
            <w:tcW w:w="3380" w:type="dxa"/>
            <w:vAlign w:val="bottom"/>
            <w:gridSpan w:val="2"/>
            <w:vMerge w:val="restart"/>
          </w:tcPr>
          <w:p>
            <w:pPr>
              <w:ind w:left="320"/>
              <w:spacing w:after="0"/>
              <w:rPr>
                <w:sz w:val="20"/>
                <w:szCs w:val="20"/>
                <w:color w:val="auto"/>
              </w:rPr>
            </w:pPr>
            <w:r>
              <w:rPr>
                <w:rFonts w:ascii="Arial" w:cs="Arial" w:eastAsia="Arial" w:hAnsi="Arial"/>
                <w:sz w:val="22"/>
                <w:szCs w:val="22"/>
                <w:b w:val="1"/>
                <w:bCs w:val="1"/>
                <w:color w:val="auto"/>
              </w:rPr>
              <w:t>Exhibits.</w:t>
            </w: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980" w:type="dxa"/>
            <w:vAlign w:val="bottom"/>
            <w:vMerge w:val="continue"/>
          </w:tcPr>
          <w:p>
            <w:pPr>
              <w:spacing w:after="0"/>
              <w:rPr>
                <w:sz w:val="24"/>
                <w:szCs w:val="24"/>
                <w:color w:val="auto"/>
              </w:rPr>
            </w:pPr>
          </w:p>
        </w:tc>
        <w:tc>
          <w:tcPr>
            <w:tcW w:w="338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960" w:hanging="655"/>
        <w:spacing w:after="0"/>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 - See Exhibit Index on page 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2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2" w:lineRule="exact"/>
        <w:rPr>
          <w:sz w:val="20"/>
          <w:szCs w:val="20"/>
          <w:color w:val="auto"/>
        </w:rPr>
      </w:pPr>
    </w:p>
    <w:tbl>
      <w:tblPr>
        <w:tblLayout w:type="fixed"/>
        <w:tblInd w:w="100" w:type="dxa"/>
        <w:tblCellMar>
          <w:top w:w="0" w:type="dxa"/>
          <w:left w:w="0" w:type="dxa"/>
          <w:bottom w:w="0" w:type="dxa"/>
          <w:right w:w="0" w:type="dxa"/>
        </w:tblCellMar>
      </w:tblPr>
      <w:tr>
        <w:trPr>
          <w:trHeight w:val="223"/>
        </w:trPr>
        <w:tc>
          <w:tcPr>
            <w:tcW w:w="7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12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WINNEBAGO INDUSTRIES, INC.</w:t>
            </w:r>
          </w:p>
        </w:tc>
      </w:tr>
      <w:tr>
        <w:trPr>
          <w:trHeight w:val="217"/>
        </w:trPr>
        <w:tc>
          <w:tcPr>
            <w:tcW w:w="7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120" w:type="dxa"/>
            <w:vAlign w:val="bottom"/>
          </w:tcPr>
          <w:p>
            <w:pPr>
              <w:ind w:left="2140"/>
              <w:spacing w:after="0"/>
              <w:rPr>
                <w:sz w:val="20"/>
                <w:szCs w:val="20"/>
                <w:color w:val="auto"/>
              </w:rPr>
            </w:pPr>
            <w:r>
              <w:rPr>
                <w:rFonts w:ascii="Arial" w:cs="Arial" w:eastAsia="Arial" w:hAnsi="Arial"/>
                <w:sz w:val="18"/>
                <w:szCs w:val="18"/>
                <w:color w:val="auto"/>
              </w:rPr>
              <w:t>(Registrant)</w:t>
            </w:r>
          </w:p>
        </w:tc>
      </w:tr>
      <w:tr>
        <w:trPr>
          <w:trHeight w:val="654"/>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4280" w:type="dxa"/>
            <w:vAlign w:val="bottom"/>
            <w:gridSpan w:val="2"/>
          </w:tcPr>
          <w:p>
            <w:pPr>
              <w:ind w:left="800"/>
              <w:spacing w:after="0"/>
              <w:rPr>
                <w:sz w:val="20"/>
                <w:szCs w:val="20"/>
                <w:color w:val="auto"/>
              </w:rPr>
            </w:pPr>
            <w:r>
              <w:rPr>
                <w:rFonts w:ascii="Arial" w:cs="Arial" w:eastAsia="Arial" w:hAnsi="Arial"/>
                <w:sz w:val="18"/>
                <w:szCs w:val="18"/>
                <w:color w:val="auto"/>
              </w:rPr>
              <w:t>July 3, 2008</w:t>
            </w:r>
          </w:p>
        </w:tc>
        <w:tc>
          <w:tcPr>
            <w:tcW w:w="5120" w:type="dxa"/>
            <w:vAlign w:val="bottom"/>
          </w:tcPr>
          <w:p>
            <w:pPr>
              <w:ind w:left="100"/>
              <w:spacing w:after="0"/>
              <w:rPr>
                <w:sz w:val="20"/>
                <w:szCs w:val="20"/>
                <w:color w:val="auto"/>
              </w:rPr>
            </w:pPr>
            <w:r>
              <w:rPr>
                <w:rFonts w:ascii="Arial" w:cs="Arial" w:eastAsia="Arial" w:hAnsi="Arial"/>
                <w:sz w:val="18"/>
                <w:szCs w:val="18"/>
                <w:color w:val="auto"/>
              </w:rPr>
              <w:t>/s Robert J. Olson</w:t>
            </w:r>
          </w:p>
        </w:tc>
      </w:tr>
      <w:tr>
        <w:trPr>
          <w:trHeight w:val="202"/>
        </w:trPr>
        <w:tc>
          <w:tcPr>
            <w:tcW w:w="780" w:type="dxa"/>
            <w:vAlign w:val="bottom"/>
          </w:tcPr>
          <w:p>
            <w:pPr>
              <w:spacing w:after="0"/>
              <w:rPr>
                <w:sz w:val="17"/>
                <w:szCs w:val="17"/>
                <w:color w:val="auto"/>
              </w:rPr>
            </w:pPr>
          </w:p>
        </w:tc>
        <w:tc>
          <w:tcPr>
            <w:tcW w:w="2480" w:type="dxa"/>
            <w:vAlign w:val="bottom"/>
            <w:tcBorders>
              <w:top w:val="single" w:sz="8" w:color="auto"/>
            </w:tcBorders>
          </w:tcPr>
          <w:p>
            <w:pPr>
              <w:spacing w:after="0"/>
              <w:rPr>
                <w:sz w:val="17"/>
                <w:szCs w:val="17"/>
                <w:color w:val="auto"/>
              </w:rPr>
            </w:pPr>
          </w:p>
        </w:tc>
        <w:tc>
          <w:tcPr>
            <w:tcW w:w="180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Robert J. Olson</w:t>
            </w:r>
          </w:p>
        </w:tc>
      </w:tr>
      <w:tr>
        <w:trPr>
          <w:trHeight w:val="216"/>
        </w:trPr>
        <w:tc>
          <w:tcPr>
            <w:tcW w:w="7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Chairman of the Board, Chief Executive Officer and President</w:t>
            </w:r>
          </w:p>
        </w:tc>
      </w:tr>
      <w:tr>
        <w:trPr>
          <w:trHeight w:val="222"/>
        </w:trPr>
        <w:tc>
          <w:tcPr>
            <w:tcW w:w="7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120" w:type="dxa"/>
            <w:vAlign w:val="bottom"/>
          </w:tcPr>
          <w:p>
            <w:pPr>
              <w:ind w:left="440"/>
              <w:spacing w:after="0"/>
              <w:rPr>
                <w:sz w:val="20"/>
                <w:szCs w:val="20"/>
                <w:color w:val="auto"/>
              </w:rPr>
            </w:pPr>
            <w:r>
              <w:rPr>
                <w:rFonts w:ascii="Arial" w:cs="Arial" w:eastAsia="Arial" w:hAnsi="Arial"/>
                <w:sz w:val="18"/>
                <w:szCs w:val="18"/>
                <w:color w:val="auto"/>
              </w:rPr>
              <w:t>(Principal Executive Officer)</w:t>
            </w:r>
          </w:p>
        </w:tc>
      </w:tr>
      <w:tr>
        <w:trPr>
          <w:trHeight w:val="663"/>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4280" w:type="dxa"/>
            <w:vAlign w:val="bottom"/>
            <w:gridSpan w:val="2"/>
          </w:tcPr>
          <w:p>
            <w:pPr>
              <w:ind w:left="800"/>
              <w:spacing w:after="0"/>
              <w:rPr>
                <w:sz w:val="20"/>
                <w:szCs w:val="20"/>
                <w:color w:val="auto"/>
              </w:rPr>
            </w:pPr>
            <w:r>
              <w:rPr>
                <w:rFonts w:ascii="Arial" w:cs="Arial" w:eastAsia="Arial" w:hAnsi="Arial"/>
                <w:sz w:val="18"/>
                <w:szCs w:val="18"/>
                <w:color w:val="auto"/>
              </w:rPr>
              <w:t>July 3, 2008</w:t>
            </w:r>
          </w:p>
        </w:tc>
        <w:tc>
          <w:tcPr>
            <w:tcW w:w="5120" w:type="dxa"/>
            <w:vAlign w:val="bottom"/>
          </w:tcPr>
          <w:p>
            <w:pPr>
              <w:ind w:left="100"/>
              <w:spacing w:after="0"/>
              <w:rPr>
                <w:sz w:val="20"/>
                <w:szCs w:val="20"/>
                <w:color w:val="auto"/>
              </w:rPr>
            </w:pPr>
            <w:r>
              <w:rPr>
                <w:rFonts w:ascii="Arial" w:cs="Arial" w:eastAsia="Arial" w:hAnsi="Arial"/>
                <w:sz w:val="18"/>
                <w:szCs w:val="18"/>
                <w:color w:val="auto"/>
              </w:rPr>
              <w:t>/s/ Sarah N. Nielsen</w:t>
            </w:r>
          </w:p>
        </w:tc>
      </w:tr>
      <w:tr>
        <w:trPr>
          <w:trHeight w:val="202"/>
        </w:trPr>
        <w:tc>
          <w:tcPr>
            <w:tcW w:w="780" w:type="dxa"/>
            <w:vAlign w:val="bottom"/>
          </w:tcPr>
          <w:p>
            <w:pPr>
              <w:spacing w:after="0"/>
              <w:rPr>
                <w:sz w:val="17"/>
                <w:szCs w:val="17"/>
                <w:color w:val="auto"/>
              </w:rPr>
            </w:pPr>
          </w:p>
        </w:tc>
        <w:tc>
          <w:tcPr>
            <w:tcW w:w="2480" w:type="dxa"/>
            <w:vAlign w:val="bottom"/>
            <w:tcBorders>
              <w:top w:val="single" w:sz="8" w:color="auto"/>
            </w:tcBorders>
          </w:tcPr>
          <w:p>
            <w:pPr>
              <w:spacing w:after="0"/>
              <w:rPr>
                <w:sz w:val="17"/>
                <w:szCs w:val="17"/>
                <w:color w:val="auto"/>
              </w:rPr>
            </w:pPr>
          </w:p>
        </w:tc>
        <w:tc>
          <w:tcPr>
            <w:tcW w:w="180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Sarah N. Nielsen</w:t>
            </w:r>
          </w:p>
        </w:tc>
      </w:tr>
      <w:tr>
        <w:trPr>
          <w:trHeight w:val="222"/>
        </w:trPr>
        <w:tc>
          <w:tcPr>
            <w:tcW w:w="7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Chief Financial Officer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31" w:right="239" w:bottom="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Table of Contents</w:t>
        </w:r>
      </w:hyperlink>
    </w:p>
    <w:p>
      <w:pPr>
        <w:sectPr>
          <w:pgSz w:w="11900" w:h="16838" w:orient="portrait"/>
          <w:cols w:equalWidth="0" w:num="1">
            <w:col w:w="11420"/>
          </w:cols>
          <w:pgMar w:left="240" w:top="131" w:right="239" w:bottom="61" w:gutter="0" w:footer="0" w:header="0"/>
          <w:type w:val="continuous"/>
        </w:sectPr>
      </w:pPr>
    </w:p>
    <w:bookmarkStart w:id="15" w:name="page16"/>
    <w:bookmarkEnd w:id="15"/>
    <w:p>
      <w:pPr>
        <w:jc w:val="center"/>
        <w:ind w:right="-79"/>
        <w:spacing w:after="0"/>
        <w:rPr>
          <w:sz w:val="20"/>
          <w:szCs w:val="20"/>
          <w:color w:val="auto"/>
        </w:rPr>
      </w:pPr>
      <w:r>
        <w:rPr>
          <w:rFonts w:ascii="Arial" w:cs="Arial" w:eastAsia="Arial" w:hAnsi="Arial"/>
          <w:sz w:val="22"/>
          <w:szCs w:val="22"/>
          <w:b w:val="1"/>
          <w:bCs w:val="1"/>
          <w:color w:val="auto"/>
        </w:rPr>
        <w:t>Exhibit Index</w:t>
      </w:r>
    </w:p>
    <w:p>
      <w:pPr>
        <w:spacing w:after="0" w:line="226"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Letter regarding Unaudited Interim Financial Information.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by the Chief Executive Officer pursuant to Section 302 of the Sarbanes-Oxley Act of 2002 dated July 3, 2008.</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by the Chief Financial Officer pursuant to Section 302 of the Sarbanes-Oxley Act of 2002 dated July 3, 2008.</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Certification by the Chief Executive Officer pursuant to Section 1350, as adopted pursuant to Section 906 of the Sarbanes-Oxley Act of 2002 dated July</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3, 2008.</w:t>
      </w:r>
    </w:p>
    <w:p>
      <w:pPr>
        <w:spacing w:after="0" w:line="21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5"/>
          <w:szCs w:val="15"/>
          <w:color w:val="auto"/>
        </w:rPr>
        <w:t>Certification by the Chief Financial Officer pursuant to Section 1350, as adopted pursuant to Section 906 of the Sarbanes-Oxley Act of 2002 dated July</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40"/>
          </w:cols>
          <w:pgMar w:left="240" w:top="112" w:right="319" w:bottom="1440" w:gutter="0" w:footer="0" w:header="0"/>
        </w:sectPr>
      </w:pPr>
    </w:p>
    <w:bookmarkStart w:id="16" w:name="page17"/>
    <w:bookmarkEnd w:id="16"/>
    <w:p>
      <w:pPr>
        <w:jc w:val="right"/>
        <w:spacing w:after="0"/>
        <w:rPr>
          <w:sz w:val="20"/>
          <w:szCs w:val="20"/>
          <w:color w:val="auto"/>
        </w:rPr>
      </w:pPr>
      <w:r>
        <w:rPr>
          <w:rFonts w:ascii="Arial" w:cs="Arial" w:eastAsia="Arial" w:hAnsi="Arial"/>
          <w:sz w:val="22"/>
          <w:szCs w:val="22"/>
          <w:b w:val="1"/>
          <w:bCs w:val="1"/>
          <w:color w:val="auto"/>
        </w:rPr>
        <w:t>Exhibit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Winnebago Industries,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Forest City, Iowa</w:t>
      </w:r>
    </w:p>
    <w:p>
      <w:pPr>
        <w:spacing w:after="0" w:line="219" w:lineRule="exact"/>
        <w:rPr>
          <w:sz w:val="20"/>
          <w:szCs w:val="20"/>
          <w:color w:val="auto"/>
        </w:rPr>
      </w:pPr>
    </w:p>
    <w:p>
      <w:pPr>
        <w:ind w:right="380"/>
        <w:spacing w:after="0" w:line="294" w:lineRule="auto"/>
        <w:rPr>
          <w:sz w:val="20"/>
          <w:szCs w:val="20"/>
          <w:color w:val="auto"/>
        </w:rPr>
      </w:pPr>
      <w:r>
        <w:rPr>
          <w:rFonts w:ascii="Arial" w:cs="Arial" w:eastAsia="Arial" w:hAnsi="Arial"/>
          <w:sz w:val="16"/>
          <w:szCs w:val="16"/>
          <w:color w:val="auto"/>
        </w:rPr>
        <w:t>We have reviewed, in accordance with the standards of the Public Company Accounting Oversight Board (United States), the unaudited interim financial information of Winnebago Industries, Inc. and subsidiaries for the thirteen and forty week periods ended May 31, 2008, and the thirteen and thirty-nine week periods ended May 26, 2007, as indicated in our report dated July 3, 2008 (which included an explanatory paragraph regarding the Company’s change in its method of accounting for unrecognized tax benefits to conform to Statement of Financial Accounting Standards Interpretation No. 48); because we did not perform an audit, we expressed no opinion on that information.</w:t>
      </w:r>
    </w:p>
    <w:p>
      <w:pPr>
        <w:spacing w:after="0" w:line="17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are aware that our report referred to above, which is included in your Quarterly Report on Form 10-Q for the quarter ended May 31, 2008, is incorporated by reference in Registration Statement Nos. 333-31595, No. 333-47123, and No. 333-113246 on Form S-8.</w:t>
      </w:r>
    </w:p>
    <w:p>
      <w:pPr>
        <w:spacing w:after="0" w:line="18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We also are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1565910</wp:posOffset>
            </wp:positionV>
            <wp:extent cx="725043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22"/>
          <w:szCs w:val="22"/>
          <w:b w:val="1"/>
          <w:bCs w:val="1"/>
          <w:color w:val="auto"/>
        </w:rPr>
        <w:t>Exhibit 31.1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BY CHIEF EXECUTIVE OFFICER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18 U.S.C. SECTION 1350,</w:t>
      </w:r>
    </w:p>
    <w:p>
      <w:pPr>
        <w:jc w:val="center"/>
        <w:spacing w:after="0" w:line="230" w:lineRule="auto"/>
        <w:rPr>
          <w:sz w:val="20"/>
          <w:szCs w:val="20"/>
          <w:color w:val="auto"/>
        </w:rPr>
      </w:pPr>
      <w:r>
        <w:rPr>
          <w:rFonts w:ascii="Arial" w:cs="Arial" w:eastAsia="Arial" w:hAnsi="Arial"/>
          <w:sz w:val="22"/>
          <w:szCs w:val="22"/>
          <w:b w:val="1"/>
          <w:bCs w:val="1"/>
          <w:color w:val="auto"/>
        </w:rPr>
        <w:t>AS ADOPTED PURSUANT TO SECTION 302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 SARBANES-OXLEY ACT OF 2002</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I, Robert J. Olson, Chief Executive Officer of Winnebago Industries, Inc., certify that:</w:t>
      </w:r>
    </w:p>
    <w:p>
      <w:pPr>
        <w:spacing w:after="0" w:line="225" w:lineRule="exact"/>
        <w:rPr>
          <w:sz w:val="20"/>
          <w:szCs w:val="20"/>
          <w:color w:val="auto"/>
        </w:rPr>
      </w:pPr>
    </w:p>
    <w:p>
      <w:pPr>
        <w:ind w:left="1140" w:hanging="484"/>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Winnebago Industries, Inc. (the “Registrant”);</w:t>
      </w:r>
    </w:p>
    <w:p>
      <w:pPr>
        <w:spacing w:after="0" w:line="225" w:lineRule="exact"/>
        <w:rPr>
          <w:rFonts w:ascii="Arial" w:cs="Arial" w:eastAsia="Arial" w:hAnsi="Arial"/>
          <w:sz w:val="18"/>
          <w:szCs w:val="18"/>
          <w:color w:val="auto"/>
        </w:rPr>
      </w:pPr>
    </w:p>
    <w:p>
      <w:pPr>
        <w:ind w:left="1140" w:right="140" w:hanging="484"/>
        <w:spacing w:after="0" w:line="259"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4" w:lineRule="exact"/>
        <w:rPr>
          <w:rFonts w:ascii="Arial" w:cs="Arial" w:eastAsia="Arial" w:hAnsi="Arial"/>
          <w:sz w:val="18"/>
          <w:szCs w:val="18"/>
          <w:color w:val="auto"/>
        </w:rPr>
      </w:pPr>
    </w:p>
    <w:p>
      <w:pPr>
        <w:ind w:left="1140" w:right="120" w:hanging="484"/>
        <w:spacing w:after="0" w:line="259"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94" w:lineRule="exact"/>
        <w:rPr>
          <w:rFonts w:ascii="Arial" w:cs="Arial" w:eastAsia="Arial" w:hAnsi="Arial"/>
          <w:sz w:val="18"/>
          <w:szCs w:val="18"/>
          <w:color w:val="auto"/>
        </w:rPr>
      </w:pPr>
    </w:p>
    <w:p>
      <w:pPr>
        <w:ind w:left="1140" w:right="60" w:hanging="484"/>
        <w:spacing w:after="0" w:line="259"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left="1620" w:right="80" w:hanging="478"/>
        <w:spacing w:after="0" w:line="306" w:lineRule="auto"/>
        <w:tabs>
          <w:tab w:leader="none" w:pos="1620"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60" w:lineRule="exact"/>
        <w:rPr>
          <w:rFonts w:ascii="Arial" w:cs="Arial" w:eastAsia="Arial" w:hAnsi="Arial"/>
          <w:sz w:val="16"/>
          <w:szCs w:val="16"/>
          <w:color w:val="auto"/>
        </w:rPr>
      </w:pPr>
    </w:p>
    <w:p>
      <w:pPr>
        <w:ind w:left="1620" w:right="180" w:hanging="478"/>
        <w:spacing w:after="0" w:line="259" w:lineRule="auto"/>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1620" w:right="140" w:hanging="478"/>
        <w:spacing w:after="0" w:line="259" w:lineRule="auto"/>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based on such evaluation, presented in this Quarterly Report our conclusions about the effectiveness of the disclosure controls and procedures, as of the end of the period covered by this Quarterly Report; and</w:t>
      </w:r>
    </w:p>
    <w:p>
      <w:pPr>
        <w:spacing w:after="0" w:line="194" w:lineRule="exact"/>
        <w:rPr>
          <w:rFonts w:ascii="Arial" w:cs="Arial" w:eastAsia="Arial" w:hAnsi="Arial"/>
          <w:sz w:val="18"/>
          <w:szCs w:val="18"/>
          <w:color w:val="auto"/>
        </w:rPr>
      </w:pPr>
    </w:p>
    <w:p>
      <w:pPr>
        <w:ind w:left="1620" w:right="400" w:hanging="478"/>
        <w:spacing w:after="0" w:line="259" w:lineRule="auto"/>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1140" w:right="160" w:hanging="484"/>
        <w:spacing w:after="0" w:line="332" w:lineRule="auto"/>
        <w:tabs>
          <w:tab w:leader="none" w:pos="11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9" w:lineRule="exact"/>
        <w:rPr>
          <w:rFonts w:ascii="Arial" w:cs="Arial" w:eastAsia="Arial" w:hAnsi="Arial"/>
          <w:sz w:val="16"/>
          <w:szCs w:val="16"/>
          <w:color w:val="auto"/>
        </w:rPr>
      </w:pPr>
    </w:p>
    <w:p>
      <w:pPr>
        <w:ind w:left="1620" w:right="580" w:hanging="478"/>
        <w:spacing w:after="0" w:line="332" w:lineRule="auto"/>
        <w:tabs>
          <w:tab w:leader="none" w:pos="162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1620" w:right="220" w:hanging="478"/>
        <w:spacing w:after="0" w:line="268" w:lineRule="auto"/>
        <w:tabs>
          <w:tab w:leader="none" w:pos="1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00" w:type="dxa"/>
            <w:vAlign w:val="bottom"/>
          </w:tcPr>
          <w:p>
            <w:pPr>
              <w:ind w:left="860"/>
              <w:spacing w:after="0"/>
              <w:rPr>
                <w:sz w:val="20"/>
                <w:szCs w:val="20"/>
                <w:color w:val="auto"/>
              </w:rPr>
            </w:pPr>
            <w:r>
              <w:rPr>
                <w:rFonts w:ascii="Arial" w:cs="Arial" w:eastAsia="Arial" w:hAnsi="Arial"/>
                <w:sz w:val="18"/>
                <w:szCs w:val="18"/>
                <w:color w:val="auto"/>
              </w:rPr>
              <w:t>Date:</w:t>
            </w:r>
          </w:p>
        </w:tc>
        <w:tc>
          <w:tcPr>
            <w:tcW w:w="232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July 3, 2008</w:t>
            </w:r>
          </w:p>
        </w:tc>
        <w:tc>
          <w:tcPr>
            <w:tcW w:w="3340" w:type="dxa"/>
            <w:vAlign w:val="bottom"/>
          </w:tcPr>
          <w:p>
            <w:pPr>
              <w:ind w:left="2660"/>
              <w:spacing w:after="0"/>
              <w:rPr>
                <w:sz w:val="20"/>
                <w:szCs w:val="20"/>
                <w:color w:val="auto"/>
              </w:rPr>
            </w:pPr>
            <w:r>
              <w:rPr>
                <w:rFonts w:ascii="Arial" w:cs="Arial" w:eastAsia="Arial" w:hAnsi="Arial"/>
                <w:sz w:val="18"/>
                <w:szCs w:val="18"/>
                <w:color w:val="auto"/>
              </w:rPr>
              <w:t>By:</w:t>
            </w:r>
          </w:p>
        </w:tc>
        <w:tc>
          <w:tcPr>
            <w:tcW w:w="36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Robert J. Olson</w:t>
            </w:r>
          </w:p>
        </w:tc>
        <w:tc>
          <w:tcPr>
            <w:tcW w:w="400" w:type="dxa"/>
            <w:vAlign w:val="bottom"/>
          </w:tcPr>
          <w:p>
            <w:pPr>
              <w:spacing w:after="0"/>
              <w:rPr>
                <w:sz w:val="19"/>
                <w:szCs w:val="19"/>
                <w:color w:val="auto"/>
              </w:rPr>
            </w:pPr>
          </w:p>
        </w:tc>
      </w:tr>
      <w:tr>
        <w:trPr>
          <w:trHeight w:val="202"/>
        </w:trPr>
        <w:tc>
          <w:tcPr>
            <w:tcW w:w="17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60" w:type="dxa"/>
            <w:vAlign w:val="bottom"/>
          </w:tcPr>
          <w:p>
            <w:pPr>
              <w:ind w:left="100"/>
              <w:spacing w:after="0" w:line="202" w:lineRule="exact"/>
              <w:rPr>
                <w:sz w:val="20"/>
                <w:szCs w:val="20"/>
                <w:color w:val="auto"/>
              </w:rPr>
            </w:pPr>
            <w:r>
              <w:rPr>
                <w:rFonts w:ascii="Arial" w:cs="Arial" w:eastAsia="Arial" w:hAnsi="Arial"/>
                <w:sz w:val="18"/>
                <w:szCs w:val="18"/>
                <w:color w:val="auto"/>
              </w:rPr>
              <w:t>Robert J. Olson</w:t>
            </w:r>
          </w:p>
        </w:tc>
        <w:tc>
          <w:tcPr>
            <w:tcW w:w="400" w:type="dxa"/>
            <w:vAlign w:val="bottom"/>
          </w:tcPr>
          <w:p>
            <w:pPr>
              <w:spacing w:after="0"/>
              <w:rPr>
                <w:sz w:val="17"/>
                <w:szCs w:val="17"/>
                <w:color w:val="auto"/>
              </w:rPr>
            </w:pPr>
          </w:p>
        </w:tc>
      </w:tr>
      <w:tr>
        <w:trPr>
          <w:trHeight w:val="222"/>
        </w:trPr>
        <w:tc>
          <w:tcPr>
            <w:tcW w:w="17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660" w:type="dxa"/>
            <w:vAlign w:val="bottom"/>
          </w:tcPr>
          <w:p>
            <w:pPr>
              <w:ind w:left="100"/>
              <w:spacing w:after="0"/>
              <w:rPr>
                <w:sz w:val="20"/>
                <w:szCs w:val="20"/>
                <w:color w:val="auto"/>
              </w:rPr>
            </w:pPr>
            <w:r>
              <w:rPr>
                <w:rFonts w:ascii="Arial" w:cs="Arial" w:eastAsia="Arial" w:hAnsi="Arial"/>
                <w:sz w:val="18"/>
                <w:szCs w:val="18"/>
                <w:color w:val="auto"/>
              </w:rPr>
              <w:t>Chief Executive Officer</w:t>
            </w:r>
          </w:p>
        </w:tc>
        <w:tc>
          <w:tcPr>
            <w:tcW w:w="400" w:type="dxa"/>
            <w:vAlign w:val="bottom"/>
          </w:tcPr>
          <w:p>
            <w:pPr>
              <w:spacing w:after="0"/>
              <w:rPr>
                <w:sz w:val="19"/>
                <w:szCs w:val="19"/>
                <w:color w:val="auto"/>
              </w:rPr>
            </w:pPr>
          </w:p>
        </w:tc>
      </w:tr>
      <w:tr>
        <w:trPr>
          <w:trHeight w:val="836"/>
        </w:trPr>
        <w:tc>
          <w:tcPr>
            <w:tcW w:w="170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3340" w:type="dxa"/>
            <w:vAlign w:val="bottom"/>
            <w:tcBorders>
              <w:bottom w:val="single" w:sz="8" w:color="808080"/>
            </w:tcBorders>
          </w:tcPr>
          <w:p>
            <w:pPr>
              <w:spacing w:after="0"/>
              <w:rPr>
                <w:sz w:val="24"/>
                <w:szCs w:val="24"/>
                <w:color w:val="auto"/>
              </w:rPr>
            </w:pPr>
          </w:p>
        </w:tc>
        <w:tc>
          <w:tcPr>
            <w:tcW w:w="36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22"/>
          <w:szCs w:val="22"/>
          <w:b w:val="1"/>
          <w:bCs w:val="1"/>
          <w:color w:val="auto"/>
        </w:rPr>
        <w:t>Exhibit 31.2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BY CHIEF FINANCIAL OFFICER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18 U.S.C. SECTION 1350,</w:t>
      </w:r>
    </w:p>
    <w:p>
      <w:pPr>
        <w:jc w:val="center"/>
        <w:spacing w:after="0" w:line="230" w:lineRule="auto"/>
        <w:rPr>
          <w:sz w:val="20"/>
          <w:szCs w:val="20"/>
          <w:color w:val="auto"/>
        </w:rPr>
      </w:pPr>
      <w:r>
        <w:rPr>
          <w:rFonts w:ascii="Arial" w:cs="Arial" w:eastAsia="Arial" w:hAnsi="Arial"/>
          <w:sz w:val="22"/>
          <w:szCs w:val="22"/>
          <w:b w:val="1"/>
          <w:bCs w:val="1"/>
          <w:color w:val="auto"/>
        </w:rPr>
        <w:t>AS ADOPTED PURSUANT TO SECTION 302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 SARBANES-OXLEY ACT OF 2002</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I, Sarah N. Nielsen, Chief Financial Officer of Winnebago Industries, Inc., certify that:</w:t>
      </w:r>
    </w:p>
    <w:p>
      <w:pPr>
        <w:spacing w:after="0" w:line="225" w:lineRule="exact"/>
        <w:rPr>
          <w:sz w:val="20"/>
          <w:szCs w:val="20"/>
          <w:color w:val="auto"/>
        </w:rPr>
      </w:pPr>
    </w:p>
    <w:p>
      <w:pPr>
        <w:ind w:left="1140" w:hanging="484"/>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Winnebago Industries, Inc. (“the Registrant”);</w:t>
      </w:r>
    </w:p>
    <w:p>
      <w:pPr>
        <w:spacing w:after="0" w:line="225" w:lineRule="exact"/>
        <w:rPr>
          <w:rFonts w:ascii="Arial" w:cs="Arial" w:eastAsia="Arial" w:hAnsi="Arial"/>
          <w:sz w:val="18"/>
          <w:szCs w:val="18"/>
          <w:color w:val="auto"/>
        </w:rPr>
      </w:pPr>
    </w:p>
    <w:p>
      <w:pPr>
        <w:ind w:left="1140" w:right="140" w:hanging="484"/>
        <w:spacing w:after="0" w:line="259"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4" w:lineRule="exact"/>
        <w:rPr>
          <w:rFonts w:ascii="Arial" w:cs="Arial" w:eastAsia="Arial" w:hAnsi="Arial"/>
          <w:sz w:val="18"/>
          <w:szCs w:val="18"/>
          <w:color w:val="auto"/>
        </w:rPr>
      </w:pPr>
    </w:p>
    <w:p>
      <w:pPr>
        <w:ind w:left="1140" w:right="120" w:hanging="484"/>
        <w:spacing w:after="0" w:line="259"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94" w:lineRule="exact"/>
        <w:rPr>
          <w:rFonts w:ascii="Arial" w:cs="Arial" w:eastAsia="Arial" w:hAnsi="Arial"/>
          <w:sz w:val="18"/>
          <w:szCs w:val="18"/>
          <w:color w:val="auto"/>
        </w:rPr>
      </w:pPr>
    </w:p>
    <w:p>
      <w:pPr>
        <w:ind w:left="1140" w:right="60" w:hanging="484"/>
        <w:spacing w:after="0" w:line="259"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left="1620" w:right="80" w:hanging="478"/>
        <w:spacing w:after="0" w:line="306" w:lineRule="auto"/>
        <w:tabs>
          <w:tab w:leader="none" w:pos="1620"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60" w:lineRule="exact"/>
        <w:rPr>
          <w:rFonts w:ascii="Arial" w:cs="Arial" w:eastAsia="Arial" w:hAnsi="Arial"/>
          <w:sz w:val="16"/>
          <w:szCs w:val="16"/>
          <w:color w:val="auto"/>
        </w:rPr>
      </w:pPr>
    </w:p>
    <w:p>
      <w:pPr>
        <w:ind w:left="1620" w:right="180" w:hanging="478"/>
        <w:spacing w:after="0" w:line="259" w:lineRule="auto"/>
        <w:tabs>
          <w:tab w:leader="none" w:pos="1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1620" w:right="140" w:hanging="478"/>
        <w:spacing w:after="0" w:line="259" w:lineRule="auto"/>
        <w:tabs>
          <w:tab w:leader="none" w:pos="1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based on such evaluation, presented in this Quarterly Report our conclusions about the effectiveness of the disclosure controls and procedures, as of the end of the period covered by this Quarterly Report; and</w:t>
      </w:r>
    </w:p>
    <w:p>
      <w:pPr>
        <w:spacing w:after="0" w:line="194" w:lineRule="exact"/>
        <w:rPr>
          <w:rFonts w:ascii="Arial" w:cs="Arial" w:eastAsia="Arial" w:hAnsi="Arial"/>
          <w:sz w:val="18"/>
          <w:szCs w:val="18"/>
          <w:color w:val="auto"/>
        </w:rPr>
      </w:pPr>
    </w:p>
    <w:p>
      <w:pPr>
        <w:ind w:left="1620" w:right="400" w:hanging="478"/>
        <w:spacing w:after="0" w:line="259" w:lineRule="auto"/>
        <w:tabs>
          <w:tab w:leader="none" w:pos="1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1140" w:right="160" w:hanging="484"/>
        <w:spacing w:after="0" w:line="332" w:lineRule="auto"/>
        <w:tabs>
          <w:tab w:leader="none" w:pos="11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39" w:lineRule="exact"/>
        <w:rPr>
          <w:rFonts w:ascii="Arial" w:cs="Arial" w:eastAsia="Arial" w:hAnsi="Arial"/>
          <w:sz w:val="16"/>
          <w:szCs w:val="16"/>
          <w:color w:val="auto"/>
        </w:rPr>
      </w:pPr>
    </w:p>
    <w:p>
      <w:pPr>
        <w:ind w:left="1620" w:right="580" w:hanging="478"/>
        <w:spacing w:after="0" w:line="332" w:lineRule="auto"/>
        <w:tabs>
          <w:tab w:leader="none" w:pos="162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1620" w:right="220" w:hanging="478"/>
        <w:spacing w:after="0" w:line="268" w:lineRule="auto"/>
        <w:tabs>
          <w:tab w:leader="none" w:pos="1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00" w:type="dxa"/>
            <w:vAlign w:val="bottom"/>
          </w:tcPr>
          <w:p>
            <w:pPr>
              <w:ind w:left="860"/>
              <w:spacing w:after="0"/>
              <w:rPr>
                <w:sz w:val="20"/>
                <w:szCs w:val="20"/>
                <w:color w:val="auto"/>
              </w:rPr>
            </w:pPr>
            <w:r>
              <w:rPr>
                <w:rFonts w:ascii="Arial" w:cs="Arial" w:eastAsia="Arial" w:hAnsi="Arial"/>
                <w:sz w:val="18"/>
                <w:szCs w:val="18"/>
                <w:color w:val="auto"/>
              </w:rPr>
              <w:t>Date:</w:t>
            </w:r>
          </w:p>
        </w:tc>
        <w:tc>
          <w:tcPr>
            <w:tcW w:w="232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July 3, 2008</w:t>
            </w:r>
          </w:p>
        </w:tc>
        <w:tc>
          <w:tcPr>
            <w:tcW w:w="3340" w:type="dxa"/>
            <w:vAlign w:val="bottom"/>
          </w:tcPr>
          <w:p>
            <w:pPr>
              <w:ind w:left="2660"/>
              <w:spacing w:after="0"/>
              <w:rPr>
                <w:sz w:val="20"/>
                <w:szCs w:val="20"/>
                <w:color w:val="auto"/>
              </w:rPr>
            </w:pPr>
            <w:r>
              <w:rPr>
                <w:rFonts w:ascii="Arial" w:cs="Arial" w:eastAsia="Arial" w:hAnsi="Arial"/>
                <w:sz w:val="18"/>
                <w:szCs w:val="18"/>
                <w:color w:val="auto"/>
              </w:rPr>
              <w:t>By:</w:t>
            </w:r>
          </w:p>
        </w:tc>
        <w:tc>
          <w:tcPr>
            <w:tcW w:w="36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Sarah N. Nielsen</w:t>
            </w:r>
          </w:p>
        </w:tc>
        <w:tc>
          <w:tcPr>
            <w:tcW w:w="400" w:type="dxa"/>
            <w:vAlign w:val="bottom"/>
          </w:tcPr>
          <w:p>
            <w:pPr>
              <w:spacing w:after="0"/>
              <w:rPr>
                <w:sz w:val="19"/>
                <w:szCs w:val="19"/>
                <w:color w:val="auto"/>
              </w:rPr>
            </w:pPr>
          </w:p>
        </w:tc>
      </w:tr>
      <w:tr>
        <w:trPr>
          <w:trHeight w:val="202"/>
        </w:trPr>
        <w:tc>
          <w:tcPr>
            <w:tcW w:w="17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60" w:type="dxa"/>
            <w:vAlign w:val="bottom"/>
          </w:tcPr>
          <w:p>
            <w:pPr>
              <w:ind w:left="100"/>
              <w:spacing w:after="0" w:line="202" w:lineRule="exact"/>
              <w:rPr>
                <w:sz w:val="20"/>
                <w:szCs w:val="20"/>
                <w:color w:val="auto"/>
              </w:rPr>
            </w:pPr>
            <w:r>
              <w:rPr>
                <w:rFonts w:ascii="Arial" w:cs="Arial" w:eastAsia="Arial" w:hAnsi="Arial"/>
                <w:sz w:val="18"/>
                <w:szCs w:val="18"/>
                <w:color w:val="auto"/>
              </w:rPr>
              <w:t>Sarah N. Nielsen</w:t>
            </w:r>
          </w:p>
        </w:tc>
        <w:tc>
          <w:tcPr>
            <w:tcW w:w="400" w:type="dxa"/>
            <w:vAlign w:val="bottom"/>
          </w:tcPr>
          <w:p>
            <w:pPr>
              <w:spacing w:after="0"/>
              <w:rPr>
                <w:sz w:val="17"/>
                <w:szCs w:val="17"/>
                <w:color w:val="auto"/>
              </w:rPr>
            </w:pPr>
          </w:p>
        </w:tc>
      </w:tr>
      <w:tr>
        <w:trPr>
          <w:trHeight w:val="222"/>
        </w:trPr>
        <w:tc>
          <w:tcPr>
            <w:tcW w:w="17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6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c>
          <w:tcPr>
            <w:tcW w:w="400" w:type="dxa"/>
            <w:vAlign w:val="bottom"/>
          </w:tcPr>
          <w:p>
            <w:pPr>
              <w:spacing w:after="0"/>
              <w:rPr>
                <w:sz w:val="19"/>
                <w:szCs w:val="19"/>
                <w:color w:val="auto"/>
              </w:rPr>
            </w:pPr>
          </w:p>
        </w:tc>
      </w:tr>
      <w:tr>
        <w:trPr>
          <w:trHeight w:val="836"/>
        </w:trPr>
        <w:tc>
          <w:tcPr>
            <w:tcW w:w="170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3340" w:type="dxa"/>
            <w:vAlign w:val="bottom"/>
            <w:tcBorders>
              <w:bottom w:val="single" w:sz="8" w:color="808080"/>
            </w:tcBorders>
          </w:tcPr>
          <w:p>
            <w:pPr>
              <w:spacing w:after="0"/>
              <w:rPr>
                <w:sz w:val="24"/>
                <w:szCs w:val="24"/>
                <w:color w:val="auto"/>
              </w:rPr>
            </w:pPr>
          </w:p>
        </w:tc>
        <w:tc>
          <w:tcPr>
            <w:tcW w:w="36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22"/>
          <w:szCs w:val="22"/>
          <w:b w:val="1"/>
          <w:bCs w:val="1"/>
          <w:color w:val="auto"/>
        </w:rPr>
        <w:t>Exhibit 32.1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 SARBANES-OXLEY ACT OF 2002</w:t>
      </w:r>
    </w:p>
    <w:p>
      <w:pPr>
        <w:jc w:val="center"/>
        <w:spacing w:after="0"/>
        <w:rPr>
          <w:sz w:val="20"/>
          <w:szCs w:val="20"/>
          <w:color w:val="auto"/>
        </w:rPr>
      </w:pPr>
      <w:r>
        <w:rPr>
          <w:rFonts w:ascii="Arial" w:cs="Arial" w:eastAsia="Arial" w:hAnsi="Arial"/>
          <w:sz w:val="22"/>
          <w:szCs w:val="22"/>
          <w:b w:val="1"/>
          <w:bCs w:val="1"/>
          <w:color w:val="auto"/>
        </w:rPr>
        <w:t>(18 U.S.C. SECTION 1350)</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I, Robert J. Olson, Chief Executive Officer of Winnebago Industries, Inc., certifies that pursuant to 18 U.S.C. §1350 as adopted pursuant to §906 of the Sarbanes-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Oxley Act of 2002, that:</w:t>
      </w:r>
    </w:p>
    <w:p>
      <w:pPr>
        <w:spacing w:after="0" w:line="219" w:lineRule="exact"/>
        <w:rPr>
          <w:sz w:val="20"/>
          <w:szCs w:val="20"/>
          <w:color w:val="auto"/>
        </w:rPr>
      </w:pPr>
    </w:p>
    <w:p>
      <w:pPr>
        <w:ind w:left="820" w:right="40" w:hanging="488"/>
        <w:spacing w:after="0" w:line="259"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Quarterly Report on Form 10-Q (“periodic report”) of Winnebago Industries, Inc. (the “issuer”), for the quarter ended May 31, 2008 as filed with the Securities and Exchange Commission on the date of this certificate, which this statement accompanies, fully complies with the requirements of Section 13(a) or 15(d) of the Securities Exchange Act of 1934, and</w:t>
      </w:r>
    </w:p>
    <w:p>
      <w:pPr>
        <w:spacing w:after="0" w:line="194" w:lineRule="exact"/>
        <w:rPr>
          <w:rFonts w:ascii="Arial" w:cs="Arial" w:eastAsia="Arial" w:hAnsi="Arial"/>
          <w:sz w:val="18"/>
          <w:szCs w:val="18"/>
          <w:color w:val="auto"/>
        </w:rPr>
      </w:pPr>
    </w:p>
    <w:p>
      <w:pPr>
        <w:ind w:left="820" w:hanging="488"/>
        <w:spacing w:after="0"/>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20" w:type="dxa"/>
            <w:vAlign w:val="bottom"/>
          </w:tcPr>
          <w:p>
            <w:pPr>
              <w:ind w:left="560"/>
              <w:spacing w:after="0"/>
              <w:rPr>
                <w:sz w:val="20"/>
                <w:szCs w:val="20"/>
                <w:color w:val="auto"/>
              </w:rPr>
            </w:pPr>
            <w:r>
              <w:rPr>
                <w:rFonts w:ascii="Arial" w:cs="Arial" w:eastAsia="Arial" w:hAnsi="Arial"/>
                <w:sz w:val="18"/>
                <w:szCs w:val="18"/>
                <w:color w:val="auto"/>
              </w:rPr>
              <w:t>Date:</w:t>
            </w:r>
          </w:p>
        </w:tc>
        <w:tc>
          <w:tcPr>
            <w:tcW w:w="232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July 3, 2008</w:t>
            </w:r>
          </w:p>
        </w:tc>
        <w:tc>
          <w:tcPr>
            <w:tcW w:w="3340" w:type="dxa"/>
            <w:vAlign w:val="bottom"/>
          </w:tcPr>
          <w:p>
            <w:pPr>
              <w:ind w:left="2660"/>
              <w:spacing w:after="0"/>
              <w:rPr>
                <w:sz w:val="20"/>
                <w:szCs w:val="20"/>
                <w:color w:val="auto"/>
              </w:rPr>
            </w:pPr>
            <w:r>
              <w:rPr>
                <w:rFonts w:ascii="Arial" w:cs="Arial" w:eastAsia="Arial" w:hAnsi="Arial"/>
                <w:sz w:val="18"/>
                <w:szCs w:val="18"/>
                <w:color w:val="auto"/>
              </w:rPr>
              <w:t>By:</w:t>
            </w:r>
          </w:p>
        </w:tc>
        <w:tc>
          <w:tcPr>
            <w:tcW w:w="3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Robert J. Olson</w:t>
            </w:r>
          </w:p>
        </w:tc>
        <w:tc>
          <w:tcPr>
            <w:tcW w:w="680" w:type="dxa"/>
            <w:vAlign w:val="bottom"/>
          </w:tcPr>
          <w:p>
            <w:pPr>
              <w:spacing w:after="0"/>
              <w:rPr>
                <w:sz w:val="19"/>
                <w:szCs w:val="19"/>
                <w:color w:val="auto"/>
              </w:rPr>
            </w:pPr>
          </w:p>
        </w:tc>
      </w:tr>
      <w:tr>
        <w:trPr>
          <w:trHeight w:val="202"/>
        </w:trPr>
        <w:tc>
          <w:tcPr>
            <w:tcW w:w="14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60" w:type="dxa"/>
            <w:vAlign w:val="bottom"/>
          </w:tcPr>
          <w:p>
            <w:pPr>
              <w:ind w:left="80"/>
              <w:spacing w:after="0" w:line="202" w:lineRule="exact"/>
              <w:rPr>
                <w:sz w:val="20"/>
                <w:szCs w:val="20"/>
                <w:color w:val="auto"/>
              </w:rPr>
            </w:pPr>
            <w:r>
              <w:rPr>
                <w:rFonts w:ascii="Arial" w:cs="Arial" w:eastAsia="Arial" w:hAnsi="Arial"/>
                <w:sz w:val="18"/>
                <w:szCs w:val="18"/>
                <w:color w:val="auto"/>
              </w:rPr>
              <w:t>Robert J. Olson</w:t>
            </w:r>
          </w:p>
        </w:tc>
        <w:tc>
          <w:tcPr>
            <w:tcW w:w="680" w:type="dxa"/>
            <w:vAlign w:val="bottom"/>
          </w:tcPr>
          <w:p>
            <w:pPr>
              <w:spacing w:after="0"/>
              <w:rPr>
                <w:sz w:val="17"/>
                <w:szCs w:val="17"/>
                <w:color w:val="auto"/>
              </w:rPr>
            </w:pPr>
          </w:p>
        </w:tc>
      </w:tr>
      <w:tr>
        <w:trPr>
          <w:trHeight w:val="222"/>
        </w:trPr>
        <w:tc>
          <w:tcPr>
            <w:tcW w:w="14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660" w:type="dxa"/>
            <w:vAlign w:val="bottom"/>
          </w:tcPr>
          <w:p>
            <w:pPr>
              <w:ind w:left="80"/>
              <w:spacing w:after="0"/>
              <w:rPr>
                <w:sz w:val="20"/>
                <w:szCs w:val="20"/>
                <w:color w:val="auto"/>
              </w:rPr>
            </w:pPr>
            <w:r>
              <w:rPr>
                <w:rFonts w:ascii="Arial" w:cs="Arial" w:eastAsia="Arial" w:hAnsi="Arial"/>
                <w:sz w:val="18"/>
                <w:szCs w:val="18"/>
                <w:color w:val="auto"/>
              </w:rPr>
              <w:t>Chief Executive Officer</w:t>
            </w:r>
          </w:p>
        </w:tc>
        <w:tc>
          <w:tcPr>
            <w:tcW w:w="680" w:type="dxa"/>
            <w:vAlign w:val="bottom"/>
          </w:tcPr>
          <w:p>
            <w:pPr>
              <w:spacing w:after="0"/>
              <w:rPr>
                <w:sz w:val="19"/>
                <w:szCs w:val="19"/>
                <w:color w:val="auto"/>
              </w:rPr>
            </w:pPr>
          </w:p>
        </w:tc>
      </w:tr>
      <w:tr>
        <w:trPr>
          <w:trHeight w:val="2754"/>
        </w:trPr>
        <w:tc>
          <w:tcPr>
            <w:tcW w:w="142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3340" w:type="dxa"/>
            <w:vAlign w:val="bottom"/>
            <w:tcBorders>
              <w:bottom w:val="single" w:sz="8" w:color="808080"/>
            </w:tcBorders>
          </w:tcPr>
          <w:p>
            <w:pPr>
              <w:spacing w:after="0"/>
              <w:rPr>
                <w:sz w:val="24"/>
                <w:szCs w:val="24"/>
                <w:color w:val="auto"/>
              </w:rPr>
            </w:pPr>
          </w:p>
        </w:tc>
        <w:tc>
          <w:tcPr>
            <w:tcW w:w="36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22"/>
          <w:szCs w:val="22"/>
          <w:b w:val="1"/>
          <w:bCs w:val="1"/>
          <w:color w:val="auto"/>
        </w:rPr>
        <w:t>Exhibit 32.2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 SARBANES-OXLEY ACT OF 2002</w:t>
      </w:r>
    </w:p>
    <w:p>
      <w:pPr>
        <w:jc w:val="center"/>
        <w:spacing w:after="0"/>
        <w:rPr>
          <w:sz w:val="20"/>
          <w:szCs w:val="20"/>
          <w:color w:val="auto"/>
        </w:rPr>
      </w:pPr>
      <w:r>
        <w:rPr>
          <w:rFonts w:ascii="Arial" w:cs="Arial" w:eastAsia="Arial" w:hAnsi="Arial"/>
          <w:sz w:val="22"/>
          <w:szCs w:val="22"/>
          <w:b w:val="1"/>
          <w:bCs w:val="1"/>
          <w:color w:val="auto"/>
        </w:rPr>
        <w:t>(18 U.S.C. SECTION 1350)</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I, Sarah N. Nielsen, Chief Financial Officer of Winnebago Industries, Inc., certifies that pursuant to 18 U.S.C. §1350 as adopted pursuant to §906 of the Sarbanes-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Oxley Act of 2002, that:</w:t>
      </w:r>
    </w:p>
    <w:p>
      <w:pPr>
        <w:spacing w:after="0" w:line="219" w:lineRule="exact"/>
        <w:rPr>
          <w:sz w:val="20"/>
          <w:szCs w:val="20"/>
          <w:color w:val="auto"/>
        </w:rPr>
      </w:pPr>
    </w:p>
    <w:p>
      <w:pPr>
        <w:ind w:left="820" w:right="40" w:hanging="488"/>
        <w:spacing w:after="0" w:line="259"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Quarterly Report on Form 10-Q (“periodic report”) of Winnebago Industries, Inc. (the “issuer”), for the quarter ended May 31, 2008 as filed with the Securities and Exchange Commission on the date of this certificate, which this statement accompanies, fully complies with the requirements of Section 13(a) or 15(d) of the Securities Exchange Act of 1934, and</w:t>
      </w:r>
    </w:p>
    <w:p>
      <w:pPr>
        <w:spacing w:after="0" w:line="194" w:lineRule="exact"/>
        <w:rPr>
          <w:rFonts w:ascii="Arial" w:cs="Arial" w:eastAsia="Arial" w:hAnsi="Arial"/>
          <w:sz w:val="18"/>
          <w:szCs w:val="18"/>
          <w:color w:val="auto"/>
        </w:rPr>
      </w:pPr>
    </w:p>
    <w:p>
      <w:pPr>
        <w:ind w:left="820" w:hanging="488"/>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20" w:type="dxa"/>
            <w:vAlign w:val="bottom"/>
          </w:tcPr>
          <w:p>
            <w:pPr>
              <w:ind w:left="560"/>
              <w:spacing w:after="0"/>
              <w:rPr>
                <w:sz w:val="20"/>
                <w:szCs w:val="20"/>
                <w:color w:val="auto"/>
              </w:rPr>
            </w:pPr>
            <w:r>
              <w:rPr>
                <w:rFonts w:ascii="Arial" w:cs="Arial" w:eastAsia="Arial" w:hAnsi="Arial"/>
                <w:sz w:val="18"/>
                <w:szCs w:val="18"/>
                <w:color w:val="auto"/>
              </w:rPr>
              <w:t>Date:</w:t>
            </w:r>
          </w:p>
        </w:tc>
        <w:tc>
          <w:tcPr>
            <w:tcW w:w="232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July 3, 2008</w:t>
            </w:r>
          </w:p>
        </w:tc>
        <w:tc>
          <w:tcPr>
            <w:tcW w:w="3340" w:type="dxa"/>
            <w:vAlign w:val="bottom"/>
          </w:tcPr>
          <w:p>
            <w:pPr>
              <w:ind w:left="2660"/>
              <w:spacing w:after="0"/>
              <w:rPr>
                <w:sz w:val="20"/>
                <w:szCs w:val="20"/>
                <w:color w:val="auto"/>
              </w:rPr>
            </w:pPr>
            <w:r>
              <w:rPr>
                <w:rFonts w:ascii="Arial" w:cs="Arial" w:eastAsia="Arial" w:hAnsi="Arial"/>
                <w:sz w:val="18"/>
                <w:szCs w:val="18"/>
                <w:color w:val="auto"/>
              </w:rPr>
              <w:t>By:</w:t>
            </w:r>
          </w:p>
        </w:tc>
        <w:tc>
          <w:tcPr>
            <w:tcW w:w="36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Sarah N. Nielsen</w:t>
            </w:r>
          </w:p>
        </w:tc>
        <w:tc>
          <w:tcPr>
            <w:tcW w:w="680" w:type="dxa"/>
            <w:vAlign w:val="bottom"/>
          </w:tcPr>
          <w:p>
            <w:pPr>
              <w:spacing w:after="0"/>
              <w:rPr>
                <w:sz w:val="19"/>
                <w:szCs w:val="19"/>
                <w:color w:val="auto"/>
              </w:rPr>
            </w:pPr>
          </w:p>
        </w:tc>
      </w:tr>
      <w:tr>
        <w:trPr>
          <w:trHeight w:val="202"/>
        </w:trPr>
        <w:tc>
          <w:tcPr>
            <w:tcW w:w="14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60" w:type="dxa"/>
            <w:vAlign w:val="bottom"/>
          </w:tcPr>
          <w:p>
            <w:pPr>
              <w:ind w:left="80"/>
              <w:spacing w:after="0" w:line="202" w:lineRule="exact"/>
              <w:rPr>
                <w:sz w:val="20"/>
                <w:szCs w:val="20"/>
                <w:color w:val="auto"/>
              </w:rPr>
            </w:pPr>
            <w:r>
              <w:rPr>
                <w:rFonts w:ascii="Arial" w:cs="Arial" w:eastAsia="Arial" w:hAnsi="Arial"/>
                <w:sz w:val="18"/>
                <w:szCs w:val="18"/>
                <w:color w:val="auto"/>
              </w:rPr>
              <w:t>Sarah N. Nielsen</w:t>
            </w:r>
          </w:p>
        </w:tc>
        <w:tc>
          <w:tcPr>
            <w:tcW w:w="680" w:type="dxa"/>
            <w:vAlign w:val="bottom"/>
          </w:tcPr>
          <w:p>
            <w:pPr>
              <w:spacing w:after="0"/>
              <w:rPr>
                <w:sz w:val="17"/>
                <w:szCs w:val="17"/>
                <w:color w:val="auto"/>
              </w:rPr>
            </w:pPr>
          </w:p>
        </w:tc>
      </w:tr>
      <w:tr>
        <w:trPr>
          <w:trHeight w:val="222"/>
        </w:trPr>
        <w:tc>
          <w:tcPr>
            <w:tcW w:w="14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660" w:type="dxa"/>
            <w:vAlign w:val="bottom"/>
          </w:tcPr>
          <w:p>
            <w:pPr>
              <w:ind w:left="80"/>
              <w:spacing w:after="0"/>
              <w:rPr>
                <w:sz w:val="20"/>
                <w:szCs w:val="20"/>
                <w:color w:val="auto"/>
              </w:rPr>
            </w:pPr>
            <w:r>
              <w:rPr>
                <w:rFonts w:ascii="Arial" w:cs="Arial" w:eastAsia="Arial" w:hAnsi="Arial"/>
                <w:sz w:val="18"/>
                <w:szCs w:val="18"/>
                <w:color w:val="auto"/>
              </w:rPr>
              <w:t>Chief Financial Officer</w:t>
            </w:r>
          </w:p>
        </w:tc>
        <w:tc>
          <w:tcPr>
            <w:tcW w:w="680" w:type="dxa"/>
            <w:vAlign w:val="bottom"/>
          </w:tcPr>
          <w:p>
            <w:pPr>
              <w:spacing w:after="0"/>
              <w:rPr>
                <w:sz w:val="19"/>
                <w:szCs w:val="19"/>
                <w:color w:val="auto"/>
              </w:rPr>
            </w:pPr>
          </w:p>
        </w:tc>
      </w:tr>
      <w:tr>
        <w:trPr>
          <w:trHeight w:val="2754"/>
        </w:trPr>
        <w:tc>
          <w:tcPr>
            <w:tcW w:w="142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3340" w:type="dxa"/>
            <w:vAlign w:val="bottom"/>
            <w:tcBorders>
              <w:bottom w:val="single" w:sz="8" w:color="808080"/>
            </w:tcBorders>
          </w:tcPr>
          <w:p>
            <w:pPr>
              <w:spacing w:after="0"/>
              <w:rPr>
                <w:sz w:val="24"/>
                <w:szCs w:val="24"/>
                <w:color w:val="auto"/>
              </w:rPr>
            </w:pPr>
          </w:p>
        </w:tc>
        <w:tc>
          <w:tcPr>
            <w:tcW w:w="36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decimal"/>
      <w:start w:val="15"/>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2019-12-13T08:13:47Z</dcterms:created>
  <dcterms:modified xsi:type="dcterms:W3CDTF">2019-12-13T08:13:47Z</dcterms:modified>
</cp:coreProperties>
</file>