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24"/>
          <w:szCs w:val="24"/>
          <w:b w:val="1"/>
          <w:bCs w:val="1"/>
          <w:color w:val="auto"/>
        </w:rPr>
        <w:t>SECURITIES AND EXCHANGE COMMISSION</w:t>
      </w:r>
    </w:p>
    <w:p>
      <w:pPr>
        <w:spacing w:after="0" w:line="8" w:lineRule="exact"/>
        <w:rPr>
          <w:sz w:val="24"/>
          <w:szCs w:val="24"/>
          <w:color w:val="auto"/>
        </w:rPr>
      </w:pPr>
    </w:p>
    <w:p>
      <w:pPr>
        <w:jc w:val="center"/>
        <w:ind w:right="-259"/>
        <w:spacing w:after="0"/>
        <w:rPr>
          <w:sz w:val="20"/>
          <w:szCs w:val="20"/>
          <w:color w:val="auto"/>
        </w:rPr>
      </w:pPr>
      <w:r>
        <w:rPr>
          <w:rFonts w:ascii="Arial" w:cs="Arial" w:eastAsia="Arial" w:hAnsi="Arial"/>
          <w:sz w:val="24"/>
          <w:szCs w:val="24"/>
          <w:b w:val="1"/>
          <w:bCs w:val="1"/>
          <w:color w:val="auto"/>
        </w:rPr>
        <w:t>WASHINGTON, D.C. 20549</w:t>
      </w:r>
    </w:p>
    <w:p>
      <w:pPr>
        <w:spacing w:after="0" w:line="263" w:lineRule="exact"/>
        <w:rPr>
          <w:sz w:val="24"/>
          <w:szCs w:val="24"/>
          <w:color w:val="auto"/>
        </w:rPr>
      </w:pPr>
    </w:p>
    <w:p>
      <w:pPr>
        <w:jc w:val="center"/>
        <w:ind w:right="-259"/>
        <w:spacing w:after="0"/>
        <w:rPr>
          <w:sz w:val="20"/>
          <w:szCs w:val="20"/>
          <w:color w:val="auto"/>
        </w:rPr>
      </w:pPr>
      <w:r>
        <w:rPr>
          <w:rFonts w:ascii="Arial" w:cs="Arial" w:eastAsia="Arial" w:hAnsi="Arial"/>
          <w:sz w:val="24"/>
          <w:szCs w:val="24"/>
          <w:b w:val="1"/>
          <w:bCs w:val="1"/>
          <w:color w:val="auto"/>
        </w:rPr>
        <w:t>FORM 8-K</w:t>
      </w:r>
    </w:p>
    <w:p>
      <w:pPr>
        <w:spacing w:after="0" w:line="31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86"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January 27, 2004</w:t>
      </w:r>
    </w:p>
    <w:p>
      <w:pPr>
        <w:spacing w:after="0" w:line="219"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Winnebago Industries, Inc.</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(Exact Name of Registrant as Specified in Charter)</w:t>
      </w:r>
    </w:p>
    <w:p>
      <w:pPr>
        <w:spacing w:after="0" w:line="196" w:lineRule="exact"/>
        <w:rPr>
          <w:sz w:val="24"/>
          <w:szCs w:val="24"/>
          <w:color w:val="auto"/>
        </w:rPr>
      </w:pPr>
    </w:p>
    <w:tbl>
      <w:tblPr>
        <w:tblLayout w:type="fixed"/>
        <w:tblInd w:w="218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150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97"/>
              </w:rPr>
              <w:t>IOWA</w:t>
            </w:r>
          </w:p>
        </w:tc>
        <w:tc>
          <w:tcPr>
            <w:tcW w:w="2660" w:type="dxa"/>
            <w:vAlign w:val="bottom"/>
            <w:gridSpan w:val="3"/>
          </w:tcPr>
          <w:p>
            <w:pPr>
              <w:jc w:val="right"/>
              <w:ind w:right="860"/>
              <w:spacing w:after="0"/>
              <w:rPr>
                <w:sz w:val="20"/>
                <w:szCs w:val="20"/>
                <w:color w:val="auto"/>
              </w:rPr>
            </w:pPr>
            <w:r>
              <w:rPr>
                <w:rFonts w:ascii="Arial" w:cs="Arial" w:eastAsia="Arial" w:hAnsi="Arial"/>
                <w:sz w:val="18"/>
                <w:szCs w:val="18"/>
                <w:b w:val="1"/>
                <w:bCs w:val="1"/>
                <w:color w:val="auto"/>
              </w:rPr>
              <w:t>001-06403</w:t>
            </w:r>
          </w:p>
        </w:tc>
        <w:tc>
          <w:tcPr>
            <w:tcW w:w="268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42-0802678</w:t>
            </w:r>
          </w:p>
        </w:tc>
      </w:tr>
      <w:tr>
        <w:trPr>
          <w:trHeight w:val="20"/>
        </w:trPr>
        <w:tc>
          <w:tcPr>
            <w:tcW w:w="5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5"/>
        </w:trPr>
        <w:tc>
          <w:tcPr>
            <w:tcW w:w="208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(State of Incorporation)</w:t>
            </w:r>
          </w:p>
        </w:tc>
        <w:tc>
          <w:tcPr>
            <w:tcW w:w="2660" w:type="dxa"/>
            <w:vAlign w:val="bottom"/>
            <w:gridSpan w:val="3"/>
          </w:tcPr>
          <w:p>
            <w:pPr>
              <w:jc w:val="center"/>
              <w:ind w:left="72"/>
              <w:spacing w:after="0"/>
              <w:rPr>
                <w:sz w:val="20"/>
                <w:szCs w:val="20"/>
                <w:color w:val="auto"/>
              </w:rPr>
            </w:pPr>
            <w:r>
              <w:rPr>
                <w:rFonts w:ascii="Arial" w:cs="Arial" w:eastAsia="Arial" w:hAnsi="Arial"/>
                <w:sz w:val="18"/>
                <w:szCs w:val="18"/>
                <w:color w:val="auto"/>
                <w:w w:val="90"/>
              </w:rPr>
              <w:t>(Commission File Number)</w:t>
            </w:r>
          </w:p>
        </w:tc>
        <w:tc>
          <w:tcPr>
            <w:tcW w:w="2680" w:type="dxa"/>
            <w:vAlign w:val="bottom"/>
            <w:gridSpan w:val="3"/>
          </w:tcPr>
          <w:p>
            <w:pPr>
              <w:jc w:val="center"/>
              <w:ind w:left="172"/>
              <w:spacing w:after="0"/>
              <w:rPr>
                <w:sz w:val="20"/>
                <w:szCs w:val="20"/>
                <w:color w:val="auto"/>
              </w:rPr>
            </w:pPr>
            <w:r>
              <w:rPr>
                <w:rFonts w:ascii="Arial" w:cs="Arial" w:eastAsia="Arial" w:hAnsi="Arial"/>
                <w:sz w:val="18"/>
                <w:szCs w:val="18"/>
                <w:color w:val="auto"/>
                <w:w w:val="92"/>
              </w:rPr>
              <w:t>(IRS Employer Identification No.)</w:t>
            </w:r>
          </w:p>
        </w:tc>
      </w:tr>
    </w:tbl>
    <w:p>
      <w:pPr>
        <w:spacing w:after="0" w:line="204"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P.O. BOX 152</w:t>
      </w:r>
    </w:p>
    <w:p>
      <w:pPr>
        <w:spacing w:after="0" w:line="21"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Forest City, Iowa 50436</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(Address of Principal Executive Offices) (Zip Code)</w:t>
      </w:r>
    </w:p>
    <w:p>
      <w:pPr>
        <w:spacing w:after="0" w:line="219"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641-585-3535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437515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Other Events and Regulation FD Disclosure</w:t>
      </w:r>
    </w:p>
    <w:p>
      <w:pPr>
        <w:spacing w:after="0" w:line="299" w:lineRule="exact"/>
        <w:rPr>
          <w:sz w:val="24"/>
          <w:szCs w:val="24"/>
          <w:color w:val="auto"/>
        </w:rPr>
      </w:pPr>
    </w:p>
    <w:p>
      <w:pPr>
        <w:ind w:right="100" w:firstLine="348"/>
        <w:spacing w:after="0" w:line="259" w:lineRule="auto"/>
        <w:rPr>
          <w:sz w:val="20"/>
          <w:szCs w:val="20"/>
          <w:color w:val="auto"/>
        </w:rPr>
      </w:pPr>
      <w:r>
        <w:rPr>
          <w:rFonts w:ascii="Arial" w:cs="Arial" w:eastAsia="Arial" w:hAnsi="Arial"/>
          <w:sz w:val="18"/>
          <w:szCs w:val="18"/>
          <w:color w:val="auto"/>
        </w:rPr>
        <w:t>The New York Stock Exchange has requested Winnebago Industries, Inc. (the “Company”) revise its previously announced cash dividend record and payment dates due to an overlap with the timing of the Company’s upcoming stock split. The new record date is March 15, 2004 for the Company’s quarterly cash dividend and is now payable to shareholders on April 15, 2004.</w:t>
      </w:r>
    </w:p>
    <w:p>
      <w:pPr>
        <w:spacing w:after="0" w:line="269" w:lineRule="exact"/>
        <w:rPr>
          <w:sz w:val="24"/>
          <w:szCs w:val="24"/>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Financial Statements and Exhibits</w:t>
      </w:r>
    </w:p>
    <w:p>
      <w:pPr>
        <w:spacing w:after="0" w:line="29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The following exhibits are included herein:</w:t>
      </w:r>
    </w:p>
    <w:p>
      <w:pPr>
        <w:spacing w:after="0" w:line="225" w:lineRule="exact"/>
        <w:rPr>
          <w:sz w:val="24"/>
          <w:szCs w:val="24"/>
          <w:color w:val="auto"/>
        </w:rPr>
      </w:pPr>
    </w:p>
    <w:p>
      <w:pPr>
        <w:ind w:left="360"/>
        <w:spacing w:after="0"/>
        <w:tabs>
          <w:tab w:leader="none" w:pos="1360" w:val="left"/>
        </w:tabs>
        <w:rPr>
          <w:sz w:val="20"/>
          <w:szCs w:val="20"/>
          <w:color w:val="auto"/>
        </w:rPr>
      </w:pPr>
      <w:r>
        <w:rPr>
          <w:rFonts w:ascii="Arial" w:cs="Arial" w:eastAsia="Arial" w:hAnsi="Arial"/>
          <w:sz w:val="18"/>
          <w:szCs w:val="18"/>
          <w:color w:val="auto"/>
        </w:rPr>
        <w:t>Ex. 99.1</w:t>
      </w:r>
      <w:r>
        <w:rPr>
          <w:sz w:val="20"/>
          <w:szCs w:val="20"/>
          <w:color w:val="auto"/>
        </w:rPr>
        <w:tab/>
      </w:r>
      <w:r>
        <w:rPr>
          <w:rFonts w:ascii="Arial" w:cs="Arial" w:eastAsia="Arial" w:hAnsi="Arial"/>
          <w:sz w:val="15"/>
          <w:szCs w:val="15"/>
          <w:color w:val="auto"/>
        </w:rPr>
        <w:t>Press Release of Winnebago Industries, Inc. issued on January 27,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437515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99" w:lineRule="exact"/>
        <w:rPr>
          <w:sz w:val="24"/>
          <w:szCs w:val="24"/>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report to be signed on its behalf by the undersigned hereunto duly authorized.</w:t>
      </w:r>
    </w:p>
    <w:p>
      <w:pPr>
        <w:spacing w:after="0" w:line="37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20"/>
                <w:szCs w:val="20"/>
                <w:color w:val="auto"/>
              </w:rPr>
            </w:pPr>
            <w:r>
              <w:rPr>
                <w:rFonts w:ascii="Arial" w:cs="Arial" w:eastAsia="Arial" w:hAnsi="Arial"/>
                <w:sz w:val="18"/>
                <w:szCs w:val="18"/>
                <w:color w:val="auto"/>
              </w:rPr>
              <w:t>Date: January 27, 2004</w:t>
            </w:r>
          </w:p>
        </w:tc>
        <w:tc>
          <w:tcPr>
            <w:tcW w:w="5140" w:type="dxa"/>
            <w:vAlign w:val="bottom"/>
            <w:gridSpan w:val="2"/>
          </w:tcPr>
          <w:p>
            <w:pPr>
              <w:ind w:left="2700"/>
              <w:spacing w:after="0"/>
              <w:rPr>
                <w:sz w:val="20"/>
                <w:szCs w:val="20"/>
                <w:color w:val="auto"/>
              </w:rPr>
            </w:pPr>
            <w:r>
              <w:rPr>
                <w:rFonts w:ascii="Arial" w:cs="Arial" w:eastAsia="Arial" w:hAnsi="Arial"/>
                <w:sz w:val="18"/>
                <w:szCs w:val="18"/>
                <w:color w:val="auto"/>
              </w:rPr>
              <w:t>By: /s/ Bruce D. Hertzke</w:t>
            </w:r>
          </w:p>
        </w:tc>
      </w:tr>
      <w:tr>
        <w:trPr>
          <w:trHeight w:val="20"/>
        </w:trPr>
        <w:tc>
          <w:tcPr>
            <w:tcW w:w="43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r>
      <w:tr>
        <w:trPr>
          <w:trHeight w:val="228"/>
        </w:trPr>
        <w:tc>
          <w:tcPr>
            <w:tcW w:w="4320" w:type="dxa"/>
            <w:vAlign w:val="bottom"/>
          </w:tcPr>
          <w:p>
            <w:pPr>
              <w:spacing w:after="0"/>
              <w:rPr>
                <w:sz w:val="19"/>
                <w:szCs w:val="19"/>
                <w:color w:val="auto"/>
              </w:rPr>
            </w:pPr>
          </w:p>
        </w:tc>
        <w:tc>
          <w:tcPr>
            <w:tcW w:w="5140" w:type="dxa"/>
            <w:vAlign w:val="bottom"/>
            <w:gridSpan w:val="2"/>
          </w:tcPr>
          <w:p>
            <w:pPr>
              <w:ind w:left="2700"/>
              <w:spacing w:after="0"/>
              <w:rPr>
                <w:sz w:val="20"/>
                <w:szCs w:val="20"/>
                <w:color w:val="auto"/>
              </w:rPr>
            </w:pPr>
            <w:r>
              <w:rPr>
                <w:rFonts w:ascii="Arial" w:cs="Arial" w:eastAsia="Arial" w:hAnsi="Arial"/>
                <w:sz w:val="18"/>
                <w:szCs w:val="18"/>
                <w:color w:val="auto"/>
              </w:rPr>
              <w:t>Name: Bruce D. Hertzke</w:t>
            </w:r>
          </w:p>
        </w:tc>
      </w:tr>
      <w:tr>
        <w:trPr>
          <w:trHeight w:val="222"/>
        </w:trPr>
        <w:tc>
          <w:tcPr>
            <w:tcW w:w="4320" w:type="dxa"/>
            <w:vAlign w:val="bottom"/>
          </w:tcPr>
          <w:p>
            <w:pPr>
              <w:spacing w:after="0"/>
              <w:rPr>
                <w:sz w:val="19"/>
                <w:szCs w:val="19"/>
                <w:color w:val="auto"/>
              </w:rPr>
            </w:pPr>
          </w:p>
        </w:tc>
        <w:tc>
          <w:tcPr>
            <w:tcW w:w="5140" w:type="dxa"/>
            <w:vAlign w:val="bottom"/>
            <w:gridSpan w:val="2"/>
          </w:tcPr>
          <w:p>
            <w:pPr>
              <w:ind w:left="2700"/>
              <w:spacing w:after="0"/>
              <w:rPr>
                <w:sz w:val="20"/>
                <w:szCs w:val="20"/>
                <w:color w:val="auto"/>
              </w:rPr>
            </w:pPr>
            <w:r>
              <w:rPr>
                <w:rFonts w:ascii="Arial" w:cs="Arial" w:eastAsia="Arial" w:hAnsi="Arial"/>
                <w:sz w:val="18"/>
                <w:szCs w:val="18"/>
                <w:color w:val="auto"/>
              </w:rPr>
              <w:t>Title: Chief Executive Officer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1680210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60"/>
          </w:cols>
          <w:pgMar w:left="240" w:top="219" w:right="49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160"/>
          </w:cols>
          <w:pgMar w:left="240" w:top="219" w:right="49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2220" w:type="dxa"/>
            <w:vAlign w:val="bottom"/>
          </w:tcPr>
          <w:p>
            <w:pPr>
              <w:ind w:left="1660"/>
              <w:spacing w:after="0"/>
              <w:rPr>
                <w:sz w:val="20"/>
                <w:szCs w:val="20"/>
                <w:color w:val="auto"/>
              </w:rPr>
            </w:pPr>
            <w:r>
              <w:rPr>
                <w:rFonts w:ascii="Arial" w:cs="Arial" w:eastAsia="Arial" w:hAnsi="Arial"/>
                <w:sz w:val="14"/>
                <w:szCs w:val="14"/>
                <w:b w:val="1"/>
                <w:bCs w:val="1"/>
                <w:color w:val="auto"/>
              </w:rPr>
              <w:t>Exhibit</w:t>
            </w:r>
          </w:p>
        </w:tc>
        <w:tc>
          <w:tcPr>
            <w:tcW w:w="520" w:type="dxa"/>
            <w:vAlign w:val="bottom"/>
          </w:tcPr>
          <w:p>
            <w:pPr>
              <w:spacing w:after="0"/>
              <w:rPr>
                <w:sz w:val="14"/>
                <w:szCs w:val="14"/>
                <w:color w:val="auto"/>
              </w:rPr>
            </w:pPr>
          </w:p>
        </w:tc>
        <w:tc>
          <w:tcPr>
            <w:tcW w:w="8680" w:type="dxa"/>
            <w:vAlign w:val="bottom"/>
            <w:gridSpan w:val="3"/>
          </w:tcPr>
          <w:p>
            <w:pPr>
              <w:ind w:left="5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21"/>
        </w:trPr>
        <w:tc>
          <w:tcPr>
            <w:tcW w:w="2220" w:type="dxa"/>
            <w:vAlign w:val="bottom"/>
          </w:tcPr>
          <w:p>
            <w:pPr>
              <w:ind w:left="1660"/>
              <w:spacing w:after="0" w:line="114"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220" w:type="dxa"/>
            <w:vAlign w:val="bottom"/>
            <w:vMerge w:val="restart"/>
          </w:tcPr>
          <w:p>
            <w:pPr>
              <w:ind w:left="1660"/>
              <w:spacing w:after="0"/>
              <w:rPr>
                <w:sz w:val="20"/>
                <w:szCs w:val="20"/>
                <w:color w:val="auto"/>
              </w:rPr>
            </w:pPr>
            <w:r>
              <w:rPr>
                <w:rFonts w:ascii="Arial" w:cs="Arial" w:eastAsia="Arial" w:hAnsi="Arial"/>
                <w:sz w:val="18"/>
                <w:szCs w:val="18"/>
                <w:color w:val="auto"/>
              </w:rPr>
              <w:t>99.1</w:t>
            </w:r>
          </w:p>
        </w:tc>
        <w:tc>
          <w:tcPr>
            <w:tcW w:w="520" w:type="dxa"/>
            <w:vAlign w:val="bottom"/>
            <w:tcBorders>
              <w:bottom w:val="single" w:sz="8" w:color="auto"/>
            </w:tcBorders>
          </w:tcPr>
          <w:p>
            <w:pPr>
              <w:spacing w:after="0"/>
              <w:rPr>
                <w:sz w:val="11"/>
                <w:szCs w:val="11"/>
                <w:color w:val="auto"/>
              </w:rPr>
            </w:pPr>
          </w:p>
        </w:tc>
        <w:tc>
          <w:tcPr>
            <w:tcW w:w="8680" w:type="dxa"/>
            <w:vAlign w:val="bottom"/>
            <w:gridSpan w:val="3"/>
            <w:vMerge w:val="restart"/>
          </w:tcPr>
          <w:p>
            <w:pPr>
              <w:ind w:left="540"/>
              <w:spacing w:after="0"/>
              <w:rPr>
                <w:sz w:val="20"/>
                <w:szCs w:val="20"/>
                <w:color w:val="auto"/>
              </w:rPr>
            </w:pPr>
            <w:r>
              <w:rPr>
                <w:rFonts w:ascii="Arial" w:cs="Arial" w:eastAsia="Arial" w:hAnsi="Arial"/>
                <w:sz w:val="18"/>
                <w:szCs w:val="18"/>
                <w:color w:val="auto"/>
              </w:rPr>
              <w:t>Press Release of Winnebago Industries, Inc. dated January 27, 2004.</w:t>
            </w:r>
          </w:p>
        </w:tc>
        <w:tc>
          <w:tcPr>
            <w:tcW w:w="0" w:type="dxa"/>
            <w:vAlign w:val="bottom"/>
          </w:tcPr>
          <w:p>
            <w:pPr>
              <w:spacing w:after="0"/>
              <w:rPr>
                <w:sz w:val="1"/>
                <w:szCs w:val="1"/>
                <w:color w:val="auto"/>
              </w:rPr>
            </w:pPr>
          </w:p>
        </w:tc>
      </w:tr>
      <w:tr>
        <w:trPr>
          <w:trHeight w:val="316"/>
        </w:trPr>
        <w:tc>
          <w:tcPr>
            <w:tcW w:w="22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68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65"/>
        </w:trPr>
        <w:tc>
          <w:tcPr>
            <w:tcW w:w="222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Contact:</w:t>
      </w:r>
      <w:r>
        <w:rPr>
          <w:sz w:val="20"/>
          <w:szCs w:val="20"/>
          <w:color w:val="auto"/>
        </w:rPr>
        <w:tab/>
      </w:r>
      <w:r>
        <w:rPr>
          <w:rFonts w:ascii="Courier New" w:cs="Courier New" w:eastAsia="Courier New" w:hAnsi="Courier New"/>
          <w:sz w:val="16"/>
          <w:szCs w:val="16"/>
          <w:color w:val="auto"/>
        </w:rPr>
        <w:t>Sheila Davis, PR/IR Manager</w:t>
      </w:r>
    </w:p>
    <w:p>
      <w:pPr>
        <w:ind w:left="1060"/>
        <w:spacing w:after="0" w:line="238" w:lineRule="auto"/>
        <w:rPr>
          <w:sz w:val="20"/>
          <w:szCs w:val="20"/>
          <w:color w:val="auto"/>
        </w:rPr>
      </w:pPr>
      <w:r>
        <w:rPr>
          <w:rFonts w:ascii="Courier New" w:cs="Courier New" w:eastAsia="Courier New" w:hAnsi="Courier New"/>
          <w:sz w:val="18"/>
          <w:szCs w:val="18"/>
          <w:color w:val="auto"/>
        </w:rPr>
        <w:t>641-585-6803</w:t>
      </w:r>
    </w:p>
    <w:p>
      <w:pPr>
        <w:ind w:left="1060"/>
        <w:spacing w:after="0"/>
        <w:rPr>
          <w:sz w:val="20"/>
          <w:szCs w:val="20"/>
          <w:color w:val="auto"/>
        </w:rPr>
      </w:pPr>
      <w:r>
        <w:rPr>
          <w:rFonts w:ascii="Courier New" w:cs="Courier New" w:eastAsia="Courier New" w:hAnsi="Courier New"/>
          <w:sz w:val="18"/>
          <w:szCs w:val="18"/>
          <w:color w:val="auto"/>
        </w:rPr>
        <w:t>sdavis@winnebagoind.com</w:t>
      </w:r>
    </w:p>
    <w:p>
      <w:pPr>
        <w:spacing w:after="0" w:line="200" w:lineRule="exact"/>
        <w:rPr>
          <w:sz w:val="20"/>
          <w:szCs w:val="20"/>
          <w:color w:val="auto"/>
        </w:rPr>
      </w:pP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REVISES CASH DIVIDEND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RECORD AND PAYMENT DATES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FOREST CITY, IOWA, January 27, 2004 -- Winnebago Industries, Inc. (NYSE:WGO), today announced that the record and payment dates for the Company's upcoming quarterly cash dividend have been revised. The new record date is March 15, 2004 for the Company's quarterly cash dividend and is now payable to shareholders on April 15, 2004.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WINNEBAGO INDUSTRIES</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Winnebago Industries, Inc. is the leading United States manufacturer of motor homes, self-contained recreation vehicles used primarily in leisure travel and outdoor recreation activities. The Company builds quality motor homes under the Winnebago, Itasca, Rialta and Ultimate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http://www.winnebagoind.com/html/company/investorRelations.html</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20" w:hanging="209"/>
        <w:spacing w:after="0"/>
        <w:tabs>
          <w:tab w:leader="none" w:pos="42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2019-12-13T08:29:30Z</dcterms:created>
  <dcterms:modified xsi:type="dcterms:W3CDTF">2019-12-13T08:29:30Z</dcterms:modified>
</cp:coreProperties>
</file>