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9" w:lineRule="exact"/>
        <w:rPr>
          <w:sz w:val="24"/>
          <w:szCs w:val="24"/>
          <w:color w:val="auto"/>
        </w:rPr>
      </w:pPr>
    </w:p>
    <w:p>
      <w:pPr>
        <w:jc w:val="center"/>
        <w:ind w:right="-15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March 16, 2006</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30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is filing herewith a press release issued on March 16, 2006, as Exhibit 99.1 which is included herein. The press release was issued to report earnings for the second quarter of fiscal 2006 ended February 25, 2006.</w:t>
      </w:r>
    </w:p>
    <w:p>
      <w:pPr>
        <w:spacing w:after="0" w:line="234"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306" w:lineRule="exact"/>
        <w:rPr>
          <w:sz w:val="24"/>
          <w:szCs w:val="24"/>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1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4"/>
          <w:szCs w:val="24"/>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16, 2006.</w:t>
      </w:r>
    </w:p>
    <w:p>
      <w:pPr>
        <w:sectPr>
          <w:pgSz w:w="11900" w:h="16838" w:orient="portrait"/>
          <w:cols w:equalWidth="0" w:num="1">
            <w:col w:w="11260"/>
          </w:cols>
          <w:pgMar w:left="240" w:top="1313" w:right="3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260"/>
          </w:cols>
          <w:pgMar w:left="240" w:top="1313" w:right="399" w:bottom="0" w:gutter="0" w:footer="0" w:header="0"/>
          <w:type w:val="continuous"/>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860" w:type="dxa"/>
            <w:vAlign w:val="bottom"/>
          </w:tcPr>
          <w:p>
            <w:pPr>
              <w:spacing w:after="0"/>
              <w:rPr>
                <w:sz w:val="20"/>
                <w:szCs w:val="20"/>
                <w:color w:val="auto"/>
              </w:rPr>
            </w:pPr>
            <w:r>
              <w:rPr>
                <w:rFonts w:ascii="Arial" w:cs="Arial" w:eastAsia="Arial" w:hAnsi="Arial"/>
                <w:sz w:val="18"/>
                <w:szCs w:val="18"/>
                <w:color w:val="auto"/>
              </w:rPr>
              <w:t>Dated: March 16, 2006</w:t>
            </w:r>
          </w:p>
        </w:tc>
        <w:tc>
          <w:tcPr>
            <w:tcW w:w="7060" w:type="dxa"/>
            <w:vAlign w:val="bottom"/>
            <w:gridSpan w:val="3"/>
          </w:tcPr>
          <w:p>
            <w:pPr>
              <w:ind w:left="222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860" w:type="dxa"/>
            <w:vAlign w:val="bottom"/>
          </w:tcPr>
          <w:p>
            <w:pPr>
              <w:spacing w:after="0"/>
              <w:rPr>
                <w:sz w:val="24"/>
                <w:szCs w:val="24"/>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860" w:type="dxa"/>
            <w:vAlign w:val="bottom"/>
          </w:tcPr>
          <w:p>
            <w:pPr>
              <w:spacing w:after="0"/>
              <w:rPr>
                <w:sz w:val="22"/>
                <w:szCs w:val="22"/>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860" w:type="dxa"/>
            <w:vAlign w:val="bottom"/>
          </w:tcPr>
          <w:p>
            <w:pPr>
              <w:spacing w:after="0"/>
              <w:rPr>
                <w:sz w:val="21"/>
                <w:szCs w:val="21"/>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99"/>
        <w:spacing w:after="0"/>
        <w:rPr>
          <w:sz w:val="20"/>
          <w:szCs w:val="20"/>
          <w:color w:val="auto"/>
        </w:rPr>
      </w:pPr>
      <w:r>
        <w:rPr>
          <w:rFonts w:ascii="Arial" w:cs="Arial" w:eastAsia="Arial" w:hAnsi="Arial"/>
          <w:sz w:val="26"/>
          <w:szCs w:val="26"/>
          <w:b w:val="1"/>
          <w:bCs w:val="1"/>
          <w:color w:val="auto"/>
        </w:rPr>
        <w:t>E</w:t>
      </w:r>
      <w:r>
        <w:rPr>
          <w:rFonts w:ascii="Arial" w:cs="Arial" w:eastAsia="Arial" w:hAnsi="Arial"/>
          <w:sz w:val="21"/>
          <w:szCs w:val="21"/>
          <w:b w:val="1"/>
          <w:bCs w:val="1"/>
          <w:color w:val="auto"/>
        </w:rPr>
        <w:t>XHIBIT</w:t>
      </w:r>
      <w:r>
        <w:rPr>
          <w:rFonts w:ascii="Arial" w:cs="Arial" w:eastAsia="Arial" w:hAnsi="Arial"/>
          <w:sz w:val="26"/>
          <w:szCs w:val="26"/>
          <w:b w:val="1"/>
          <w:bCs w:val="1"/>
          <w:color w:val="auto"/>
        </w:rPr>
        <w:t xml:space="preserve"> I</w:t>
      </w:r>
      <w:r>
        <w:rPr>
          <w:rFonts w:ascii="Arial" w:cs="Arial" w:eastAsia="Arial" w:hAnsi="Arial"/>
          <w:sz w:val="21"/>
          <w:szCs w:val="21"/>
          <w:b w:val="1"/>
          <w:bCs w:val="1"/>
          <w:color w:val="auto"/>
        </w:rPr>
        <w:t>NDEX</w:t>
      </w:r>
    </w:p>
    <w:p>
      <w:pPr>
        <w:spacing w:after="0" w:line="3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Sheila Davis, PR/IR Manager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641/585-6803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sdavis@winnebagoind.com</w:t>
      </w:r>
    </w:p>
    <w:p>
      <w:pPr>
        <w:spacing w:after="0" w:line="200" w:lineRule="exact"/>
        <w:rPr>
          <w:sz w:val="20"/>
          <w:szCs w:val="20"/>
          <w:color w:val="auto"/>
        </w:rPr>
      </w:pPr>
    </w:p>
    <w:p>
      <w:pPr>
        <w:sectPr>
          <w:pgSz w:w="11900" w:h="16838" w:orient="portrait"/>
          <w:cols w:equalWidth="0" w:num="2">
            <w:col w:w="600" w:space="580"/>
            <w:col w:w="10240"/>
          </w:cols>
          <w:pgMar w:left="240" w:top="374" w:right="239" w:bottom="0" w:gutter="0" w:footer="0" w:header="0"/>
        </w:sectPr>
      </w:pPr>
    </w:p>
    <w:p>
      <w:pPr>
        <w:spacing w:after="0" w:line="333"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WINNEBAGO INDUSTRIES REPORTS SECOND QUARTER</w:t>
      </w:r>
    </w:p>
    <w:p>
      <w:pPr>
        <w:spacing w:after="0" w:line="14"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AND FIRST SIX MONTHS FISCAL 2006 REVENUES AND EARNINGS</w:t>
      </w:r>
    </w:p>
    <w:p>
      <w:pPr>
        <w:spacing w:after="0" w:line="2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FOREST CITY, IOWA, March 16, 2006 – Winnebago Industries, Inc., (NYSE:WGO), the leading United States (U.S.) motor home manufacturer, today reported financial results for the Company’s second quarter and first six months ended February 25, 2006.</w:t>
      </w:r>
    </w:p>
    <w:p>
      <w:pPr>
        <w:spacing w:after="0" w:line="18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 xml:space="preserve">Net income for the second quarter was $7.7 million, a decrease of 38.7 percent compared to net income of $12.6 million for the second quarter last year. On a diluted per share basis, the Company earned 23 cents a share for the second quarter of fiscal 2006, compared to net income of 37 cents a share for the second quarter last year. Included as a reduction to net income in the second quarter of fiscal 2006 was $804,000, or 2 cents per diluted share, of stock option expense due to the adoption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beginning August 28, 2005, which was not effective in the second quarter of last year.</w:t>
      </w:r>
    </w:p>
    <w:p>
      <w:pPr>
        <w:spacing w:after="0" w:line="19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Revenues for the second quarter of fiscal 2006 were $206.4 million, a decrease of 13.8 percent compared to revenues of $239.4 million for the second quarter of fiscal 2005.</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Net income for the first six months of fiscal 2006 was $22.3 million, a decrease of 30.7 percent compared to net income of $32.1 million for same period in fiscal 2005. On a diluted per share basis, the Company earned 67 cents a share for the first six months of fiscal 2006, compared to 94 cents a share for the first six months of fiscal 2004. Included as a reduction to net income for the first six months of fiscal 2006 was $2.3 million, or 7 cents per diluted share, of stock option expense.</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Revenues for the first six months of fiscal 2006 were $438.7 million, a decrease of 13.2 percent compared to revenue of $505.5 million for the same period in fiscal 2005.</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“Revenues and net income for the quarter and first six months were negatively impacted primarily by lower motor home deliveries as a result of decreased industry retail demand,” said Winnebago Industries’ Chairman and CEO Bruce Hertzke. “We were also impacted by a shift towards lower priced motor home products. This shift in product mix is occurring industry-wide. Based on statistics from the Recreation Vehicle Industry Association for calendar 2005, Class A motor home shipments decreased 12.7 percent while Class C shipments for the industry decreased only 1.7 percent for the same period.”</w:t>
      </w:r>
    </w:p>
    <w:p>
      <w:pPr>
        <w:spacing w:after="0" w:line="16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Company’s sales order backlog was 1,581 units at February 25, 2006, compared to the backlog of 2,108 units at February 26, 2005. Hertzke continued, “As evidenced by the composition of the backlog, we continue to see a shift in the mix of products on order by our dealer partners to lower priced motor homes. The introduction of our new Winnebago View and Itasca Navion fuel efficient Class C diesel motor homes was particularly timely and continues to have a positive impact on our Class C backlog.”</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According to Statistical Surveys, Inc., an independent retail reporting service, Winnebago Industries completed calendar 2005 in the number one position with combined Class A and Class C retail sales market share of 17.9 percent. “Manufacturers’ and dealers’ inventories were high at the beginning of calendar 2005, leading many manufacturers to promotionally discount their products into the marketplace,” said Winnebago Industries’ President Ed Barker. “As we’ve previously stated, our primary goal is profitability, so we did not participate in offering incentives at the same level as our major competitors. Consequently, our market share for the combined Class A and C markets declined from 19.0 percent for calendar 2004, driven primarily by lower Class A market share. However, as calendar 2005 progressed and discounts in the marketplace decreased, we did see recovery in our market share, achieving 19.3 percent of the combined Class A and C market for the fourth quarter of calendar 2005.”</w:t>
      </w:r>
    </w:p>
    <w:p>
      <w:pPr>
        <w:spacing w:after="0" w:line="172"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Winnebago Industries repurchased 100,000 shares of the Company’s common stock for an aggregate consideration of approximately $3.1 million during the second quarter of fiscal 2006. The Company has approximately $21.7 million remaining on the current share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10 a.m. ET today, Thursday, March 16, 2006. Members of the news media, investors and the general public are invited to access a live broadcast of the conference call via the Company’s website at </w:t>
      </w:r>
      <w:r>
        <w:rPr>
          <w:rFonts w:ascii="Arial" w:cs="Arial" w:eastAsia="Arial" w:hAnsi="Arial"/>
          <w:sz w:val="16"/>
          <w:szCs w:val="16"/>
          <w:u w:val="single" w:color="auto"/>
          <w:color w:val="auto"/>
        </w:rPr>
        <w:t>www.winnebagoind.com/html/company/investorRelations.html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www.vcall.com</w:t>
      </w:r>
      <w:r>
        <w:rPr>
          <w:rFonts w:ascii="Arial" w:cs="Arial" w:eastAsia="Arial" w:hAnsi="Arial"/>
          <w:sz w:val="16"/>
          <w:szCs w:val="16"/>
          <w:color w:val="auto"/>
        </w:rPr>
        <w:t>. The event will be archived and available for replay for the next 90 days.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Winnebago Industries</w:t>
      </w:r>
    </w:p>
    <w:p>
      <w:pPr>
        <w:spacing w:after="0" w:line="1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 xml:space="preserve">Winnebago Industries, Inc. is the leading U.S.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2" w:lineRule="exact"/>
        <w:rPr>
          <w:sz w:val="20"/>
          <w:szCs w:val="20"/>
          <w:color w:val="auto"/>
        </w:rPr>
      </w:pPr>
    </w:p>
    <w:p>
      <w:pPr>
        <w:ind w:right="300" w:firstLine="348"/>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declines in consumer confidence,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ectPr>
          <w:pgSz w:w="11900" w:h="16838" w:orient="portrait"/>
          <w:cols w:equalWidth="0" w:num="1">
            <w:col w:w="11420"/>
          </w:cols>
          <w:pgMar w:left="240" w:top="374" w:right="239"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2007870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6"/>
          </w:tcPr>
          <w:p>
            <w:pPr>
              <w:ind w:lef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February 25,</w:t>
            </w:r>
          </w:p>
        </w:tc>
        <w:tc>
          <w:tcPr>
            <w:tcW w:w="160" w:type="dxa"/>
            <w:vAlign w:val="bottom"/>
          </w:tcPr>
          <w:p>
            <w:pPr>
              <w:spacing w:after="0"/>
              <w:rPr>
                <w:sz w:val="20"/>
                <w:szCs w:val="20"/>
                <w:color w:val="auto"/>
              </w:rPr>
            </w:pPr>
          </w:p>
        </w:tc>
        <w:tc>
          <w:tcPr>
            <w:tcW w:w="880" w:type="dxa"/>
            <w:vAlign w:val="bottom"/>
          </w:tcPr>
          <w:p>
            <w:pPr>
              <w:jc w:val="right"/>
              <w:ind w:right="75"/>
              <w:spacing w:after="0"/>
              <w:rPr>
                <w:sz w:val="20"/>
                <w:szCs w:val="20"/>
                <w:color w:val="auto"/>
              </w:rPr>
            </w:pPr>
            <w:r>
              <w:rPr>
                <w:rFonts w:ascii="Arial" w:cs="Arial" w:eastAsia="Arial" w:hAnsi="Arial"/>
                <w:sz w:val="14"/>
                <w:szCs w:val="14"/>
                <w:b w:val="1"/>
                <w:bCs w:val="1"/>
                <w:color w:val="auto"/>
                <w:w w:val="88"/>
              </w:rPr>
              <w:t>February 26</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February 25,</w:t>
            </w:r>
          </w:p>
        </w:tc>
        <w:tc>
          <w:tcPr>
            <w:tcW w:w="1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February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5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206,425</w:t>
            </w:r>
          </w:p>
        </w:tc>
        <w:tc>
          <w:tcPr>
            <w:tcW w:w="56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239,359</w:t>
            </w:r>
          </w:p>
        </w:tc>
        <w:tc>
          <w:tcPr>
            <w:tcW w:w="92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438,680</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505,492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186,105</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210,098</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387,196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436,167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20,320</w:t>
            </w:r>
          </w:p>
        </w:tc>
        <w:tc>
          <w:tcPr>
            <w:tcW w:w="5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29,261</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51,484</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69,325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5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Selling</w:t>
            </w:r>
          </w:p>
        </w:tc>
        <w:tc>
          <w:tcPr>
            <w:tcW w:w="1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4,505</w:t>
            </w:r>
          </w:p>
        </w:tc>
        <w:tc>
          <w:tcPr>
            <w:tcW w:w="5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4,564</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9,178</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9,118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5,284</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5,798</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10,333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9,789</w:t>
            </w:r>
          </w:p>
        </w:tc>
        <w:tc>
          <w:tcPr>
            <w:tcW w:w="5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10,362</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19,511</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20,473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1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10,531</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18,899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31,973</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1,314</w:t>
            </w:r>
          </w:p>
        </w:tc>
        <w:tc>
          <w:tcPr>
            <w:tcW w:w="5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639</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2,236</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1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11,845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19,538</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34,209</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49,985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Provision for taxes</w:t>
            </w:r>
          </w:p>
        </w:tc>
        <w:tc>
          <w:tcPr>
            <w:tcW w:w="1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4,145</w:t>
            </w:r>
          </w:p>
        </w:tc>
        <w:tc>
          <w:tcPr>
            <w:tcW w:w="5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6,967</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11,939</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17,870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1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7,700</w:t>
            </w:r>
          </w:p>
        </w:tc>
        <w:tc>
          <w:tcPr>
            <w:tcW w:w="5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12,571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22,270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32,115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per common share:</w:t>
            </w:r>
          </w:p>
        </w:tc>
        <w:tc>
          <w:tcPr>
            <w:tcW w:w="12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5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0.23</w:t>
            </w:r>
          </w:p>
        </w:tc>
        <w:tc>
          <w:tcPr>
            <w:tcW w:w="56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0.37</w:t>
            </w:r>
          </w:p>
        </w:tc>
        <w:tc>
          <w:tcPr>
            <w:tcW w:w="92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0.67</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0.94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32,806</w:t>
            </w:r>
          </w:p>
        </w:tc>
        <w:tc>
          <w:tcPr>
            <w:tcW w:w="5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33,672</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32,870</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33,647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33,147</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34,254</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33,167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-1077595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-1077595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-1077595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-1077595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-1077595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-1077595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-1077595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-1077595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8"/>
              </w:rPr>
              <w:t>February 25,</w:t>
            </w:r>
          </w:p>
        </w:tc>
        <w:tc>
          <w:tcPr>
            <w:tcW w:w="2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rPr>
              <w:t>2006</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40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D6F3E8"/>
          </w:tcPr>
          <w:p>
            <w:pPr>
              <w:jc w:val="right"/>
              <w:ind w:right="1140"/>
              <w:spacing w:after="0"/>
              <w:rPr>
                <w:sz w:val="20"/>
                <w:szCs w:val="20"/>
                <w:color w:val="auto"/>
              </w:rPr>
            </w:pPr>
            <w:r>
              <w:rPr>
                <w:rFonts w:ascii="Arial" w:cs="Arial" w:eastAsia="Arial" w:hAnsi="Arial"/>
                <w:sz w:val="18"/>
                <w:szCs w:val="18"/>
                <w:color w:val="auto"/>
              </w:rPr>
              <w:t>18,825</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19,484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8"/>
                <w:szCs w:val="18"/>
                <w:color w:val="auto"/>
              </w:rPr>
              <w:t>144,250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540" w:type="dxa"/>
            <w:vAlign w:val="bottom"/>
            <w:shd w:val="clear" w:color="auto" w:fill="D6F3E8"/>
          </w:tcPr>
          <w:p>
            <w:pPr>
              <w:spacing w:after="0"/>
              <w:rPr>
                <w:sz w:val="6"/>
                <w:szCs w:val="6"/>
                <w:color w:val="auto"/>
              </w:rPr>
            </w:pPr>
          </w:p>
        </w:tc>
        <w:tc>
          <w:tcPr>
            <w:tcW w:w="180" w:type="dxa"/>
            <w:vAlign w:val="bottom"/>
            <w:shd w:val="clear" w:color="auto" w:fill="D6F3E8"/>
          </w:tcPr>
          <w:p>
            <w:pPr>
              <w:spacing w:after="0"/>
              <w:rPr>
                <w:sz w:val="6"/>
                <w:szCs w:val="6"/>
                <w:color w:val="auto"/>
              </w:rPr>
            </w:pPr>
          </w:p>
        </w:tc>
        <w:tc>
          <w:tcPr>
            <w:tcW w:w="1080" w:type="dxa"/>
            <w:vAlign w:val="bottom"/>
            <w:shd w:val="clear" w:color="auto" w:fill="D6F3E8"/>
          </w:tcPr>
          <w:p>
            <w:pPr>
              <w:spacing w:after="0"/>
              <w:rPr>
                <w:sz w:val="6"/>
                <w:szCs w:val="6"/>
                <w:color w:val="auto"/>
              </w:rPr>
            </w:pPr>
          </w:p>
        </w:tc>
        <w:tc>
          <w:tcPr>
            <w:tcW w:w="1140" w:type="dxa"/>
            <w:vAlign w:val="bottom"/>
            <w:shd w:val="clear" w:color="auto" w:fill="D6F3E8"/>
          </w:tcPr>
          <w:p>
            <w:pPr>
              <w:spacing w:after="0"/>
              <w:rPr>
                <w:sz w:val="6"/>
                <w:szCs w:val="6"/>
                <w:color w:val="auto"/>
              </w:rPr>
            </w:pPr>
          </w:p>
        </w:tc>
        <w:tc>
          <w:tcPr>
            <w:tcW w:w="220" w:type="dxa"/>
            <w:vAlign w:val="bottom"/>
            <w:shd w:val="clear" w:color="auto" w:fill="D6F3E8"/>
          </w:tcPr>
          <w:p>
            <w:pPr>
              <w:spacing w:after="0"/>
              <w:rPr>
                <w:sz w:val="6"/>
                <w:szCs w:val="6"/>
                <w:color w:val="auto"/>
              </w:rPr>
            </w:pPr>
          </w:p>
        </w:tc>
        <w:tc>
          <w:tcPr>
            <w:tcW w:w="1020" w:type="dxa"/>
            <w:vAlign w:val="bottom"/>
            <w:shd w:val="clear" w:color="auto" w:fill="D6F3E8"/>
          </w:tcPr>
          <w:p>
            <w:pPr>
              <w:spacing w:after="0"/>
              <w:rPr>
                <w:sz w:val="6"/>
                <w:szCs w:val="6"/>
                <w:color w:val="auto"/>
              </w:rPr>
            </w:pPr>
          </w:p>
        </w:tc>
        <w:tc>
          <w:tcPr>
            <w:tcW w:w="220" w:type="dxa"/>
            <w:vAlign w:val="bottom"/>
            <w:shd w:val="clear" w:color="auto" w:fill="D6F3E8"/>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40"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Receivables, net</w:t>
            </w:r>
          </w:p>
        </w:tc>
        <w:tc>
          <w:tcPr>
            <w:tcW w:w="3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29,225</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40,910</w:t>
            </w:r>
          </w:p>
        </w:tc>
        <w:tc>
          <w:tcPr>
            <w:tcW w:w="220" w:type="dxa"/>
            <w:vAlign w:val="bottom"/>
            <w:shd w:val="clear" w:color="auto" w:fill="D6F3E8"/>
          </w:tcPr>
          <w:p>
            <w:pPr>
              <w:spacing w:after="0"/>
              <w:rPr>
                <w:sz w:val="18"/>
                <w:szCs w:val="18"/>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90,888</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120,655</w:t>
            </w:r>
          </w:p>
        </w:tc>
        <w:tc>
          <w:tcPr>
            <w:tcW w:w="220" w:type="dxa"/>
            <w:vAlign w:val="bottom"/>
          </w:tcPr>
          <w:p>
            <w:pPr>
              <w:spacing w:after="0"/>
              <w:rPr>
                <w:sz w:val="18"/>
                <w:szCs w:val="18"/>
                <w:color w:val="auto"/>
              </w:rPr>
            </w:pPr>
          </w:p>
        </w:tc>
      </w:tr>
      <w:tr>
        <w:trPr>
          <w:trHeight w:val="216"/>
        </w:trPr>
        <w:tc>
          <w:tcPr>
            <w:tcW w:w="75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13,838</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13,943</w:t>
            </w:r>
          </w:p>
        </w:tc>
        <w:tc>
          <w:tcPr>
            <w:tcW w:w="220" w:type="dxa"/>
            <w:vAlign w:val="bottom"/>
            <w:shd w:val="clear" w:color="auto" w:fill="D6F3E8"/>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297,026</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288,092</w:t>
            </w:r>
          </w:p>
        </w:tc>
        <w:tc>
          <w:tcPr>
            <w:tcW w:w="220" w:type="dxa"/>
            <w:vAlign w:val="bottom"/>
          </w:tcPr>
          <w:p>
            <w:pPr>
              <w:spacing w:after="0"/>
              <w:rPr>
                <w:sz w:val="24"/>
                <w:szCs w:val="24"/>
                <w:color w:val="auto"/>
              </w:rPr>
            </w:pPr>
          </w:p>
        </w:tc>
      </w:tr>
      <w:tr>
        <w:trPr>
          <w:trHeight w:val="218"/>
        </w:trPr>
        <w:tc>
          <w:tcPr>
            <w:tcW w:w="7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60,349</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63,853</w:t>
            </w:r>
          </w:p>
        </w:tc>
        <w:tc>
          <w:tcPr>
            <w:tcW w:w="220" w:type="dxa"/>
            <w:vAlign w:val="bottom"/>
            <w:shd w:val="clear" w:color="auto" w:fill="D6F3E8"/>
          </w:tcPr>
          <w:p>
            <w:pPr>
              <w:spacing w:after="0"/>
              <w:rPr>
                <w:sz w:val="18"/>
                <w:szCs w:val="18"/>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24,236</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24,997</w:t>
            </w:r>
          </w:p>
        </w:tc>
        <w:tc>
          <w:tcPr>
            <w:tcW w:w="220" w:type="dxa"/>
            <w:vAlign w:val="bottom"/>
          </w:tcPr>
          <w:p>
            <w:pPr>
              <w:spacing w:after="0"/>
              <w:rPr>
                <w:sz w:val="18"/>
                <w:szCs w:val="18"/>
                <w:color w:val="auto"/>
              </w:rPr>
            </w:pPr>
          </w:p>
        </w:tc>
      </w:tr>
      <w:tr>
        <w:trPr>
          <w:trHeight w:val="216"/>
        </w:trPr>
        <w:tc>
          <w:tcPr>
            <w:tcW w:w="7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3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20,437</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22,066</w:t>
            </w:r>
          </w:p>
        </w:tc>
        <w:tc>
          <w:tcPr>
            <w:tcW w:w="220" w:type="dxa"/>
            <w:vAlign w:val="bottom"/>
            <w:shd w:val="clear" w:color="auto" w:fill="D6F3E8"/>
          </w:tcPr>
          <w:p>
            <w:pPr>
              <w:spacing w:after="0"/>
              <w:rPr>
                <w:sz w:val="18"/>
                <w:szCs w:val="18"/>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15,849</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tcPr>
          <w:p>
            <w:pPr>
              <w:spacing w:after="0"/>
              <w:rPr>
                <w:sz w:val="19"/>
                <w:szCs w:val="19"/>
                <w:color w:val="auto"/>
              </w:rPr>
            </w:pPr>
          </w:p>
        </w:tc>
      </w:tr>
      <w:tr>
        <w:trPr>
          <w:trHeight w:val="102"/>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758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417,897</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412,960</w:t>
            </w:r>
          </w:p>
        </w:tc>
        <w:tc>
          <w:tcPr>
            <w:tcW w:w="220" w:type="dxa"/>
            <w:vAlign w:val="bottom"/>
            <w:shd w:val="clear" w:color="auto" w:fill="D6F3E8"/>
          </w:tcPr>
          <w:p>
            <w:pPr>
              <w:spacing w:after="0"/>
              <w:rPr>
                <w:sz w:val="18"/>
                <w:szCs w:val="18"/>
                <w:color w:val="auto"/>
              </w:rPr>
            </w:pPr>
          </w:p>
        </w:tc>
      </w:tr>
      <w:tr>
        <w:trPr>
          <w:trHeight w:val="132"/>
        </w:trPr>
        <w:tc>
          <w:tcPr>
            <w:tcW w:w="7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562"/>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7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33,436</w:t>
            </w:r>
          </w:p>
        </w:tc>
        <w:tc>
          <w:tcPr>
            <w:tcW w:w="112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37,229</w:t>
            </w:r>
          </w:p>
        </w:tc>
        <w:tc>
          <w:tcPr>
            <w:tcW w:w="220" w:type="dxa"/>
            <w:vAlign w:val="bottom"/>
          </w:tcPr>
          <w:p>
            <w:pPr>
              <w:spacing w:after="0"/>
              <w:rPr>
                <w:sz w:val="18"/>
                <w:szCs w:val="18"/>
                <w:color w:val="auto"/>
              </w:rPr>
            </w:pPr>
          </w:p>
        </w:tc>
      </w:tr>
      <w:tr>
        <w:trPr>
          <w:trHeight w:val="216"/>
        </w:trPr>
        <w:tc>
          <w:tcPr>
            <w:tcW w:w="758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7,523</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4,458</w:t>
            </w:r>
          </w:p>
        </w:tc>
        <w:tc>
          <w:tcPr>
            <w:tcW w:w="220" w:type="dxa"/>
            <w:vAlign w:val="bottom"/>
            <w:shd w:val="clear" w:color="auto" w:fill="D6F3E8"/>
          </w:tcPr>
          <w:p>
            <w:pPr>
              <w:spacing w:after="0"/>
              <w:rPr>
                <w:sz w:val="18"/>
                <w:szCs w:val="18"/>
                <w:color w:val="auto"/>
              </w:rPr>
            </w:pPr>
          </w:p>
        </w:tc>
      </w:tr>
      <w:tr>
        <w:trPr>
          <w:trHeight w:val="222"/>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42,217</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48,936</w:t>
            </w:r>
          </w:p>
        </w:tc>
        <w:tc>
          <w:tcPr>
            <w:tcW w:w="220" w:type="dxa"/>
            <w:vAlign w:val="bottom"/>
          </w:tcPr>
          <w:p>
            <w:pPr>
              <w:spacing w:after="0"/>
              <w:rPr>
                <w:sz w:val="19"/>
                <w:szCs w:val="19"/>
                <w:color w:val="auto"/>
              </w:rPr>
            </w:pPr>
          </w:p>
        </w:tc>
      </w:tr>
      <w:tr>
        <w:trPr>
          <w:trHeight w:val="102"/>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758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83,176</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90,623</w:t>
            </w:r>
          </w:p>
        </w:tc>
        <w:tc>
          <w:tcPr>
            <w:tcW w:w="220" w:type="dxa"/>
            <w:vAlign w:val="bottom"/>
            <w:shd w:val="clear" w:color="auto" w:fill="D6F3E8"/>
          </w:tcPr>
          <w:p>
            <w:pPr>
              <w:spacing w:after="0"/>
              <w:rPr>
                <w:sz w:val="18"/>
                <w:szCs w:val="18"/>
                <w:color w:val="auto"/>
              </w:rPr>
            </w:pPr>
          </w:p>
        </w:tc>
      </w:tr>
      <w:tr>
        <w:trPr>
          <w:trHeight w:val="208"/>
        </w:trPr>
        <w:tc>
          <w:tcPr>
            <w:tcW w:w="7580" w:type="dxa"/>
            <w:vAlign w:val="bottom"/>
            <w:gridSpan w:val="2"/>
          </w:tcPr>
          <w:p>
            <w:pPr>
              <w:spacing w:after="0"/>
              <w:rPr>
                <w:sz w:val="20"/>
                <w:szCs w:val="20"/>
                <w:color w:val="auto"/>
              </w:rPr>
            </w:pPr>
            <w:r>
              <w:rPr>
                <w:rFonts w:ascii="Arial" w:cs="Arial" w:eastAsia="Arial" w:hAnsi="Arial"/>
                <w:sz w:val="18"/>
                <w:szCs w:val="18"/>
                <w:color w:val="auto"/>
              </w:rPr>
              <w:t>Postretirement health care and deferred</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7580" w:type="dxa"/>
            <w:vAlign w:val="bottom"/>
            <w:gridSpan w:val="2"/>
          </w:tcPr>
          <w:p>
            <w:pPr>
              <w:ind w:left="100"/>
              <w:spacing w:after="0"/>
              <w:rPr>
                <w:sz w:val="20"/>
                <w:szCs w:val="20"/>
                <w:color w:val="auto"/>
              </w:rPr>
            </w:pPr>
            <w:r>
              <w:rPr>
                <w:rFonts w:ascii="Arial" w:cs="Arial" w:eastAsia="Arial" w:hAnsi="Arial"/>
                <w:sz w:val="18"/>
                <w:szCs w:val="18"/>
                <w:color w:val="auto"/>
              </w:rPr>
              <w:t>compensation benefits, net of current portion</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86,541</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86,450</w:t>
            </w:r>
          </w:p>
        </w:tc>
        <w:tc>
          <w:tcPr>
            <w:tcW w:w="220" w:type="dxa"/>
            <w:vAlign w:val="bottom"/>
          </w:tcPr>
          <w:p>
            <w:pPr>
              <w:spacing w:after="0"/>
              <w:rPr>
                <w:sz w:val="19"/>
                <w:szCs w:val="19"/>
                <w:color w:val="auto"/>
              </w:rPr>
            </w:pPr>
          </w:p>
        </w:tc>
      </w:tr>
      <w:tr>
        <w:trPr>
          <w:trHeight w:val="218"/>
        </w:trPr>
        <w:tc>
          <w:tcPr>
            <w:tcW w:w="7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248,180</w:t>
            </w:r>
          </w:p>
        </w:tc>
        <w:tc>
          <w:tcPr>
            <w:tcW w:w="11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235,887</w:t>
            </w:r>
          </w:p>
        </w:tc>
        <w:tc>
          <w:tcPr>
            <w:tcW w:w="220" w:type="dxa"/>
            <w:vAlign w:val="bottom"/>
            <w:shd w:val="clear" w:color="auto" w:fill="D6F3E8"/>
          </w:tcPr>
          <w:p>
            <w:pPr>
              <w:spacing w:after="0"/>
              <w:rPr>
                <w:sz w:val="18"/>
                <w:szCs w:val="18"/>
                <w:color w:val="auto"/>
              </w:rPr>
            </w:pPr>
          </w:p>
        </w:tc>
      </w:tr>
      <w:tr>
        <w:trPr>
          <w:trHeight w:val="108"/>
        </w:trPr>
        <w:tc>
          <w:tcPr>
            <w:tcW w:w="7580" w:type="dxa"/>
            <w:vAlign w:val="bottom"/>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417,897</w:t>
            </w:r>
          </w:p>
        </w:tc>
        <w:tc>
          <w:tcPr>
            <w:tcW w:w="11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412,960</w:t>
            </w:r>
          </w:p>
        </w:tc>
        <w:tc>
          <w:tcPr>
            <w:tcW w:w="220" w:type="dxa"/>
            <w:vAlign w:val="bottom"/>
          </w:tcPr>
          <w:p>
            <w:pPr>
              <w:spacing w:after="0"/>
              <w:rPr>
                <w:sz w:val="24"/>
                <w:szCs w:val="24"/>
                <w:color w:val="auto"/>
              </w:rPr>
            </w:pPr>
          </w:p>
        </w:tc>
      </w:tr>
      <w:tr>
        <w:trPr>
          <w:trHeight w:val="134"/>
        </w:trPr>
        <w:tc>
          <w:tcPr>
            <w:tcW w:w="7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-2010410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-2010410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-2010410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-2010410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1985645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3"/>
          </w:tcPr>
          <w:p>
            <w:pPr>
              <w:ind w:left="960"/>
              <w:spacing w:after="0"/>
              <w:rPr>
                <w:sz w:val="20"/>
                <w:szCs w:val="20"/>
                <w:color w:val="auto"/>
              </w:rPr>
            </w:pPr>
            <w:r>
              <w:rPr>
                <w:rFonts w:ascii="Arial" w:cs="Arial" w:eastAsia="Arial" w:hAnsi="Arial"/>
                <w:sz w:val="14"/>
                <w:szCs w:val="14"/>
                <w:b w:val="1"/>
                <w:bCs w:val="1"/>
                <w:color w:val="auto"/>
                <w:w w:val="85"/>
              </w:rPr>
              <w:t>Six Months Ended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25,</w:t>
            </w: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February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2006</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22,270</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color w:val="auto"/>
              </w:rPr>
              <w:t>Adjustments to reconcile net income to net cash</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provided by operating activities:</w:t>
            </w:r>
          </w:p>
        </w:tc>
        <w:tc>
          <w:tcPr>
            <w:tcW w:w="160" w:type="dxa"/>
            <w:vAlign w:val="bottom"/>
            <w:shd w:val="clear" w:color="auto" w:fill="D6F3E8"/>
          </w:tcPr>
          <w:p>
            <w:pPr>
              <w:spacing w:after="0"/>
              <w:rPr>
                <w:sz w:val="19"/>
                <w:szCs w:val="19"/>
                <w:color w:val="auto"/>
              </w:rPr>
            </w:pPr>
          </w:p>
        </w:tc>
        <w:tc>
          <w:tcPr>
            <w:tcW w:w="980" w:type="dxa"/>
            <w:vAlign w:val="bottom"/>
            <w:shd w:val="clear" w:color="auto" w:fill="D6F3E8"/>
          </w:tcPr>
          <w:p>
            <w:pPr>
              <w:spacing w:after="0"/>
              <w:rPr>
                <w:sz w:val="19"/>
                <w:szCs w:val="19"/>
                <w:color w:val="auto"/>
              </w:rPr>
            </w:pPr>
          </w:p>
        </w:tc>
        <w:tc>
          <w:tcPr>
            <w:tcW w:w="102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98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5,328</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2,895</w:t>
            </w:r>
          </w:p>
        </w:tc>
        <w:tc>
          <w:tcPr>
            <w:tcW w:w="10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Deferred compensation and postretirement expense</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638</w:t>
            </w:r>
          </w:p>
        </w:tc>
        <w:tc>
          <w:tcPr>
            <w:tcW w:w="10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Excess tax benefit from stock-based compensation</w:t>
            </w:r>
          </w:p>
        </w:tc>
        <w:tc>
          <w:tcPr>
            <w:tcW w:w="1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D6F3E8"/>
          </w:tcPr>
          <w:p>
            <w:pPr>
              <w:spacing w:after="0"/>
              <w:rPr>
                <w:sz w:val="18"/>
                <w:szCs w:val="18"/>
                <w:color w:val="auto"/>
              </w:rPr>
            </w:pPr>
          </w:p>
        </w:tc>
        <w:tc>
          <w:tcPr>
            <w:tcW w:w="20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(212)</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Receivable and other assets</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10,986</w:t>
            </w:r>
          </w:p>
        </w:tc>
        <w:tc>
          <w:tcPr>
            <w:tcW w:w="10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18,210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29,767</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D6F3E8"/>
          </w:tcPr>
          <w:p>
            <w:pPr>
              <w:spacing w:after="0"/>
              <w:rPr>
                <w:sz w:val="18"/>
                <w:szCs w:val="18"/>
                <w:color w:val="auto"/>
              </w:rPr>
            </w:pPr>
          </w:p>
        </w:tc>
        <w:tc>
          <w:tcPr>
            <w:tcW w:w="20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(10,336)</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3,257</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Postretirement and deferred compensation benefits</w:t>
            </w:r>
          </w:p>
        </w:tc>
        <w:tc>
          <w:tcPr>
            <w:tcW w:w="160" w:type="dxa"/>
            <w:vAlign w:val="bottom"/>
            <w:shd w:val="clear" w:color="auto" w:fill="D6F3E8"/>
          </w:tcPr>
          <w:p>
            <w:pPr>
              <w:spacing w:after="0"/>
              <w:rPr>
                <w:sz w:val="18"/>
                <w:szCs w:val="18"/>
                <w:color w:val="auto"/>
              </w:rPr>
            </w:pPr>
          </w:p>
        </w:tc>
        <w:tc>
          <w:tcPr>
            <w:tcW w:w="20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(663)</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65,294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(110,100)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(147,473)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Proceeds from the sale or maturity of short-term investments</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58,950</w:t>
            </w:r>
          </w:p>
        </w:tc>
        <w:tc>
          <w:tcPr>
            <w:tcW w:w="10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101,094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(1,968)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80" w:type="dxa"/>
            <w:vAlign w:val="bottom"/>
            <w:shd w:val="clear" w:color="auto" w:fill="D6F3E8"/>
          </w:tcPr>
          <w:p>
            <w:pPr>
              <w:spacing w:after="0"/>
              <w:rPr>
                <w:sz w:val="11"/>
                <w:szCs w:val="11"/>
                <w:color w:val="auto"/>
              </w:rPr>
            </w:pPr>
          </w:p>
        </w:tc>
        <w:tc>
          <w:tcPr>
            <w:tcW w:w="160" w:type="dxa"/>
            <w:vAlign w:val="bottom"/>
            <w:shd w:val="clear" w:color="auto" w:fill="D6F3E8"/>
          </w:tcPr>
          <w:p>
            <w:pPr>
              <w:spacing w:after="0"/>
              <w:rPr>
                <w:sz w:val="11"/>
                <w:szCs w:val="11"/>
                <w:color w:val="auto"/>
              </w:rPr>
            </w:pPr>
          </w:p>
        </w:tc>
        <w:tc>
          <w:tcPr>
            <w:tcW w:w="980" w:type="dxa"/>
            <w:vAlign w:val="bottom"/>
            <w:shd w:val="clear" w:color="auto" w:fill="D6F3E8"/>
          </w:tcPr>
          <w:p>
            <w:pPr>
              <w:spacing w:after="0"/>
              <w:rPr>
                <w:sz w:val="11"/>
                <w:szCs w:val="11"/>
                <w:color w:val="auto"/>
              </w:rPr>
            </w:pPr>
          </w:p>
        </w:tc>
        <w:tc>
          <w:tcPr>
            <w:tcW w:w="1020" w:type="dxa"/>
            <w:vAlign w:val="bottom"/>
            <w:shd w:val="clear" w:color="auto" w:fill="D6F3E8"/>
          </w:tcPr>
          <w:p>
            <w:pPr>
              <w:spacing w:after="0"/>
              <w:rPr>
                <w:sz w:val="11"/>
                <w:szCs w:val="11"/>
                <w:color w:val="auto"/>
              </w:rPr>
            </w:pPr>
          </w:p>
        </w:tc>
        <w:tc>
          <w:tcPr>
            <w:tcW w:w="20" w:type="dxa"/>
            <w:vAlign w:val="bottom"/>
            <w:shd w:val="clear" w:color="auto" w:fill="D6F3E8"/>
          </w:tcPr>
          <w:p>
            <w:pPr>
              <w:spacing w:after="0"/>
              <w:rPr>
                <w:sz w:val="11"/>
                <w:szCs w:val="11"/>
                <w:color w:val="auto"/>
              </w:rPr>
            </w:pPr>
          </w:p>
        </w:tc>
        <w:tc>
          <w:tcPr>
            <w:tcW w:w="140" w:type="dxa"/>
            <w:vAlign w:val="bottom"/>
            <w:shd w:val="clear" w:color="auto" w:fill="D6F3E8"/>
          </w:tcPr>
          <w:p>
            <w:pPr>
              <w:spacing w:after="0"/>
              <w:rPr>
                <w:sz w:val="11"/>
                <w:szCs w:val="11"/>
                <w:color w:val="auto"/>
              </w:rPr>
            </w:pPr>
          </w:p>
        </w:tc>
        <w:tc>
          <w:tcPr>
            <w:tcW w:w="980" w:type="dxa"/>
            <w:vAlign w:val="bottom"/>
            <w:shd w:val="clear" w:color="auto" w:fill="D6F3E8"/>
          </w:tcPr>
          <w:p>
            <w:pPr>
              <w:spacing w:after="0"/>
              <w:rPr>
                <w:sz w:val="11"/>
                <w:szCs w:val="11"/>
                <w:color w:val="auto"/>
              </w:rPr>
            </w:pPr>
          </w:p>
        </w:tc>
        <w:tc>
          <w:tcPr>
            <w:tcW w:w="220" w:type="dxa"/>
            <w:vAlign w:val="bottom"/>
            <w:shd w:val="clear" w:color="auto" w:fill="D6F3E8"/>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w:t>
            </w:r>
          </w:p>
        </w:tc>
        <w:tc>
          <w:tcPr>
            <w:tcW w:w="102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4"/>
                <w:szCs w:val="24"/>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8"/>
                <w:szCs w:val="18"/>
                <w:color w:val="auto"/>
              </w:rPr>
              <w:t>(53,048)</w:t>
            </w:r>
          </w:p>
        </w:tc>
        <w:tc>
          <w:tcPr>
            <w:tcW w:w="3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(50,922)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Payments for purchase of common stock</w:t>
            </w:r>
          </w:p>
        </w:tc>
        <w:tc>
          <w:tcPr>
            <w:tcW w:w="360" w:type="dxa"/>
            <w:vAlign w:val="bottom"/>
          </w:tcPr>
          <w:p>
            <w:pPr>
              <w:spacing w:after="0"/>
              <w:rPr>
                <w:sz w:val="18"/>
                <w:szCs w:val="18"/>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8"/>
                <w:szCs w:val="18"/>
                <w:color w:val="auto"/>
              </w:rPr>
              <w:t>(8,284)</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Payment of cash dividends</w:t>
            </w:r>
          </w:p>
        </w:tc>
        <w:tc>
          <w:tcPr>
            <w:tcW w:w="360" w:type="dxa"/>
            <w:vAlign w:val="bottom"/>
            <w:shd w:val="clear" w:color="auto" w:fill="D6F3E8"/>
          </w:tcPr>
          <w:p>
            <w:pPr>
              <w:spacing w:after="0"/>
              <w:rPr>
                <w:sz w:val="18"/>
                <w:szCs w:val="18"/>
                <w:color w:val="auto"/>
              </w:rPr>
            </w:pPr>
          </w:p>
        </w:tc>
        <w:tc>
          <w:tcPr>
            <w:tcW w:w="18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(5,922)</w:t>
            </w: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Proceeds from issuance of treasury stock</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1,127</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174</w:t>
            </w:r>
          </w:p>
        </w:tc>
        <w:tc>
          <w:tcPr>
            <w:tcW w:w="102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24"/>
                <w:szCs w:val="24"/>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8"/>
                <w:szCs w:val="18"/>
                <w:color w:val="auto"/>
              </w:rPr>
              <w:t>(12,905)</w:t>
            </w:r>
          </w:p>
        </w:tc>
        <w:tc>
          <w:tcPr>
            <w:tcW w:w="3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shd w:val="clear" w:color="auto" w:fill="D6F3E8"/>
          </w:tcPr>
          <w:p>
            <w:pPr>
              <w:spacing w:after="0"/>
              <w:rPr>
                <w:sz w:val="18"/>
                <w:szCs w:val="18"/>
                <w:color w:val="auto"/>
              </w:rPr>
            </w:pPr>
          </w:p>
        </w:tc>
        <w:tc>
          <w:tcPr>
            <w:tcW w:w="18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(659)</w:t>
            </w: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(8,338)</w:t>
            </w:r>
          </w:p>
        </w:tc>
        <w:tc>
          <w:tcPr>
            <w:tcW w:w="0" w:type="dxa"/>
            <w:vAlign w:val="bottom"/>
          </w:tcPr>
          <w:p>
            <w:pPr>
              <w:spacing w:after="0"/>
              <w:rPr>
                <w:sz w:val="1"/>
                <w:szCs w:val="1"/>
                <w:color w:val="auto"/>
              </w:rPr>
            </w:pPr>
          </w:p>
        </w:tc>
      </w:tr>
      <w:tr>
        <w:trPr>
          <w:trHeight w:val="457"/>
        </w:trPr>
        <w:tc>
          <w:tcPr>
            <w:tcW w:w="79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19,484</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18,825</w:t>
            </w:r>
          </w:p>
        </w:tc>
        <w:tc>
          <w:tcPr>
            <w:tcW w:w="1020" w:type="dxa"/>
            <w:vAlign w:val="bottom"/>
            <w:shd w:val="clear" w:color="auto" w:fill="D6F3E8"/>
          </w:tcPr>
          <w:p>
            <w:pPr>
              <w:spacing w:after="0"/>
              <w:rPr>
                <w:sz w:val="18"/>
                <w:szCs w:val="18"/>
                <w:color w:val="auto"/>
              </w:rPr>
            </w:pPr>
          </w:p>
        </w:tc>
        <w:tc>
          <w:tcPr>
            <w:tcW w:w="3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16,107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900" w:type="dxa"/>
            <w:vAlign w:val="bottom"/>
            <w:gridSpan w:val="2"/>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2"/>
        </w:trPr>
        <w:tc>
          <w:tcPr>
            <w:tcW w:w="7900" w:type="dxa"/>
            <w:vAlign w:val="bottom"/>
            <w:gridSpan w:val="2"/>
          </w:tcPr>
          <w:p>
            <w:pPr>
              <w:spacing w:after="0"/>
              <w:rPr>
                <w:sz w:val="20"/>
                <w:szCs w:val="20"/>
                <w:color w:val="auto"/>
              </w:rPr>
            </w:pPr>
            <w:r>
              <w:rPr>
                <w:rFonts w:ascii="Arial" w:cs="Arial" w:eastAsia="Arial" w:hAnsi="Arial"/>
                <w:sz w:val="18"/>
                <w:szCs w:val="18"/>
                <w:color w:val="auto"/>
              </w:rPr>
              <w:t>Certain prior period information has been reclassified to conform to the current year presentation.</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 As restated</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-660400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-660400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-660400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-660400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Unaudited Motor Home Deliveries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60" w:type="dxa"/>
            <w:vAlign w:val="bottom"/>
            <w:gridSpan w:val="6"/>
          </w:tcPr>
          <w:p>
            <w:pPr>
              <w:ind w:left="400"/>
              <w:spacing w:after="0"/>
              <w:rPr>
                <w:sz w:val="20"/>
                <w:szCs w:val="20"/>
                <w:color w:val="auto"/>
              </w:rPr>
            </w:pPr>
            <w:r>
              <w:rPr>
                <w:rFonts w:ascii="Arial" w:cs="Arial" w:eastAsia="Arial" w:hAnsi="Arial"/>
                <w:sz w:val="14"/>
                <w:szCs w:val="14"/>
                <w:b w:val="1"/>
                <w:bCs w:val="1"/>
                <w:color w:val="auto"/>
              </w:rPr>
              <w:t>Quarter Ended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2/25/2006</w:t>
            </w: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2/26/2005</w:t>
            </w:r>
          </w:p>
        </w:tc>
        <w:tc>
          <w:tcPr>
            <w:tcW w:w="360" w:type="dxa"/>
            <w:vAlign w:val="bottom"/>
          </w:tcPr>
          <w:p>
            <w:pPr>
              <w:spacing w:after="0"/>
              <w:rPr>
                <w:sz w:val="22"/>
                <w:szCs w:val="2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2/25/2006</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9"/>
              </w:rPr>
              <w:t>2/26/2005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Unit deliveries</w:t>
            </w:r>
          </w:p>
        </w:tc>
        <w:tc>
          <w:tcPr>
            <w:tcW w:w="116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 w:type="dxa"/>
            <w:vAlign w:val="bottom"/>
            <w:tcBorders>
              <w:right w:val="single" w:sz="8" w:color="D6F3E8"/>
            </w:tcBorders>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A gas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1420" w:type="dxa"/>
            <w:vAlign w:val="bottom"/>
            <w:gridSpan w:val="5"/>
          </w:tcPr>
          <w:p>
            <w:pPr>
              <w:jc w:val="right"/>
              <w:ind w:right="360"/>
              <w:spacing w:after="0"/>
              <w:rPr>
                <w:sz w:val="20"/>
                <w:szCs w:val="20"/>
                <w:color w:val="auto"/>
              </w:rPr>
            </w:pPr>
            <w:r>
              <w:rPr>
                <w:rFonts w:ascii="Arial" w:cs="Arial" w:eastAsia="Arial" w:hAnsi="Arial"/>
                <w:sz w:val="18"/>
                <w:szCs w:val="18"/>
                <w:color w:val="auto"/>
              </w:rPr>
              <w:t>1,117</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1,559</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Class A diesel</w:t>
            </w:r>
          </w:p>
        </w:tc>
        <w:tc>
          <w:tcPr>
            <w:tcW w:w="18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471</w:t>
            </w:r>
          </w:p>
        </w:tc>
        <w:tc>
          <w:tcPr>
            <w:tcW w:w="1060" w:type="dxa"/>
            <w:vAlign w:val="bottom"/>
            <w:gridSpan w:val="4"/>
            <w:shd w:val="clear" w:color="auto" w:fill="D6F3E8"/>
          </w:tcPr>
          <w:p>
            <w:pPr>
              <w:jc w:val="right"/>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D6F3E8"/>
          </w:tcPr>
          <w:p>
            <w:pPr>
              <w:spacing w:after="0"/>
              <w:rPr>
                <w:sz w:val="18"/>
                <w:szCs w:val="18"/>
                <w:color w:val="auto"/>
              </w:rPr>
            </w:pPr>
          </w:p>
        </w:tc>
        <w:tc>
          <w:tcPr>
            <w:tcW w:w="860" w:type="dxa"/>
            <w:vAlign w:val="bottom"/>
            <w:tcBorders>
              <w:right w:val="single" w:sz="8" w:color="D6F3E8"/>
            </w:tcBorders>
            <w:gridSpan w:val="4"/>
            <w:shd w:val="clear" w:color="auto" w:fill="D6F3E8"/>
          </w:tcPr>
          <w:p>
            <w:pPr>
              <w:jc w:val="right"/>
              <w:ind w:right="40"/>
              <w:spacing w:after="0"/>
              <w:rPr>
                <w:sz w:val="20"/>
                <w:szCs w:val="20"/>
                <w:color w:val="auto"/>
              </w:rPr>
            </w:pPr>
            <w:r>
              <w:rPr>
                <w:rFonts w:ascii="Arial" w:cs="Arial" w:eastAsia="Arial" w:hAnsi="Arial"/>
                <w:sz w:val="18"/>
                <w:szCs w:val="18"/>
                <w:color w:val="auto"/>
              </w:rPr>
              <w:t>893</w:t>
            </w:r>
          </w:p>
        </w:tc>
        <w:tc>
          <w:tcPr>
            <w:tcW w:w="36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1,146</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887</w:t>
            </w:r>
          </w:p>
        </w:tc>
        <w:tc>
          <w:tcPr>
            <w:tcW w:w="360" w:type="dxa"/>
            <w:vAlign w:val="bottom"/>
          </w:tcPr>
          <w:p>
            <w:pPr>
              <w:spacing w:after="0"/>
              <w:rPr>
                <w:sz w:val="19"/>
                <w:szCs w:val="19"/>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2,310</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Total deliveries</w:t>
            </w:r>
          </w:p>
        </w:tc>
        <w:tc>
          <w:tcPr>
            <w:tcW w:w="18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2,268</w:t>
            </w:r>
          </w:p>
        </w:tc>
        <w:tc>
          <w:tcPr>
            <w:tcW w:w="1060" w:type="dxa"/>
            <w:vAlign w:val="bottom"/>
            <w:gridSpan w:val="4"/>
            <w:shd w:val="clear" w:color="auto" w:fill="D6F3E8"/>
          </w:tcPr>
          <w:p>
            <w:pPr>
              <w:jc w:val="right"/>
              <w:spacing w:after="0"/>
              <w:rPr>
                <w:sz w:val="20"/>
                <w:szCs w:val="20"/>
                <w:color w:val="auto"/>
              </w:rPr>
            </w:pPr>
            <w:r>
              <w:rPr>
                <w:rFonts w:ascii="Arial" w:cs="Arial" w:eastAsia="Arial" w:hAnsi="Arial"/>
                <w:sz w:val="18"/>
                <w:szCs w:val="18"/>
                <w:color w:val="auto"/>
              </w:rPr>
              <w:t>2,554</w:t>
            </w:r>
          </w:p>
        </w:tc>
        <w:tc>
          <w:tcPr>
            <w:tcW w:w="360" w:type="dxa"/>
            <w:vAlign w:val="bottom"/>
            <w:shd w:val="clear" w:color="auto" w:fill="D6F3E8"/>
          </w:tcPr>
          <w:p>
            <w:pPr>
              <w:spacing w:after="0"/>
              <w:rPr>
                <w:sz w:val="18"/>
                <w:szCs w:val="18"/>
                <w:color w:val="auto"/>
              </w:rPr>
            </w:pPr>
          </w:p>
        </w:tc>
        <w:tc>
          <w:tcPr>
            <w:tcW w:w="860" w:type="dxa"/>
            <w:vAlign w:val="bottom"/>
            <w:tcBorders>
              <w:right w:val="single" w:sz="8" w:color="D6F3E8"/>
            </w:tcBorders>
            <w:gridSpan w:val="4"/>
            <w:shd w:val="clear" w:color="auto" w:fill="D6F3E8"/>
          </w:tcPr>
          <w:p>
            <w:pPr>
              <w:jc w:val="right"/>
              <w:ind w:right="40"/>
              <w:spacing w:after="0"/>
              <w:rPr>
                <w:sz w:val="20"/>
                <w:szCs w:val="20"/>
                <w:color w:val="auto"/>
              </w:rPr>
            </w:pPr>
            <w:r>
              <w:rPr>
                <w:rFonts w:ascii="Arial" w:cs="Arial" w:eastAsia="Arial" w:hAnsi="Arial"/>
                <w:sz w:val="18"/>
                <w:szCs w:val="18"/>
                <w:color w:val="auto"/>
              </w:rPr>
              <w:t>4,762</w:t>
            </w:r>
          </w:p>
        </w:tc>
        <w:tc>
          <w:tcPr>
            <w:tcW w:w="36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5,379</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91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20" w:type="dxa"/>
            <w:vAlign w:val="bottom"/>
            <w:gridSpan w:val="7"/>
          </w:tcPr>
          <w:p>
            <w:pPr>
              <w:jc w:val="center"/>
              <w:ind w:right="840"/>
              <w:spacing w:after="0"/>
              <w:rPr>
                <w:sz w:val="20"/>
                <w:szCs w:val="20"/>
                <w:color w:val="auto"/>
              </w:rPr>
            </w:pPr>
            <w:r>
              <w:rPr>
                <w:rFonts w:ascii="Arial" w:cs="Arial" w:eastAsia="Arial" w:hAnsi="Arial"/>
                <w:sz w:val="18"/>
                <w:szCs w:val="18"/>
                <w:color w:val="auto"/>
                <w:w w:val="89"/>
              </w:rPr>
              <w:t>Winnebago Industries, Inc.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40" w:type="dxa"/>
            <w:vAlign w:val="bottom"/>
            <w:gridSpan w:val="8"/>
          </w:tcPr>
          <w:p>
            <w:pPr>
              <w:jc w:val="center"/>
              <w:ind w:left="692"/>
              <w:spacing w:after="0"/>
              <w:rPr>
                <w:sz w:val="20"/>
                <w:szCs w:val="20"/>
                <w:color w:val="auto"/>
              </w:rPr>
            </w:pPr>
            <w:r>
              <w:rPr>
                <w:rFonts w:ascii="Arial" w:cs="Arial" w:eastAsia="Arial" w:hAnsi="Arial"/>
                <w:sz w:val="18"/>
                <w:szCs w:val="18"/>
                <w:color w:val="auto"/>
                <w:w w:val="89"/>
              </w:rPr>
              <w:t>Unaudited Backlog and Dealer Inventory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0" w:type="dxa"/>
            <w:vAlign w:val="bottom"/>
            <w:gridSpan w:val="2"/>
          </w:tcPr>
          <w:p>
            <w:pPr>
              <w:jc w:val="center"/>
              <w:ind w:left="535"/>
              <w:spacing w:after="0"/>
              <w:rPr>
                <w:sz w:val="20"/>
                <w:szCs w:val="20"/>
                <w:color w:val="auto"/>
              </w:rPr>
            </w:pPr>
            <w:r>
              <w:rPr>
                <w:rFonts w:ascii="Arial" w:cs="Arial" w:eastAsia="Arial" w:hAnsi="Arial"/>
                <w:sz w:val="18"/>
                <w:szCs w:val="18"/>
                <w:color w:val="auto"/>
                <w:w w:val="94"/>
              </w:rPr>
              <w:t>(Units)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2/25/2006</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2/26/2005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20" w:type="dxa"/>
            <w:vAlign w:val="bottom"/>
            <w:shd w:val="clear" w:color="auto" w:fill="D6F3E8"/>
          </w:tcPr>
          <w:p>
            <w:pPr>
              <w:spacing w:after="0"/>
              <w:rPr>
                <w:sz w:val="20"/>
                <w:szCs w:val="20"/>
                <w:color w:val="auto"/>
              </w:rPr>
            </w:pPr>
            <w:r>
              <w:rPr>
                <w:rFonts w:ascii="Arial" w:cs="Arial" w:eastAsia="Arial" w:hAnsi="Arial"/>
                <w:sz w:val="18"/>
                <w:szCs w:val="18"/>
                <w:color w:val="auto"/>
              </w:rPr>
              <w:t>Sales order backlog</w:t>
            </w:r>
          </w:p>
        </w:tc>
        <w:tc>
          <w:tcPr>
            <w:tcW w:w="116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 w:type="dxa"/>
            <w:vAlign w:val="bottom"/>
            <w:tcBorders>
              <w:right w:val="single" w:sz="8" w:color="D6F3E8"/>
            </w:tcBorders>
            <w:shd w:val="clear" w:color="auto" w:fill="D6F3E8"/>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ind w:left="200"/>
              <w:spacing w:after="0"/>
              <w:rPr>
                <w:sz w:val="20"/>
                <w:szCs w:val="20"/>
                <w:color w:val="auto"/>
              </w:rPr>
            </w:pPr>
            <w:r>
              <w:rPr>
                <w:rFonts w:ascii="Arial" w:cs="Arial" w:eastAsia="Arial" w:hAnsi="Arial"/>
                <w:sz w:val="18"/>
                <w:szCs w:val="18"/>
                <w:color w:val="auto"/>
              </w:rPr>
              <w:t>Class A gas</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shd w:val="clear" w:color="auto" w:fill="D6F3E8"/>
          </w:tcPr>
          <w:p>
            <w:pPr>
              <w:ind w:left="200"/>
              <w:spacing w:after="0"/>
              <w:rPr>
                <w:sz w:val="20"/>
                <w:szCs w:val="20"/>
                <w:color w:val="auto"/>
              </w:rPr>
            </w:pPr>
            <w:r>
              <w:rPr>
                <w:rFonts w:ascii="Arial" w:cs="Arial" w:eastAsia="Arial" w:hAnsi="Arial"/>
                <w:sz w:val="18"/>
                <w:szCs w:val="18"/>
                <w:color w:val="auto"/>
              </w:rPr>
              <w:t>Class A diesel</w:t>
            </w:r>
          </w:p>
        </w:tc>
        <w:tc>
          <w:tcPr>
            <w:tcW w:w="116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9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7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right w:val="single" w:sz="8" w:color="D6F3E8"/>
            </w:tcBorders>
            <w:shd w:val="clear" w:color="auto" w:fill="D6F3E8"/>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ind w:left="200"/>
              <w:spacing w:after="0"/>
              <w:rPr>
                <w:sz w:val="20"/>
                <w:szCs w:val="20"/>
                <w:color w:val="auto"/>
              </w:rPr>
            </w:pPr>
            <w:r>
              <w:rPr>
                <w:rFonts w:ascii="Arial" w:cs="Arial" w:eastAsia="Arial" w:hAnsi="Arial"/>
                <w:sz w:val="18"/>
                <w:szCs w:val="18"/>
                <w:color w:val="auto"/>
              </w:rPr>
              <w:t>Class C</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872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shd w:val="clear" w:color="auto" w:fill="D6F3E8"/>
          </w:tcPr>
          <w:p>
            <w:pPr>
              <w:ind w:left="340"/>
              <w:spacing w:after="0"/>
              <w:rPr>
                <w:sz w:val="20"/>
                <w:szCs w:val="20"/>
                <w:color w:val="auto"/>
              </w:rPr>
            </w:pPr>
            <w:r>
              <w:rPr>
                <w:rFonts w:ascii="Arial" w:cs="Arial" w:eastAsia="Arial" w:hAnsi="Arial"/>
                <w:sz w:val="18"/>
                <w:szCs w:val="18"/>
                <w:color w:val="auto"/>
              </w:rPr>
              <w:t>Total backlog*</w:t>
            </w:r>
          </w:p>
        </w:tc>
        <w:tc>
          <w:tcPr>
            <w:tcW w:w="116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9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1,581</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7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2,108</w:t>
            </w:r>
          </w:p>
        </w:tc>
        <w:tc>
          <w:tcPr>
            <w:tcW w:w="120" w:type="dxa"/>
            <w:vAlign w:val="bottom"/>
            <w:tcBorders>
              <w:right w:val="single" w:sz="8" w:color="D6F3E8"/>
            </w:tcBorders>
            <w:shd w:val="clear" w:color="auto" w:fill="D6F3E8"/>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Total approximate revenue dollars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(in thousands)</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$127,800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5"/>
              </w:rPr>
              <w:t>$181,400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40" w:type="dxa"/>
            <w:vAlign w:val="bottom"/>
            <w:vMerge w:val="restart"/>
          </w:tcPr>
          <w:p>
            <w:pPr>
              <w:spacing w:after="0"/>
              <w:rPr>
                <w:sz w:val="21"/>
                <w:szCs w:val="21"/>
                <w:color w:val="auto"/>
              </w:rPr>
            </w:pPr>
          </w:p>
        </w:tc>
        <w:tc>
          <w:tcPr>
            <w:tcW w:w="1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20" w:type="dxa"/>
            <w:vAlign w:val="bottom"/>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116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9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5,436</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7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5,601</w:t>
            </w:r>
          </w:p>
        </w:tc>
        <w:tc>
          <w:tcPr>
            <w:tcW w:w="120" w:type="dxa"/>
            <w:vAlign w:val="bottom"/>
            <w:tcBorders>
              <w:right w:val="single" w:sz="8" w:color="D6F3E8"/>
            </w:tcBorders>
            <w:shd w:val="clear" w:color="auto" w:fill="D6F3E8"/>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00" w:firstLine="8"/>
        <w:spacing w:after="0" w:line="259" w:lineRule="auto"/>
        <w:tabs>
          <w:tab w:leader="none" w:pos="17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includes in its backlog all accepted purchase orders from dealers scheduled to be shipped within the next six months. Orders in backlog can be canceled or postponed at the option of the purchaser at any time without penalty and, therefore, backlog may not necessarily be an accurate measure of future sales.</w:t>
      </w:r>
    </w:p>
    <w:p>
      <w:pPr>
        <w:sectPr>
          <w:pgSz w:w="11900" w:h="16838" w:orient="portrait"/>
          <w:cols w:equalWidth="0" w:num="1">
            <w:col w:w="11420"/>
          </w:cols>
          <w:pgMar w:left="240" w:top="140" w:right="239" w:bottom="55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 #</w:t>
      </w:r>
    </w:p>
    <w:p>
      <w:pPr>
        <w:sectPr>
          <w:pgSz w:w="11900" w:h="16838" w:orient="portrait"/>
          <w:cols w:equalWidth="0" w:num="1">
            <w:col w:w="11420"/>
          </w:cols>
          <w:pgMar w:left="240" w:top="140" w:right="239" w:bottom="554" w:gutter="0" w:footer="0" w:header="0"/>
          <w:type w:val="continuous"/>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772795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2019-12-13T08:32:08Z</dcterms:created>
  <dcterms:modified xsi:type="dcterms:W3CDTF">2019-12-13T08:32:08Z</dcterms:modified>
</cp:coreProperties>
</file>