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July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21"/>
          <w:szCs w:val="21"/>
          <w:b w:val="1"/>
          <w:bCs w:val="1"/>
          <w:color w:val="auto"/>
        </w:rPr>
        <w:t>Entry into a Material Definitive Agreement</w:t>
      </w:r>
    </w:p>
    <w:p>
      <w:pPr>
        <w:spacing w:after="0" w:line="2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2, 2012, Winnebago Industries, Inc. (the “Company”) received a letter of consent from Wells Fargo Bank, National Association ("Wells Fargo"), as lender under a Loan and Security Agreement dated October 13, 2009 by and between the Company and Wells Fargo, as successor to Burdale Capital Finance, Inc., as Agent, waiving the restriction on repurchasing its common stock and allowing the Company to repurchase up to $35,000,000 of its common stock under the Company's December 19, 2007 repurchase authorization.</w:t>
      </w:r>
    </w:p>
    <w:p>
      <w:pPr>
        <w:spacing w:after="0" w:line="20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 copy of the letter of consent between the Company and Wells Fargo is attached to this Current Report as Exhibit 10.1 and is incorporated herein by reference.</w:t>
      </w:r>
    </w:p>
    <w:p>
      <w:pPr>
        <w:spacing w:after="0" w:line="200" w:lineRule="exact"/>
        <w:rPr>
          <w:sz w:val="20"/>
          <w:szCs w:val="20"/>
          <w:color w:val="auto"/>
        </w:rPr>
      </w:pPr>
    </w:p>
    <w:p>
      <w:pPr>
        <w:spacing w:after="0" w:line="275"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5128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295" w:lineRule="exact"/>
        <w:rPr>
          <w:sz w:val="20"/>
          <w:szCs w:val="20"/>
          <w:color w:val="auto"/>
        </w:rPr>
      </w:pPr>
    </w:p>
    <w:p>
      <w:pPr>
        <w:ind w:left="1080"/>
        <w:spacing w:after="0"/>
        <w:tabs>
          <w:tab w:leader="none" w:pos="1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Consent to Purchase of Common Stock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260"/>
              <w:spacing w:after="0"/>
              <w:rPr>
                <w:sz w:val="20"/>
                <w:szCs w:val="20"/>
                <w:color w:val="auto"/>
              </w:rPr>
            </w:pPr>
            <w:r>
              <w:rPr>
                <w:rFonts w:ascii="Arial" w:cs="Arial" w:eastAsia="Arial" w:hAnsi="Arial"/>
                <w:sz w:val="18"/>
                <w:szCs w:val="18"/>
                <w:color w:val="auto"/>
              </w:rPr>
              <w:t>July 3, 2012</w:t>
            </w:r>
          </w:p>
        </w:tc>
        <w:tc>
          <w:tcPr>
            <w:tcW w:w="8120" w:type="dxa"/>
            <w:vAlign w:val="bottom"/>
            <w:gridSpan w:val="2"/>
          </w:tcPr>
          <w:p>
            <w:pPr>
              <w:ind w:left="14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47"/>
        </w:trPr>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tcPr>
          <w:p>
            <w:pPr>
              <w:ind w:left="142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Randy J. Potts</w:t>
            </w:r>
          </w:p>
        </w:tc>
      </w:tr>
      <w:tr>
        <w:trPr>
          <w:trHeight w:val="243"/>
        </w:trPr>
        <w:tc>
          <w:tcPr>
            <w:tcW w:w="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320" w:type="dxa"/>
            <w:vAlign w:val="bottom"/>
          </w:tcPr>
          <w:p>
            <w:pPr>
              <w:ind w:left="1420"/>
              <w:spacing w:after="0"/>
              <w:rPr>
                <w:sz w:val="20"/>
                <w:szCs w:val="20"/>
                <w:color w:val="auto"/>
              </w:rPr>
            </w:pPr>
            <w:r>
              <w:rPr>
                <w:rFonts w:ascii="Arial" w:cs="Arial" w:eastAsia="Arial" w:hAnsi="Arial"/>
                <w:sz w:val="18"/>
                <w:szCs w:val="18"/>
                <w:color w:val="auto"/>
              </w:rPr>
              <w:t>Name:</w:t>
            </w:r>
          </w:p>
        </w:tc>
        <w:tc>
          <w:tcPr>
            <w:tcW w:w="580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6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320" w:type="dxa"/>
            <w:vAlign w:val="bottom"/>
          </w:tcPr>
          <w:p>
            <w:pPr>
              <w:ind w:left="1420"/>
              <w:spacing w:after="0"/>
              <w:rPr>
                <w:sz w:val="20"/>
                <w:szCs w:val="20"/>
                <w:color w:val="auto"/>
              </w:rPr>
            </w:pPr>
            <w:r>
              <w:rPr>
                <w:rFonts w:ascii="Arial" w:cs="Arial" w:eastAsia="Arial" w:hAnsi="Arial"/>
                <w:sz w:val="18"/>
                <w:szCs w:val="18"/>
                <w:color w:val="auto"/>
              </w:rPr>
              <w:t>Title:</w:t>
            </w:r>
          </w:p>
        </w:tc>
        <w:tc>
          <w:tcPr>
            <w:tcW w:w="580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420"/>
          </w:cols>
          <w:pgMar w:left="240" w:top="580" w:right="239" w:bottom="1440" w:gutter="0" w:footer="0" w:header="0"/>
        </w:sectPr>
      </w:pPr>
    </w:p>
    <w:bookmarkStart w:id="2" w:name="page3"/>
    <w:bookmarkEnd w:id="2"/>
    <w:p>
      <w:pPr>
        <w:ind w:left="7460"/>
        <w:spacing w:after="0"/>
        <w:rPr>
          <w:sz w:val="20"/>
          <w:szCs w:val="20"/>
          <w:color w:val="auto"/>
        </w:rPr>
      </w:pPr>
      <w:r>
        <w:rPr>
          <w:rFonts w:ascii="Arial" w:cs="Arial" w:eastAsia="Arial" w:hAnsi="Arial"/>
          <w:sz w:val="22"/>
          <w:szCs w:val="22"/>
          <w:color w:val="auto"/>
        </w:rPr>
        <w:t>Wells Fargo Capital Finance</w:t>
      </w:r>
    </w:p>
    <w:p>
      <w:pPr>
        <w:spacing w:after="0" w:line="44"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MAC Y1375-031</w:t>
      </w:r>
    </w:p>
    <w:p>
      <w:pPr>
        <w:spacing w:after="0" w:line="44"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One South Broad Street</w:t>
      </w:r>
    </w:p>
    <w:p>
      <w:pPr>
        <w:spacing w:after="0" w:line="44"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Philadelphia, PA 19107</w:t>
      </w:r>
    </w:p>
    <w:p>
      <w:pPr>
        <w:spacing w:after="0" w:line="341"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June 28, 2012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605 Crystal Lake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Forest City, Iowa 50436</w:t>
      </w:r>
    </w:p>
    <w:p>
      <w:pPr>
        <w:spacing w:after="0" w:line="202"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Consent to Purchase of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Reference is hereby made to that certain Loan and Security Agreement, dated October 13, 2009 (as the same may hereafter be amended, modified, supplemented, extended, renewed, restated or replaced the “Loan Agreement”), by and among WELLS FARGO BANK, NATIONAL ASSOCIATION, a national banking association (“</w:t>
      </w:r>
      <w:r>
        <w:rPr>
          <w:rFonts w:ascii="Arial" w:cs="Arial" w:eastAsia="Arial" w:hAnsi="Arial"/>
          <w:sz w:val="19"/>
          <w:szCs w:val="19"/>
          <w:u w:val="single" w:color="auto"/>
          <w:color w:val="auto"/>
        </w:rPr>
        <w:t>Wells Fargo</w:t>
      </w:r>
      <w:r>
        <w:rPr>
          <w:rFonts w:ascii="Arial" w:cs="Arial" w:eastAsia="Arial" w:hAnsi="Arial"/>
          <w:sz w:val="19"/>
          <w:szCs w:val="19"/>
          <w:color w:val="auto"/>
        </w:rPr>
        <w:t>”), as assignee of and successor in interest to Burdale Capital Finance, Inc. ( “</w:t>
      </w:r>
      <w:r>
        <w:rPr>
          <w:rFonts w:ascii="Arial" w:cs="Arial" w:eastAsia="Arial" w:hAnsi="Arial"/>
          <w:sz w:val="19"/>
          <w:szCs w:val="19"/>
          <w:u w:val="single" w:color="auto"/>
          <w:color w:val="auto"/>
        </w:rPr>
        <w:t>Burdale</w:t>
      </w:r>
      <w:r>
        <w:rPr>
          <w:rFonts w:ascii="Arial" w:cs="Arial" w:eastAsia="Arial" w:hAnsi="Arial"/>
          <w:sz w:val="19"/>
          <w:szCs w:val="19"/>
          <w:color w:val="auto"/>
        </w:rPr>
        <w:t>”), and as successor administrative agent for Lenders (Wells Fargo,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 the financial institutions from time to time party to the Loan Agreement as lenders (the “Lenders”), and Winnebago Industries, Inc. (“Borrower”), and the other agreements, documents and instruments referred to therein or at any time executed and/or delivered in connection therewith or related thereto (all of the foregoing, together with the Loan Agreement, as the same now exist or may hereafter be amended, modified, supplemented, extended, renewed, restated or replaced, being collectively referred to herein as the “Financing Agreements”). All capitalized terms used herein shall have the meaning assigned thereto in the Loan Agreement, unless otherwise defined herein.</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Borrower has requested that Agent, for itself and on behalf of Lenders, permit the Borrower to redeem, in cash, the Borrower's Capital Stock in an aggregate amount not to exceed $35,000,000, which Agent and Lenders are willing to do subject to the terms hereof.</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consideration of the foregoing and for other good and valuable consideration, the receipt and sufficiency of which are hereby acknowledged, the parties hereto hereby agree as follows:</w:t>
      </w:r>
    </w:p>
    <w:p>
      <w:pPr>
        <w:spacing w:after="0" w:line="175" w:lineRule="exact"/>
        <w:rPr>
          <w:sz w:val="20"/>
          <w:szCs w:val="20"/>
          <w:color w:val="auto"/>
        </w:rPr>
      </w:pPr>
    </w:p>
    <w:p>
      <w:pPr>
        <w:jc w:val="both"/>
        <w:ind w:firstLine="656"/>
        <w:spacing w:after="0" w:line="265" w:lineRule="auto"/>
        <w:tabs>
          <w:tab w:leader="none" w:pos="1459"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Consent</w:t>
      </w:r>
      <w:r>
        <w:rPr>
          <w:rFonts w:ascii="Arial" w:cs="Arial" w:eastAsia="Arial" w:hAnsi="Arial"/>
          <w:sz w:val="21"/>
          <w:szCs w:val="21"/>
          <w:color w:val="auto"/>
        </w:rPr>
        <w:t xml:space="preserve">. By its signature hereinbelow, Agent, for itself and on behalf of the Lenders, hereby expressly acknowledges, confirms and agrees that in addition to any redemptions permitted under Section 7.7(a) of the Loan Agreement, so long as no Event of Default exists and is continuing, Borrower shall be permitted to redeem, in cash, the Capital Stock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the aggregate amount of such redemptions shall not exceed $35,000,000.</w:t>
      </w:r>
    </w:p>
    <w:p>
      <w:pPr>
        <w:spacing w:after="0" w:line="216" w:lineRule="exact"/>
        <w:rPr>
          <w:rFonts w:ascii="Arial" w:cs="Arial" w:eastAsia="Arial" w:hAnsi="Arial"/>
          <w:sz w:val="21"/>
          <w:szCs w:val="21"/>
          <w:color w:val="auto"/>
        </w:rPr>
      </w:pPr>
    </w:p>
    <w:p>
      <w:pPr>
        <w:ind w:firstLine="656"/>
        <w:spacing w:after="0" w:line="263"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Condition Precedent</w:t>
      </w:r>
      <w:r>
        <w:rPr>
          <w:rFonts w:ascii="Arial" w:cs="Arial" w:eastAsia="Arial" w:hAnsi="Arial"/>
          <w:sz w:val="22"/>
          <w:szCs w:val="22"/>
          <w:color w:val="auto"/>
        </w:rPr>
        <w:t>. The consent set forth hereinabove shall not be effective unless and until Agent shall have received an original or .pdf copy of this letter agreement, duly executed by Borrower.</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and enforcement of this letter agreement and any dispute arising hereunder,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9" w:right="239" w:bottom="1440" w:gutter="0" w:footer="0" w:header="0"/>
        </w:sectPr>
      </w:pPr>
    </w:p>
    <w:bookmarkStart w:id="3" w:name="page4"/>
    <w:bookmarkEnd w:id="3"/>
    <w:p>
      <w:pPr>
        <w:ind w:right="20" w:firstLine="656"/>
        <w:spacing w:after="0" w:line="263"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letter agreement shall be binding upon and inure to the benefit of each of the parties hereto and their respective successors and assigns.</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45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letter agreement is intended by the parties hereto as a final expression of their agreement and constitutes the entire agreement of the parties with respect to the subject matter of this letter agreement and all prior and contemporaneous agreements of the parties hereto with respect to the subject matter hereof (whether written or oral) are hereby superseded by and merged into this letter agreement.</w:t>
      </w:r>
    </w:p>
    <w:p>
      <w:pPr>
        <w:spacing w:after="0" w:line="228" w:lineRule="exact"/>
        <w:rPr>
          <w:rFonts w:ascii="Arial" w:cs="Arial" w:eastAsia="Arial" w:hAnsi="Arial"/>
          <w:sz w:val="22"/>
          <w:szCs w:val="22"/>
          <w:color w:val="auto"/>
        </w:rPr>
      </w:pPr>
    </w:p>
    <w:p>
      <w:pPr>
        <w:jc w:val="both"/>
        <w:ind w:firstLine="656"/>
        <w:spacing w:after="0" w:line="294" w:lineRule="auto"/>
        <w:tabs>
          <w:tab w:leader="none" w:pos="1459"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letter agreement may be executed in any number of counterparts, each of which shall be an original, but all of which taken together shall constitute one and the same agreement. Delivery of an executed counterpart of this letter agreement by telefacsimile or other electronic method of transmission shall have the same force and effect as the delivery of an original executed counterpart of this letter agreement. Any party delivering an executed counterpart of this letter agreement by telefacsimile or other electronic method of transmission shall also deliver an original executed counterpart, but the failure to do so shall not affect the validity, enforceability or binding effect of this letter agreement.</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letter agreement to be executed as of the day and year first above written.</w:t>
      </w:r>
    </w:p>
    <w:p>
      <w:pPr>
        <w:spacing w:after="0" w:line="200" w:lineRule="exact"/>
        <w:rPr>
          <w:sz w:val="20"/>
          <w:szCs w:val="20"/>
          <w:color w:val="auto"/>
        </w:rPr>
      </w:pPr>
    </w:p>
    <w:p>
      <w:pPr>
        <w:spacing w:after="0" w:line="340"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WELLS FARGO BANK, NATIONAL ASSOCIATION, as AGENT</w:t>
      </w:r>
    </w:p>
    <w:p>
      <w:pPr>
        <w:spacing w:after="0" w:line="341" w:lineRule="exact"/>
        <w:rPr>
          <w:sz w:val="20"/>
          <w:szCs w:val="20"/>
          <w:color w:val="auto"/>
        </w:rPr>
      </w:pPr>
    </w:p>
    <w:p>
      <w:pPr>
        <w:ind w:left="404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Margaret A.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24765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4040"/>
        <w:spacing w:after="0"/>
        <w:tabs>
          <w:tab w:leader="none" w:pos="4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Margaret A. Byrne</w:t>
      </w:r>
    </w:p>
    <w:p>
      <w:pPr>
        <w:spacing w:after="0" w:line="44" w:lineRule="exact"/>
        <w:rPr>
          <w:sz w:val="20"/>
          <w:szCs w:val="20"/>
          <w:color w:val="auto"/>
        </w:rPr>
      </w:pPr>
    </w:p>
    <w:p>
      <w:pPr>
        <w:ind w:left="404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AGREED: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WINNEBAGO INDUSTRIES, INC., as Borrower</w:t>
      </w:r>
    </w:p>
    <w:p>
      <w:pPr>
        <w:spacing w:after="0" w:line="341" w:lineRule="exact"/>
        <w:rPr>
          <w:sz w:val="20"/>
          <w:szCs w:val="20"/>
          <w:color w:val="auto"/>
        </w:rPr>
      </w:pPr>
    </w:p>
    <w:p>
      <w:pPr>
        <w:ind w:left="40"/>
        <w:spacing w:after="0"/>
        <w:tabs>
          <w:tab w:leader="none" w:pos="940" w:val="left"/>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Sarah Nielsen</w:t>
      </w:r>
      <w:r>
        <w:rPr>
          <w:sz w:val="20"/>
          <w:szCs w:val="20"/>
          <w:color w:val="auto"/>
        </w:rPr>
        <w:tab/>
      </w:r>
      <w:r>
        <w:rPr>
          <w:rFonts w:ascii="Arial" w:cs="Arial" w:eastAsia="Arial" w:hAnsi="Arial"/>
          <w:sz w:val="19"/>
          <w:szCs w:val="19"/>
          <w:i w:val="1"/>
          <w:iCs w:val="1"/>
          <w:color w:val="auto"/>
        </w:rPr>
        <w:t>7/2/12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24765</wp:posOffset>
            </wp:positionV>
            <wp:extent cx="5505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Sarah Nielsen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VP - CFO</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2019-12-09T07:51:20Z</dcterms:created>
  <dcterms:modified xsi:type="dcterms:W3CDTF">2019-12-09T07:51:20Z</dcterms:modified>
</cp:coreProperties>
</file>