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74" w:lineRule="exact"/>
        <w:rPr>
          <w:sz w:val="24"/>
          <w:szCs w:val="24"/>
          <w:color w:val="auto"/>
        </w:rPr>
      </w:pPr>
    </w:p>
    <w:p>
      <w:pPr>
        <w:ind w:left="60"/>
        <w:spacing w:after="0"/>
        <w:rPr>
          <w:sz w:val="20"/>
          <w:szCs w:val="20"/>
          <w:color w:val="auto"/>
        </w:rPr>
      </w:pPr>
      <w:r>
        <w:rPr>
          <w:rFonts w:ascii="Arial" w:cs="Arial" w:eastAsia="Arial" w:hAnsi="Arial"/>
          <w:sz w:val="16"/>
          <w:szCs w:val="16"/>
          <w:color w:val="auto"/>
        </w:rPr>
        <w:t>(Mark One)</w:t>
      </w:r>
    </w:p>
    <w:p>
      <w:pPr>
        <w:spacing w:after="0" w:line="50"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54" w:lineRule="exact"/>
        <w:rPr>
          <w:sz w:val="24"/>
          <w:szCs w:val="24"/>
          <w:color w:val="auto"/>
        </w:rPr>
      </w:pPr>
    </w:p>
    <w:p>
      <w:pPr>
        <w:ind w:right="2620" w:firstLine="315"/>
        <w:spacing w:after="0" w:line="36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May 31, 2025</w:t>
      </w:r>
    </w:p>
    <w:p>
      <w:pPr>
        <w:jc w:val="center"/>
        <w:ind w:right="60"/>
        <w:spacing w:after="0"/>
        <w:rPr>
          <w:sz w:val="20"/>
          <w:szCs w:val="20"/>
          <w:color w:val="auto"/>
        </w:rPr>
      </w:pPr>
      <w:r>
        <w:rPr>
          <w:rFonts w:ascii="Arial" w:cs="Arial" w:eastAsia="Arial" w:hAnsi="Arial"/>
          <w:sz w:val="16"/>
          <w:szCs w:val="16"/>
          <w:color w:val="auto"/>
        </w:rPr>
        <w:t>or</w:t>
      </w:r>
    </w:p>
    <w:p>
      <w:pPr>
        <w:spacing w:after="0" w:line="86" w:lineRule="exact"/>
        <w:rPr>
          <w:sz w:val="24"/>
          <w:szCs w:val="24"/>
          <w:color w:val="auto"/>
        </w:rPr>
      </w:pPr>
    </w:p>
    <w:p>
      <w:pPr>
        <w:ind w:left="280" w:right="2680" w:hanging="254"/>
        <w:spacing w:after="0" w:line="352"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72390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Minnesota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720" w:type="dxa"/>
            <w:vAlign w:val="bottom"/>
            <w:gridSpan w:val="5"/>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1"/>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8"/>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1"/>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208"/>
        </w:trPr>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60" w:type="dxa"/>
            <w:vAlign w:val="bottom"/>
            <w:gridSpan w:val="6"/>
          </w:tcPr>
          <w:p>
            <w:pPr>
              <w:jc w:val="center"/>
              <w:ind w:left="219"/>
              <w:spacing w:after="0"/>
              <w:rPr>
                <w:sz w:val="20"/>
                <w:szCs w:val="20"/>
                <w:color w:val="auto"/>
              </w:rPr>
            </w:pPr>
            <w:r>
              <w:rPr>
                <w:rFonts w:ascii="Arial" w:cs="Arial" w:eastAsia="Arial" w:hAnsi="Arial"/>
                <w:sz w:val="16"/>
                <w:szCs w:val="16"/>
                <w:color w:val="auto"/>
              </w:rPr>
              <w:t>(Registrant's telephone number, including area code)</w:t>
            </w:r>
          </w:p>
        </w:tc>
        <w:tc>
          <w:tcPr>
            <w:tcW w:w="2260" w:type="dxa"/>
            <w:vAlign w:val="bottom"/>
          </w:tcPr>
          <w:p>
            <w:pPr>
              <w:spacing w:after="0"/>
              <w:rPr>
                <w:sz w:val="18"/>
                <w:szCs w:val="18"/>
                <w:color w:val="auto"/>
              </w:rPr>
            </w:pPr>
          </w:p>
        </w:tc>
      </w:tr>
      <w:tr>
        <w:trPr>
          <w:trHeight w:val="512"/>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9"/>
        </w:trPr>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gridSpan w:val="2"/>
          </w:tcPr>
          <w:p>
            <w:pPr>
              <w:spacing w:after="0"/>
              <w:rPr>
                <w:sz w:val="2"/>
                <w:szCs w:val="2"/>
                <w:color w:val="auto"/>
              </w:rPr>
            </w:pPr>
          </w:p>
        </w:tc>
      </w:tr>
      <w:tr>
        <w:trPr>
          <w:trHeight w:val="209"/>
        </w:trPr>
        <w:tc>
          <w:tcPr>
            <w:tcW w:w="1720" w:type="dxa"/>
            <w:vAlign w:val="bottom"/>
            <w:tcBorders>
              <w:left w:val="single" w:sz="8" w:color="auto"/>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4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24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right="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5"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As of June 18, 2025, there were 28,030,540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May 31, 2025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sz w:val="20"/>
                <w:szCs w:val="20"/>
                <w:color w:val="auto"/>
              </w:rPr>
            </w:pPr>
            <w:r>
              <w:rPr>
                <w:rFonts w:ascii="Arial" w:cs="Arial" w:eastAsia="Arial" w:hAnsi="Arial"/>
                <w:sz w:val="16"/>
                <w:szCs w:val="16"/>
                <w:b w:val="1"/>
                <w:bCs w:val="1"/>
                <w:color w:val="0000FF"/>
              </w:rPr>
              <w:t>PART I.</w:t>
            </w:r>
          </w:p>
        </w:tc>
        <w:tc>
          <w:tcPr>
            <w:tcW w:w="6360" w:type="dxa"/>
            <w:vAlign w:val="bottom"/>
            <w:gridSpan w:val="17"/>
          </w:tcPr>
          <w:p>
            <w:pPr>
              <w:spacing w:after="0"/>
              <w:rPr>
                <w:sz w:val="20"/>
                <w:szCs w:val="20"/>
                <w:color w:val="auto"/>
              </w:rPr>
            </w:pPr>
            <w:r>
              <w:rPr>
                <w:rFonts w:ascii="Arial" w:cs="Arial" w:eastAsia="Arial" w:hAnsi="Arial"/>
                <w:sz w:val="16"/>
                <w:szCs w:val="16"/>
                <w:b w:val="1"/>
                <w:bCs w:val="1"/>
                <w:color w:val="0000FF"/>
              </w:rPr>
              <w:t>FINANCIAL INFORMATION</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20"/>
                <w:szCs w:val="20"/>
                <w:color w:val="auto"/>
              </w:rPr>
            </w:pPr>
            <w:r>
              <w:rPr>
                <w:rFonts w:ascii="Arial" w:cs="Arial" w:eastAsia="Arial" w:hAnsi="Arial"/>
                <w:sz w:val="16"/>
                <w:szCs w:val="16"/>
                <w:color w:val="0000FF"/>
                <w:w w:val="93"/>
              </w:rPr>
              <w:t>Item 1.</w:t>
            </w:r>
          </w:p>
        </w:tc>
        <w:tc>
          <w:tcPr>
            <w:tcW w:w="460" w:type="dxa"/>
            <w:vAlign w:val="bottom"/>
            <w:gridSpan w:val="3"/>
          </w:tcPr>
          <w:p>
            <w:pPr>
              <w:spacing w:after="0"/>
              <w:rPr>
                <w:sz w:val="17"/>
                <w:szCs w:val="17"/>
                <w:color w:val="auto"/>
              </w:rPr>
            </w:pPr>
          </w:p>
        </w:tc>
        <w:tc>
          <w:tcPr>
            <w:tcW w:w="6360" w:type="dxa"/>
            <w:vAlign w:val="bottom"/>
            <w:gridSpan w:val="17"/>
          </w:tcPr>
          <w:p>
            <w:pPr>
              <w:spacing w:after="0"/>
              <w:rPr>
                <w:sz w:val="20"/>
                <w:szCs w:val="20"/>
                <w:color w:val="auto"/>
              </w:rPr>
            </w:pPr>
            <w:r>
              <w:rPr>
                <w:rFonts w:ascii="Arial" w:cs="Arial" w:eastAsia="Arial" w:hAnsi="Arial"/>
                <w:sz w:val="16"/>
                <w:szCs w:val="16"/>
                <w:color w:val="0000FF"/>
              </w:rPr>
              <w:t>Consolidated Financial Statements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9"/>
          </w:tcPr>
          <w:p>
            <w:pPr>
              <w:spacing w:after="0"/>
              <w:rPr>
                <w:sz w:val="20"/>
                <w:szCs w:val="20"/>
                <w:color w:val="auto"/>
              </w:rPr>
            </w:pPr>
            <w:r>
              <w:rPr>
                <w:rFonts w:ascii="Arial" w:cs="Arial" w:eastAsia="Arial" w:hAnsi="Arial"/>
                <w:sz w:val="16"/>
                <w:szCs w:val="16"/>
                <w:color w:val="0000FF"/>
              </w:rPr>
              <w:t>Consolidated Statements of Income</w:t>
            </w:r>
          </w:p>
        </w:tc>
        <w:tc>
          <w:tcPr>
            <w:tcW w:w="3600" w:type="dxa"/>
            <w:vAlign w:val="bottom"/>
            <w:gridSpan w:val="6"/>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sz w:val="20"/>
                <w:szCs w:val="20"/>
                <w:color w:val="auto"/>
              </w:rPr>
            </w:pPr>
            <w:r>
              <w:rPr>
                <w:rFonts w:ascii="Arial" w:cs="Arial" w:eastAsia="Arial" w:hAnsi="Arial"/>
                <w:sz w:val="16"/>
                <w:szCs w:val="16"/>
                <w:color w:val="0000FF"/>
              </w:rPr>
              <w:t>Consolidated Balance Sheets</w:t>
            </w:r>
          </w:p>
        </w:tc>
        <w:tc>
          <w:tcPr>
            <w:tcW w:w="440" w:type="dxa"/>
            <w:vAlign w:val="bottom"/>
            <w:gridSpan w:val="2"/>
          </w:tcPr>
          <w:p>
            <w:pPr>
              <w:spacing w:after="0"/>
              <w:rPr>
                <w:sz w:val="17"/>
                <w:szCs w:val="17"/>
                <w:color w:val="auto"/>
              </w:rPr>
            </w:pPr>
          </w:p>
        </w:tc>
        <w:tc>
          <w:tcPr>
            <w:tcW w:w="3600" w:type="dxa"/>
            <w:vAlign w:val="bottom"/>
            <w:gridSpan w:val="6"/>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10"/>
          </w:tcPr>
          <w:p>
            <w:pPr>
              <w:spacing w:after="0"/>
              <w:rPr>
                <w:sz w:val="20"/>
                <w:szCs w:val="20"/>
                <w:color w:val="auto"/>
              </w:rPr>
            </w:pPr>
            <w:r>
              <w:rPr>
                <w:rFonts w:ascii="Arial" w:cs="Arial" w:eastAsia="Arial" w:hAnsi="Arial"/>
                <w:sz w:val="16"/>
                <w:szCs w:val="16"/>
                <w:color w:val="0000FF"/>
              </w:rPr>
              <w:t>Consolidated Statements of Cash Flows</w:t>
            </w:r>
          </w:p>
        </w:tc>
        <w:tc>
          <w:tcPr>
            <w:tcW w:w="3280" w:type="dxa"/>
            <w:vAlign w:val="bottom"/>
            <w:gridSpan w:val="5"/>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gridSpan w:val="15"/>
          </w:tcPr>
          <w:p>
            <w:pPr>
              <w:spacing w:after="0"/>
              <w:rPr>
                <w:sz w:val="20"/>
                <w:szCs w:val="20"/>
                <w:color w:val="auto"/>
              </w:rPr>
            </w:pPr>
            <w:r>
              <w:rPr>
                <w:rFonts w:ascii="Arial" w:cs="Arial" w:eastAsia="Arial" w:hAnsi="Arial"/>
                <w:sz w:val="16"/>
                <w:szCs w:val="16"/>
                <w:color w:val="0000FF"/>
              </w:rPr>
              <w:t>Consolidated Statements of Changes in Shareholders' Equity</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7</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0000FF"/>
              </w:rPr>
              <w:t>Notes to Consolidated Financial Statements</w:t>
            </w:r>
          </w:p>
        </w:tc>
        <w:tc>
          <w:tcPr>
            <w:tcW w:w="1780" w:type="dxa"/>
            <w:vAlign w:val="bottom"/>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9</w:t>
            </w: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636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22</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6360" w:type="dxa"/>
            <w:vAlign w:val="bottom"/>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6360" w:type="dxa"/>
            <w:vAlign w:val="bottom"/>
            <w:gridSpan w:val="17"/>
          </w:tcPr>
          <w:p>
            <w:pPr>
              <w:spacing w:after="0"/>
              <w:rPr>
                <w:sz w:val="20"/>
                <w:szCs w:val="20"/>
                <w:color w:val="auto"/>
              </w:rPr>
            </w:pPr>
            <w:r>
              <w:rPr>
                <w:rFonts w:ascii="Arial" w:cs="Arial" w:eastAsia="Arial" w:hAnsi="Arial"/>
                <w:sz w:val="16"/>
                <w:szCs w:val="16"/>
                <w:color w:val="0000FF"/>
              </w:rPr>
              <w:t>Controls and Procedures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33</w:t>
            </w: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7"/>
              </w:rPr>
              <w:t>PART II.</w:t>
            </w:r>
          </w:p>
        </w:tc>
        <w:tc>
          <w:tcPr>
            <w:tcW w:w="340" w:type="dxa"/>
            <w:vAlign w:val="bottom"/>
          </w:tcPr>
          <w:p>
            <w:pPr>
              <w:spacing w:after="0"/>
              <w:rPr>
                <w:sz w:val="24"/>
                <w:szCs w:val="24"/>
                <w:color w:val="auto"/>
              </w:rPr>
            </w:pPr>
          </w:p>
        </w:tc>
        <w:tc>
          <w:tcPr>
            <w:tcW w:w="17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OTHER INFORMATION</w:t>
            </w:r>
          </w:p>
        </w:tc>
        <w:tc>
          <w:tcPr>
            <w:tcW w:w="4580" w:type="dxa"/>
            <w:vAlign w:val="bottom"/>
            <w:gridSpan w:val="10"/>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34</w:t>
            </w:r>
          </w:p>
        </w:tc>
      </w:tr>
      <w:tr>
        <w:trPr>
          <w:trHeight w:val="196"/>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w:t>
            </w:r>
          </w:p>
        </w:tc>
        <w:tc>
          <w:tcPr>
            <w:tcW w:w="360" w:type="dxa"/>
            <w:vAlign w:val="bottom"/>
            <w:gridSpan w:val="2"/>
          </w:tcPr>
          <w:p>
            <w:pPr>
              <w:spacing w:after="0"/>
              <w:rPr>
                <w:sz w:val="17"/>
                <w:szCs w:val="17"/>
                <w:color w:val="auto"/>
              </w:rPr>
            </w:pP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9"/>
              </w:rPr>
              <w:t>Legal Proceedings</w:t>
            </w:r>
          </w:p>
        </w:tc>
        <w:tc>
          <w:tcPr>
            <w:tcW w:w="5020" w:type="dxa"/>
            <w:vAlign w:val="bottom"/>
            <w:gridSpan w:val="11"/>
          </w:tcPr>
          <w:p>
            <w:pPr>
              <w:spacing w:after="0"/>
              <w:rPr>
                <w:sz w:val="17"/>
                <w:szCs w:val="17"/>
                <w:color w:val="auto"/>
              </w:rPr>
            </w:pP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6360" w:type="dxa"/>
            <w:vAlign w:val="bottom"/>
            <w:gridSpan w:val="17"/>
          </w:tcPr>
          <w:p>
            <w:pPr>
              <w:spacing w:after="0"/>
              <w:rPr>
                <w:sz w:val="20"/>
                <w:szCs w:val="20"/>
                <w:color w:val="auto"/>
              </w:rPr>
            </w:pPr>
            <w:r>
              <w:rPr>
                <w:rFonts w:ascii="Arial" w:cs="Arial" w:eastAsia="Arial" w:hAnsi="Arial"/>
                <w:sz w:val="16"/>
                <w:szCs w:val="16"/>
                <w:color w:val="0000FF"/>
              </w:rPr>
              <w:t>Risk Factors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60" w:type="dxa"/>
            <w:vAlign w:val="bottom"/>
            <w:gridSpan w:val="2"/>
          </w:tcPr>
          <w:p>
            <w:pPr>
              <w:spacing w:after="0"/>
              <w:rPr>
                <w:sz w:val="17"/>
                <w:szCs w:val="17"/>
                <w:color w:val="auto"/>
              </w:rPr>
            </w:pPr>
          </w:p>
        </w:tc>
        <w:tc>
          <w:tcPr>
            <w:tcW w:w="6360" w:type="dxa"/>
            <w:vAlign w:val="bottom"/>
            <w:gridSpan w:val="1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100" w:type="dxa"/>
            <w:vAlign w:val="bottom"/>
            <w:gridSpan w:val="10"/>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6360" w:type="dxa"/>
            <w:vAlign w:val="bottom"/>
            <w:gridSpan w:val="17"/>
          </w:tcPr>
          <w:p>
            <w:pPr>
              <w:spacing w:after="0"/>
              <w:rPr>
                <w:sz w:val="20"/>
                <w:szCs w:val="20"/>
                <w:color w:val="auto"/>
              </w:rPr>
            </w:pPr>
            <w:r>
              <w:rPr>
                <w:rFonts w:ascii="Arial" w:cs="Arial" w:eastAsia="Arial" w:hAnsi="Arial"/>
                <w:sz w:val="16"/>
                <w:szCs w:val="16"/>
                <w:color w:val="0000FF"/>
              </w:rPr>
              <w:t>Other Information</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34</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00" w:type="dxa"/>
            <w:vAlign w:val="bottom"/>
            <w:gridSpan w:val="1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636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3880" w:type="dxa"/>
            <w:vAlign w:val="bottom"/>
            <w:gridSpan w:val="3"/>
          </w:tcPr>
          <w:p>
            <w:pPr>
              <w:jc w:val="right"/>
              <w:spacing w:after="0"/>
              <w:rPr>
                <w:sz w:val="20"/>
                <w:szCs w:val="20"/>
                <w:color w:val="auto"/>
              </w:rPr>
            </w:pPr>
            <w:r>
              <w:rPr>
                <w:rFonts w:ascii="Arial" w:cs="Arial" w:eastAsia="Arial" w:hAnsi="Arial"/>
                <w:sz w:val="16"/>
                <w:szCs w:val="16"/>
                <w:color w:val="0000FF"/>
              </w:rPr>
              <w:t>35</w:t>
            </w:r>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00" w:type="dxa"/>
            <w:vAlign w:val="bottom"/>
            <w:gridSpan w:val="14"/>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b w:val="1"/>
                <w:bCs w:val="1"/>
                <w:color w:val="0000FF"/>
                <w:w w:val="99"/>
              </w:rPr>
              <w:t>SIGNATURES</w:t>
            </w:r>
          </w:p>
        </w:tc>
        <w:tc>
          <w:tcPr>
            <w:tcW w:w="6260" w:type="dxa"/>
            <w:vAlign w:val="bottom"/>
            <w:gridSpan w:val="16"/>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448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18"/>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2"/>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4"/>
        </w:trPr>
        <w:tc>
          <w:tcPr>
            <w:tcW w:w="12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9"/>
                <w:szCs w:val="19"/>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(in millions, except per share data)</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r>
      <w:tr>
        <w:trPr>
          <w:trHeight w:val="209"/>
        </w:trPr>
        <w:tc>
          <w:tcPr>
            <w:tcW w:w="4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2,252.6</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1,913.3</w:t>
            </w:r>
          </w:p>
        </w:tc>
      </w:tr>
      <w:tr>
        <w:trPr>
          <w:trHeight w:val="21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r>
      <w:tr>
        <w:trPr>
          <w:trHeight w:val="20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204.4</w:t>
            </w:r>
          </w:p>
        </w:tc>
      </w:tr>
      <w:tr>
        <w:trPr>
          <w:trHeight w:val="21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r>
      <w:tr>
        <w:trPr>
          <w:trHeight w:val="21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r>
      <w:tr>
        <w:trPr>
          <w:trHeight w:val="215"/>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Non-operating (income) loss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35"/>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448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0.99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56"/>
        </w:trPr>
        <w:tc>
          <w:tcPr>
            <w:tcW w:w="4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448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217"/>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48"/>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b w:val="1"/>
                <w:bCs w:val="1"/>
                <w:color w:val="auto"/>
              </w:rPr>
              <w:t>August 31, 2024</w:t>
            </w:r>
          </w:p>
        </w:tc>
      </w:tr>
      <w:tr>
        <w:trPr>
          <w:trHeight w:val="196"/>
        </w:trPr>
        <w:tc>
          <w:tcPr>
            <w:tcW w:w="7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rPr>
              <w:t>(Unaudited)</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1"/>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330.9</w:t>
            </w: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less allowance for credit losses ($0.2 and $0.2, respectively)</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w:t>
            </w: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438.7</w:t>
            </w:r>
          </w:p>
        </w:tc>
      </w:tr>
      <w:tr>
        <w:trPr>
          <w:trHeight w:val="20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r>
      <w:tr>
        <w:trPr>
          <w:trHeight w:val="192"/>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759.3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988.7</w:t>
            </w:r>
          </w:p>
        </w:tc>
      </w:tr>
      <w:tr>
        <w:trPr>
          <w:trHeight w:val="20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w:t>
            </w:r>
          </w:p>
        </w:tc>
      </w:tr>
      <w:tr>
        <w:trPr>
          <w:trHeight w:val="198"/>
        </w:trPr>
        <w:tc>
          <w:tcPr>
            <w:tcW w:w="79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484.2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484.2</w:t>
            </w:r>
          </w:p>
        </w:tc>
      </w:tr>
      <w:tr>
        <w:trPr>
          <w:trHeight w:val="20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479.0</w:t>
            </w:r>
          </w:p>
        </w:tc>
      </w:tr>
      <w:tr>
        <w:trPr>
          <w:trHeight w:val="198"/>
        </w:trPr>
        <w:tc>
          <w:tcPr>
            <w:tcW w:w="7900" w:type="dxa"/>
            <w:vAlign w:val="bottom"/>
          </w:tcPr>
          <w:p>
            <w:pPr>
              <w:ind w:left="20"/>
              <w:spacing w:after="0"/>
              <w:rPr>
                <w:sz w:val="20"/>
                <w:szCs w:val="20"/>
                <w:color w:val="auto"/>
              </w:rPr>
            </w:pPr>
            <w:r>
              <w:rPr>
                <w:rFonts w:ascii="Arial" w:cs="Arial" w:eastAsia="Arial" w:hAnsi="Arial"/>
                <w:sz w:val="14"/>
                <w:szCs w:val="14"/>
                <w:color w:val="auto"/>
              </w:rPr>
              <w:t>Investment in life insurance</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0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98"/>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r>
      <w:tr>
        <w:trPr>
          <w:trHeight w:val="225"/>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2,132.7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2,384.2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9"/>
        </w:trPr>
        <w:tc>
          <w:tcPr>
            <w:tcW w:w="79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maturities of long-term debt, net</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59.1</w:t>
            </w:r>
          </w:p>
        </w:tc>
      </w:tr>
      <w:tr>
        <w:trPr>
          <w:trHeight w:val="20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9"/>
        </w:trPr>
        <w:tc>
          <w:tcPr>
            <w:tcW w:w="79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06"/>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Product warranties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r>
      <w:tr>
        <w:trPr>
          <w:trHeight w:val="198"/>
        </w:trPr>
        <w:tc>
          <w:tcPr>
            <w:tcW w:w="7900" w:type="dxa"/>
            <w:vAlign w:val="bottom"/>
          </w:tcPr>
          <w:p>
            <w:pPr>
              <w:ind w:left="220"/>
              <w:spacing w:after="0"/>
              <w:rPr>
                <w:sz w:val="20"/>
                <w:szCs w:val="20"/>
                <w:color w:val="auto"/>
              </w:rPr>
            </w:pPr>
            <w:r>
              <w:rPr>
                <w:rFonts w:ascii="Arial" w:cs="Arial" w:eastAsia="Arial" w:hAnsi="Arial"/>
                <w:sz w:val="14"/>
                <w:szCs w:val="14"/>
                <w:color w:val="auto"/>
              </w:rPr>
              <w:t>Self-insurance</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207"/>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Promotional</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198"/>
        </w:trPr>
        <w:tc>
          <w:tcPr>
            <w:tcW w:w="7900" w:type="dxa"/>
            <w:vAlign w:val="bottom"/>
          </w:tcPr>
          <w:p>
            <w:pPr>
              <w:ind w:left="220"/>
              <w:spacing w:after="0"/>
              <w:rPr>
                <w:sz w:val="20"/>
                <w:szCs w:val="20"/>
                <w:color w:val="auto"/>
              </w:rPr>
            </w:pPr>
            <w:r>
              <w:rPr>
                <w:rFonts w:ascii="Arial" w:cs="Arial" w:eastAsia="Arial" w:hAnsi="Arial"/>
                <w:sz w:val="14"/>
                <w:szCs w:val="14"/>
                <w:color w:val="auto"/>
              </w:rPr>
              <w:t>Accrued interest and dividends</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07"/>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192"/>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404.7</w:t>
            </w:r>
          </w:p>
        </w:tc>
      </w:tr>
      <w:tr>
        <w:trPr>
          <w:trHeight w:val="18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liabilities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Long-term debt, net</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539.9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637.1</w:t>
            </w: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liabilities, net</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Unrecognized tax benefits</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r>
      <w:tr>
        <w:trPr>
          <w:trHeight w:val="198"/>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r>
      <w:tr>
        <w:trPr>
          <w:trHeight w:val="200"/>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916.8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1,110.9</w:t>
            </w:r>
          </w:p>
        </w:tc>
      </w:tr>
      <w:tr>
        <w:trPr>
          <w:trHeight w:val="178"/>
        </w:trPr>
        <w:tc>
          <w:tcPr>
            <w:tcW w:w="7900" w:type="dxa"/>
            <w:vAlign w:val="bottom"/>
          </w:tcPr>
          <w:p>
            <w:pPr>
              <w:ind w:left="20"/>
              <w:spacing w:after="0"/>
              <w:rPr>
                <w:sz w:val="20"/>
                <w:szCs w:val="20"/>
                <w:color w:val="auto"/>
              </w:rPr>
            </w:pPr>
            <w:r>
              <w:rPr>
                <w:rFonts w:ascii="Arial" w:cs="Arial" w:eastAsia="Arial" w:hAnsi="Arial"/>
                <w:sz w:val="14"/>
                <w:szCs w:val="14"/>
                <w:color w:val="auto"/>
              </w:rPr>
              <w:t>Contingent liabilities and commitments (Note 9)</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Preferred stock, par value $0.01: 10.0 shares authorized; zero shares issued and outstanding</w:t>
            </w:r>
          </w:p>
        </w:tc>
        <w:tc>
          <w:tcPr>
            <w:tcW w:w="20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par value $0.50: 120.0 shares authorized; 51.8 shares issued</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194.2</w:t>
            </w: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1,723.3</w:t>
            </w:r>
          </w:p>
        </w:tc>
      </w:tr>
      <w:tr>
        <w:trPr>
          <w:trHeight w:val="198"/>
        </w:trPr>
        <w:tc>
          <w:tcPr>
            <w:tcW w:w="79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at cost: 23.8 and 23.0 shares, respectively</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(669.7)</w:t>
            </w:r>
          </w:p>
        </w:tc>
      </w:tr>
      <w:tr>
        <w:trPr>
          <w:trHeight w:val="195"/>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b w:val="1"/>
                <w:bCs w:val="1"/>
                <w:color w:val="auto"/>
              </w:rPr>
              <w:t>Total shareholders' equity</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1,215.9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1,273.3</w:t>
            </w:r>
          </w:p>
        </w:tc>
      </w:tr>
      <w:tr>
        <w:trPr>
          <w:trHeight w:val="22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2,132.7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2,384.2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right"/>
              <w:ind w:right="1188"/>
              <w:spacing w:after="0"/>
              <w:rPr>
                <w:sz w:val="20"/>
                <w:szCs w:val="20"/>
                <w:color w:val="auto"/>
              </w:rPr>
            </w:pPr>
            <w:r>
              <w:rPr>
                <w:rFonts w:ascii="Arial" w:cs="Arial" w:eastAsia="Arial" w:hAnsi="Arial"/>
                <w:sz w:val="14"/>
                <w:szCs w:val="14"/>
                <w:b w:val="1"/>
                <w:bCs w:val="1"/>
                <w:color w:val="auto"/>
              </w:rPr>
              <w:t>Nine Months Ended</w:t>
            </w:r>
          </w:p>
        </w:tc>
      </w:tr>
      <w:tr>
        <w:trPr>
          <w:trHeight w:val="197"/>
        </w:trPr>
        <w:tc>
          <w:tcPr>
            <w:tcW w:w="71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31, 2025</w:t>
            </w:r>
          </w:p>
        </w:tc>
        <w:tc>
          <w:tcPr>
            <w:tcW w:w="300" w:type="dxa"/>
            <w:vAlign w:val="bottom"/>
          </w:tcPr>
          <w:p>
            <w:pPr>
              <w:spacing w:after="0"/>
              <w:rPr>
                <w:sz w:val="17"/>
                <w:szCs w:val="17"/>
                <w:color w:val="auto"/>
              </w:rPr>
            </w:pPr>
          </w:p>
        </w:tc>
        <w:tc>
          <w:tcPr>
            <w:tcW w:w="1580" w:type="dxa"/>
            <w:vAlign w:val="bottom"/>
          </w:tcPr>
          <w:p>
            <w:pPr>
              <w:jc w:val="right"/>
              <w:ind w:right="428"/>
              <w:spacing w:after="0"/>
              <w:rPr>
                <w:sz w:val="20"/>
                <w:szCs w:val="20"/>
                <w:color w:val="auto"/>
              </w:rPr>
            </w:pPr>
            <w:r>
              <w:rPr>
                <w:rFonts w:ascii="Arial" w:cs="Arial" w:eastAsia="Arial" w:hAnsi="Arial"/>
                <w:sz w:val="14"/>
                <w:szCs w:val="14"/>
                <w:b w:val="1"/>
                <w:bCs w:val="1"/>
                <w:color w:val="auto"/>
              </w:rPr>
              <w:t>May 25, 2024</w:t>
            </w:r>
          </w:p>
        </w:tc>
      </w:tr>
      <w:tr>
        <w:trPr>
          <w:trHeight w:val="197"/>
        </w:trPr>
        <w:tc>
          <w:tcPr>
            <w:tcW w:w="7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198"/>
        </w:trPr>
        <w:tc>
          <w:tcPr>
            <w:tcW w:w="71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42.1</w:t>
            </w:r>
          </w:p>
        </w:tc>
      </w:tr>
      <w:tr>
        <w:trPr>
          <w:trHeight w:val="20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07"/>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7"/>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Last in, first-out ("LIFO") expense</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7"/>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Loss on note repurchase</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07"/>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 impairment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Contingent consideration fair value adjustment</w:t>
            </w:r>
          </w:p>
        </w:tc>
        <w:tc>
          <w:tcPr>
            <w:tcW w:w="30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earnout liability above acquisition-date fair value</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Other, net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07"/>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 net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6"/>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8"/>
        </w:trPr>
        <w:tc>
          <w:tcPr>
            <w:tcW w:w="7100" w:type="dxa"/>
            <w:vAlign w:val="bottom"/>
          </w:tcPr>
          <w:p>
            <w:pPr>
              <w:ind w:left="220"/>
              <w:spacing w:after="0"/>
              <w:rPr>
                <w:sz w:val="20"/>
                <w:szCs w:val="20"/>
                <w:color w:val="auto"/>
              </w:rPr>
            </w:pPr>
            <w:r>
              <w:rPr>
                <w:rFonts w:ascii="Arial" w:cs="Arial" w:eastAsia="Arial" w:hAnsi="Arial"/>
                <w:sz w:val="14"/>
                <w:szCs w:val="14"/>
                <w:color w:val="auto"/>
              </w:rPr>
              <w:t>Income taxes and unrecognized tax benefits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7"/>
        </w:trPr>
        <w:tc>
          <w:tcPr>
            <w:tcW w:w="7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19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103.2</w:t>
            </w:r>
          </w:p>
        </w:tc>
      </w:tr>
      <w:tr>
        <w:trPr>
          <w:trHeight w:val="197"/>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98"/>
        </w:trPr>
        <w:tc>
          <w:tcPr>
            <w:tcW w:w="7100" w:type="dxa"/>
            <w:vAlign w:val="bottom"/>
          </w:tcPr>
          <w:p>
            <w:pPr>
              <w:ind w:left="140"/>
              <w:spacing w:after="0"/>
              <w:rPr>
                <w:sz w:val="20"/>
                <w:szCs w:val="20"/>
                <w:color w:val="auto"/>
              </w:rPr>
            </w:pPr>
            <w:r>
              <w:rPr>
                <w:rFonts w:ascii="Arial" w:cs="Arial" w:eastAsia="Arial" w:hAnsi="Arial"/>
                <w:sz w:val="14"/>
                <w:szCs w:val="14"/>
                <w:color w:val="auto"/>
              </w:rPr>
              <w:t>Proceeds from the sale of property, plant, and equipment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6"/>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9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w:t>
            </w:r>
          </w:p>
        </w:tc>
      </w:tr>
      <w:tr>
        <w:trPr>
          <w:trHeight w:val="197"/>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2"/>
        </w:trPr>
        <w:tc>
          <w:tcPr>
            <w:tcW w:w="71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on long-term debt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2,652.2</w:t>
            </w:r>
          </w:p>
        </w:tc>
      </w:tr>
      <w:tr>
        <w:trPr>
          <w:trHeight w:val="198"/>
        </w:trPr>
        <w:tc>
          <w:tcPr>
            <w:tcW w:w="7100" w:type="dxa"/>
            <w:vAlign w:val="bottom"/>
          </w:tcPr>
          <w:p>
            <w:pPr>
              <w:ind w:left="140"/>
              <w:spacing w:after="0"/>
              <w:rPr>
                <w:sz w:val="20"/>
                <w:szCs w:val="20"/>
                <w:color w:val="auto"/>
              </w:rPr>
            </w:pPr>
            <w:r>
              <w:rPr>
                <w:rFonts w:ascii="Arial" w:cs="Arial" w:eastAsia="Arial" w:hAnsi="Arial"/>
                <w:sz w:val="14"/>
                <w:szCs w:val="14"/>
                <w:color w:val="auto"/>
              </w:rPr>
              <w:t>Repayments on long-term debt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(2,596.0)</w:t>
            </w:r>
          </w:p>
        </w:tc>
      </w:tr>
      <w:tr>
        <w:trPr>
          <w:trHeight w:val="20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for convertible note bond hedge</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r>
      <w:tr>
        <w:trPr>
          <w:trHeight w:val="198"/>
        </w:trPr>
        <w:tc>
          <w:tcPr>
            <w:tcW w:w="7100" w:type="dxa"/>
            <w:vAlign w:val="bottom"/>
          </w:tcPr>
          <w:p>
            <w:pPr>
              <w:ind w:left="140"/>
              <w:spacing w:after="0"/>
              <w:rPr>
                <w:sz w:val="20"/>
                <w:szCs w:val="20"/>
                <w:color w:val="auto"/>
              </w:rPr>
            </w:pPr>
            <w:r>
              <w:rPr>
                <w:rFonts w:ascii="Arial" w:cs="Arial" w:eastAsia="Arial" w:hAnsi="Arial"/>
                <w:sz w:val="14"/>
                <w:szCs w:val="14"/>
                <w:color w:val="auto"/>
              </w:rPr>
              <w:t>Proceeds from issuance of convertible note warrant</w:t>
            </w:r>
          </w:p>
        </w:tc>
        <w:tc>
          <w:tcPr>
            <w:tcW w:w="30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31.3</w:t>
            </w:r>
          </w:p>
        </w:tc>
      </w:tr>
      <w:tr>
        <w:trPr>
          <w:trHeight w:val="20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partial unwind of convertible note bond hedge</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r>
      <w:tr>
        <w:trPr>
          <w:trHeight w:val="198"/>
        </w:trPr>
        <w:tc>
          <w:tcPr>
            <w:tcW w:w="7100" w:type="dxa"/>
            <w:vAlign w:val="bottom"/>
          </w:tcPr>
          <w:p>
            <w:pPr>
              <w:ind w:left="140"/>
              <w:spacing w:after="0"/>
              <w:rPr>
                <w:sz w:val="20"/>
                <w:szCs w:val="20"/>
                <w:color w:val="auto"/>
              </w:rPr>
            </w:pPr>
            <w:r>
              <w:rPr>
                <w:rFonts w:ascii="Arial" w:cs="Arial" w:eastAsia="Arial" w:hAnsi="Arial"/>
                <w:sz w:val="14"/>
                <w:szCs w:val="14"/>
                <w:color w:val="auto"/>
              </w:rPr>
              <w:t>Payments for partial unwind of convertible note warrant</w:t>
            </w:r>
          </w:p>
        </w:tc>
        <w:tc>
          <w:tcPr>
            <w:tcW w:w="30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0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cash dividends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198"/>
        </w:trPr>
        <w:tc>
          <w:tcPr>
            <w:tcW w:w="7100" w:type="dxa"/>
            <w:vAlign w:val="bottom"/>
          </w:tcPr>
          <w:p>
            <w:pPr>
              <w:ind w:left="140"/>
              <w:spacing w:after="0"/>
              <w:rPr>
                <w:sz w:val="20"/>
                <w:szCs w:val="20"/>
                <w:color w:val="auto"/>
              </w:rPr>
            </w:pPr>
            <w:r>
              <w:rPr>
                <w:rFonts w:ascii="Arial" w:cs="Arial" w:eastAsia="Arial" w:hAnsi="Arial"/>
                <w:sz w:val="14"/>
                <w:szCs w:val="14"/>
                <w:color w:val="auto"/>
              </w:rPr>
              <w:t>Payments for repurchases of common stock</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(64.3)</w:t>
            </w:r>
          </w:p>
        </w:tc>
      </w:tr>
      <w:tr>
        <w:trPr>
          <w:trHeight w:val="20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debt issuance costs</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98"/>
        </w:trPr>
        <w:tc>
          <w:tcPr>
            <w:tcW w:w="7100" w:type="dxa"/>
            <w:vAlign w:val="bottom"/>
          </w:tcPr>
          <w:p>
            <w:pPr>
              <w:ind w:left="140"/>
              <w:spacing w:after="0"/>
              <w:rPr>
                <w:sz w:val="20"/>
                <w:szCs w:val="20"/>
                <w:color w:val="auto"/>
              </w:rPr>
            </w:pPr>
            <w:r>
              <w:rPr>
                <w:rFonts w:ascii="Arial" w:cs="Arial" w:eastAsia="Arial" w:hAnsi="Arial"/>
                <w:sz w:val="14"/>
                <w:szCs w:val="14"/>
                <w:color w:val="auto"/>
              </w:rPr>
              <w:t>Payments of earnout liability up to acquisition-date fair value</w:t>
            </w:r>
          </w:p>
        </w:tc>
        <w:tc>
          <w:tcPr>
            <w:tcW w:w="30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7"/>
        </w:trPr>
        <w:tc>
          <w:tcPr>
            <w:tcW w:w="7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w:t>
            </w:r>
          </w:p>
        </w:tc>
      </w:tr>
      <w:tr>
        <w:trPr>
          <w:trHeight w:val="197"/>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8"/>
        </w:trPr>
        <w:tc>
          <w:tcPr>
            <w:tcW w:w="710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3"/>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r>
      <w:tr>
        <w:trPr>
          <w:trHeight w:val="200"/>
        </w:trPr>
        <w:tc>
          <w:tcPr>
            <w:tcW w:w="71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318.1</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2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Income taxes paid, net</w:t>
            </w:r>
          </w:p>
        </w:tc>
        <w:tc>
          <w:tcPr>
            <w:tcW w:w="25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8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07"/>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2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16"/>
        </w:trPr>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Capital expenditures in accounts payable</w:t>
            </w:r>
          </w:p>
        </w:tc>
        <w:tc>
          <w:tcPr>
            <w:tcW w:w="250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8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7"/>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 not yet paid</w:t>
            </w:r>
          </w:p>
        </w:tc>
        <w:tc>
          <w:tcPr>
            <w:tcW w:w="2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8"/>
        </w:trPr>
        <w:tc>
          <w:tcPr>
            <w:tcW w:w="5420" w:type="dxa"/>
            <w:vAlign w:val="bottom"/>
          </w:tcPr>
          <w:p>
            <w:pPr>
              <w:ind w:left="140"/>
              <w:spacing w:after="0"/>
              <w:rPr>
                <w:sz w:val="20"/>
                <w:szCs w:val="20"/>
                <w:color w:val="auto"/>
              </w:rPr>
            </w:pPr>
            <w:r>
              <w:rPr>
                <w:rFonts w:ascii="Arial" w:cs="Arial" w:eastAsia="Arial" w:hAnsi="Arial"/>
                <w:sz w:val="14"/>
                <w:szCs w:val="14"/>
                <w:color w:val="auto"/>
              </w:rPr>
              <w:t>Increase in lease assets in exchange for lease liabilities:</w:t>
            </w:r>
          </w:p>
        </w:tc>
        <w:tc>
          <w:tcPr>
            <w:tcW w:w="2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5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leases</w:t>
            </w:r>
          </w:p>
        </w:tc>
        <w:tc>
          <w:tcPr>
            <w:tcW w:w="2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4"/>
        </w:trPr>
        <w:tc>
          <w:tcPr>
            <w:tcW w:w="5420" w:type="dxa"/>
            <w:vAlign w:val="bottom"/>
          </w:tcPr>
          <w:p>
            <w:pPr>
              <w:ind w:left="220"/>
              <w:spacing w:after="0"/>
              <w:rPr>
                <w:sz w:val="20"/>
                <w:szCs w:val="20"/>
                <w:color w:val="auto"/>
              </w:rPr>
            </w:pPr>
            <w:r>
              <w:rPr>
                <w:rFonts w:ascii="Arial" w:cs="Arial" w:eastAsia="Arial" w:hAnsi="Arial"/>
                <w:sz w:val="14"/>
                <w:szCs w:val="14"/>
                <w:color w:val="auto"/>
              </w:rPr>
              <w:t>Finance leases</w:t>
            </w:r>
          </w:p>
        </w:tc>
        <w:tc>
          <w:tcPr>
            <w:tcW w:w="25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8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 May 31, 2025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March 1, 2025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$0.68 per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13"/>
                <w:szCs w:val="13"/>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85"/>
        </w:trPr>
        <w:tc>
          <w:tcPr>
            <w:tcW w:w="2680" w:type="dxa"/>
            <w:vAlign w:val="bottom"/>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color w:val="auto"/>
              </w:rPr>
              <w:t>Balances at May 31, 2025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(716.1)</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 May 25, 2024</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February 24,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(640.6)</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1,324.6</w:t>
            </w:r>
          </w:p>
        </w:tc>
        <w:tc>
          <w:tcPr>
            <w:tcW w:w="0" w:type="dxa"/>
            <w:vAlign w:val="bottom"/>
          </w:tcPr>
          <w:p>
            <w:pPr>
              <w:spacing w:after="0"/>
              <w:rPr>
                <w:sz w:val="1"/>
                <w:szCs w:val="1"/>
                <w:color w:val="auto"/>
              </w:rPr>
            </w:pPr>
          </w:p>
        </w:tc>
      </w:tr>
      <w:tr>
        <w:trPr>
          <w:trHeight w:val="19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Common stock dividends; $0.62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25,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(660.5)</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 May 31, 2025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1,273.3</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(53.6)</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Common stock dividends; $1.02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May 31, 2025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(716.1)</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 May 25, 2024</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0"/>
                <w:szCs w:val="20"/>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6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Comprehensive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26, 2023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(602.9)</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1,368.1</w:t>
            </w: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Partial repurchase of convertible notes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Partial unwind of convertible note bond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hedge</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line="153" w:lineRule="exact"/>
              <w:rPr>
                <w:sz w:val="20"/>
                <w:szCs w:val="20"/>
                <w:color w:val="auto"/>
              </w:rPr>
            </w:pPr>
            <w:r>
              <w:rPr>
                <w:rFonts w:ascii="Arial" w:cs="Arial" w:eastAsia="Arial" w:hAnsi="Arial"/>
                <w:sz w:val="14"/>
                <w:szCs w:val="14"/>
                <w:color w:val="auto"/>
              </w:rPr>
              <w:t>Partial unwind of convertible note</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5"/>
        </w:trPr>
        <w:tc>
          <w:tcPr>
            <w:tcW w:w="2680" w:type="dxa"/>
            <w:vAlign w:val="bottom"/>
          </w:tcPr>
          <w:p>
            <w:pPr>
              <w:ind w:left="140"/>
              <w:spacing w:after="0"/>
              <w:rPr>
                <w:sz w:val="20"/>
                <w:szCs w:val="20"/>
                <w:color w:val="auto"/>
              </w:rPr>
            </w:pPr>
            <w:r>
              <w:rPr>
                <w:rFonts w:ascii="Arial" w:cs="Arial" w:eastAsia="Arial" w:hAnsi="Arial"/>
                <w:sz w:val="14"/>
                <w:szCs w:val="14"/>
                <w:color w:val="auto"/>
              </w:rPr>
              <w:t>warrant</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Convertible note bond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85"/>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net of tax of $16.8</w:t>
            </w:r>
          </w:p>
        </w:tc>
        <w:tc>
          <w:tcPr>
            <w:tcW w:w="8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convertible note warrant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line="153" w:lineRule="exact"/>
              <w:rPr>
                <w:sz w:val="20"/>
                <w:szCs w:val="20"/>
                <w:color w:val="auto"/>
              </w:rPr>
            </w:pPr>
            <w:r>
              <w:rPr>
                <w:rFonts w:ascii="Arial" w:cs="Arial" w:eastAsia="Arial" w:hAnsi="Arial"/>
                <w:sz w:val="14"/>
                <w:szCs w:val="14"/>
                <w:color w:val="auto"/>
              </w:rPr>
              <w:t>Issuance of stock for employee benefit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6.7</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2680" w:type="dxa"/>
            <w:vAlign w:val="bottom"/>
          </w:tcPr>
          <w:p>
            <w:pPr>
              <w:ind w:left="140"/>
              <w:spacing w:after="0"/>
              <w:rPr>
                <w:sz w:val="20"/>
                <w:szCs w:val="20"/>
                <w:color w:val="auto"/>
              </w:rPr>
            </w:pPr>
            <w:r>
              <w:rPr>
                <w:rFonts w:ascii="Arial" w:cs="Arial" w:eastAsia="Arial" w:hAnsi="Arial"/>
                <w:sz w:val="14"/>
                <w:szCs w:val="14"/>
                <w:color w:val="auto"/>
              </w:rPr>
              <w:t>and stock-based awards, net</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line="153" w:lineRule="exact"/>
              <w:rPr>
                <w:sz w:val="20"/>
                <w:szCs w:val="20"/>
                <w:color w:val="auto"/>
              </w:rPr>
            </w:pPr>
            <w:r>
              <w:rPr>
                <w:rFonts w:ascii="Arial" w:cs="Arial" w:eastAsia="Arial" w:hAnsi="Arial"/>
                <w:sz w:val="14"/>
                <w:szCs w:val="14"/>
                <w:color w:val="auto"/>
              </w:rPr>
              <w:t>Common stock dividends; $0.93 per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140" w:type="dxa"/>
            <w:vAlign w:val="bottom"/>
          </w:tcPr>
          <w:p>
            <w:pPr>
              <w:spacing w:after="0"/>
              <w:rPr>
                <w:sz w:val="13"/>
                <w:szCs w:val="13"/>
                <w:color w:val="auto"/>
              </w:rPr>
            </w:pPr>
          </w:p>
        </w:tc>
        <w:tc>
          <w:tcPr>
            <w:tcW w:w="1300" w:type="dxa"/>
            <w:vAlign w:val="bottom"/>
            <w:vMerge w:val="restart"/>
          </w:tcPr>
          <w:p>
            <w:pPr>
              <w:ind w:left="108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5"/>
        </w:trPr>
        <w:tc>
          <w:tcPr>
            <w:tcW w:w="2680" w:type="dxa"/>
            <w:vAlign w:val="bottom"/>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color w:val="auto"/>
              </w:rPr>
              <w:t>Balances at May 25, 2024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(660.5)</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millions, except share and per share data, unless otherwise designated)</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wholly-owned subsidiaries. Intercompany account balances and transactions have been eliminated in consolidation.</w:t>
      </w:r>
    </w:p>
    <w:p>
      <w:pPr>
        <w:spacing w:after="0" w:line="196"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31, 2024 filed with the SEC. Interim results of operations are not necessarily indicative of the results to be expected for the full fiscal year ending August 30,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Update</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Comprehensive income represents the change in stockholders’ equity from transactions and other events and circumstances from sources other than shareholders. As of May 31, 2025 and May 25, 2024, the difference between comprehensive income and net income was not material.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November 2024, the Financial Accounting Standards Board (“FASB”) issued ASU 2024-04,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 We will adopt the standard in our Annual Report on Form 10-Q for our fiscal year beginning August 30, 2026 and filings thereafter.</w:t>
      </w:r>
    </w:p>
    <w:p>
      <w:pPr>
        <w:spacing w:after="0" w:line="19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 November 2024, the FASB issued ASU 2024-03, which requires disclosure of additional disaggregated information about significant expenses within 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spacing w:after="0" w:line="199"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which requires expanded disclosures primarily related to the effective tax rate reconciliation and income taxes paid. The new guidance is effective for annual reporting periods beginning after December 15, 2024, with early adoption permitted. We are currently evaluating the impact of the standard on our consolidated financial statements and related disclosures. We will adopt the standard in our Annual Report on Form 10-K for our fiscal year ending August 29, 2026 and annual filings thereafter.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20"/>
        <w:spacing w:after="0" w:line="265"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incremental disclosures about significant segment expenses regularly provided to the Chief Operating Decision Maker. The new guidance is effective for annual reporting periods beginning after December 15, 2023, and interim periods within fiscal years beginning after December 15, 2024. The adoption of ASU 2023-07 is not expected to have a material impact on the Company’s consolidated financial statements, but will require additional disclosures when adopted in our Annual Report on Form 10-K for our fiscal year ending August 30, 2025 and filings thereafter.</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Segments</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19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three 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spacing w:after="0" w:line="20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9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31, 2024.</w:t>
      </w:r>
    </w:p>
    <w:p>
      <w:pPr>
        <w:spacing w:after="0" w:line="20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We monitor and evaluate operating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contingent consideration fair value adjustment, and non-operating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448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09"/>
        </w:trPr>
        <w:tc>
          <w:tcPr>
            <w:tcW w:w="4480" w:type="dxa"/>
            <w:vAlign w:val="bottom"/>
            <w:gridSpan w:val="2"/>
          </w:tcPr>
          <w:p>
            <w:pPr>
              <w:spacing w:after="0"/>
              <w:rPr>
                <w:sz w:val="20"/>
                <w:szCs w:val="20"/>
                <w:color w:val="auto"/>
              </w:rPr>
            </w:pPr>
            <w:r>
              <w:rPr>
                <w:rFonts w:ascii="Arial" w:cs="Arial" w:eastAsia="Arial" w:hAnsi="Arial"/>
                <w:sz w:val="16"/>
                <w:szCs w:val="16"/>
                <w:color w:val="auto"/>
              </w:rPr>
              <w:t>Financial information by reportable segment is as follows: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0"/>
                <w:szCs w:val="20"/>
                <w:color w:val="auto"/>
              </w:rPr>
            </w:pPr>
          </w:p>
        </w:tc>
        <w:tc>
          <w:tcPr>
            <w:tcW w:w="3120" w:type="dxa"/>
            <w:vAlign w:val="bottom"/>
            <w:gridSpan w:val="7"/>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r>
      <w:tr>
        <w:trPr>
          <w:trHeight w:val="210"/>
        </w:trPr>
        <w:tc>
          <w:tcPr>
            <w:tcW w:w="4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5"/>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386.3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913.9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1,001.8</w:t>
            </w:r>
          </w:p>
        </w:tc>
      </w:tr>
      <w:tr>
        <w:trPr>
          <w:trHeight w:val="21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971.8</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87.9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272.9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r>
      <w:tr>
        <w:trPr>
          <w:trHeight w:val="21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net revenues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1,985.3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2,218.6</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r>
      <w:tr>
        <w:trPr>
          <w:trHeight w:val="235"/>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net revenues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2,252.6</w:t>
            </w: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12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66.0</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1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21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Adjusted EBITDA</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35"/>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12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3.4</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capital expenditures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35"/>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capital expenditures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798"/>
        </w:trPr>
        <w:tc>
          <w:tcPr>
            <w:tcW w:w="4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May 31, 2025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Towable RV</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747.3</w:t>
            </w:r>
          </w:p>
        </w:tc>
        <w:tc>
          <w:tcPr>
            <w:tcW w:w="5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719.0</w:t>
            </w:r>
          </w:p>
        </w:tc>
      </w:tr>
      <w:tr>
        <w:trPr>
          <w:trHeight w:val="21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w:t>
            </w:r>
          </w:p>
        </w:tc>
      </w:tr>
      <w:tr>
        <w:trPr>
          <w:trHeight w:val="21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Reportable segment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1,884.8</w:t>
            </w:r>
          </w:p>
        </w:tc>
      </w:tr>
      <w:tr>
        <w:trPr>
          <w:trHeight w:val="215"/>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499.4</w:t>
            </w:r>
          </w:p>
        </w:tc>
      </w:tr>
      <w:tr>
        <w:trPr>
          <w:trHeight w:val="235"/>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 assets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net income to consolidated Adjusted EBITDA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r>
      <w:tr>
        <w:trPr>
          <w:trHeight w:val="210"/>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4480" w:type="dxa"/>
            <w:vAlign w:val="bottom"/>
          </w:tcPr>
          <w:p>
            <w:pPr>
              <w:ind w:left="1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Change in fair value of note receivable</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Investments and Fair Value Measurements</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304"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68" w:lineRule="exact"/>
        <w:rPr>
          <w:sz w:val="20"/>
          <w:szCs w:val="20"/>
          <w:color w:val="auto"/>
        </w:rPr>
      </w:pPr>
    </w:p>
    <w:p>
      <w:pPr>
        <w:ind w:left="660" w:right="300"/>
        <w:spacing w:after="0" w:line="304"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168" w:lineRule="exact"/>
        <w:rPr>
          <w:sz w:val="20"/>
          <w:szCs w:val="20"/>
          <w:color w:val="auto"/>
        </w:rPr>
      </w:pPr>
    </w:p>
    <w:p>
      <w:pPr>
        <w:ind w:right="4900"/>
        <w:spacing w:after="0" w:line="352" w:lineRule="auto"/>
        <w:rPr>
          <w:sz w:val="20"/>
          <w:szCs w:val="20"/>
          <w:color w:val="auto"/>
        </w:rPr>
      </w:pPr>
      <w:r>
        <w:rPr>
          <w:rFonts w:ascii="Arial" w:cs="Arial" w:eastAsia="Arial" w:hAnsi="Arial"/>
          <w:sz w:val="16"/>
          <w:szCs w:val="16"/>
          <w:b w:val="1"/>
          <w:bCs w:val="1"/>
          <w:color w:val="auto"/>
        </w:rPr>
        <w:t xml:space="preserve">Assets and Liabilities that are Measured at Fair Value on a Recurring Basis </w:t>
      </w:r>
      <w:r>
        <w:rPr>
          <w:rFonts w:ascii="Arial" w:cs="Arial" w:eastAsia="Arial" w:hAnsi="Arial"/>
          <w:sz w:val="16"/>
          <w:szCs w:val="16"/>
          <w:color w:val="auto"/>
        </w:rPr>
        <w:t>Financial assets and liabilities measured at fair value on a recurring basis are as follows:</w:t>
      </w:r>
    </w:p>
    <w:tbl>
      <w:tblPr>
        <w:tblLayout w:type="fixed"/>
        <w:tblInd w:w="0" w:type="dxa"/>
        <w:tblCellMar>
          <w:top w:w="0" w:type="dxa"/>
          <w:left w:w="0" w:type="dxa"/>
          <w:bottom w:w="0" w:type="dxa"/>
          <w:right w:w="0" w:type="dxa"/>
        </w:tblCellMar>
      </w:tblPr>
      <w:tr>
        <w:trPr>
          <w:trHeight w:val="217"/>
        </w:trPr>
        <w:tc>
          <w:tcPr>
            <w:tcW w:w="4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Fair Value at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May 31, 2025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444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8"/>
              </w:rPr>
              <w:t>2.1</w:t>
            </w:r>
          </w:p>
        </w:tc>
        <w:tc>
          <w:tcPr>
            <w:tcW w:w="12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r>
      <w:tr>
        <w:trPr>
          <w:trHeight w:val="217"/>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2.2</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r>
      <w:tr>
        <w:trPr>
          <w:trHeight w:val="21"/>
        </w:trPr>
        <w:tc>
          <w:tcPr>
            <w:tcW w:w="4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 at</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31, 2024</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5"/>
        </w:trPr>
        <w:tc>
          <w:tcPr>
            <w:tcW w:w="4420" w:type="dxa"/>
            <w:vAlign w:val="bottom"/>
          </w:tcPr>
          <w:p>
            <w:pPr>
              <w:ind w:left="140"/>
              <w:spacing w:after="0"/>
              <w:rPr>
                <w:sz w:val="20"/>
                <w:szCs w:val="20"/>
                <w:color w:val="auto"/>
              </w:rPr>
            </w:pPr>
            <w:r>
              <w:rPr>
                <w:rFonts w:ascii="Arial" w:cs="Arial" w:eastAsia="Arial" w:hAnsi="Arial"/>
                <w:sz w:val="16"/>
                <w:szCs w:val="16"/>
                <w:color w:val="auto"/>
              </w:rPr>
              <w:t>Domestic equity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ind w:left="1080"/>
              <w:spacing w:after="0"/>
              <w:rPr>
                <w:sz w:val="20"/>
                <w:szCs w:val="20"/>
                <w:color w:val="auto"/>
              </w:rPr>
            </w:pPr>
            <w:r>
              <w:rPr>
                <w:rFonts w:ascii="Arial" w:cs="Arial" w:eastAsia="Arial" w:hAnsi="Arial"/>
                <w:sz w:val="16"/>
                <w:szCs w:val="16"/>
                <w:color w:val="auto"/>
              </w:rPr>
              <w:t>—</w:t>
            </w:r>
          </w:p>
        </w:tc>
      </w:tr>
      <w:tr>
        <w:trPr>
          <w:trHeight w:val="217"/>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111"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31, 2024 for additional information regarding these plans.</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For the nine months ended May 31, 2025, the Company recognized an impairment of approximately $1.2 million related to non-financial assets. No impairment recorded for non-financial assets in the nine months ended May 25, 2024.</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13"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91"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8 in the Notes to Consolidated Financial Statements included in Item 1 of Part I of this Quarterly Report on Form 10-Q for the fair value of our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20"/>
                <w:szCs w:val="20"/>
                <w:color w:val="auto"/>
              </w:rPr>
            </w:pPr>
            <w:r>
              <w:rPr>
                <w:rFonts w:ascii="Arial" w:cs="Arial" w:eastAsia="Arial" w:hAnsi="Arial"/>
                <w:sz w:val="16"/>
                <w:szCs w:val="16"/>
                <w:b w:val="1"/>
                <w:bCs w:val="1"/>
                <w:color w:val="auto"/>
              </w:rPr>
              <w:t>Note 4.  Inventories</w:t>
            </w: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00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0"/>
                <w:szCs w:val="20"/>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Pr>
          <w:p>
            <w:pPr>
              <w:spacing w:after="0"/>
              <w:rPr>
                <w:sz w:val="20"/>
                <w:szCs w:val="20"/>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31, 2024</w:t>
            </w: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Excess of First-in, first-out ("FIFO") over LIFO cost</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0"/>
                <w:szCs w:val="20"/>
                <w:color w:val="auto"/>
              </w:rPr>
            </w:pPr>
          </w:p>
        </w:tc>
        <w:tc>
          <w:tcPr>
            <w:tcW w:w="18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2025</w:t>
            </w:r>
          </w:p>
        </w:tc>
        <w:tc>
          <w:tcPr>
            <w:tcW w:w="260" w:type="dxa"/>
            <w:vAlign w:val="bottom"/>
          </w:tcPr>
          <w:p>
            <w:pPr>
              <w:spacing w:after="0"/>
              <w:rPr>
                <w:sz w:val="20"/>
                <w:szCs w:val="20"/>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31, 2024</w:t>
            </w:r>
          </w:p>
        </w:tc>
        <w:tc>
          <w:tcPr>
            <w:tcW w:w="0" w:type="dxa"/>
            <w:vAlign w:val="bottom"/>
          </w:tcPr>
          <w:p>
            <w:pPr>
              <w:spacing w:after="0"/>
              <w:rPr>
                <w:sz w:val="1"/>
                <w:szCs w:val="1"/>
                <w:color w:val="auto"/>
              </w:rPr>
            </w:pPr>
          </w:p>
        </w:tc>
      </w:tr>
      <w:tr>
        <w:trPr>
          <w:trHeight w:val="210"/>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5"/>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FIFO basis</w:t>
            </w: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20"/>
                <w:szCs w:val="20"/>
                <w:color w:val="auto"/>
              </w:rPr>
            </w:pPr>
            <w:r>
              <w:rPr>
                <w:rFonts w:ascii="Arial" w:cs="Arial" w:eastAsia="Arial" w:hAnsi="Arial"/>
                <w:sz w:val="16"/>
                <w:szCs w:val="16"/>
                <w:b w:val="1"/>
                <w:bCs w:val="1"/>
                <w:color w:val="auto"/>
              </w:rPr>
              <w:t>Note 5.  Property, Plant, and Equipment</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43"/>
        </w:trPr>
        <w:tc>
          <w:tcPr>
            <w:tcW w:w="8300" w:type="dxa"/>
            <w:vAlign w:val="bottom"/>
            <w:gridSpan w:val="2"/>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5"/>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2025</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500" w:type="dxa"/>
            <w:vAlign w:val="bottom"/>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279.3</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Software</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72.0</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10"/>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592.2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w:t>
            </w:r>
          </w:p>
        </w:tc>
      </w:tr>
      <w:tr>
        <w:trPr>
          <w:trHeight w:val="235"/>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336.2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Depreciation expense was $9.6 million and $8.9 million for the three months ended May 31, 2025 and May 25, 2024, respectively; and $28.7 million and $25.5 million for the nine months ended May 31, 2025 and May 25, 2024, respectively.</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6.</w:t>
        <w:tab/>
        <w:t>Goodwill and Intangible Assets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goodwill by reportable segment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Towable</w:t>
            </w: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Motorhome</w:t>
            </w:r>
          </w:p>
        </w:tc>
        <w:tc>
          <w:tcPr>
            <w:tcW w:w="24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Marine</w:t>
            </w: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Corporate / All</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1"/>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8"/>
              </w:rPr>
              <w:t>RV</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RV</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9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Balances at May 31, 2025 and August 31, 2024</w:t>
            </w:r>
            <w:r>
              <w:rPr>
                <w:rFonts w:ascii="Arial" w:cs="Arial" w:eastAsia="Arial" w:hAnsi="Arial"/>
                <w:sz w:val="21"/>
                <w:szCs w:val="21"/>
                <w:color w:val="auto"/>
                <w:vertAlign w:val="superscript"/>
              </w:rPr>
              <w:t>(1)</w:t>
            </w:r>
          </w:p>
        </w:tc>
        <w:tc>
          <w:tcPr>
            <w:tcW w:w="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2"/>
          <w:szCs w:val="12"/>
          <w:color w:val="auto"/>
        </w:rPr>
        <w:t>There was no activity in the nine months ended May 31, 2025.</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320" w:type="dxa"/>
            <w:vAlign w:val="bottom"/>
          </w:tcPr>
          <w:p>
            <w:pPr>
              <w:spacing w:after="0"/>
              <w:rPr>
                <w:sz w:val="13"/>
                <w:szCs w:val="13"/>
                <w:color w:val="auto"/>
              </w:rPr>
            </w:pPr>
          </w:p>
        </w:tc>
        <w:tc>
          <w:tcPr>
            <w:tcW w:w="1840" w:type="dxa"/>
            <w:vAlign w:val="bottom"/>
            <w:gridSpan w:val="2"/>
          </w:tcPr>
          <w:p>
            <w:pPr>
              <w:ind w:left="20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August 31, 2024</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13"/>
                <w:szCs w:val="13"/>
                <w:color w:val="auto"/>
              </w:rPr>
            </w:pPr>
          </w:p>
        </w:tc>
        <w:tc>
          <w:tcPr>
            <w:tcW w:w="190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Indefinite-lived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Finite-lived trade name</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networks/customer relationships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amortization period for finite-lived intangible assets as of May 31, 2025 was approximately six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Amortization</w:t>
            </w:r>
          </w:p>
        </w:tc>
      </w:tr>
      <w:tr>
        <w:trPr>
          <w:trHeight w:val="210"/>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2028</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7"/>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2029</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5"/>
        </w:trPr>
        <w:tc>
          <w:tcPr>
            <w:tcW w:w="9600" w:type="dxa"/>
            <w:vAlign w:val="bottom"/>
          </w:tcPr>
          <w:p>
            <w:pPr>
              <w:ind w:left="20"/>
              <w:spacing w:after="0"/>
              <w:rPr>
                <w:sz w:val="20"/>
                <w:szCs w:val="20"/>
                <w:color w:val="auto"/>
              </w:rPr>
            </w:pPr>
            <w:r>
              <w:rPr>
                <w:rFonts w:ascii="Arial" w:cs="Arial" w:eastAsia="Arial" w:hAnsi="Arial"/>
                <w:sz w:val="16"/>
                <w:szCs w:val="16"/>
                <w:color w:val="auto"/>
              </w:rPr>
              <w:t>Fiscal 2030</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0"/>
        </w:trPr>
        <w:tc>
          <w:tcPr>
            <w:tcW w:w="9600" w:type="dxa"/>
            <w:vAlign w:val="bottom"/>
          </w:tcPr>
          <w:p>
            <w:pPr>
              <w:ind w:left="140"/>
              <w:spacing w:after="0"/>
              <w:rPr>
                <w:sz w:val="20"/>
                <w:szCs w:val="20"/>
                <w:color w:val="auto"/>
              </w:rPr>
            </w:pPr>
            <w:r>
              <w:rPr>
                <w:rFonts w:ascii="Arial" w:cs="Arial" w:eastAsia="Arial" w:hAnsi="Arial"/>
                <w:sz w:val="16"/>
                <w:szCs w:val="16"/>
                <w:color w:val="auto"/>
              </w:rPr>
              <w:t>Total amortization expense remaining</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r>
      <w:tr>
        <w:trPr>
          <w:trHeight w:val="21"/>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7.</w:t>
        <w:tab/>
        <w:t>Product Warranties</w:t>
      </w:r>
    </w:p>
    <w:p>
      <w:pPr>
        <w:spacing w:after="0" w:line="16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13"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21"/>
                <w:szCs w:val="21"/>
                <w:color w:val="auto"/>
              </w:rPr>
            </w:pPr>
          </w:p>
        </w:tc>
        <w:tc>
          <w:tcPr>
            <w:tcW w:w="3120" w:type="dxa"/>
            <w:vAlign w:val="bottom"/>
            <w:gridSpan w:val="6"/>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rPr>
              <w:t>66.7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gridSpan w:val="2"/>
            <w:shd w:val="clear" w:color="auto" w:fill="CCEEFF"/>
          </w:tcPr>
          <w:p>
            <w:pPr>
              <w:jc w:val="center"/>
              <w:ind w:left="839"/>
              <w:spacing w:after="0"/>
              <w:rPr>
                <w:sz w:val="20"/>
                <w:szCs w:val="20"/>
                <w:color w:val="auto"/>
              </w:rPr>
            </w:pPr>
            <w:r>
              <w:rPr>
                <w:rFonts w:ascii="Arial" w:cs="Arial" w:eastAsia="Arial" w:hAnsi="Arial"/>
                <w:sz w:val="16"/>
                <w:szCs w:val="16"/>
                <w:color w:val="auto"/>
              </w:rPr>
              <w:t>89.3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15"/>
        </w:trPr>
        <w:tc>
          <w:tcPr>
            <w:tcW w:w="4480" w:type="dxa"/>
            <w:vAlign w:val="bottom"/>
          </w:tcPr>
          <w:p>
            <w:pPr>
              <w:ind w:left="140"/>
              <w:spacing w:after="0"/>
              <w:rPr>
                <w:sz w:val="20"/>
                <w:szCs w:val="20"/>
                <w:color w:val="auto"/>
              </w:rPr>
            </w:pPr>
            <w:r>
              <w:rPr>
                <w:rFonts w:ascii="Arial" w:cs="Arial" w:eastAsia="Arial" w:hAnsi="Arial"/>
                <w:sz w:val="16"/>
                <w:szCs w:val="16"/>
                <w:color w:val="auto"/>
              </w:rPr>
              <w:t>Provision</w:t>
            </w:r>
          </w:p>
        </w:tc>
        <w:tc>
          <w:tcPr>
            <w:tcW w:w="220" w:type="dxa"/>
            <w:vAlign w:val="bottom"/>
          </w:tcPr>
          <w:p>
            <w:pPr>
              <w:spacing w:after="0"/>
              <w:rPr>
                <w:sz w:val="18"/>
                <w:szCs w:val="18"/>
                <w:color w:val="auto"/>
              </w:rPr>
            </w:pPr>
          </w:p>
        </w:tc>
        <w:tc>
          <w:tcPr>
            <w:tcW w:w="1400" w:type="dxa"/>
            <w:vAlign w:val="bottom"/>
          </w:tcPr>
          <w:p>
            <w:pPr>
              <w:jc w:val="center"/>
              <w:ind w:left="83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left="839"/>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Claims paid</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center"/>
              <w:ind w:left="819"/>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center"/>
              <w:ind w:left="8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tcPr>
          <w:p>
            <w:pPr>
              <w:jc w:val="center"/>
              <w:ind w:left="839"/>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b w:val="1"/>
                <w:bCs w:val="1"/>
                <w:color w:val="auto"/>
              </w:rPr>
              <w:t>Note 8.   Debt</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480" w:type="dxa"/>
            <w:vAlign w:val="bottom"/>
          </w:tcPr>
          <w:p>
            <w:pPr>
              <w:spacing w:after="0"/>
              <w:rPr>
                <w:sz w:val="20"/>
                <w:szCs w:val="20"/>
                <w:color w:val="auto"/>
              </w:rPr>
            </w:pPr>
            <w:r>
              <w:rPr>
                <w:rFonts w:ascii="Arial" w:cs="Arial" w:eastAsia="Arial" w:hAnsi="Arial"/>
                <w:sz w:val="16"/>
                <w:szCs w:val="16"/>
                <w:color w:val="auto"/>
              </w:rPr>
              <w:t>The following table summarizes our outstanding debt:</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May 31, 2025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August 31, 2024</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2025 Convertible Notes</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debt, gross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Unamortized debt issuance cost, net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10"/>
        </w:trPr>
        <w:tc>
          <w:tcPr>
            <w:tcW w:w="448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Secured Notes</w:t>
      </w:r>
    </w:p>
    <w:p>
      <w:pPr>
        <w:spacing w:after="0" w:line="12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On February 3, 2025, we commenced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 In connection with the Senior Secured Notes Tender Offer, we recorded a loss on note repurchase of $2.0 million in the accompanying Consolidated Statements of Income during the quarter. In addition, accrued interest of $0.6 million was paid in connection with the Tender Offer.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2030 Convertible Notes</w:t>
      </w:r>
    </w:p>
    <w:p>
      <w:pPr>
        <w:spacing w:after="0" w:line="12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spacing w:after="0" w:line="21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May 31, 2025, there have been no changes to the initial conversion rate.</w:t>
      </w:r>
    </w:p>
    <w:p>
      <w:pPr>
        <w:spacing w:after="0" w:line="20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Prior to the close of business on the business day immediately preceding July 15, 2029, the 2030 Convertible Notes will be convertible only under the following circumstances:</w:t>
      </w:r>
    </w:p>
    <w:p>
      <w:pPr>
        <w:spacing w:after="0" w:line="304" w:lineRule="exact"/>
        <w:rPr>
          <w:sz w:val="20"/>
          <w:szCs w:val="20"/>
          <w:color w:val="auto"/>
        </w:rPr>
      </w:pPr>
    </w:p>
    <w:p>
      <w:pPr>
        <w:ind w:left="660" w:hanging="328"/>
        <w:spacing w:after="0" w:line="26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spacing w:after="0" w:line="83" w:lineRule="exact"/>
        <w:rPr>
          <w:rFonts w:ascii="Arial" w:cs="Arial" w:eastAsia="Arial" w:hAnsi="Arial"/>
          <w:sz w:val="16"/>
          <w:szCs w:val="16"/>
          <w:color w:val="auto"/>
        </w:rPr>
      </w:pPr>
    </w:p>
    <w:p>
      <w:pPr>
        <w:ind w:left="660" w:right="60" w:hanging="328"/>
        <w:spacing w:after="0" w:line="26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five consecutive business day period immediately after any five consecutive trading day period (the "measurement period to the 2030 Convertible Notes") in which the trading price (as defined in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w:t>
      </w:r>
    </w:p>
    <w:p>
      <w:pPr>
        <w:spacing w:after="0" w:line="6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the occurrence of certain specified corporate events set forth in the Indenture to the 2030 Convertible Notes; 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call such 2030 Convertible Notes for redemption (as described below).</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spacing w:after="0" w:line="19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w:t>
      </w:r>
    </w:p>
    <w:p>
      <w:pPr>
        <w:spacing w:after="0" w:line="205"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w:t>
      </w:r>
    </w:p>
    <w:p>
      <w:pPr>
        <w:spacing w:after="0" w:line="15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2030 Convertible Notes and Related 2030 Hedge Transactions and 2030 Warrant Transactions</w:t>
      </w:r>
    </w:p>
    <w:p>
      <w:pPr>
        <w:spacing w:after="0" w:line="12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$3.2 million and $9.7 million of interest expense during the three and nine months ended May 31, 2025.</w:t>
      </w:r>
    </w:p>
    <w:p>
      <w:pPr>
        <w:spacing w:after="0" w:line="21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net after-tax cost incurred in connection with the 2030 Call Spread Transactions was $20.6 million. These transactions are classified as equity and are not remeasured each reporting period.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Convertible Notes</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(the “2025 Convertible Notes”). The net proceeds from the issuance of the 2025 Convertible Notes, after deducting the initial purchasers' transaction fees and offering expense payable by us, were approximately $290.2 million. The 2025 Convertible Notes bore interest at the annual rate of 1.5%, payable on April 1 and October 1 of each year, beginning on April 1, 2020. The notes matured on April 1, 2025 and were fully repaid in accordance with their terms.</w:t>
      </w:r>
    </w:p>
    <w:p>
      <w:pPr>
        <w:spacing w:after="0" w:line="2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2025 Convertible Notes were convertible into cash, shares of our common stock or a combination thereof, at our election, at an initial conversion rate of 15.6906 shares of common stock per $1,000 principal amount of 2025 Convertible Notes, which is equivalent to an initial conversion price of approximately $63.73 per share, as adjusted pursuant to the terms of the Indenture governing the 2025 Convertible Notes. The 2025 Convertible Notes were convertible at any time on or after October 1, 2024, until the close of business on the second scheduled trading day immediately preceding the maturity date of April 1, 2025.</w:t>
      </w:r>
    </w:p>
    <w:p>
      <w:pPr>
        <w:spacing w:after="0" w:line="200" w:lineRule="exact"/>
        <w:rPr>
          <w:sz w:val="20"/>
          <w:szCs w:val="20"/>
          <w:color w:val="auto"/>
        </w:rPr>
      </w:pPr>
    </w:p>
    <w:p>
      <w:pPr>
        <w:spacing w:after="0" w:line="21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conversion rate of the 2025 Convertible Notes was subject to adjustment under certain circumstances, including in connection with a conversion of the 2025 Convertible Notes made following certain fundamental changes and under other circumstances set forth in the Indenture to the 2025 Convertible Notes. As of March 31, 2025 (the last business day before maturity), the conversion rate was 16.2082 shares of common stock per $1,000 principal amount of 2025 Convertible Notes, equivalent to a conversion price of approximately $61.70. The difference between the initial conversion rate and the conversion rate as of March 31, 2025 was due to cash dividends that have been declared following the issuance of the 2025 Convertible Notes.</w:t>
      </w:r>
    </w:p>
    <w:p>
      <w:pPr>
        <w:spacing w:after="0" w:line="191"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Since October 1, 2024, the 2025 Convertible Notes were convertible at any time at the option of the holder. The 2025 Convertible Notes were not redeemable at our option prior to the maturity date, and no sinking fund was provided.</w:t>
      </w:r>
    </w:p>
    <w:p>
      <w:pPr>
        <w:spacing w:after="0" w:line="183"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On October 29, 2019 and October 30, 2019, in connection with the offering of the 2025 Convertible Notes, we entered into privately negotiated convertible note hedge transactions (collectively, the “2025 Hedge Transactions”) that covered, subject to customary anti-dilution adjustments, the number of shares of our common stock that initially underlie the 2025 Convertible Notes.</w:t>
      </w:r>
    </w:p>
    <w:p>
      <w:pPr>
        <w:spacing w:after="0" w:line="205"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“2025 Warrant Transactions” and, together with the 2025 Hedge Transactions, the “2025 Call Spread Transactions”), whereby we sold warrants at a higher strike price relating to the same number of shares of our common stock that initially underlie the 2025 Convertible Notes, subject to customary anti-dilution adjustments.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The 2025 Hedge Transactions and the 2025 Warrant Transactions were separate transactions, in each case, and were not part of the terms of the 2025 Convertible Notes and did not affect any holder’s rights under the 2025 Convertible Notes. Holders of the 2025 Convertible Notes did not have any rights with respect to the 2025 Call Spread Transactions.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January 18, 2024, we entered into separate, privately negotiated transactions (the "2025 Convertible Note Repurchases") with certain holders of the 2025 Convertible Notes to repurchase $240.7 million aggregate principal amount of the 2025 Convertible Notes using $293.8 million of the net proceeds received from the 2030 Convertible Notes. In connection with the 2025 Convertible Note Repurchases, we recorded a loss on note repurchase of $32.7 million in the accompanying Consolidated Statements of Income during the second quarter of Fiscal 2024. The loss on note repurchase represents the difference between the fair value of consideration transferred to the holders of the repurchased 2025 Convertible Notes and the conversion value of 2025 Convertible Notes repurchased pursuant to the original conversion terms. Concurrently with the 2025 Convertible Note Repurchases, we entered into agreements to terminate a proportionate amount of the 2025 Call Spread Transactions, which resulted in net proceeds of $30.5 million recorded as equity in the accompanying Consolidated Balance Sheets.</w:t>
      </w:r>
    </w:p>
    <w:p>
      <w:pPr>
        <w:spacing w:after="0" w:line="207"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On April 1, 2025, the 2025 Convertible Notes matured. We paid $59.3 million in aggregate principal amount and $0.4 million in accrued interest to holders of the notes, fully settling the outstanding balance (the "2025 Convertible Note Maturity Settlement"). The settlement was funded with cash on hand, consistent with our stated intent, with no shares of common stock issued.</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connection with the 2025 Convertible Note Maturity Settlement, we terminated the proportionate 2025 Warrant Transactions we previously entered into in connection with the issuance of the 2025 Convertible Notes shortly after the maturity date. The related 2025 Hedge Transactions terminated upon the maturity of the 2025 Convertible Notes, resulting in no financial impact.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2025 Convertible Notes and Related 2025 Hedge Transactions and 2025 Warrant Transactions</w:t>
      </w:r>
    </w:p>
    <w:p>
      <w:pPr>
        <w:spacing w:after="0" w:line="11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2025 Convertible Notes were accounted for as a single liability measured at amortized cost. Interest expense, representing the amortization of the remaining debt issuance costs as well as the contractual interest expense were amortized using an effective interest rate of 2.1% over the term of the 2025 Convertible Notes. We recorded $0.1 million and $0.3 million of interest expense during the three months ended May 31, 2025 and May 25, 2024, respectively; and we recorded $0.7 million and $3.0 million of interest expense during the nine months ended May 31, 2025 and May 25, 2024, respectively.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gridSpan w:val="2"/>
          </w:tcPr>
          <w:p>
            <w:pPr>
              <w:spacing w:after="0"/>
              <w:rPr>
                <w:sz w:val="20"/>
                <w:szCs w:val="20"/>
                <w:color w:val="auto"/>
              </w:rPr>
            </w:pPr>
            <w:r>
              <w:rPr>
                <w:rFonts w:ascii="Arial" w:cs="Arial" w:eastAsia="Arial" w:hAnsi="Arial"/>
                <w:sz w:val="16"/>
                <w:szCs w:val="16"/>
                <w:color w:val="auto"/>
              </w:rPr>
              <w:t>The 2025 Call Spread Transactions are classified as equity and are not remeasured each reporting period.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0"/>
        </w:trPr>
        <w:tc>
          <w:tcPr>
            <w:tcW w:w="7000" w:type="dxa"/>
            <w:vAlign w:val="bottom"/>
          </w:tcPr>
          <w:p>
            <w:pPr>
              <w:spacing w:after="0"/>
              <w:rPr>
                <w:sz w:val="20"/>
                <w:szCs w:val="20"/>
                <w:color w:val="auto"/>
              </w:rPr>
            </w:pPr>
            <w:r>
              <w:rPr>
                <w:rFonts w:ascii="Arial" w:cs="Arial" w:eastAsia="Arial" w:hAnsi="Arial"/>
                <w:sz w:val="16"/>
                <w:szCs w:val="16"/>
                <w:b w:val="1"/>
                <w:bCs w:val="1"/>
                <w:color w:val="auto"/>
              </w:rPr>
              <w:t>Fair Value and Future Maturities</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000" w:type="dxa"/>
            <w:vAlign w:val="bottom"/>
          </w:tcPr>
          <w:p>
            <w:pPr>
              <w:spacing w:after="0"/>
              <w:rPr>
                <w:sz w:val="20"/>
                <w:szCs w:val="20"/>
                <w:color w:val="auto"/>
              </w:rPr>
            </w:pPr>
            <w:r>
              <w:rPr>
                <w:rFonts w:ascii="Arial" w:cs="Arial" w:eastAsia="Arial" w:hAnsi="Arial"/>
                <w:sz w:val="16"/>
                <w:szCs w:val="16"/>
                <w:color w:val="auto"/>
              </w:rPr>
              <w:t>The fair value of outstanding debt obligations, gross is as follows:</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2025</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August 31, 2024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1560" w:type="dxa"/>
            <w:vAlign w:val="bottom"/>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1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 Convertible Notes</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5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5"/>
        </w:trPr>
        <w:tc>
          <w:tcPr>
            <w:tcW w:w="7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debt, gross</w:t>
            </w:r>
          </w:p>
        </w:tc>
        <w:tc>
          <w:tcPr>
            <w:tcW w:w="1560" w:type="dxa"/>
            <w:vAlign w:val="bottom"/>
            <w:tcBorders>
              <w:top w:val="single" w:sz="8" w:color="auto"/>
              <w:bottom w:val="single" w:sz="8" w:color="auto"/>
            </w:tcBorders>
            <w:shd w:val="clear" w:color="auto" w:fill="CCEEFF"/>
          </w:tcPr>
          <w:p>
            <w:pPr>
              <w:jc w:val="right"/>
              <w:ind w:right="13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70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2025</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Fiscal 2026</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2027</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Fiscal 2028</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2029</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Fiscal 2030</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ind w:left="140"/>
              <w:spacing w:after="0"/>
              <w:rPr>
                <w:sz w:val="20"/>
                <w:szCs w:val="20"/>
                <w:color w:val="auto"/>
              </w:rPr>
            </w:pPr>
            <w:r>
              <w:rPr>
                <w:rFonts w:ascii="Arial" w:cs="Arial" w:eastAsia="Arial" w:hAnsi="Arial"/>
                <w:sz w:val="16"/>
                <w:szCs w:val="16"/>
                <w:color w:val="auto"/>
              </w:rPr>
              <w:t>Total debt, gross</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of our financial debt covenants as of May 31, 2025.</w:t>
      </w:r>
    </w:p>
    <w:p>
      <w:pPr>
        <w:spacing w:after="0" w:line="26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Refer to Note 9 in the Notes to Consolidated Financial Statements included in Item 8 of Part II of our Annual Report on Form 10-K for the fiscal year ended August 31, 2024 for additional information regarding our debt.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9.</w:t>
        <w:tab/>
        <w:t>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$1,707.2 million and $1,673.7 million at May 31, 2025 and August 31, 2024, respectively.</w:t>
      </w:r>
    </w:p>
    <w:p>
      <w:pPr>
        <w:spacing w:after="0" w:line="217"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$1.2 million and $1.1 million at May 31, 2025 and August 31, 2024,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nine months ended May 31, 2025 and May 25, 2024.</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Revenue</w:t>
      </w:r>
    </w:p>
    <w:p>
      <w:pPr>
        <w:spacing w:after="0" w:line="167"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4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May 25, 2024</w:t>
            </w:r>
          </w:p>
        </w:tc>
      </w:tr>
      <w:tr>
        <w:trPr>
          <w:trHeight w:val="210"/>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Towable RV</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w:t>
            </w:r>
          </w:p>
        </w:tc>
      </w:tr>
      <w:tr>
        <w:trPr>
          <w:trHeight w:val="215"/>
        </w:trPr>
        <w:tc>
          <w:tcPr>
            <w:tcW w:w="448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475.3</w:t>
            </w:r>
          </w:p>
        </w:tc>
      </w:tr>
      <w:tr>
        <w:trPr>
          <w:trHeight w:val="217"/>
        </w:trPr>
        <w:tc>
          <w:tcPr>
            <w:tcW w:w="44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9"/>
        </w:trPr>
        <w:tc>
          <w:tcPr>
            <w:tcW w:w="4480" w:type="dxa"/>
            <w:vAlign w:val="bottom"/>
          </w:tcPr>
          <w:p>
            <w:pPr>
              <w:ind w:left="220"/>
              <w:spacing w:after="0"/>
              <w:rPr>
                <w:sz w:val="20"/>
                <w:szCs w:val="20"/>
                <w:color w:val="auto"/>
              </w:rPr>
            </w:pPr>
            <w:r>
              <w:rPr>
                <w:rFonts w:ascii="Arial" w:cs="Arial" w:eastAsia="Arial" w:hAnsi="Arial"/>
                <w:sz w:val="16"/>
                <w:szCs w:val="16"/>
                <w:color w:val="auto"/>
              </w:rPr>
              <w:t>Total Towable RV</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1,001.8</w:t>
            </w: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 RV</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4480" w:type="dxa"/>
            <w:vAlign w:val="bottom"/>
          </w:tcPr>
          <w:p>
            <w:pPr>
              <w:ind w:left="14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420.2</w:t>
            </w:r>
          </w:p>
        </w:tc>
      </w:tr>
      <w:tr>
        <w:trPr>
          <w:trHeight w:val="217"/>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16"/>
        </w:trPr>
        <w:tc>
          <w:tcPr>
            <w:tcW w:w="44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r>
      <w:tr>
        <w:trPr>
          <w:trHeight w:val="210"/>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 RV</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971.8</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Marine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17"/>
        </w:trPr>
        <w:tc>
          <w:tcPr>
            <w:tcW w:w="44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0"/>
        </w:trPr>
        <w:tc>
          <w:tcPr>
            <w:tcW w:w="448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2,252.6</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260" w:right="100" w:hanging="252"/>
        <w:spacing w:after="0" w:line="209" w:lineRule="auto"/>
        <w:tabs>
          <w:tab w:leader="none" w:pos="305"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Relates to units, parts, accessories, and services associated with Winnebago specialty vehicles. In addition, this activity also includes Lithionics battery sales, including the related systems and accessories, that are sold directly to external customers.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10.0% of net revenue for the nine months ended May 31, 2025 or May 25,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effective tax rate was 26.3% and 18.4% for the three months ended May 31, 2025 and May 25, 2024, respectively; and 28.5% and 34.5% for the nine months ended May 31, 2025 and May 25, 2024, respectively. The change in our effective tax rate for the three months ended May 31, 2025 compared to the three months ended May 25, 2024 was driven primarily by</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prior year's favorable increase in R&amp;D credit and favorable reserve release, in addition to lower income in the current year. The decrease in tax rate for the nine months ended May 31, 2025 compared to the nine months ended May 25, 2024 was driven primarily by the impact of the prior year non-deductible loss on note repurchase.</w:t>
      </w:r>
    </w:p>
    <w:p>
      <w:pPr>
        <w:spacing w:after="0" w:line="197"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As of May 31, 2025, $4.1 million of U.S. federal income taxes receivable was included in prepaid expenses and other current assets on the Consolidated Balance Sheets. Comparatively, as of August 31, 2024, $6.8 million of U.S. federal income taxes receivable was included in prepaid expenses and other current assets on the Consolidated Balance Sheets.</w:t>
      </w:r>
    </w:p>
    <w:p>
      <w:pPr>
        <w:spacing w:after="0" w:line="191"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May 31, 2025, our U.S. Federal returns from Fiscal 2021 to present are subject to review by the Internal Revenue Service. With limited exceptions, U.S. state returns from Fiscal 2020 to present continue to be subject to review by state taxing jurisdictions. We are currently under review by certain U.S. state tax authorities for Fiscal 2020 through Fiscal 2023. We believe we have adequately reserved for our exposure to potential additional payments for uncertain tax positions in our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450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8"/>
        </w:trPr>
        <w:tc>
          <w:tcPr>
            <w:tcW w:w="4500" w:type="dxa"/>
            <w:vAlign w:val="bottom"/>
            <w:gridSpan w:val="3"/>
          </w:tcPr>
          <w:p>
            <w:pPr>
              <w:spacing w:after="0"/>
              <w:rPr>
                <w:sz w:val="20"/>
                <w:szCs w:val="20"/>
                <w:color w:val="auto"/>
              </w:rPr>
            </w:pPr>
            <w:r>
              <w:rPr>
                <w:rFonts w:ascii="Arial" w:cs="Arial" w:eastAsia="Arial" w:hAnsi="Arial"/>
                <w:sz w:val="16"/>
                <w:szCs w:val="16"/>
                <w:b w:val="1"/>
                <w:bCs w:val="1"/>
                <w:color w:val="auto"/>
              </w:rPr>
              <w:t>Note 12. Earnings Per Share</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500" w:type="dxa"/>
            <w:vAlign w:val="bottom"/>
            <w:gridSpan w:val="3"/>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500" w:type="dxa"/>
            <w:vAlign w:val="bottom"/>
            <w:gridSpan w:val="3"/>
          </w:tcPr>
          <w:p>
            <w:pPr>
              <w:ind w:left="20"/>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8"/>
                <w:szCs w:val="18"/>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31, 2025</w:t>
            </w:r>
          </w:p>
        </w:tc>
        <w:tc>
          <w:tcPr>
            <w:tcW w:w="220" w:type="dxa"/>
            <w:vAlign w:val="bottom"/>
          </w:tcPr>
          <w:p>
            <w:pPr>
              <w:spacing w:after="0"/>
              <w:rPr>
                <w:sz w:val="18"/>
                <w:szCs w:val="18"/>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25, 2024</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gridSpan w:val="3"/>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0"/>
        </w:trPr>
        <w:tc>
          <w:tcPr>
            <w:tcW w:w="4500" w:type="dxa"/>
            <w:vAlign w:val="bottom"/>
            <w:gridSpan w:val="3"/>
          </w:tcPr>
          <w:p>
            <w:pPr>
              <w:ind w:left="240"/>
              <w:spacing w:after="0" w:line="210" w:lineRule="exact"/>
              <w:rPr>
                <w:sz w:val="20"/>
                <w:szCs w:val="20"/>
                <w:color w:val="auto"/>
              </w:rPr>
            </w:pPr>
            <w:r>
              <w:rPr>
                <w:rFonts w:ascii="Arial" w:cs="Arial" w:eastAsia="Arial" w:hAnsi="Arial"/>
                <w:sz w:val="16"/>
                <w:szCs w:val="16"/>
                <w:color w:val="auto"/>
              </w:rPr>
              <w:t>Basic earnings per common share</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0.99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5"/>
        </w:trPr>
        <w:tc>
          <w:tcPr>
            <w:tcW w:w="4500" w:type="dxa"/>
            <w:vAlign w:val="bottom"/>
            <w:gridSpan w:val="3"/>
          </w:tcPr>
          <w:p>
            <w:pPr>
              <w:ind w:left="140"/>
              <w:spacing w:after="0"/>
              <w:rPr>
                <w:sz w:val="20"/>
                <w:szCs w:val="20"/>
                <w:color w:val="auto"/>
              </w:rPr>
            </w:pPr>
            <w:r>
              <w:rPr>
                <w:rFonts w:ascii="Arial" w:cs="Arial" w:eastAsia="Arial" w:hAnsi="Arial"/>
                <w:sz w:val="16"/>
                <w:szCs w:val="16"/>
                <w:color w:val="auto"/>
              </w:rPr>
              <w:t>Interest expense on convertible notes, net of tax</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Diluted net income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51"/>
        </w:trPr>
        <w:tc>
          <w:tcPr>
            <w:tcW w:w="12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5"/>
        </w:trPr>
        <w:tc>
          <w:tcPr>
            <w:tcW w:w="4500" w:type="dxa"/>
            <w:vAlign w:val="bottom"/>
            <w:gridSpan w:val="3"/>
          </w:tcPr>
          <w:p>
            <w:pPr>
              <w:ind w:left="140"/>
              <w:spacing w:after="0"/>
              <w:rPr>
                <w:sz w:val="20"/>
                <w:szCs w:val="20"/>
                <w:color w:val="auto"/>
              </w:rPr>
            </w:pPr>
            <w:r>
              <w:rPr>
                <w:rFonts w:ascii="Arial" w:cs="Arial" w:eastAsia="Arial" w:hAnsi="Arial"/>
                <w:sz w:val="16"/>
                <w:szCs w:val="16"/>
                <w:color w:val="auto"/>
              </w:rPr>
              <w:t>Dilutive impact of stock compensation awards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4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Dilutive impact of convertible notes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42"/>
        </w:trPr>
        <w:tc>
          <w:tcPr>
            <w:tcW w:w="4480" w:type="dxa"/>
            <w:vAlign w:val="bottom"/>
            <w:gridSpan w:val="2"/>
          </w:tcPr>
          <w:p>
            <w:pPr>
              <w:ind w:left="140"/>
              <w:spacing w:after="0" w:line="142" w:lineRule="exact"/>
              <w:rPr>
                <w:sz w:val="20"/>
                <w:szCs w:val="20"/>
                <w:color w:val="auto"/>
              </w:rPr>
            </w:pPr>
            <w:r>
              <w:rPr>
                <w:rFonts w:ascii="Arial" w:cs="Arial" w:eastAsia="Arial" w:hAnsi="Arial"/>
                <w:sz w:val="16"/>
                <w:szCs w:val="16"/>
                <w:color w:val="auto"/>
              </w:rPr>
              <w:t>Weighted average common shares outstanding, assuming</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5"/>
        </w:trPr>
        <w:tc>
          <w:tcPr>
            <w:tcW w:w="4500" w:type="dxa"/>
            <w:vAlign w:val="bottom"/>
            <w:gridSpan w:val="3"/>
          </w:tcPr>
          <w:p>
            <w:pPr>
              <w:ind w:left="140"/>
              <w:spacing w:after="0"/>
              <w:rPr>
                <w:sz w:val="20"/>
                <w:szCs w:val="20"/>
                <w:color w:val="auto"/>
              </w:rPr>
            </w:pPr>
            <w:r>
              <w:rPr>
                <w:rFonts w:ascii="Arial" w:cs="Arial" w:eastAsia="Arial" w:hAnsi="Arial"/>
                <w:sz w:val="16"/>
                <w:szCs w:val="16"/>
                <w:color w:val="auto"/>
              </w:rPr>
              <w:t>dilution</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48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500" w:type="dxa"/>
            <w:vAlign w:val="bottom"/>
            <w:gridSpan w:val="3"/>
          </w:tcPr>
          <w:p>
            <w:pPr>
              <w:ind w:left="140"/>
              <w:spacing w:after="0" w:line="162" w:lineRule="exact"/>
              <w:rPr>
                <w:sz w:val="20"/>
                <w:szCs w:val="20"/>
                <w:color w:val="auto"/>
              </w:rPr>
            </w:pPr>
            <w:r>
              <w:rPr>
                <w:rFonts w:ascii="Arial" w:cs="Arial" w:eastAsia="Arial" w:hAnsi="Arial"/>
                <w:sz w:val="16"/>
                <w:szCs w:val="16"/>
                <w:color w:val="auto"/>
              </w:rPr>
              <w:t>Anti-dilutive securities excluded from weighted average</w:t>
            </w:r>
          </w:p>
        </w:tc>
        <w:tc>
          <w:tcPr>
            <w:tcW w:w="2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4500" w:type="dxa"/>
            <w:vAlign w:val="bottom"/>
            <w:gridSpan w:val="3"/>
          </w:tcPr>
          <w:p>
            <w:pPr>
              <w:ind w:left="140"/>
              <w:spacing w:after="0"/>
              <w:rPr>
                <w:sz w:val="20"/>
                <w:szCs w:val="20"/>
                <w:color w:val="auto"/>
              </w:rPr>
            </w:pPr>
            <w:r>
              <w:rPr>
                <w:rFonts w:ascii="Arial" w:cs="Arial" w:eastAsia="Arial" w:hAnsi="Arial"/>
                <w:sz w:val="16"/>
                <w:szCs w:val="16"/>
                <w:color w:val="auto"/>
              </w:rPr>
              <w:t>common shares outstanding, assuming dilution</w:t>
            </w: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48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500" w:type="dxa"/>
            <w:vAlign w:val="bottom"/>
            <w:gridSpan w:val="3"/>
          </w:tcPr>
          <w:p>
            <w:pPr>
              <w:ind w:left="240"/>
              <w:spacing w:after="0" w:line="210" w:lineRule="exact"/>
              <w:rPr>
                <w:sz w:val="20"/>
                <w:szCs w:val="20"/>
                <w:color w:val="auto"/>
              </w:rPr>
            </w:pPr>
            <w:r>
              <w:rPr>
                <w:rFonts w:ascii="Arial" w:cs="Arial" w:eastAsia="Arial" w:hAnsi="Arial"/>
                <w:sz w:val="16"/>
                <w:szCs w:val="16"/>
                <w:color w:val="auto"/>
              </w:rPr>
              <w:t>Diluted earnings per common share</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0.96</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00" w:hanging="292"/>
        <w:spacing w:after="0"/>
        <w:tabs>
          <w:tab w:leader="none" w:pos="30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Earnings per share amounts are calculated based on unrounded numbers and therefore may not recalculate using the rounded numbers provided.</w:t>
      </w:r>
    </w:p>
    <w:p>
      <w:pPr>
        <w:spacing w:after="0" w:line="27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dilutive effect of stock compensation awards, if any, was determined using the treasury stock method while the dilutive impact of the 2025 Convertible Notes and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2025 Convertible Notes are assumed to be converted into common stock at the beginning of the reporting period, as the 2025 Convertible Notes will be convertible into cash, shares of our common stock or a combination thereof, at our election. If dilutive, the resulting shares are included in the denominator of the calculation and interest charges, net of any income tax effects are added back to the numerator of the calculation. For the 2030 Convertible Notes, we are required to settle the principal amount in cash and any conversion premium in excess of the principal amount in cash, shares of common stock, or a combination of cash and shares of common stock, at our election. As such, the 2030 Convertible Notes only have an impact on diluted earnings per share when the average share price of our common stock exceeds the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6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00"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31, 2024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Boat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Known Trends and Uncertainties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business continues to be challenged by macroeconomic conditions impacting retail consumers and our dealers, such as inflation, elevated interest rates, and lower consumer confidence. These factors have contributed to lower consumer spending and reduced short-term demand for large discretionary products such as RVs and marine products. In response, our dealers continue to exercise caution when managing stocking levels. In the first nine months of Fiscal 2025, these trends resulted in decreased sales due to declines in unit volume. While market pressures have been observed across our portfolio, they have been most acute in our Winnebago motorhome business. As part of our transformation of this business, we have recently taken significant steps to lower field inventory, improve working capital, align our production schedule to market demand, and accelerate stronger product value for our consumers in the future.</w:t>
      </w:r>
    </w:p>
    <w:p>
      <w:pPr>
        <w:spacing w:after="0" w:line="200" w:lineRule="exact"/>
        <w:rPr>
          <w:sz w:val="20"/>
          <w:szCs w:val="20"/>
          <w:color w:val="auto"/>
        </w:rPr>
      </w:pPr>
    </w:p>
    <w:p>
      <w:pPr>
        <w:spacing w:after="0" w:line="215" w:lineRule="exact"/>
        <w:rPr>
          <w:sz w:val="20"/>
          <w:szCs w:val="20"/>
          <w:color w:val="auto"/>
        </w:rPr>
      </w:pPr>
    </w:p>
    <w:p>
      <w:pPr>
        <w:jc w:val="both"/>
        <w:ind w:right="500"/>
        <w:spacing w:after="0" w:line="266" w:lineRule="auto"/>
        <w:rPr>
          <w:sz w:val="20"/>
          <w:szCs w:val="20"/>
          <w:color w:val="auto"/>
        </w:rPr>
      </w:pPr>
      <w:r>
        <w:rPr>
          <w:rFonts w:ascii="Arial" w:cs="Arial" w:eastAsia="Arial" w:hAnsi="Arial"/>
          <w:sz w:val="16"/>
          <w:szCs w:val="16"/>
          <w:color w:val="auto"/>
        </w:rPr>
        <w:t>We expect that as consumer demand stabilizes, dealers will return to more stable ordering patterns across our portfolio of businesses. We continue to produce and ship in accordance with dealer demand as evidenced and requested by dealer orders. In addition, we are closely monitoring the potential impact of new or additional U.S. tariffs and retaliatory measures from other countries, which may affect material costs or supply.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Despite the current economic uncertainty, we believe in the long-term health of consumer demand for RV and marine products.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Update</w:t>
      </w:r>
    </w:p>
    <w:p>
      <w:pPr>
        <w:spacing w:after="0" w:line="12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13"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Included in "Results of Operations" below for the three and nine months ended May 31, 2025 compared to the comparable prior year period is a reconciliation of EBITDA and Adjusted EBITDA from net income, the most directly comparable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change in fair value of note receivable, contingent consideration fair value adjustment, loss on note repurchase, asset impairment, and non-operating income or loss.</w:t>
      </w:r>
    </w:p>
    <w:p>
      <w:pPr>
        <w:spacing w:after="0" w:line="21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its assessments of performance and in forecasting; (d) to evaluate potential acquisitions; and (e) to ensure compliance with covenants and restricted activities under the terms of our ABL Credit Facility and outstanding notes, as further described in Note 8 in the Notes to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Three Months Ended May 31, 2025 Compared to Three Months Ended May 25, 2024</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1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May 31, 2025 compared to the three months ended May 25,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148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25, 2024</w:t>
            </w: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tcPr>
          <w:p>
            <w:pPr>
              <w:jc w:val="right"/>
              <w:ind w:right="15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667.8</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42"/>
        </w:trPr>
        <w:tc>
          <w:tcPr>
            <w:tcW w:w="254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69.1</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administrative expenses</w:t>
            </w: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0.96</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20" w:hanging="252"/>
        <w:spacing w:after="0" w:line="210" w:lineRule="auto"/>
        <w:tabs>
          <w:tab w:leader="none" w:pos="297"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213" w:lineRule="auto"/>
        <w:tabs>
          <w:tab w:leader="none" w:pos="30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29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Net revenues decreased primarily due to a reduction in average selling price per unit related to product mix, partially offset by targeted price increases. Unit volume growth in the Towable RV and Marine segments was partially offset by volume declines in the Motorhome RV segment as dealers continue their efforts to right-size field inventories in this segment.</w:t>
      </w:r>
    </w:p>
    <w:p>
      <w:pPr>
        <w:spacing w:after="0" w:line="191"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Gross profit as a percentage of revenue decreased primarily due to higher warranty experience, and deleverage associated with product mix, partially offset by operational efficiencies.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primarily due to investment to support the Grand Design motorhome business growth.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change in our effective tax rate was driven primarily by prior year's favorable increase in R&amp;D credit and favorable reserve release in addition to lower income in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three months ended May 31, 2025 and May 25,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2025</w:t>
            </w:r>
          </w:p>
        </w:tc>
        <w:tc>
          <w:tcPr>
            <w:tcW w:w="24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25, 2024</w:t>
            </w:r>
          </w:p>
        </w:tc>
      </w:tr>
      <w:tr>
        <w:trPr>
          <w:trHeight w:val="209"/>
        </w:trPr>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5"/>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 RV</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RV segment for the three months ended May 31, 2025 compared to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25,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148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25, 2024</w:t>
            </w:r>
          </w:p>
        </w:tc>
        <w:tc>
          <w:tcPr>
            <w:tcW w:w="150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71"/>
        </w:trPr>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5"/>
        </w:trPr>
        <w:tc>
          <w:tcPr>
            <w:tcW w:w="250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38,934</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41,638</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(2,704)</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09"/>
        </w:trPr>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25, 2024</w:t>
            </w:r>
          </w:p>
        </w:tc>
        <w:tc>
          <w:tcPr>
            <w:tcW w:w="150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15"/>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3,143</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33.9 %</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35"/>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9,495</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ind w:left="280" w:hanging="272"/>
        <w:spacing w:after="0" w:line="232" w:lineRule="auto"/>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a shift in product mix toward lower price-point models, partially offset by higher unit volume.</w:t>
      </w:r>
    </w:p>
    <w:p>
      <w:pPr>
        <w:spacing w:after="0" w:line="24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Adjusted EBITDA margin decreased primarily due to higher warranty experience, and deleverage, including that associated with product mix, partially offset by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 RV</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RV segment for the three months ended May 31, 2025 compared to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May 25,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148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25, 2024</w:t>
            </w:r>
          </w:p>
        </w:tc>
        <w:tc>
          <w:tcPr>
            <w:tcW w:w="148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271"/>
        </w:trPr>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5"/>
        </w:trPr>
        <w:tc>
          <w:tcPr>
            <w:tcW w:w="250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208,146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183,568</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24,578</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309"/>
        </w:trPr>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31, 2025</w:t>
            </w: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May 25, 2024</w:t>
            </w: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360" w:type="dxa"/>
            <w:vAlign w:val="bottom"/>
            <w:gridSpan w:val="3"/>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28.3 %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46.8 %</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1"/>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9"/>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primarily due to lower unit volume related to current market conditions, partially offset by product mix.</w:t>
      </w:r>
    </w:p>
    <w:p>
      <w:pPr>
        <w:spacing w:after="0" w:line="262"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Adjusted EBITDA margin decreased primarily due to higher discounts and allowances, volume deleverage, and operational inefficiencies with the Winnebago motorhome business.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2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following is an analysis of key changes in our Marine segment for the three months ended May 31, 2025 compared to the three months ended May 25,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640" w:type="dxa"/>
            <w:vAlign w:val="bottom"/>
            <w:gridSpan w:val="3"/>
          </w:tcPr>
          <w:p>
            <w:pPr>
              <w:jc w:val="right"/>
              <w:ind w:right="21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60" w:type="dxa"/>
            <w:vAlign w:val="bottom"/>
          </w:tcPr>
          <w:p>
            <w:pPr>
              <w:jc w:val="right"/>
              <w:ind w:right="13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37.0 %</w:t>
            </w:r>
          </w:p>
        </w:tc>
      </w:tr>
      <w:tr>
        <w:trPr>
          <w:trHeight w:val="257"/>
        </w:trPr>
        <w:tc>
          <w:tcPr>
            <w:tcW w:w="2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82"/>
        </w:trPr>
        <w:tc>
          <w:tcPr>
            <w:tcW w:w="250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81,185</w:t>
            </w:r>
          </w:p>
        </w:tc>
        <w:tc>
          <w:tcPr>
            <w:tcW w:w="17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78,595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312"/>
        </w:trPr>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ind w:left="16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bl>
    <w:p>
      <w:pPr>
        <w:spacing w:after="0" w:line="20"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volume and targeted price increases, partially offset by product mix.</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increased due to targeted price increases and volume leverage, partially offset by product mix and higher warranty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Nine Months Ended May 31, 2025 Compared to the Nine Months Ended May 25, 2024</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2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nine months ended May 31, 2025 compared to the nine months ended May 25,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 in millions, except per share data)</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May 31, 2025</w:t>
            </w: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0" w:type="dxa"/>
            <w:vAlign w:val="bottom"/>
          </w:tcPr>
          <w:p>
            <w:pPr>
              <w:spacing w:after="0"/>
              <w:rPr>
                <w:sz w:val="18"/>
                <w:szCs w:val="18"/>
                <w:color w:val="auto"/>
              </w:rPr>
            </w:pPr>
          </w:p>
        </w:tc>
        <w:tc>
          <w:tcPr>
            <w:tcW w:w="2720" w:type="dxa"/>
            <w:vAlign w:val="bottom"/>
            <w:gridSpan w:val="4"/>
          </w:tcPr>
          <w:p>
            <w:pPr>
              <w:ind w:left="20"/>
              <w:spacing w:after="0" w:line="210" w:lineRule="exact"/>
              <w:rPr>
                <w:sz w:val="20"/>
                <w:szCs w:val="20"/>
                <w:color w:val="auto"/>
              </w:rPr>
            </w:pPr>
            <w:r>
              <w:rPr>
                <w:rFonts w:ascii="Arial" w:cs="Arial" w:eastAsia="Arial" w:hAnsi="Arial"/>
                <w:sz w:val="16"/>
                <w:szCs w:val="16"/>
                <w:b w:val="1"/>
                <w:bCs w:val="1"/>
                <w:color w:val="auto"/>
              </w:rPr>
              <w:t>May 25, 2024   % of Revenues</w:t>
            </w:r>
            <w:r>
              <w:rPr>
                <w:rFonts w:ascii="Arial" w:cs="Arial" w:eastAsia="Arial" w:hAnsi="Arial"/>
                <w:sz w:val="21"/>
                <w:szCs w:val="21"/>
                <w:b w:val="1"/>
                <w:bCs w:val="1"/>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ind w:left="20"/>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1380" w:type="dxa"/>
            <w:vAlign w:val="bottom"/>
          </w:tcPr>
          <w:p>
            <w:pPr>
              <w:jc w:val="right"/>
              <w:ind w:right="159"/>
              <w:spacing w:after="0" w:line="210" w:lineRule="exact"/>
              <w:rPr>
                <w:sz w:val="20"/>
                <w:szCs w:val="20"/>
                <w:color w:val="auto"/>
              </w:rPr>
            </w:pPr>
            <w:r>
              <w:rPr>
                <w:rFonts w:ascii="Arial" w:cs="Arial" w:eastAsia="Arial" w:hAnsi="Arial"/>
                <w:sz w:val="16"/>
                <w:szCs w:val="16"/>
                <w:b w:val="1"/>
                <w:bCs w:val="1"/>
                <w:color w:val="auto"/>
              </w:rPr>
              <w:t>% Change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2,252.6</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1,755.0</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line="142" w:lineRule="exact"/>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212.1</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204.4</w:t>
            </w:r>
          </w:p>
        </w:tc>
        <w:tc>
          <w:tcPr>
            <w:tcW w:w="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1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5"/>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5"/>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Diluted weighted average shares</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outstanding</w:t>
            </w: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60" w:right="20" w:hanging="252"/>
        <w:spacing w:after="0" w:line="218" w:lineRule="auto"/>
        <w:tabs>
          <w:tab w:leader="none" w:pos="297"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 In addition, percentages may not add in total due to rounding.</w:t>
      </w:r>
    </w:p>
    <w:p>
      <w:pPr>
        <w:spacing w:after="0" w:line="213" w:lineRule="auto"/>
        <w:tabs>
          <w:tab w:leader="none" w:pos="300" w:val="left"/>
        </w:tabs>
        <w:rPr>
          <w:sz w:val="20"/>
          <w:szCs w:val="20"/>
          <w:color w:val="auto"/>
        </w:rPr>
      </w:pPr>
      <w:r>
        <w:rPr>
          <w:rFonts w:ascii="Arial" w:cs="Arial" w:eastAsia="Arial" w:hAnsi="Arial"/>
          <w:sz w:val="21"/>
          <w:szCs w:val="21"/>
          <w:color w:val="auto"/>
          <w:vertAlign w:val="superscript"/>
        </w:rPr>
        <w:t>NM:</w:t>
      </w:r>
      <w:r>
        <w:rPr>
          <w:sz w:val="20"/>
          <w:szCs w:val="20"/>
          <w:color w:val="auto"/>
        </w:rPr>
        <w:tab/>
      </w:r>
      <w:r>
        <w:rPr>
          <w:rFonts w:ascii="Arial" w:cs="Arial" w:eastAsia="Arial" w:hAnsi="Arial"/>
          <w:sz w:val="14"/>
          <w:szCs w:val="14"/>
          <w:color w:val="auto"/>
        </w:rPr>
        <w:t>Not meaningful.</w:t>
      </w:r>
    </w:p>
    <w:p>
      <w:pPr>
        <w:spacing w:after="0" w:line="34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revenues decreased primarily due to a reduction in average selling price per unit related to product mix and lower unit volume, partially offset by targeted price increases.</w:t>
      </w:r>
    </w:p>
    <w:p>
      <w:pPr>
        <w:spacing w:after="0" w:line="183"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Gross profit as a percentage of revenue decreased primarily due to deleverage, including that associated with product mix, and higher warranty experience, partially offset by operational efficiencies.</w:t>
      </w:r>
    </w:p>
    <w:p>
      <w:pPr>
        <w:spacing w:after="0" w:line="16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Operating expenses increased primarily due to investments to support the growth of the Grand Design motorhome and Barletta marine businesses, partially offset by cost reduction initiatives.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increased primarily due to the 2030 Convertible Notes issued in the second quarter of 2024.</w:t>
      </w:r>
    </w:p>
    <w:p>
      <w:pPr>
        <w:spacing w:after="0" w:line="24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loss on note repurchase recorded in the nine months ended May 31, 2025 is related to the tender of $100.0 million of our Senior Secured Notes. The loss on note repurchase recorded in the nine months ended May 25, 2024 is related to the refinancing of the 2025 Convertible Notes. Refer to Note 8 in the Notes to Consolidated Financial Statements included in Item 1 of Part I of this Quarterly Report on Form 10-Q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change in our effective tax rate was driven primarily by the impact of the prior year non-deductible loss on note repurchase.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 for the nine months ended May 31, 2025 and May 25,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7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2025</w:t>
            </w:r>
          </w:p>
        </w:tc>
        <w:tc>
          <w:tcPr>
            <w:tcW w:w="24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25, 2024</w:t>
            </w:r>
          </w:p>
        </w:tc>
      </w:tr>
      <w:tr>
        <w:trPr>
          <w:trHeight w:val="209"/>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7560" w:type="dxa"/>
            <w:vAlign w:val="bottom"/>
          </w:tcPr>
          <w:p>
            <w:pPr>
              <w:ind w:left="140"/>
              <w:spacing w:after="0"/>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Change in fair value of note receivable</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 RV</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RV segment for the nine months ended May 31, 2025 compared to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25,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600" w:type="dxa"/>
            <w:vAlign w:val="bottom"/>
            <w:gridSpan w:val="3"/>
          </w:tcPr>
          <w:p>
            <w:pPr>
              <w:jc w:val="right"/>
              <w:ind w:right="17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25, 2024</w:t>
            </w:r>
          </w:p>
        </w:tc>
        <w:tc>
          <w:tcPr>
            <w:tcW w:w="1580" w:type="dxa"/>
            <w:vAlign w:val="bottom"/>
            <w:gridSpan w:val="3"/>
          </w:tcPr>
          <w:p>
            <w:pPr>
              <w:jc w:val="center"/>
              <w:ind w:right="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1,001.8</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101.8</w:t>
            </w:r>
          </w:p>
        </w:tc>
        <w:tc>
          <w:tcPr>
            <w:tcW w:w="1400" w:type="dxa"/>
            <w:vAlign w:val="bottom"/>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71"/>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82"/>
        </w:trPr>
        <w:tc>
          <w:tcPr>
            <w:tcW w:w="28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38,906</w:t>
            </w:r>
          </w:p>
        </w:tc>
        <w:tc>
          <w:tcPr>
            <w:tcW w:w="16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41,841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(2,935)</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12"/>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5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600" w:type="dxa"/>
            <w:vAlign w:val="bottom"/>
            <w:gridSpan w:val="3"/>
          </w:tcPr>
          <w:p>
            <w:pPr>
              <w:jc w:val="right"/>
              <w:ind w:right="29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50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15,987</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7,302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7,869</w:t>
            </w:r>
          </w:p>
        </w:tc>
        <w:tc>
          <w:tcPr>
            <w:tcW w:w="1400" w:type="dxa"/>
            <w:vAlign w:val="bottom"/>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5"/>
        </w:trPr>
        <w:tc>
          <w:tcPr>
            <w:tcW w:w="2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10"/>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(4)</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5"/>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17,747</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18,110</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1"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3" w:lineRule="auto"/>
        <w:tabs>
          <w:tab w:leader="none" w:pos="28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ASP excludes off-invoice dealer incentives.</w:t>
      </w:r>
    </w:p>
    <w:p>
      <w:pPr>
        <w:ind w:left="300" w:hanging="292"/>
        <w:spacing w:after="0" w:line="183" w:lineRule="auto"/>
        <w:tabs>
          <w:tab w:leader="none" w:pos="30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300" w:hanging="292"/>
        <w:spacing w:after="0" w:line="183" w:lineRule="auto"/>
        <w:tabs>
          <w:tab w:leader="none" w:pos="30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11"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Net revenues decreased primarily due to a shift in product mix toward lower price-point models and lower unit volume due to market conditions, partially offset by targeted price increases.</w:t>
      </w:r>
    </w:p>
    <w:p>
      <w:pPr>
        <w:spacing w:after="0" w:line="16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Adjusted EBITDA margin decreased primarily due to deleverage, including that associated with product mix, and higher warranty experience, partially offset by targeted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 RV</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RV segment for the nine months ended May 31, 2025 compared to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May 25,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580" w:type="dxa"/>
            <w:vAlign w:val="bottom"/>
            <w:gridSpan w:val="3"/>
          </w:tcPr>
          <w:p>
            <w:pPr>
              <w:jc w:val="right"/>
              <w:ind w:right="179"/>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25, 2024</w:t>
            </w:r>
          </w:p>
        </w:tc>
        <w:tc>
          <w:tcPr>
            <w:tcW w:w="1560" w:type="dxa"/>
            <w:vAlign w:val="bottom"/>
            <w:gridSpan w:val="3"/>
          </w:tcPr>
          <w:p>
            <w:pPr>
              <w:jc w:val="center"/>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6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60.7</w:t>
            </w:r>
          </w:p>
        </w:tc>
        <w:tc>
          <w:tcPr>
            <w:tcW w:w="1380" w:type="dxa"/>
            <w:vAlign w:val="bottom"/>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71"/>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377"/>
        </w:trPr>
        <w:tc>
          <w:tcPr>
            <w:tcW w:w="286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204,588</w:t>
            </w:r>
          </w:p>
        </w:tc>
        <w:tc>
          <w:tcPr>
            <w:tcW w:w="16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189,356</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15,232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217"/>
        </w:trPr>
        <w:tc>
          <w:tcPr>
            <w:tcW w:w="2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48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18"/>
                <w:szCs w:val="18"/>
                <w:color w:val="auto"/>
              </w:rPr>
            </w:pPr>
          </w:p>
        </w:tc>
        <w:tc>
          <w:tcPr>
            <w:tcW w:w="1580" w:type="dxa"/>
            <w:vAlign w:val="bottom"/>
            <w:gridSpan w:val="3"/>
          </w:tcPr>
          <w:p>
            <w:pPr>
              <w:jc w:val="right"/>
              <w:ind w:right="299"/>
              <w:spacing w:after="0" w:line="210"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(3)</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48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(3)</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1,158</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1,815</w:t>
            </w:r>
          </w:p>
        </w:tc>
        <w:tc>
          <w:tcPr>
            <w:tcW w:w="1380" w:type="dxa"/>
            <w:vAlign w:val="bottom"/>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2,128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9"/>
        </w:trPr>
        <w:tc>
          <w:tcPr>
            <w:tcW w:w="2860" w:type="dxa"/>
            <w:vAlign w:val="bottom"/>
          </w:tcPr>
          <w:p>
            <w:pPr>
              <w:ind w:left="140"/>
              <w:spacing w:after="0"/>
              <w:rPr>
                <w:sz w:val="20"/>
                <w:szCs w:val="20"/>
                <w:color w:val="auto"/>
              </w:rPr>
            </w:pPr>
            <w:r>
              <w:rPr>
                <w:rFonts w:ascii="Arial" w:cs="Arial" w:eastAsia="Arial" w:hAnsi="Arial"/>
                <w:sz w:val="16"/>
                <w:szCs w:val="16"/>
                <w:color w:val="auto"/>
              </w:rPr>
              <w:t>Total Motorhome RV</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5,212</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1"/>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44"/>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31, 2025</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8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(4)</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15"/>
        </w:trPr>
        <w:tc>
          <w:tcPr>
            <w:tcW w:w="286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3,614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4,386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w:t>
            </w:r>
          </w:p>
        </w:tc>
      </w:tr>
    </w:tbl>
    <w:p>
      <w:pPr>
        <w:spacing w:after="0" w:line="35"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ind w:left="300" w:hanging="292"/>
        <w:spacing w:after="0" w:line="183" w:lineRule="auto"/>
        <w:tabs>
          <w:tab w:leader="none" w:pos="300" w:val="left"/>
        </w:tabs>
        <w:numPr>
          <w:ilvl w:val="0"/>
          <w:numId w:val="13"/>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Net revenues decreased primarily due to lower unit volume related to market conditions, partially offset by the introduction of the Grand Design motorhome business, and product mix.</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Adjusted EBITDA margin decreased primarily due to volume deleverage, operational inefficiencies, and higher discounts and allowances associated with the Winnebago motorhome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11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The following is an analysis of key changes in our Marine segment for the nine months ended May 31, 2025 compared to the nine months ended May 25,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4"/>
                <w:szCs w:val="14"/>
                <w:color w:val="auto"/>
              </w:rPr>
              <w:t>(in millions, except ASP and units)</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600" w:type="dxa"/>
            <w:vAlign w:val="bottom"/>
            <w:gridSpan w:val="3"/>
          </w:tcPr>
          <w:p>
            <w:pPr>
              <w:jc w:val="right"/>
              <w:ind w:right="17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1500" w:type="dxa"/>
            <w:vAlign w:val="bottom"/>
            <w:gridSpan w:val="3"/>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10"/>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20.1</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38.1 %</w:t>
            </w:r>
          </w:p>
        </w:tc>
      </w:tr>
      <w:tr>
        <w:trPr>
          <w:trHeight w:val="271"/>
        </w:trPr>
        <w:tc>
          <w:tcPr>
            <w:tcW w:w="2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85"/>
        </w:trPr>
        <w:tc>
          <w:tcPr>
            <w:tcW w:w="288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79,846</w:t>
            </w:r>
          </w:p>
        </w:tc>
        <w:tc>
          <w:tcPr>
            <w:tcW w:w="16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80,819</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09"/>
        </w:trPr>
        <w:tc>
          <w:tcPr>
            <w:tcW w:w="2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34"/>
        </w:trPr>
        <w:tc>
          <w:tcPr>
            <w:tcW w:w="2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May 31, 2025</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May 25, 2024</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 Change</w:t>
            </w:r>
            <w:r>
              <w:rPr>
                <w:rFonts w:ascii="Arial" w:cs="Arial" w:eastAsia="Arial" w:hAnsi="Arial"/>
                <w:sz w:val="21"/>
                <w:szCs w:val="21"/>
                <w:b w:val="1"/>
                <w:bCs w:val="1"/>
                <w:color w:val="auto"/>
                <w:w w:val="94"/>
                <w:vertAlign w:val="superscript"/>
              </w:rPr>
              <w:t>(1)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10"/>
        </w:trPr>
        <w:tc>
          <w:tcPr>
            <w:tcW w:w="288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(3,4)</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5"/>
        </w:trPr>
        <w:tc>
          <w:tcPr>
            <w:tcW w:w="2880" w:type="dxa"/>
            <w:vAlign w:val="bottom"/>
          </w:tcPr>
          <w:p>
            <w:pPr>
              <w:ind w:left="140"/>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3,069</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3,400</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(9.7)%</w:t>
            </w:r>
          </w:p>
        </w:tc>
      </w:tr>
    </w:tbl>
    <w:p>
      <w:pPr>
        <w:spacing w:after="0" w:line="35"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ind w:left="280" w:hanging="272"/>
        <w:spacing w:after="0" w:line="187" w:lineRule="auto"/>
        <w:tabs>
          <w:tab w:leader="none" w:pos="28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ASP excludes off-invoice dealer incentives.</w:t>
      </w:r>
    </w:p>
    <w:p>
      <w:pPr>
        <w:ind w:left="300" w:hanging="292"/>
        <w:spacing w:after="0" w:line="183" w:lineRule="auto"/>
        <w:tabs>
          <w:tab w:leader="none" w:pos="30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ind w:left="300" w:hanging="292"/>
        <w:spacing w:after="0" w:line="183" w:lineRule="auto"/>
        <w:tabs>
          <w:tab w:leader="none" w:pos="30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2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Net revenues increased primarily due to unit volume and targeted price increases, partially offset by a reduction in average selling price per unit related to product mix.</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increased due to targeted price increases and volume leverage, partially offset by product mix.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20"/>
                <w:szCs w:val="20"/>
                <w:color w:val="auto"/>
              </w:rPr>
            </w:pPr>
            <w:r>
              <w:rPr>
                <w:rFonts w:ascii="Arial" w:cs="Arial" w:eastAsia="Arial" w:hAnsi="Arial"/>
                <w:sz w:val="16"/>
                <w:szCs w:val="16"/>
                <w:b w:val="1"/>
                <w:bCs w:val="1"/>
                <w:color w:val="auto"/>
              </w:rPr>
              <w:t>Analysis of Financial Condition, Liquidity, and Capital Resources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64"/>
        </w:trPr>
        <w:tc>
          <w:tcPr>
            <w:tcW w:w="736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9"/>
        </w:trPr>
        <w:tc>
          <w:tcPr>
            <w:tcW w:w="7360" w:type="dxa"/>
            <w:vAlign w:val="bottom"/>
          </w:tcPr>
          <w:p>
            <w:pPr>
              <w:spacing w:after="0"/>
              <w:rPr>
                <w:sz w:val="20"/>
                <w:szCs w:val="20"/>
                <w:color w:val="auto"/>
              </w:rPr>
            </w:pPr>
            <w:r>
              <w:rPr>
                <w:rFonts w:ascii="Arial" w:cs="Arial" w:eastAsia="Arial" w:hAnsi="Arial"/>
                <w:sz w:val="16"/>
                <w:szCs w:val="16"/>
                <w:color w:val="auto"/>
              </w:rPr>
              <w:t>The following table summarizes our cash flows from operations: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1"/>
        </w:trPr>
        <w:tc>
          <w:tcPr>
            <w:tcW w:w="7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31, 2025</w:t>
            </w:r>
          </w:p>
        </w:tc>
        <w:tc>
          <w:tcPr>
            <w:tcW w:w="280" w:type="dxa"/>
            <w:vAlign w:val="bottom"/>
          </w:tcPr>
          <w:p>
            <w:pPr>
              <w:spacing w:after="0"/>
              <w:rPr>
                <w:sz w:val="18"/>
                <w:szCs w:val="18"/>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25, 2024</w:t>
            </w:r>
          </w:p>
        </w:tc>
      </w:tr>
      <w:tr>
        <w:trPr>
          <w:trHeight w:val="210"/>
        </w:trPr>
        <w:tc>
          <w:tcPr>
            <w:tcW w:w="7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cash (used in) provided by:</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5"/>
        </w:trPr>
        <w:tc>
          <w:tcPr>
            <w:tcW w:w="736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17"/>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r>
      <w:tr>
        <w:trPr>
          <w:trHeight w:val="235"/>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1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During the nine months ended May 31, 2025, net cash used in operating activities was $52.5 million compared to net cash provided by operating activities of $103.2 million during the same period last year. The change in operating cash flow is primarily driven by lower profitability adjusted for non-cash items, an increase in inventory to support the growth of the Grand Design motorhome business and an increase in accounts receivable due to timing of invoicing and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1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Cash used in investing activities decreased primarily due to favorable changes in other investing activities and lower capital expenditures compared to the prior year. Other investing activities include cash proceeds from asset sales and strategic investment activity.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increased primarily due to partial settlement of high-yield notes and maturity of 2025 Convertible Notes.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maintain a $350.0 million asset-based revolving credit facility ("ABL Credit Facility") with a maturity date of July 15, 2027, subject to certain factors which may accelerate the maturity date. As of May 31, 2025, we had no borrowings against the ABL Credit Facility.</w:t>
      </w:r>
    </w:p>
    <w:p>
      <w:pPr>
        <w:spacing w:after="0" w:line="168"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As of May 31, 2025, we had $10.5 million in cash and cash equivalents and $350.0 million in unused ABL Credit Facility. Our cash and cash equivalent balances consist of high quality, short-term money market instruments.</w:t>
      </w:r>
    </w:p>
    <w:p>
      <w:pPr>
        <w:spacing w:after="0" w:line="1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23, 2024, we issued $350.0 million in aggregate principal amount of 3.25% unsecured convertible senior notes due 2030 (the "2030 Convertible Notes").</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On February 3rd, 2025, we executed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w:t>
      </w:r>
    </w:p>
    <w:p>
      <w:pPr>
        <w:spacing w:after="0" w:line="21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On November 1, 2019, we issued $300.0 million in aggregate principal amount of 1.50% unsecured Convertible Senior Notes due 2025 (the “2025 Convertible Notes”). On January 18, 2024, we entered into privately negotiated transactions (the "2025 Convertible Note Repurchases") with certain holders of the 2025 Convertible Notes to repurchase $240.7 million aggregate principal amount of the 2025 Convertible Notes using proceeds received from the 2030 Convertible Notes. On April 1, 2025, the 2025 Convertible Notes matured. We paid $59.3 million in aggregate principal amount and $0.4 million in accrued interest to holders of the notes, fully settling the outstanding balance (the "2025 Convertible Note Maturity Settlement"). The settlement was funded with cash on hand, consistent with our stated intent, with no shares of common stock issued.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As of May 31, 2025, we have no debt maturing in the next twelve months that is classified as current on our Consolidated Balance Sheets.</w:t>
      </w:r>
    </w:p>
    <w:p>
      <w:pPr>
        <w:spacing w:after="0" w:line="248"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2030 Convertible Notes, the Senior Secured Notes, and the ABL Credit Facility, and will continue to monitor counterparty risk on an on-going basis.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Working Capital</w:t>
      </w:r>
    </w:p>
    <w:p>
      <w:pPr>
        <w:spacing w:after="0" w:line="111"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Working capital at May 31, 2025 and August 31, 2024 was $444.2 million and $584.0 million, respectively. We currently expect cash on hand, funds generated from operations, and the borrowing available under our ABL Credit Facility to be sufficient to cover both short-term and long-term operating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9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On August 17, 2022, our Board of Directors authorized a new share repurchase program in the amount of $350.0 million with no time restriction on the authorization, which took effect immediately and replaced the prior program. In the nine months ended May 31, 2025, we repurchased approximately 951,000 shares of our own common stock at a cost of $50.0 million under this authorization, and approximately 64,000 shares at a cost of $3.6 million to satisfy tax obligations on employee equity awards vested. We continually evaluate if share repurchases reflect a prudent use of our capital and, subject to compliance with our ABL Credit Facility and Senior Secured Notes, we may purchase shares in the future. As of May 31, 2025, we have $180.0 million remaining on our Board approved repurchase authorization.</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On May 16, 2025, our Board of Directors approved a quarterly cash dividend of $0.34 per share payable on June 25, 2025, to common stockholders of record at the close of business on June 11, 2025.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13"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There have been no material changes in our contractual obligations since the end of Fiscal 2024. See our Annual Report on Form 10-K for the fiscal year ended August 31, 2024 for additional information regarding our contractual obligations and commercial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3"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We describe our critical accounting policies in Note 1 in the Notes to Consolidated Financial Statements included in Item 8 of Part II of our Annual Report on Form 10-K for the fiscal year ended August 31, 2024. We discuss our critical accounting estimates in Item 7 of Part II of our Annual Report on Form 10-K for the fiscal year ended August 31, 2024. There have been no material changes to our critical accounting policies or critical accounting estimates since the end of Fiscal 2024.</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For a summary of new applicable accounting pronouncements, see Note 1 in the Notes to Consolidated Financial Statements included in Item 1 of Part I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31, 2024,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8"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and global economic conditions or low levels of economic growth.</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 and retail purchasers.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 related to independent dealers.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 related to dealer consolidation or the loss of a significant dealer.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 and obtain components.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Inadequate management of dealer inventory levels.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warranty claims and product recalls.</w:t>
      </w:r>
    </w:p>
    <w:p>
      <w:pPr>
        <w:spacing w:after="0" w:line="8" w:lineRule="exact"/>
        <w:rPr>
          <w:rFonts w:ascii="Arial" w:cs="Arial" w:eastAsia="Arial" w:hAnsi="Arial"/>
          <w:sz w:val="16"/>
          <w:szCs w:val="16"/>
          <w:color w:val="auto"/>
        </w:rPr>
      </w:pPr>
    </w:p>
    <w:p>
      <w:pPr>
        <w:ind w:left="660" w:right="280" w:hanging="328"/>
        <w:spacing w:after="0" w:line="252"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attention to environmental, social, and governance ("ESG") matters, and our ability to meet our commitments.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Impairment of goodwill and trade names.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related to our 2030 Convertible Notes and Senior Secured Notes, including our ability to satisfy our obligations under these notes.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recommendations or a withdrawal of coverage by third party securities analysts.</w:t>
      </w:r>
    </w:p>
    <w:p>
      <w:pPr>
        <w:spacing w:after="0" w:line="236"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ABL Credit Facility, which is our only floating rate debt instrument, remains undrawn as of May 31, 2025.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third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For a description of our legal proceedings, see Note 9 in the Notes to Consolidated Financial Statements included in Item 1 of Part I of this Quarterly Report on Form 10-Q.</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31, 2024.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2025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 Purchased</w:t>
            </w:r>
          </w:p>
        </w:tc>
        <w:tc>
          <w:tcPr>
            <w:tcW w:w="320" w:type="dxa"/>
            <w:vAlign w:val="bottom"/>
          </w:tcPr>
          <w:p>
            <w:pPr>
              <w:spacing w:after="0"/>
              <w:rPr>
                <w:sz w:val="16"/>
                <w:szCs w:val="16"/>
                <w:color w:val="auto"/>
              </w:rPr>
            </w:pPr>
          </w:p>
        </w:tc>
        <w:tc>
          <w:tcPr>
            <w:tcW w:w="2560" w:type="dxa"/>
            <w:vAlign w:val="bottom"/>
          </w:tcPr>
          <w:p>
            <w:pPr>
              <w:jc w:val="center"/>
              <w:ind w:right="121"/>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760" w:type="dxa"/>
            <w:vAlign w:val="bottom"/>
            <w:vMerge w:val="continue"/>
          </w:tcPr>
          <w:p>
            <w:pPr>
              <w:spacing w:after="0"/>
              <w:rPr>
                <w:sz w:val="14"/>
                <w:szCs w:val="14"/>
                <w:color w:val="auto"/>
              </w:rPr>
            </w:pPr>
          </w:p>
        </w:tc>
        <w:tc>
          <w:tcPr>
            <w:tcW w:w="2880" w:type="dxa"/>
            <w:vAlign w:val="bottom"/>
            <w:gridSpan w:val="2"/>
          </w:tcPr>
          <w:p>
            <w:pPr>
              <w:jc w:val="center"/>
              <w:ind w:left="22"/>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as Part of Publicly Announced</w:t>
            </w:r>
          </w:p>
        </w:tc>
        <w:tc>
          <w:tcPr>
            <w:tcW w:w="2880" w:type="dxa"/>
            <w:vAlign w:val="bottom"/>
            <w:gridSpan w:val="2"/>
          </w:tcPr>
          <w:p>
            <w:pPr>
              <w:jc w:val="center"/>
              <w:ind w:left="42"/>
              <w:spacing w:after="0" w:line="162" w:lineRule="exact"/>
              <w:rPr>
                <w:sz w:val="20"/>
                <w:szCs w:val="20"/>
                <w:color w:val="auto"/>
              </w:rPr>
            </w:pPr>
            <w:r>
              <w:rPr>
                <w:rFonts w:ascii="Arial" w:cs="Arial" w:eastAsia="Arial" w:hAnsi="Arial"/>
                <w:sz w:val="14"/>
                <w:szCs w:val="14"/>
                <w:b w:val="1"/>
                <w:bCs w:val="1"/>
                <w:color w:val="auto"/>
              </w:rPr>
              <w:t>Under the Plans or Programs</w:t>
            </w:r>
            <w:r>
              <w:rPr>
                <w:rFonts w:ascii="Arial" w:cs="Arial" w:eastAsia="Arial" w:hAnsi="Arial"/>
                <w:sz w:val="18"/>
                <w:szCs w:val="18"/>
                <w:b w:val="1"/>
                <w:bCs w:val="1"/>
                <w:color w:val="auto"/>
                <w:vertAlign w:val="superscript"/>
              </w:rPr>
              <w:t>(3)</w:t>
            </w:r>
            <w:r>
              <w:rPr>
                <w:rFonts w:ascii="Arial" w:cs="Arial" w:eastAsia="Arial" w:hAnsi="Arial"/>
                <w:sz w:val="14"/>
                <w:szCs w:val="14"/>
                <w:b w:val="1"/>
                <w:bCs w:val="1"/>
                <w:color w:val="auto"/>
              </w:rPr>
              <w:t xml:space="preserve"> </w:t>
            </w:r>
            <w:r>
              <w:rPr>
                <w:rFonts w:ascii="Arial" w:cs="Arial" w:eastAsia="Arial" w:hAnsi="Arial"/>
                <w:sz w:val="12"/>
                <w:szCs w:val="12"/>
                <w:color w:val="auto"/>
              </w:rPr>
              <w:t>(in</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3"/>
              </w:rPr>
              <w:t>Purchased</w:t>
            </w:r>
            <w:r>
              <w:rPr>
                <w:rFonts w:ascii="Arial" w:cs="Arial" w:eastAsia="Arial" w:hAnsi="Arial"/>
                <w:sz w:val="21"/>
                <w:szCs w:val="21"/>
                <w:b w:val="1"/>
                <w:bCs w:val="1"/>
                <w:color w:val="auto"/>
                <w:w w:val="93"/>
                <w:vertAlign w:val="superscript"/>
              </w:rPr>
              <w:t>(1,2)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7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6"/>
                <w:szCs w:val="16"/>
                <w:b w:val="1"/>
                <w:bCs w:val="1"/>
                <w:color w:val="auto"/>
                <w:w w:val="97"/>
              </w:rPr>
              <w:t>Plans or Programs</w:t>
            </w:r>
            <w:r>
              <w:rPr>
                <w:rFonts w:ascii="Arial" w:cs="Arial" w:eastAsia="Arial" w:hAnsi="Arial"/>
                <w:sz w:val="21"/>
                <w:szCs w:val="21"/>
                <w:b w:val="1"/>
                <w:bCs w:val="1"/>
                <w:color w:val="auto"/>
                <w:w w:val="97"/>
                <w:vertAlign w:val="superscript"/>
              </w:rPr>
              <w:t>(1,2)</w:t>
            </w:r>
          </w:p>
        </w:tc>
        <w:tc>
          <w:tcPr>
            <w:tcW w:w="3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3/2/25 - 4/5/25</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760" w:type="dxa"/>
            <w:vAlign w:val="bottom"/>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4/6/25 - 5/3/25</w:t>
            </w:r>
          </w:p>
        </w:tc>
        <w:tc>
          <w:tcPr>
            <w:tcW w:w="1560" w:type="dxa"/>
            <w:vAlign w:val="bottom"/>
          </w:tcPr>
          <w:p>
            <w:pPr>
              <w:jc w:val="right"/>
              <w:spacing w:after="0"/>
              <w:rPr>
                <w:sz w:val="20"/>
                <w:szCs w:val="20"/>
                <w:color w:val="auto"/>
              </w:rPr>
            </w:pPr>
            <w:r>
              <w:rPr>
                <w:rFonts w:ascii="Arial" w:cs="Arial" w:eastAsia="Arial" w:hAnsi="Arial"/>
                <w:sz w:val="16"/>
                <w:szCs w:val="16"/>
                <w:color w:val="auto"/>
              </w:rPr>
              <w:t>469</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32.06</w:t>
            </w:r>
          </w:p>
        </w:tc>
        <w:tc>
          <w:tcPr>
            <w:tcW w:w="2760" w:type="dxa"/>
            <w:vAlign w:val="bottom"/>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5/4/25 - 5/31/25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34.44</w:t>
            </w:r>
          </w:p>
        </w:tc>
        <w:tc>
          <w:tcPr>
            <w:tcW w:w="276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0"/>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33.54</w:t>
            </w:r>
          </w:p>
        </w:tc>
        <w:tc>
          <w:tcPr>
            <w:tcW w:w="2760" w:type="dxa"/>
            <w:vAlign w:val="bottom"/>
            <w:tcBorders>
              <w:bottom w:val="single" w:sz="8" w:color="auto"/>
            </w:tcBorders>
          </w:tcPr>
          <w:p>
            <w:pPr>
              <w:ind w:left="25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1"/>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180" w:hanging="252"/>
        <w:spacing w:after="0" w:line="209" w:lineRule="auto"/>
        <w:tabs>
          <w:tab w:leader="none" w:pos="263" w:val="left"/>
        </w:tabs>
        <w:numPr>
          <w:ilvl w:val="0"/>
          <w:numId w:val="16"/>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hanging="252"/>
        <w:spacing w:after="0" w:line="183" w:lineRule="auto"/>
        <w:tabs>
          <w:tab w:leader="none" w:pos="26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Pursuant to a $350.0 million share repurchase program authorized by our Board of Directors on August 17, 2022. There is no time restriction on the authorization.</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Senior Secured Notes, as defined in Note 8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quarter ended May 31,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ind w:left="100"/>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ectPr>
          <w:pgSz w:w="11900" w:h="16838" w:orient="portrait"/>
          <w:cols w:equalWidth="0" w:num="1">
            <w:col w:w="10340"/>
          </w:cols>
          <w:pgMar w:left="220" w:top="125" w:right="1339" w:bottom="1440" w:gutter="0" w:footer="0" w:header="0"/>
        </w:sectPr>
      </w:pPr>
    </w:p>
    <w:p>
      <w:pPr>
        <w:spacing w:after="0" w:line="289" w:lineRule="exact"/>
        <w:rPr>
          <w:sz w:val="20"/>
          <w:szCs w:val="20"/>
          <w:color w:val="auto"/>
        </w:rPr>
      </w:pPr>
    </w:p>
    <w:p>
      <w:pPr>
        <w:spacing w:after="0"/>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3.1</w:t>
        </w:r>
      </w:hyperlink>
    </w:p>
    <w:p>
      <w:pPr>
        <w:spacing w:after="0" w:line="113" w:lineRule="exact"/>
        <w:rPr>
          <w:sz w:val="20"/>
          <w:szCs w:val="20"/>
          <w:color w:val="auto"/>
        </w:rPr>
      </w:pPr>
    </w:p>
    <w:p>
      <w:pPr>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3.2</w:t>
        </w:r>
      </w:hyperlink>
    </w:p>
    <w:p>
      <w:pPr>
        <w:spacing w:after="0" w:line="383" w:lineRule="exact"/>
        <w:rPr>
          <w:sz w:val="20"/>
          <w:szCs w:val="20"/>
          <w:color w:val="auto"/>
        </w:rPr>
      </w:pPr>
    </w:p>
    <w:p>
      <w:pPr>
        <w:spacing w:after="0"/>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4.1</w:t>
        </w:r>
      </w:hyperlink>
    </w:p>
    <w:p>
      <w:pPr>
        <w:spacing w:after="0" w:line="221" w:lineRule="exact"/>
        <w:rPr>
          <w:sz w:val="20"/>
          <w:szCs w:val="20"/>
          <w:color w:val="auto"/>
        </w:rPr>
      </w:pPr>
    </w:p>
    <w:p>
      <w:pPr>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4.2</w:t>
        </w:r>
      </w:hyperlink>
    </w:p>
    <w:p>
      <w:pPr>
        <w:spacing w:after="0" w:line="208" w:lineRule="exact"/>
        <w:rPr>
          <w:sz w:val="20"/>
          <w:szCs w:val="20"/>
          <w:color w:val="auto"/>
        </w:rPr>
      </w:pP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4.3</w:t>
        </w:r>
      </w:hyperlink>
    </w:p>
    <w:p>
      <w:pPr>
        <w:spacing w:after="0" w:line="221" w:lineRule="exact"/>
        <w:rPr>
          <w:sz w:val="20"/>
          <w:szCs w:val="20"/>
          <w:color w:val="auto"/>
        </w:rPr>
      </w:pP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4.4</w:t>
        </w:r>
      </w:hyperlink>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1.INS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.SCH</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.LAB</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46" w:lineRule="auto"/>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Articles of Incorporation of Winnebago Industries, Inc., effective January 1, 2022 (incorporated by reference from Exhibit 3.1 to the</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Registrant’s Current Report on Form 8-K dated January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ind w:right="280"/>
        <w:spacing w:after="0" w:line="246" w:lineRule="auto"/>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Bylaws of Winnebago Industries, Inc., effective August 15, 2023 (incorporated by reference from Exhibit 3.2 to the Registrant’s</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Current Report on Form 8-K dated August 17, 2023).</w:t>
        </w:r>
      </w:hyperlink>
    </w:p>
    <w:p>
      <w:pPr>
        <w:spacing w:after="0" w:line="1" w:lineRule="exact"/>
        <w:rPr>
          <w:sz w:val="20"/>
          <w:szCs w:val="20"/>
          <w:color w:val="auto"/>
        </w:rPr>
      </w:pPr>
    </w:p>
    <w:p>
      <w:pPr>
        <w:ind w:right="60"/>
        <w:spacing w:after="0" w:line="257" w:lineRule="auto"/>
        <w:rPr>
          <w:rFonts w:ascii="Arial" w:cs="Arial" w:eastAsia="Arial" w:hAnsi="Arial"/>
          <w:sz w:val="16"/>
          <w:szCs w:val="16"/>
          <w:u w:val="single" w:color="auto"/>
          <w:color w:val="0000FF"/>
        </w:rPr>
      </w:pPr>
      <w:hyperlink r:id="rId45">
        <w:r>
          <w:rPr>
            <w:rFonts w:ascii="Arial" w:cs="Arial" w:eastAsia="Arial" w:hAnsi="Arial"/>
            <w:sz w:val="16"/>
            <w:szCs w:val="16"/>
            <w:u w:val="single" w:color="auto"/>
            <w:color w:val="0000FF"/>
          </w:rPr>
          <w:t>Indenture, dated as of July 8, 2020, by and among Winnebago Industries, Inc., the guarantors named therein and U.S. Bank</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National Association, as trustee (incorporated by reference from Exhibit 4.1 to the Registrant’s Current Report on Form 8-K dated</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July 8, 2020).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-591185</wp:posOffset>
            </wp:positionH>
            <wp:positionV relativeFrom="paragraph">
              <wp:posOffset>-374015</wp:posOffset>
            </wp:positionV>
            <wp:extent cx="6532245"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532245" cy="377190"/>
                    </a:xfrm>
                    <a:prstGeom prst="rect">
                      <a:avLst/>
                    </a:prstGeom>
                    <a:noFill/>
                  </pic:spPr>
                </pic:pic>
              </a:graphicData>
            </a:graphic>
          </wp:anchor>
        </w:drawing>
      </w:r>
    </w:p>
    <w:p>
      <w:pPr>
        <w:spacing w:after="0" w:line="64"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Form of 6.250% Senior Secured Note due 2028 (included in Exhibit 4.3).</w:t>
        </w:r>
      </w:hyperlink>
    </w:p>
    <w:p>
      <w:pPr>
        <w:spacing w:after="0" w:line="113" w:lineRule="exact"/>
        <w:rPr>
          <w:rFonts w:ascii="Arial" w:cs="Arial" w:eastAsia="Arial" w:hAnsi="Arial"/>
          <w:sz w:val="16"/>
          <w:szCs w:val="16"/>
          <w:u w:val="single" w:color="auto"/>
          <w:color w:val="0000FF"/>
        </w:rPr>
      </w:pPr>
    </w:p>
    <w:p>
      <w:pPr>
        <w:ind w:right="160"/>
        <w:spacing w:after="0" w:line="272" w:lineRule="auto"/>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Indenture, dated January 23, 2024, by and between Winnebago Industries, Inc. and U.S. Bank Trust Company, National</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Association (incorporated by reference from Exhibit 4.1 to the Registrant’s Current Report on Form 8-K dated January 23,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-263525</wp:posOffset>
            </wp:positionV>
            <wp:extent cx="6532245"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532245" cy="265430"/>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Form of 3.250% Convertible Senior Note due 2030 (included in Exhibit 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29210</wp:posOffset>
            </wp:positionV>
            <wp:extent cx="653224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by the Chief Executive Officer pursuant to Section 302 of the Sarbanes-Oxley Act of 2002 (filed herewith)</w:t>
      </w:r>
      <w:r>
        <w:rPr>
          <w:rFonts w:ascii="Arial" w:cs="Arial" w:eastAsia="Arial" w:hAnsi="Arial"/>
          <w:sz w:val="16"/>
          <w:szCs w:val="16"/>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by the Chief Financial Officer pursuant to Section 302 of the Sarbanes-Oxley Act of 2002 (filed herewith).</w:t>
      </w:r>
    </w:p>
    <w:p>
      <w:pPr>
        <w:spacing w:after="0" w:line="113" w:lineRule="exact"/>
        <w:rPr>
          <w:sz w:val="20"/>
          <w:szCs w:val="20"/>
          <w:color w:val="auto"/>
        </w:rPr>
      </w:pPr>
    </w:p>
    <w:p>
      <w:pPr>
        <w:ind w:right="580"/>
        <w:spacing w:after="0" w:line="246" w:lineRule="auto"/>
        <w:rPr>
          <w:sz w:val="20"/>
          <w:szCs w:val="20"/>
          <w:color w:val="auto"/>
        </w:rPr>
      </w:pPr>
      <w:r>
        <w:rPr>
          <w:rFonts w:ascii="Arial" w:cs="Arial" w:eastAsia="Arial" w:hAnsi="Arial"/>
          <w:sz w:val="16"/>
          <w:szCs w:val="16"/>
          <w:u w:val="single" w:color="auto"/>
          <w:color w:val="0000FF"/>
        </w:rPr>
        <w:t>Certification by the Chief Executive Officer pursuant to 18 U.S.C. Section 1350, as adopted pursuant to Section 906 of the Sarbanes-Oxley Act of 2002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ind w:right="640"/>
        <w:spacing w:after="0" w:line="246" w:lineRule="auto"/>
        <w:rPr>
          <w:sz w:val="20"/>
          <w:szCs w:val="20"/>
          <w:color w:val="auto"/>
        </w:rPr>
      </w:pPr>
      <w:r>
        <w:rPr>
          <w:rFonts w:ascii="Arial" w:cs="Arial" w:eastAsia="Arial" w:hAnsi="Arial"/>
          <w:sz w:val="16"/>
          <w:szCs w:val="16"/>
          <w:u w:val="single" w:color="auto"/>
          <w:color w:val="0000FF"/>
        </w:rPr>
        <w:t>Certification by the Chief Financial Officer pursuant to 18 U.S.C. Section 1350, as adopted pursuant to Section 906 of the Sarbanes-Oxley Act of 2002 (furnished herewith).</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-238760</wp:posOffset>
            </wp:positionV>
            <wp:extent cx="653224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Inline XBRL Taxonomy Extension Schema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Calculation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Label Linkbase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53224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Presentation Linkbase Document (furnished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-115570</wp:posOffset>
            </wp:positionV>
            <wp:extent cx="653224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 w:space="640"/>
            <w:col w:w="9300"/>
          </w:cols>
          <w:pgMar w:left="220" w:top="125" w:right="133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5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220" w:top="125" w:right="1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660"/>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WINNEBAGO INDUSTRIES, INC.</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25, 2025</w:t>
            </w: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3"/>
        </w:trPr>
        <w:tc>
          <w:tcPr>
            <w:tcW w:w="5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83"/>
        </w:trPr>
        <w:tc>
          <w:tcPr>
            <w:tcW w:w="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43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40" w:type="dxa"/>
            <w:vAlign w:val="bottom"/>
          </w:tcPr>
          <w:p>
            <w:pPr>
              <w:ind w:left="160"/>
              <w:spacing w:after="0"/>
              <w:rPr>
                <w:sz w:val="20"/>
                <w:szCs w:val="20"/>
                <w:color w:val="auto"/>
              </w:rPr>
            </w:pPr>
            <w:r>
              <w:rPr>
                <w:rFonts w:ascii="Arial" w:cs="Arial" w:eastAsia="Arial" w:hAnsi="Arial"/>
                <w:sz w:val="16"/>
                <w:szCs w:val="16"/>
                <w:color w:val="auto"/>
              </w:rPr>
              <w:t>June 25, 2025</w:t>
            </w:r>
          </w:p>
        </w:tc>
        <w:tc>
          <w:tcPr>
            <w:tcW w:w="7440" w:type="dxa"/>
            <w:vAlign w:val="bottom"/>
            <w:gridSpan w:val="2"/>
          </w:tcPr>
          <w:p>
            <w:pPr>
              <w:ind w:left="17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9"/>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940"/>
          </w:cols>
          <w:pgMar w:left="320" w:top="125" w:right="6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3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25, 2025</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3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660" w:right="300" w:hanging="328"/>
        <w:spacing w:after="0" w:line="275"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660" w:right="20" w:hanging="328"/>
        <w:spacing w:after="0" w:line="266"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660" w:right="820" w:hanging="328"/>
        <w:spacing w:after="0" w:line="286" w:lineRule="auto"/>
        <w:tabs>
          <w:tab w:leader="none" w:pos="65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660" w:hanging="328"/>
        <w:spacing w:after="0" w:line="266"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right="440" w:hanging="332"/>
        <w:spacing w:after="0" w:line="28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6"/>
          <w:szCs w:val="16"/>
          <w:color w:val="auto"/>
        </w:rPr>
      </w:pPr>
    </w:p>
    <w:p>
      <w:pPr>
        <w:ind w:left="660" w:right="60" w:hanging="328"/>
        <w:spacing w:after="0" w:line="286"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6"/>
          <w:szCs w:val="16"/>
          <w:color w:val="auto"/>
        </w:rPr>
      </w:pPr>
    </w:p>
    <w:p>
      <w:pPr>
        <w:ind w:left="660" w:right="360" w:hanging="328"/>
        <w:spacing w:after="0" w:line="304"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840"/>
        <w:spacing w:after="0"/>
        <w:tabs>
          <w:tab w:leader="none" w:pos="1460" w:val="left"/>
          <w:tab w:leader="none" w:pos="6740" w:val="left"/>
        </w:tabs>
        <w:rPr>
          <w:sz w:val="20"/>
          <w:szCs w:val="20"/>
          <w:color w:val="auto"/>
        </w:rPr>
      </w:pPr>
      <w:r>
        <w:rPr>
          <w:rFonts w:ascii="Arial" w:cs="Arial" w:eastAsia="Arial" w:hAnsi="Arial"/>
          <w:sz w:val="16"/>
          <w:szCs w:val="16"/>
          <w:color w:val="auto"/>
        </w:rPr>
        <w:t>Date:</w:t>
        <w:tab/>
        <w:t>June 25, 2025</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20955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160" w:hanging="328"/>
        <w:spacing w:after="0" w:line="28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31, 2025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25, 2025</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700655" cy="8890"/>
                    </a:xfrm>
                    <a:prstGeom prst="rect">
                      <a:avLst/>
                    </a:prstGeom>
                    <a:noFill/>
                  </pic:spPr>
                </pic:pic>
              </a:graphicData>
            </a:graphic>
          </wp:anchor>
        </w:drawing>
      </w:r>
    </w:p>
    <w:p>
      <w:pPr>
        <w:spacing w:after="0" w:line="8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10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6" w:lineRule="exact"/>
        <w:rPr>
          <w:sz w:val="20"/>
          <w:szCs w:val="20"/>
          <w:color w:val="auto"/>
        </w:rPr>
      </w:pPr>
    </w:p>
    <w:p>
      <w:pPr>
        <w:ind w:left="660" w:right="160" w:hanging="328"/>
        <w:spacing w:after="0" w:line="28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May 31, 2025 (the "Report") of the Company,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02" w:lineRule="exact"/>
        <w:rPr>
          <w:sz w:val="20"/>
          <w:szCs w:val="20"/>
          <w:color w:val="auto"/>
        </w:rPr>
      </w:pPr>
    </w:p>
    <w:p>
      <w:pPr>
        <w:ind w:left="300"/>
        <w:spacing w:after="0"/>
        <w:tabs>
          <w:tab w:leader="none" w:pos="1000" w:val="left"/>
          <w:tab w:leader="none" w:pos="6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25, 2025</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20955</wp:posOffset>
            </wp:positionV>
            <wp:extent cx="27774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43" Type="http://schemas.openxmlformats.org/officeDocument/2006/relationships/hyperlink" Target="https://www.sec.gov/Archives/edgar/data/107687/000010768722000004/wgo-mnarticlesreincorporat.htm" TargetMode="External"/><Relationship Id="rId44" Type="http://schemas.openxmlformats.org/officeDocument/2006/relationships/hyperlink" Target="https://www.sec.gov/Archives/edgar/data/107687/000010768723000018/wgo-bylawsxaugust152023xfi.htm" TargetMode="External"/><Relationship Id="rId45" Type="http://schemas.openxmlformats.org/officeDocument/2006/relationships/hyperlink" Target="https://www.sec.gov/Archives/edgar/data/0000107687/000110465920082433/tm2024371d1_ex4-1.htm" TargetMode="External"/><Relationship Id="rId46" Type="http://schemas.openxmlformats.org/officeDocument/2006/relationships/hyperlink" Target="https://www.sec.gov/Archives/edgar/data/107687/000110465920082433/tm2024371d1_ex4-1.htm" TargetMode="External"/><Relationship Id="rId47" Type="http://schemas.openxmlformats.org/officeDocument/2006/relationships/hyperlink" Target="https://www.sec.gov/Archives/edgar/data/107687/000110465924005904/tm2438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2025-06-25T15:17:04Z</dcterms:created>
  <dcterms:modified xsi:type="dcterms:W3CDTF">2025-06-25T15:17:04Z</dcterms:modified>
</cp:coreProperties>
</file>