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Winnebago Industries, Inc. is filing herewith a press release issued on October 13, 2016, as Exhibit 99.1 which is incorporated by reference herein. The press release was issued to report earnings for the fourth quarter and Fiscal 2016 ended August 27, 2016.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13, 2016, as Exhibit 99.1 which is included herein. The press release was issued to report that on October 12, 2016, the Board of Winnebago Industries, Inc. approved a quarterly cash dividend of $0.10 per share of common stock, payable on November 23, 2016 to shareholders of record at the close of business on November 9, 2016.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October 13, 2016.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2620" w:type="dxa"/>
            <w:vAlign w:val="bottom"/>
          </w:tcPr>
          <w:p>
            <w:pPr>
              <w:spacing w:after="0"/>
              <w:rPr>
                <w:sz w:val="20"/>
                <w:szCs w:val="20"/>
                <w:color w:val="auto"/>
              </w:rPr>
            </w:pPr>
            <w:r>
              <w:rPr>
                <w:rFonts w:ascii="Arial" w:cs="Arial" w:eastAsia="Arial" w:hAnsi="Arial"/>
                <w:sz w:val="16"/>
                <w:szCs w:val="16"/>
                <w:color w:val="auto"/>
              </w:rPr>
              <w:t>Date:   October 13, 2016</w:t>
            </w:r>
          </w:p>
        </w:tc>
        <w:tc>
          <w:tcPr>
            <w:tcW w:w="1440" w:type="dxa"/>
            <w:vAlign w:val="bottom"/>
          </w:tcPr>
          <w:p>
            <w:pPr>
              <w:ind w:left="80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37"/>
        </w:trPr>
        <w:tc>
          <w:tcPr>
            <w:tcW w:w="2620" w:type="dxa"/>
            <w:vAlign w:val="bottom"/>
          </w:tcPr>
          <w:p>
            <w:pPr>
              <w:spacing w:after="0"/>
              <w:rPr>
                <w:sz w:val="20"/>
                <w:szCs w:val="20"/>
                <w:color w:val="auto"/>
              </w:rPr>
            </w:pPr>
          </w:p>
        </w:tc>
        <w:tc>
          <w:tcPr>
            <w:tcW w:w="1440" w:type="dxa"/>
            <w:vAlign w:val="bottom"/>
          </w:tcPr>
          <w:p>
            <w:pPr>
              <w:ind w:left="80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620" w:type="dxa"/>
            <w:vAlign w:val="bottom"/>
          </w:tcPr>
          <w:p>
            <w:pPr>
              <w:spacing w:after="0"/>
              <w:rPr>
                <w:sz w:val="23"/>
                <w:szCs w:val="23"/>
                <w:color w:val="auto"/>
              </w:rPr>
            </w:pPr>
          </w:p>
        </w:tc>
        <w:tc>
          <w:tcPr>
            <w:tcW w:w="1440" w:type="dxa"/>
            <w:vAlign w:val="bottom"/>
          </w:tcPr>
          <w:p>
            <w:pPr>
              <w:ind w:left="80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60"/>
          </w:cols>
          <w:pgMar w:left="240" w:top="571" w:right="29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Public Relations Specialist - 641-585-6803 - sjefson@wgo.net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 Don Heidemann - 641-585-6186 - dheidemann@wgo.net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FOURTH QUARTER AND FISCAL 2016 RESULTS</w:t>
      </w:r>
    </w:p>
    <w:p>
      <w:pPr>
        <w:spacing w:after="0" w:line="86" w:lineRule="exact"/>
        <w:rPr>
          <w:sz w:val="20"/>
          <w:szCs w:val="20"/>
          <w:color w:val="auto"/>
        </w:rPr>
      </w:pPr>
    </w:p>
    <w:p>
      <w:pPr>
        <w:ind w:left="2760" w:right="2720" w:hanging="12"/>
        <w:spacing w:after="0" w:line="392" w:lineRule="auto"/>
        <w:rPr>
          <w:sz w:val="20"/>
          <w:szCs w:val="20"/>
          <w:color w:val="auto"/>
        </w:rPr>
      </w:pPr>
      <w:r>
        <w:rPr>
          <w:rFonts w:ascii="Arial" w:cs="Arial" w:eastAsia="Arial" w:hAnsi="Arial"/>
          <w:sz w:val="16"/>
          <w:szCs w:val="16"/>
          <w:b w:val="1"/>
          <w:bCs w:val="1"/>
          <w:color w:val="auto"/>
        </w:rPr>
        <w:t>-- Gross Margins for Fiscal Fourth Quarter and Full Year up 90 Basis Points -- -- Board of Directors Approves Quarterly Cash Dividend of $0.10 Per Share --</w:t>
      </w:r>
    </w:p>
    <w:p>
      <w:pPr>
        <w:spacing w:after="0" w:line="229"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color w:val="auto"/>
        </w:rPr>
        <w:t>FOREST CITY, IOWA, October 13, 2016 - Winnebago Industries, Inc. (NYSE:WGO), a leading United States recreation vehicle manufacturer, today reported financial results for the Company's fourth quarter and full year Fiscal 2016, less than two weeks after announcing it has signed a purchase agreement to acquire Grand Design, a leading Towables RV manufacturer.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2016 Results</w:t>
      </w:r>
    </w:p>
    <w:p>
      <w:pPr>
        <w:spacing w:after="0" w:line="86"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Revenues for the Fiscal 2016 fourth quarter ended August 27, 2016, were $263.3 million, an increase of 4.9%, compared to $251 million for the Fiscal 2015 period. Operating income was $18.9 million for the current quarter, an improvement of 11.7% compared to $16.9 million in the fourth quarter of last year. Fiscal 2016 fourth quarter net income was $13.1 million, or $0.49 per diluted share, an increase of 12.2% compared to $11.7 million, or $0.43 per diluted share, in the same period last year.</w:t>
      </w:r>
    </w:p>
    <w:p>
      <w:pPr>
        <w:spacing w:after="0" w:line="259"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Fourth-quarter Fiscal 2016 consolidated revenues improved year over year due primarily to higher shipments of 3.0% in motorized units and 57.5% in towables. Current quarter revenues were impacted negatively by $5.4 million as the Company exited the sale of aluminum extrusions to customers during the year.</w:t>
      </w:r>
    </w:p>
    <w:p>
      <w:pPr>
        <w:spacing w:after="0" w:line="255" w:lineRule="exact"/>
        <w:rPr>
          <w:sz w:val="20"/>
          <w:szCs w:val="20"/>
          <w:color w:val="auto"/>
        </w:rPr>
      </w:pPr>
    </w:p>
    <w:p>
      <w:pPr>
        <w:ind w:right="260"/>
        <w:spacing w:after="0" w:line="366" w:lineRule="auto"/>
        <w:rPr>
          <w:sz w:val="20"/>
          <w:szCs w:val="20"/>
          <w:color w:val="auto"/>
        </w:rPr>
      </w:pPr>
      <w:r>
        <w:rPr>
          <w:rFonts w:ascii="Arial" w:cs="Arial" w:eastAsia="Arial" w:hAnsi="Arial"/>
          <w:sz w:val="16"/>
          <w:szCs w:val="16"/>
          <w:color w:val="auto"/>
        </w:rPr>
        <w:t>Fourth-quarter gross margin improved year over year, primarily due to lower raw material costs resulting from the Company’s strategic sourcing initiative, as well as favorable product mix and lower warranty expense.</w:t>
      </w:r>
    </w:p>
    <w:p>
      <w:pPr>
        <w:spacing w:after="0" w:line="249"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President and Chief Executive Officer Michael Happe commented, “Fourth-quarter revenues increased year over year, driven by continued strong growth in our towables business as well as modest improvement in motorized shipments. Importantly, income and gross margin also grew, due in part to our comprehensive strategic sourcing initiatives, a solid increase in labor efficiencies and lower warranty expense. Our towables business continues to be one of the primary performance drivers, as shipments and retail registrations both outperform the market, thanks to several new products and increased dealer outlets. The motorized team drove a higher level of manufacturing output while also working hard to deliver more consistent levels of product quality. I want to thank all the employees at Winnebago for their dedication in Fiscal 2016 and commitment to exceeding our customers' expectations in the future."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Fiscal 2016 Results</w:t>
      </w:r>
    </w:p>
    <w:p>
      <w:pPr>
        <w:spacing w:after="0" w:line="86"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Year over year, Fiscal 2016 revenues of $975.2 million decreased 0.1% from $976.5 million for Fiscal 2015. Higher shipments of 2.3% in motorized units and 57.3% in towables was offset by the Company's exit of aluminum extrusion sales to outside customers and lower average selling prices. Operating income was $65.7 million for Fiscal 2016, an improvement of 10.6% compared to $59.4 million in Fiscal 2015. Net income for Fiscal 2016 was $45.5 million, or $1.68 per diluted share, versus $41.2 million, or $1.52 per diluted share, last fiscal year. Gross margin improved year over year, primarily due to lower raw material costs resulting from the Company’s strategic sourcing initiative, as well as favorable product mix, partially offset by higher warranty expense.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799" w:right="259" w:bottom="1440" w:gutter="0" w:footer="0" w:header="0"/>
        </w:sectPr>
      </w:pPr>
    </w:p>
    <w:bookmarkStart w:id="3" w:name="page4"/>
    <w:bookmarkEnd w:id="3"/>
    <w:p>
      <w:pPr>
        <w:ind w:right="160"/>
        <w:spacing w:after="0" w:line="366" w:lineRule="auto"/>
        <w:rPr>
          <w:sz w:val="20"/>
          <w:szCs w:val="20"/>
          <w:color w:val="auto"/>
        </w:rPr>
      </w:pPr>
      <w:r>
        <w:rPr>
          <w:rFonts w:ascii="Arial" w:cs="Arial" w:eastAsia="Arial" w:hAnsi="Arial"/>
          <w:sz w:val="16"/>
          <w:szCs w:val="16"/>
          <w:color w:val="auto"/>
        </w:rPr>
        <w:t>On a year over year basis the towable business experienced substantial increases in retail registrations which were up over 35%. The motorized retail growth rate was essentially flat during Fiscal 2016 compared to Fiscal 2015.</w:t>
      </w:r>
    </w:p>
    <w:p>
      <w:pPr>
        <w:spacing w:after="0" w:line="249" w:lineRule="exact"/>
        <w:rPr>
          <w:sz w:val="20"/>
          <w:szCs w:val="20"/>
          <w:color w:val="auto"/>
        </w:rPr>
      </w:pPr>
    </w:p>
    <w:p>
      <w:pPr>
        <w:ind w:right="100"/>
        <w:spacing w:after="0" w:line="355" w:lineRule="auto"/>
        <w:rPr>
          <w:sz w:val="20"/>
          <w:szCs w:val="20"/>
          <w:color w:val="auto"/>
        </w:rPr>
      </w:pPr>
      <w:r>
        <w:rPr>
          <w:rFonts w:ascii="Arial" w:cs="Arial" w:eastAsia="Arial" w:hAnsi="Arial"/>
          <w:sz w:val="16"/>
          <w:szCs w:val="16"/>
          <w:color w:val="auto"/>
        </w:rPr>
        <w:t>Mr. Happe continued, "We look to Fiscal 2017 as an important year in the evolution of Winnebago. We are just beginning on our journey to drive operational excellence in our manufacturing and supply value chain and instill a stronger performance culture still very much focused on our customers. The Elkhart Open House Event for dealers last month started our Fiscal year on a positive note as we materially improved our motorhome order backlog and validated momentum in the towables business. The excitement was compounded last week as we announced that we have reached a definitive agreement to acquire Grand Design, one of the fastest growing and most profitable manufacturers in our industry. We have much work to do, but the future looks positive.”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jc w:val="both"/>
        <w:ind w:right="300"/>
        <w:spacing w:after="0" w:line="366" w:lineRule="auto"/>
        <w:rPr>
          <w:sz w:val="20"/>
          <w:szCs w:val="20"/>
          <w:color w:val="auto"/>
        </w:rPr>
      </w:pPr>
      <w:r>
        <w:rPr>
          <w:rFonts w:ascii="Arial" w:cs="Arial" w:eastAsia="Arial" w:hAnsi="Arial"/>
          <w:sz w:val="16"/>
          <w:szCs w:val="16"/>
          <w:color w:val="auto"/>
        </w:rPr>
        <w:t>On October 12, 2016, the Company’s board of directors approved a quarterly cash dividend of $0.10 per share payable on November 23, 2016, to common stockholders of record at the close of business on November 9, 2016.</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jc w:val="both"/>
        <w:ind w:right="320"/>
        <w:spacing w:after="0" w:line="359" w:lineRule="auto"/>
        <w:rPr>
          <w:sz w:val="20"/>
          <w:szCs w:val="20"/>
          <w:color w:val="auto"/>
        </w:rPr>
      </w:pPr>
      <w:r>
        <w:rPr>
          <w:rFonts w:ascii="Arial" w:cs="Arial" w:eastAsia="Arial" w:hAnsi="Arial"/>
          <w:sz w:val="16"/>
          <w:szCs w:val="16"/>
          <w:color w:val="auto"/>
        </w:rPr>
        <w:t xml:space="preserve">Winnebago Industries, Inc. will conduct a conference call to discuss fourth quarter and Fiscal 2016 results at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 xml:space="preserve"> The event will be archived and available for replay for the next 90 days.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4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is a leading U.S. manufacturer of recreation vehicles, which are used primarily in leisure travel and outdoor recreation activities. The Company builds quality motor 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http://investor.wgo.net.</w:t>
      </w:r>
    </w:p>
    <w:p>
      <w:pPr>
        <w:spacing w:after="0" w:line="39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consummation of our acquisition of Grand Design including, the possibility that the closing conditions to the contemplated transaction may not be satisfied or waived, including that a governmental entity may prohibit, delay or refuse to grant a necessary regulatory approval; delay in closing the transaction or the possibility of non-consummation of the transaction; the potential for regulatory authorities to require divestitures in connection with the proposed transaction, the failure to consummate the debt transactions contemplated by the transaction with Grand Design, the possibility that we might have to pay a $35 million termination fee to Grand Design or additional damages for failing to close the transaction; the occurrence of any event that could give rise to termination of the agreement; the risk that shareholder litigation in connection with the contemplated transaction may affect the timing or occurrence of the contemplated transaction or result in significant costs of defense, indemnification and liability; risks inherent in the achievement of cost synergies and the timing thereof; risks related to the disruption of the transaction to Winnebago and Grand Design and its management; the effect of announcement of the transaction on Grand Design’s ability to retain and hire key personnel and maintain relationships with customers, suppliers and other third parties, risks related to integration of the two companies and other factors. Additional information concerning certain risks and uncertainties that could cause actual results to</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911" w:right="23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16"/>
          <w:szCs w:val="16"/>
          <w:color w:val="auto"/>
        </w:rPr>
        <w:t>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20"/>
          </w:cols>
          <w:pgMar w:left="240" w:top="68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264"/>
        </w:trPr>
        <w:tc>
          <w:tcPr>
            <w:tcW w:w="4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97"/>
              </w:rPr>
              <w:t>August 27, 2016</w:t>
            </w: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99"/>
              </w:rPr>
              <w:t>August 29, 2015</w:t>
            </w:r>
          </w:p>
        </w:tc>
        <w:tc>
          <w:tcPr>
            <w:tcW w:w="880" w:type="dxa"/>
            <w:vAlign w:val="bottom"/>
            <w:tcBorders>
              <w:bottom w:val="single" w:sz="8" w:color="auto"/>
            </w:tcBorders>
          </w:tcPr>
          <w:p>
            <w:pPr>
              <w:spacing w:after="0"/>
              <w:rPr>
                <w:sz w:val="22"/>
                <w:szCs w:val="22"/>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263,254</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100.0%</w:t>
            </w: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251,049</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4"/>
              </w:rPr>
              <w:t>100.0%</w:t>
            </w: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231,387</w:t>
            </w: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87.9%</w:t>
            </w: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222,996</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88.8%</w:t>
            </w:r>
          </w:p>
        </w:tc>
      </w:tr>
      <w:tr>
        <w:trPr>
          <w:trHeight w:val="25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31,867</w:t>
            </w:r>
          </w:p>
        </w:tc>
        <w:tc>
          <w:tcPr>
            <w:tcW w:w="2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28,053</w:t>
            </w:r>
          </w:p>
        </w:tc>
        <w:tc>
          <w:tcPr>
            <w:tcW w:w="2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11.2%</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5,108</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r>
      <w:tr>
        <w:trPr>
          <w:trHeight w:val="264"/>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7,873</w:t>
            </w: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6,684</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2.7%</w:t>
            </w:r>
          </w:p>
        </w:tc>
      </w:tr>
      <w:tr>
        <w:trPr>
          <w:trHeight w:val="250"/>
        </w:trPr>
        <w:tc>
          <w:tcPr>
            <w:tcW w:w="4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12,981</w:t>
            </w:r>
          </w:p>
        </w:tc>
        <w:tc>
          <w:tcPr>
            <w:tcW w:w="2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11,142</w:t>
            </w:r>
          </w:p>
        </w:tc>
        <w:tc>
          <w:tcPr>
            <w:tcW w:w="2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4.4%</w:t>
            </w: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18,886</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16,911</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6.7%</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19,149</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16,991</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6.8%</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taxes</w:t>
            </w: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6,003</w:t>
            </w:r>
          </w:p>
        </w:tc>
        <w:tc>
          <w:tcPr>
            <w:tcW w:w="2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5,274</w:t>
            </w:r>
          </w:p>
        </w:tc>
        <w:tc>
          <w:tcPr>
            <w:tcW w:w="2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r>
      <w:tr>
        <w:trPr>
          <w:trHeight w:val="29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13,146</w:t>
            </w: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11,717</w:t>
            </w: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4.7%</w:t>
            </w:r>
          </w:p>
        </w:tc>
      </w:tr>
      <w:tr>
        <w:trPr>
          <w:trHeight w:val="251"/>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common share:</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63"/>
        </w:trPr>
        <w:tc>
          <w:tcPr>
            <w:tcW w:w="466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26,896</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26,937</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57"/>
        </w:trPr>
        <w:tc>
          <w:tcPr>
            <w:tcW w:w="46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27,036</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27,056</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August 27, 2016</w:t>
            </w: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9"/>
              </w:rPr>
              <w:t>August 29, 2015</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975,226</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976,505</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862,577</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88.4%</w:t>
            </w:r>
          </w:p>
        </w:tc>
        <w:tc>
          <w:tcPr>
            <w:tcW w:w="4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871,625</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112,649</w:t>
            </w:r>
          </w:p>
        </w:tc>
        <w:tc>
          <w:tcPr>
            <w:tcW w:w="2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104,880</w:t>
            </w:r>
          </w:p>
        </w:tc>
        <w:tc>
          <w:tcPr>
            <w:tcW w:w="2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19,823</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19,161</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27,085</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25,838</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fixed assets</w:t>
            </w:r>
          </w:p>
        </w:tc>
        <w:tc>
          <w:tcPr>
            <w:tcW w:w="360" w:type="dxa"/>
            <w:vAlign w:val="bottom"/>
            <w:shd w:val="clear" w:color="auto" w:fill="CCEEFF"/>
          </w:tcPr>
          <w:p>
            <w:pPr>
              <w:spacing w:after="0"/>
              <w:rPr>
                <w:sz w:val="23"/>
                <w:szCs w:val="23"/>
                <w:color w:val="auto"/>
              </w:rPr>
            </w:pPr>
          </w:p>
        </w:tc>
        <w:tc>
          <w:tcPr>
            <w:tcW w:w="19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46,908</w:t>
            </w:r>
          </w:p>
        </w:tc>
        <w:tc>
          <w:tcPr>
            <w:tcW w:w="2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4.8%</w:t>
            </w:r>
          </w:p>
        </w:tc>
        <w:tc>
          <w:tcPr>
            <w:tcW w:w="44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45,461</w:t>
            </w:r>
          </w:p>
        </w:tc>
        <w:tc>
          <w:tcPr>
            <w:tcW w:w="2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65,741</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59,419</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3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66,198</w:t>
            </w:r>
          </w:p>
        </w:tc>
        <w:tc>
          <w:tcPr>
            <w:tcW w:w="2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44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59,534</w:t>
            </w:r>
          </w:p>
        </w:tc>
        <w:tc>
          <w:tcPr>
            <w:tcW w:w="2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taxes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20,702</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18,324</w:t>
            </w: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45,496</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4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41,210</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26,925</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26,941</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27,033</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27,051</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27,</w:t>
            </w:r>
          </w:p>
        </w:tc>
        <w:tc>
          <w:tcPr>
            <w:tcW w:w="220" w:type="dxa"/>
            <w:vAlign w:val="bottom"/>
          </w:tcPr>
          <w:p>
            <w:pPr>
              <w:spacing w:after="0"/>
              <w:rPr>
                <w:sz w:val="17"/>
                <w:szCs w:val="17"/>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6"/>
        </w:trPr>
        <w:tc>
          <w:tcPr>
            <w:tcW w:w="7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85,583</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70,239</w:t>
            </w:r>
          </w:p>
        </w:tc>
        <w:tc>
          <w:tcPr>
            <w:tcW w:w="0" w:type="dxa"/>
            <w:vAlign w:val="bottom"/>
          </w:tcPr>
          <w:p>
            <w:pPr>
              <w:spacing w:after="0"/>
              <w:rPr>
                <w:sz w:val="1"/>
                <w:szCs w:val="1"/>
                <w:color w:val="auto"/>
              </w:rPr>
            </w:pP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66,184</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66,936</w:t>
            </w:r>
          </w:p>
        </w:tc>
        <w:tc>
          <w:tcPr>
            <w:tcW w:w="0" w:type="dxa"/>
            <w:vAlign w:val="bottom"/>
          </w:tcPr>
          <w:p>
            <w:pPr>
              <w:spacing w:after="0"/>
              <w:rPr>
                <w:sz w:val="1"/>
                <w:szCs w:val="1"/>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122,522</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112,165</w:t>
            </w:r>
          </w:p>
        </w:tc>
        <w:tc>
          <w:tcPr>
            <w:tcW w:w="0" w:type="dxa"/>
            <w:vAlign w:val="bottom"/>
          </w:tcPr>
          <w:p>
            <w:pPr>
              <w:spacing w:after="0"/>
              <w:rPr>
                <w:sz w:val="1"/>
                <w:szCs w:val="1"/>
                <w:color w:val="auto"/>
              </w:rPr>
            </w:pP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6,300</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50"/>
        </w:trPr>
        <w:tc>
          <w:tcPr>
            <w:tcW w:w="78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280,589</w:t>
            </w:r>
          </w:p>
        </w:tc>
        <w:tc>
          <w:tcPr>
            <w:tcW w:w="3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266,217</w:t>
            </w:r>
          </w:p>
        </w:tc>
        <w:tc>
          <w:tcPr>
            <w:tcW w:w="0" w:type="dxa"/>
            <w:vAlign w:val="bottom"/>
          </w:tcPr>
          <w:p>
            <w:pPr>
              <w:spacing w:after="0"/>
              <w:rPr>
                <w:sz w:val="1"/>
                <w:szCs w:val="1"/>
                <w:color w:val="auto"/>
              </w:rPr>
            </w:pP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55,931</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37,250</w:t>
            </w:r>
          </w:p>
        </w:tc>
        <w:tc>
          <w:tcPr>
            <w:tcW w:w="0" w:type="dxa"/>
            <w:vAlign w:val="bottom"/>
          </w:tcPr>
          <w:p>
            <w:pPr>
              <w:spacing w:after="0"/>
              <w:rPr>
                <w:sz w:val="1"/>
                <w:szCs w:val="1"/>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Investment in life insurance</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26,492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26,172</w:t>
            </w:r>
          </w:p>
        </w:tc>
        <w:tc>
          <w:tcPr>
            <w:tcW w:w="0" w:type="dxa"/>
            <w:vAlign w:val="bottom"/>
          </w:tcPr>
          <w:p>
            <w:pPr>
              <w:spacing w:after="0"/>
              <w:rPr>
                <w:sz w:val="1"/>
                <w:szCs w:val="1"/>
                <w:color w:val="auto"/>
              </w:rPr>
            </w:pP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18,753</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21,994</w:t>
            </w:r>
          </w:p>
        </w:tc>
        <w:tc>
          <w:tcPr>
            <w:tcW w:w="0" w:type="dxa"/>
            <w:vAlign w:val="bottom"/>
          </w:tcPr>
          <w:p>
            <w:pPr>
              <w:spacing w:after="0"/>
              <w:rPr>
                <w:sz w:val="1"/>
                <w:szCs w:val="1"/>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7,725</w:t>
            </w:r>
          </w:p>
        </w:tc>
        <w:tc>
          <w:tcPr>
            <w:tcW w:w="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97"/>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390,718</w:t>
            </w: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362,174</w:t>
            </w:r>
          </w:p>
        </w:tc>
        <w:tc>
          <w:tcPr>
            <w:tcW w:w="0" w:type="dxa"/>
            <w:vAlign w:val="bottom"/>
          </w:tcPr>
          <w:p>
            <w:pPr>
              <w:spacing w:after="0"/>
              <w:rPr>
                <w:sz w:val="1"/>
                <w:szCs w:val="1"/>
                <w:color w:val="auto"/>
              </w:rPr>
            </w:pPr>
          </w:p>
        </w:tc>
      </w:tr>
      <w:tr>
        <w:trPr>
          <w:trHeight w:val="251"/>
        </w:trPr>
        <w:tc>
          <w:tcPr>
            <w:tcW w:w="7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44,134</w:t>
            </w:r>
          </w:p>
        </w:tc>
        <w:tc>
          <w:tcPr>
            <w:tcW w:w="3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33,158</w:t>
            </w:r>
          </w:p>
        </w:tc>
        <w:tc>
          <w:tcPr>
            <w:tcW w:w="0" w:type="dxa"/>
            <w:vAlign w:val="bottom"/>
          </w:tcPr>
          <w:p>
            <w:pPr>
              <w:spacing w:after="0"/>
              <w:rPr>
                <w:sz w:val="1"/>
                <w:szCs w:val="1"/>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48,796</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46,138</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92,949</w:t>
            </w:r>
          </w:p>
        </w:tc>
        <w:tc>
          <w:tcPr>
            <w:tcW w:w="3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81,610</w:t>
            </w:r>
          </w:p>
        </w:tc>
        <w:tc>
          <w:tcPr>
            <w:tcW w:w="0" w:type="dxa"/>
            <w:vAlign w:val="bottom"/>
          </w:tcPr>
          <w:p>
            <w:pPr>
              <w:spacing w:after="0"/>
              <w:rPr>
                <w:sz w:val="1"/>
                <w:szCs w:val="1"/>
                <w:color w:val="auto"/>
              </w:rPr>
            </w:pP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2,461</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57,090</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29,410</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59,601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268,359</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220,963</w:t>
            </w: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390,718</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362,174</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80"/>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7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rPr>
              <w:t>Year Ended</w:t>
            </w:r>
          </w:p>
        </w:tc>
      </w:tr>
      <w:tr>
        <w:trPr>
          <w:trHeight w:val="198"/>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w:t>
            </w:r>
          </w:p>
        </w:tc>
        <w:tc>
          <w:tcPr>
            <w:tcW w:w="300" w:type="dxa"/>
            <w:vAlign w:val="bottom"/>
          </w:tcPr>
          <w:p>
            <w:pPr>
              <w:spacing w:after="0"/>
              <w:rPr>
                <w:sz w:val="17"/>
                <w:szCs w:val="17"/>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8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45,496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41,210</w:t>
            </w:r>
          </w:p>
        </w:tc>
      </w:tr>
      <w:tr>
        <w:trPr>
          <w:trHeight w:val="28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5,745</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4,513</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1,153</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1,244</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(4,292)</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(843)</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3,293</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3,097</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462</w:t>
            </w:r>
          </w:p>
        </w:tc>
      </w:tr>
      <w:tr>
        <w:trPr>
          <w:trHeight w:val="253"/>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Provision (benefit) for doubtful accounts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2,233</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215</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r>
      <w:tr>
        <w:trPr>
          <w:trHeight w:val="233"/>
        </w:trPr>
        <w:tc>
          <w:tcPr>
            <w:tcW w:w="8260" w:type="dxa"/>
            <w:vAlign w:val="bottom"/>
          </w:tcPr>
          <w:p>
            <w:pPr>
              <w:ind w:left="26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(883)</w:t>
            </w:r>
          </w:p>
        </w:tc>
      </w:tr>
      <w:tr>
        <w:trPr>
          <w:trHeight w:val="253"/>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(gain) on disposal of property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r>
        <w:trPr>
          <w:trHeight w:val="260"/>
        </w:trPr>
        <w:tc>
          <w:tcPr>
            <w:tcW w:w="826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(11,510)</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(561)</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1,217</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2,458</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r>
      <w:tr>
        <w:trPr>
          <w:trHeight w:val="233"/>
        </w:trPr>
        <w:tc>
          <w:tcPr>
            <w:tcW w:w="8260" w:type="dxa"/>
            <w:vAlign w:val="bottom"/>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408</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14,253</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(1,880)</w:t>
            </w:r>
          </w:p>
        </w:tc>
      </w:tr>
      <w:tr>
        <w:trPr>
          <w:trHeight w:val="237"/>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(3,992)</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(4,159)</w:t>
            </w:r>
          </w:p>
        </w:tc>
      </w:tr>
      <w:tr>
        <w:trPr>
          <w:trHeight w:val="237"/>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52,746</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45,183</w:t>
            </w:r>
          </w:p>
        </w:tc>
      </w:tr>
      <w:tr>
        <w:trPr>
          <w:trHeight w:val="284"/>
        </w:trPr>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Proceeds from life insurance</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1,093</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43</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(24,551)</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(16,573)</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65</w:t>
            </w:r>
          </w:p>
        </w:tc>
      </w:tr>
      <w:tr>
        <w:trPr>
          <w:trHeight w:val="246"/>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r>
      <w:tr>
        <w:trPr>
          <w:trHeight w:val="23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(23,392)</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(16,517)</w:t>
            </w:r>
          </w:p>
        </w:tc>
      </w:tr>
      <w:tr>
        <w:trPr>
          <w:trHeight w:val="284"/>
        </w:trPr>
        <w:tc>
          <w:tcPr>
            <w:tcW w:w="8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826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(3,066)</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(6,519)</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Payments of cash dividends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(10,891)</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(9,765)</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 on loans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22,000</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Repayments on loans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(22,000)</w:t>
            </w:r>
          </w:p>
        </w:tc>
      </w:tr>
      <w:tr>
        <w:trPr>
          <w:trHeight w:val="246"/>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w:t>
            </w:r>
          </w:p>
        </w:tc>
      </w:tr>
      <w:tr>
        <w:trPr>
          <w:trHeight w:val="23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(14,010)</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(16,231)</w:t>
            </w:r>
          </w:p>
        </w:tc>
      </w:tr>
      <w:tr>
        <w:trPr>
          <w:trHeight w:val="284"/>
        </w:trPr>
        <w:tc>
          <w:tcPr>
            <w:tcW w:w="8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826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15,344</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12,435</w:t>
            </w:r>
          </w:p>
        </w:tc>
      </w:tr>
      <w:tr>
        <w:trPr>
          <w:trHeight w:val="246"/>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70,239</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57,804</w:t>
            </w:r>
          </w:p>
        </w:tc>
      </w:tr>
      <w:tr>
        <w:trPr>
          <w:trHeight w:val="280"/>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85,583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70,239</w:t>
            </w:r>
          </w:p>
        </w:tc>
      </w:tr>
      <w:tr>
        <w:trPr>
          <w:trHeight w:val="267"/>
        </w:trPr>
        <w:tc>
          <w:tcPr>
            <w:tcW w:w="8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826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18,449</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17,658</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w:t>
            </w:r>
          </w:p>
        </w:tc>
      </w:tr>
      <w:tr>
        <w:trPr>
          <w:trHeight w:val="28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4"/>
        </w:trPr>
        <w:tc>
          <w:tcPr>
            <w:tcW w:w="8260" w:type="dxa"/>
            <w:vAlign w:val="bottom"/>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903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8"/>
                <w:szCs w:val="18"/>
                <w:b w:val="1"/>
                <w:bCs w:val="1"/>
                <w:color w:val="auto"/>
              </w:rPr>
              <w:t>Quarter Ended</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21"/>
                <w:szCs w:val="21"/>
                <w:color w:val="auto"/>
              </w:rPr>
            </w:pPr>
          </w:p>
        </w:tc>
      </w:tr>
      <w:tr>
        <w:trPr>
          <w:trHeight w:val="198"/>
        </w:trPr>
        <w:tc>
          <w:tcPr>
            <w:tcW w:w="318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27,</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29,</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740" w:type="dxa"/>
            <w:vAlign w:val="bottom"/>
          </w:tcPr>
          <w:p>
            <w:pPr>
              <w:spacing w:after="0"/>
              <w:rPr>
                <w:sz w:val="17"/>
                <w:szCs w:val="17"/>
                <w:color w:val="auto"/>
              </w:rPr>
            </w:pPr>
          </w:p>
        </w:tc>
        <w:tc>
          <w:tcPr>
            <w:tcW w:w="1000" w:type="dxa"/>
            <w:vAlign w:val="bottom"/>
          </w:tcPr>
          <w:p>
            <w:pPr>
              <w:jc w:val="center"/>
              <w:ind w:right="29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2016</w:t>
            </w:r>
          </w:p>
        </w:tc>
        <w:tc>
          <w:tcPr>
            <w:tcW w:w="140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40" w:type="dxa"/>
            <w:vAlign w:val="bottom"/>
          </w:tcPr>
          <w:p>
            <w:pPr>
              <w:jc w:val="right"/>
              <w:ind w:right="778"/>
              <w:spacing w:after="0"/>
              <w:rPr>
                <w:sz w:val="20"/>
                <w:szCs w:val="20"/>
                <w:color w:val="auto"/>
              </w:rPr>
            </w:pPr>
            <w:r>
              <w:rPr>
                <w:rFonts w:ascii="Arial" w:cs="Arial" w:eastAsia="Arial" w:hAnsi="Arial"/>
                <w:sz w:val="16"/>
                <w:szCs w:val="16"/>
                <w:b w:val="1"/>
                <w:bCs w:val="1"/>
                <w:color w:val="auto"/>
              </w:rPr>
              <w:t>Units</w:t>
            </w:r>
          </w:p>
        </w:tc>
        <w:tc>
          <w:tcPr>
            <w:tcW w:w="1000" w:type="dxa"/>
            <w:vAlign w:val="bottom"/>
          </w:tcPr>
          <w:p>
            <w:pPr>
              <w:jc w:val="center"/>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684</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28.1%</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819</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jc w:val="right"/>
              <w:ind w:right="578"/>
              <w:spacing w:after="0"/>
              <w:rPr>
                <w:sz w:val="20"/>
                <w:szCs w:val="20"/>
                <w:color w:val="auto"/>
              </w:rPr>
            </w:pPr>
            <w:r>
              <w:rPr>
                <w:rFonts w:ascii="Arial" w:cs="Arial" w:eastAsia="Arial" w:hAnsi="Arial"/>
                <w:sz w:val="16"/>
                <w:szCs w:val="16"/>
                <w:color w:val="auto"/>
              </w:rPr>
              <w:t>(135)</w:t>
            </w:r>
          </w:p>
        </w:tc>
        <w:tc>
          <w:tcPr>
            <w:tcW w:w="10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w:t>
            </w: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Class B</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408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256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1740" w:type="dxa"/>
            <w:vAlign w:val="bottom"/>
          </w:tcPr>
          <w:p>
            <w:pPr>
              <w:jc w:val="right"/>
              <w:ind w:right="638"/>
              <w:spacing w:after="0"/>
              <w:rPr>
                <w:sz w:val="20"/>
                <w:szCs w:val="20"/>
                <w:color w:val="auto"/>
              </w:rPr>
            </w:pPr>
            <w:r>
              <w:rPr>
                <w:rFonts w:ascii="Arial" w:cs="Arial" w:eastAsia="Arial" w:hAnsi="Arial"/>
                <w:sz w:val="16"/>
                <w:szCs w:val="16"/>
                <w:color w:val="auto"/>
              </w:rPr>
              <w:t>152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59.4 %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1,344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1,291</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6"/>
                <w:szCs w:val="16"/>
                <w:color w:val="auto"/>
              </w:rPr>
              <w:t>53</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4.1 %</w:t>
            </w:r>
          </w:p>
        </w:tc>
      </w:tr>
      <w:tr>
        <w:trPr>
          <w:trHeight w:val="280"/>
        </w:trPr>
        <w:tc>
          <w:tcPr>
            <w:tcW w:w="31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2,436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2,366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color w:val="auto"/>
              </w:rPr>
              <w:t>70</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3.0 %</w:t>
            </w:r>
          </w:p>
        </w:tc>
      </w:tr>
      <w:tr>
        <w:trPr>
          <w:trHeight w:val="146"/>
        </w:trPr>
        <w:tc>
          <w:tcPr>
            <w:tcW w:w="3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1,051</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22"/>
                <w:szCs w:val="22"/>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615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2"/>
                <w:szCs w:val="22"/>
                <w:color w:val="auto"/>
              </w:rPr>
            </w:pPr>
          </w:p>
        </w:tc>
        <w:tc>
          <w:tcPr>
            <w:tcW w:w="1740" w:type="dxa"/>
            <w:vAlign w:val="bottom"/>
          </w:tcPr>
          <w:p>
            <w:pPr>
              <w:jc w:val="right"/>
              <w:ind w:right="638"/>
              <w:spacing w:after="0"/>
              <w:rPr>
                <w:sz w:val="20"/>
                <w:szCs w:val="20"/>
                <w:color w:val="auto"/>
              </w:rPr>
            </w:pPr>
            <w:r>
              <w:rPr>
                <w:rFonts w:ascii="Arial" w:cs="Arial" w:eastAsia="Arial" w:hAnsi="Arial"/>
                <w:sz w:val="16"/>
                <w:szCs w:val="16"/>
                <w:color w:val="auto"/>
              </w:rPr>
              <w:t>436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70.9 %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173</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6"/>
                <w:szCs w:val="16"/>
                <w:color w:val="auto"/>
              </w:rPr>
              <w:t>11</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6.8 %</w:t>
            </w:r>
          </w:p>
        </w:tc>
      </w:tr>
      <w:tr>
        <w:trPr>
          <w:trHeight w:val="240"/>
        </w:trPr>
        <w:tc>
          <w:tcPr>
            <w:tcW w:w="318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1,224</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777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color w:val="auto"/>
              </w:rPr>
              <w:t>447</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57.5 %</w:t>
            </w:r>
          </w:p>
        </w:tc>
      </w:tr>
      <w:tr>
        <w:trPr>
          <w:trHeight w:val="20"/>
        </w:trPr>
        <w:tc>
          <w:tcPr>
            <w:tcW w:w="3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09"/>
        </w:trPr>
        <w:tc>
          <w:tcPr>
            <w:tcW w:w="31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Year Ended</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198"/>
        </w:trPr>
        <w:tc>
          <w:tcPr>
            <w:tcW w:w="318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27,</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29,</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740" w:type="dxa"/>
            <w:vAlign w:val="bottom"/>
          </w:tcPr>
          <w:p>
            <w:pPr>
              <w:spacing w:after="0"/>
              <w:rPr>
                <w:sz w:val="17"/>
                <w:szCs w:val="17"/>
                <w:color w:val="auto"/>
              </w:rPr>
            </w:pPr>
          </w:p>
        </w:tc>
        <w:tc>
          <w:tcPr>
            <w:tcW w:w="1000" w:type="dxa"/>
            <w:vAlign w:val="bottom"/>
          </w:tcPr>
          <w:p>
            <w:pPr>
              <w:jc w:val="center"/>
              <w:ind w:right="29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2016</w:t>
            </w:r>
          </w:p>
        </w:tc>
        <w:tc>
          <w:tcPr>
            <w:tcW w:w="140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40" w:type="dxa"/>
            <w:vAlign w:val="bottom"/>
          </w:tcPr>
          <w:p>
            <w:pPr>
              <w:jc w:val="right"/>
              <w:ind w:right="778"/>
              <w:spacing w:after="0"/>
              <w:rPr>
                <w:sz w:val="20"/>
                <w:szCs w:val="20"/>
                <w:color w:val="auto"/>
              </w:rPr>
            </w:pPr>
            <w:r>
              <w:rPr>
                <w:rFonts w:ascii="Arial" w:cs="Arial" w:eastAsia="Arial" w:hAnsi="Arial"/>
                <w:sz w:val="16"/>
                <w:szCs w:val="16"/>
                <w:b w:val="1"/>
                <w:bCs w:val="1"/>
                <w:color w:val="auto"/>
              </w:rPr>
              <w:t>Units</w:t>
            </w:r>
          </w:p>
        </w:tc>
        <w:tc>
          <w:tcPr>
            <w:tcW w:w="1000" w:type="dxa"/>
            <w:vAlign w:val="bottom"/>
          </w:tcPr>
          <w:p>
            <w:pPr>
              <w:jc w:val="center"/>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2,925</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3,442</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37.8%</w:t>
            </w:r>
          </w:p>
        </w:tc>
        <w:tc>
          <w:tcPr>
            <w:tcW w:w="10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jc w:val="right"/>
              <w:ind w:right="578"/>
              <w:spacing w:after="0"/>
              <w:rPr>
                <w:sz w:val="20"/>
                <w:szCs w:val="20"/>
                <w:color w:val="auto"/>
              </w:rPr>
            </w:pPr>
            <w:r>
              <w:rPr>
                <w:rFonts w:ascii="Arial" w:cs="Arial" w:eastAsia="Arial" w:hAnsi="Arial"/>
                <w:sz w:val="16"/>
                <w:szCs w:val="16"/>
                <w:color w:val="auto"/>
              </w:rPr>
              <w:t>(517)</w:t>
            </w:r>
          </w:p>
        </w:tc>
        <w:tc>
          <w:tcPr>
            <w:tcW w:w="10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(15.0)%</w:t>
            </w: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Class B</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1,239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991</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1740" w:type="dxa"/>
            <w:vAlign w:val="bottom"/>
          </w:tcPr>
          <w:p>
            <w:pPr>
              <w:jc w:val="right"/>
              <w:ind w:right="638"/>
              <w:spacing w:after="0"/>
              <w:rPr>
                <w:sz w:val="20"/>
                <w:szCs w:val="20"/>
                <w:color w:val="auto"/>
              </w:rPr>
            </w:pPr>
            <w:r>
              <w:rPr>
                <w:rFonts w:ascii="Arial" w:cs="Arial" w:eastAsia="Arial" w:hAnsi="Arial"/>
                <w:sz w:val="16"/>
                <w:szCs w:val="16"/>
                <w:color w:val="auto"/>
              </w:rPr>
              <w:t>248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25.0 %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5,143</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4,664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6"/>
                <w:szCs w:val="16"/>
                <w:color w:val="auto"/>
              </w:rPr>
              <w:t>479</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10.3 %</w:t>
            </w:r>
          </w:p>
        </w:tc>
      </w:tr>
      <w:tr>
        <w:trPr>
          <w:trHeight w:val="280"/>
        </w:trPr>
        <w:tc>
          <w:tcPr>
            <w:tcW w:w="31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9,307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9,097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color w:val="auto"/>
              </w:rPr>
              <w:t>210</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r>
      <w:tr>
        <w:trPr>
          <w:trHeight w:val="146"/>
        </w:trPr>
        <w:tc>
          <w:tcPr>
            <w:tcW w:w="3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60"/>
        </w:trPr>
        <w:tc>
          <w:tcPr>
            <w:tcW w:w="31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3,613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22"/>
                <w:szCs w:val="22"/>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2,182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2"/>
                <w:szCs w:val="22"/>
                <w:color w:val="auto"/>
              </w:rPr>
            </w:pPr>
          </w:p>
        </w:tc>
        <w:tc>
          <w:tcPr>
            <w:tcW w:w="1740" w:type="dxa"/>
            <w:vAlign w:val="bottom"/>
          </w:tcPr>
          <w:p>
            <w:pPr>
              <w:jc w:val="right"/>
              <w:ind w:right="638"/>
              <w:spacing w:after="0"/>
              <w:rPr>
                <w:sz w:val="20"/>
                <w:szCs w:val="20"/>
                <w:color w:val="auto"/>
              </w:rPr>
            </w:pPr>
            <w:r>
              <w:rPr>
                <w:rFonts w:ascii="Arial" w:cs="Arial" w:eastAsia="Arial" w:hAnsi="Arial"/>
                <w:sz w:val="16"/>
                <w:szCs w:val="16"/>
                <w:color w:val="auto"/>
              </w:rPr>
              <w:t>1,431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65.6 %</w:t>
            </w:r>
          </w:p>
        </w:tc>
      </w:tr>
      <w:tr>
        <w:trPr>
          <w:trHeight w:val="273"/>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586</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6"/>
                <w:szCs w:val="16"/>
                <w:color w:val="auto"/>
              </w:rPr>
              <w:t>98</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20.1 %</w:t>
            </w:r>
          </w:p>
        </w:tc>
      </w:tr>
      <w:tr>
        <w:trPr>
          <w:trHeight w:val="237"/>
        </w:trPr>
        <w:tc>
          <w:tcPr>
            <w:tcW w:w="3180" w:type="dxa"/>
            <w:vAlign w:val="bottom"/>
          </w:tcPr>
          <w:p>
            <w:pPr>
              <w:ind w:left="280"/>
              <w:spacing w:after="0"/>
              <w:rPr>
                <w:sz w:val="20"/>
                <w:szCs w:val="20"/>
                <w:color w:val="auto"/>
              </w:rPr>
            </w:pPr>
            <w:r>
              <w:rPr>
                <w:rFonts w:ascii="Arial" w:cs="Arial" w:eastAsia="Arial" w:hAnsi="Arial"/>
                <w:sz w:val="16"/>
                <w:szCs w:val="16"/>
                <w:color w:val="auto"/>
              </w:rPr>
              <w:t>Total towables</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4,199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2,670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740" w:type="dxa"/>
            <w:vAlign w:val="bottom"/>
          </w:tcPr>
          <w:p>
            <w:pPr>
              <w:jc w:val="right"/>
              <w:ind w:right="638"/>
              <w:spacing w:after="0"/>
              <w:rPr>
                <w:sz w:val="20"/>
                <w:szCs w:val="20"/>
                <w:color w:val="auto"/>
              </w:rPr>
            </w:pPr>
            <w:r>
              <w:rPr>
                <w:rFonts w:ascii="Arial" w:cs="Arial" w:eastAsia="Arial" w:hAnsi="Arial"/>
                <w:sz w:val="16"/>
                <w:szCs w:val="16"/>
                <w:color w:val="auto"/>
              </w:rPr>
              <w:t>1,529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3810</wp:posOffset>
            </wp:positionV>
            <wp:extent cx="52311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1130" cy="26035"/>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r>
        <w:rPr>
          <w:rFonts w:ascii="Arial" w:cs="Arial" w:eastAsia="Arial" w:hAnsi="Arial"/>
          <w:sz w:val="21"/>
          <w:szCs w:val="21"/>
          <w:b w:val="1"/>
          <w:bCs w:val="1"/>
          <w:color w:val="auto"/>
          <w:vertAlign w:val="superscript"/>
        </w:rPr>
        <w:t>(1)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98"/>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27,</w:t>
            </w:r>
          </w:p>
        </w:tc>
        <w:tc>
          <w:tcPr>
            <w:tcW w:w="2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August 29,</w:t>
            </w: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8"/>
        </w:trPr>
        <w:tc>
          <w:tcPr>
            <w:tcW w:w="5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(615)</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(35.1)%</w:t>
            </w: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color w:val="auto"/>
              </w:rPr>
              <w:t>Towables</w:t>
            </w:r>
          </w:p>
        </w:tc>
        <w:tc>
          <w:tcPr>
            <w:tcW w:w="16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759"/>
              <w:spacing w:after="0"/>
              <w:rPr>
                <w:sz w:val="20"/>
                <w:szCs w:val="20"/>
                <w:color w:val="auto"/>
              </w:rPr>
            </w:pPr>
            <w:r>
              <w:rPr>
                <w:rFonts w:ascii="Arial" w:cs="Arial" w:eastAsia="Arial" w:hAnsi="Arial"/>
                <w:sz w:val="16"/>
                <w:szCs w:val="16"/>
                <w:color w:val="auto"/>
              </w:rPr>
              <w:t>244</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98.4 %</w:t>
            </w:r>
          </w:p>
        </w:tc>
      </w:tr>
      <w:tr>
        <w:trPr>
          <w:trHeight w:val="280"/>
        </w:trPr>
        <w:tc>
          <w:tcPr>
            <w:tcW w:w="5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Approximate backlog revenue dollars (in 000's):</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107,621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156,353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(48,732)</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color w:val="auto"/>
              </w:rPr>
              <w:t>Towables</w:t>
            </w:r>
          </w:p>
        </w:tc>
        <w:tc>
          <w:tcPr>
            <w:tcW w:w="16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ind w:right="759"/>
              <w:spacing w:after="0"/>
              <w:rPr>
                <w:sz w:val="20"/>
                <w:szCs w:val="20"/>
                <w:color w:val="auto"/>
              </w:rPr>
            </w:pPr>
            <w:r>
              <w:rPr>
                <w:rFonts w:ascii="Arial" w:cs="Arial" w:eastAsia="Arial" w:hAnsi="Arial"/>
                <w:sz w:val="16"/>
                <w:szCs w:val="16"/>
                <w:color w:val="auto"/>
              </w:rPr>
              <w:t>2,249</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36.4 %</w:t>
            </w:r>
          </w:p>
        </w:tc>
      </w:tr>
    </w:tbl>
    <w:p>
      <w:pPr>
        <w:spacing w:after="0" w:line="24" w:lineRule="exact"/>
        <w:rPr>
          <w:sz w:val="20"/>
          <w:szCs w:val="20"/>
          <w:color w:val="auto"/>
        </w:rPr>
      </w:pPr>
    </w:p>
    <w:p>
      <w:pPr>
        <w:ind w:left="340" w:right="120" w:hanging="332"/>
        <w:spacing w:after="0" w:line="218"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06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6"/>
                <w:szCs w:val="16"/>
                <w:b w:val="1"/>
                <w:bCs w:val="1"/>
                <w:color w:val="auto"/>
              </w:rPr>
              <w:t>Units As Of</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8"/>
        </w:trPr>
        <w:tc>
          <w:tcPr>
            <w:tcW w:w="33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80" w:type="dxa"/>
            <w:vAlign w:val="bottom"/>
            <w:gridSpan w:val="2"/>
          </w:tcPr>
          <w:p>
            <w:pPr>
              <w:ind w:left="300"/>
              <w:spacing w:after="0"/>
              <w:rPr>
                <w:sz w:val="20"/>
                <w:szCs w:val="20"/>
                <w:color w:val="auto"/>
              </w:rPr>
            </w:pPr>
            <w:r>
              <w:rPr>
                <w:rFonts w:ascii="Arial" w:cs="Arial" w:eastAsia="Arial" w:hAnsi="Arial"/>
                <w:sz w:val="16"/>
                <w:szCs w:val="16"/>
                <w:b w:val="1"/>
                <w:bCs w:val="1"/>
                <w:color w:val="auto"/>
              </w:rPr>
              <w:t>August 27,</w:t>
            </w:r>
          </w:p>
        </w:tc>
        <w:tc>
          <w:tcPr>
            <w:tcW w:w="1580" w:type="dxa"/>
            <w:vAlign w:val="bottom"/>
            <w:gridSpan w:val="2"/>
          </w:tcPr>
          <w:p>
            <w:pPr>
              <w:ind w:left="300"/>
              <w:spacing w:after="0"/>
              <w:rPr>
                <w:sz w:val="20"/>
                <w:szCs w:val="20"/>
                <w:color w:val="auto"/>
              </w:rPr>
            </w:pPr>
            <w:r>
              <w:rPr>
                <w:rFonts w:ascii="Arial" w:cs="Arial" w:eastAsia="Arial" w:hAnsi="Arial"/>
                <w:sz w:val="16"/>
                <w:szCs w:val="16"/>
                <w:b w:val="1"/>
                <w:bCs w:val="1"/>
                <w:color w:val="auto"/>
              </w:rPr>
              <w:t>August 29,</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330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57"/>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41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4,345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273</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r>
      <w:tr>
        <w:trPr>
          <w:trHeight w:val="251"/>
        </w:trPr>
        <w:tc>
          <w:tcPr>
            <w:tcW w:w="3300" w:type="dxa"/>
            <w:vAlign w:val="bottom"/>
          </w:tcPr>
          <w:p>
            <w:pPr>
              <w:ind w:left="40"/>
              <w:spacing w:after="0"/>
              <w:rPr>
                <w:sz w:val="20"/>
                <w:szCs w:val="20"/>
                <w:color w:val="auto"/>
              </w:rPr>
            </w:pPr>
            <w:r>
              <w:rPr>
                <w:rFonts w:ascii="Arial" w:cs="Arial" w:eastAsia="Arial" w:hAnsi="Arial"/>
                <w:sz w:val="16"/>
                <w:szCs w:val="16"/>
                <w:color w:val="auto"/>
              </w:rPr>
              <w:t>Towables</w:t>
            </w:r>
          </w:p>
        </w:tc>
        <w:tc>
          <w:tcPr>
            <w:tcW w:w="4100" w:type="dxa"/>
            <w:vAlign w:val="bottom"/>
            <w:gridSpan w:val="2"/>
          </w:tcPr>
          <w:p>
            <w:pPr>
              <w:jc w:val="right"/>
              <w:ind w:right="39"/>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21"/>
                <w:szCs w:val="21"/>
                <w:color w:val="auto"/>
              </w:rPr>
            </w:pP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493</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29.6%</w:t>
            </w:r>
          </w:p>
        </w:tc>
      </w:tr>
      <w:tr>
        <w:trPr>
          <w:trHeight w:val="440"/>
        </w:trPr>
        <w:tc>
          <w:tcPr>
            <w:tcW w:w="3300" w:type="dxa"/>
            <w:vAlign w:val="bottom"/>
          </w:tcPr>
          <w:p>
            <w:pPr>
              <w:spacing w:after="0"/>
              <w:rPr>
                <w:sz w:val="24"/>
                <w:szCs w:val="24"/>
                <w:color w:val="auto"/>
              </w:rPr>
            </w:pPr>
          </w:p>
        </w:tc>
        <w:tc>
          <w:tcPr>
            <w:tcW w:w="2620" w:type="dxa"/>
            <w:vAlign w:val="bottom"/>
          </w:tcPr>
          <w:p>
            <w:pPr>
              <w:jc w:val="right"/>
              <w:ind w:right="81"/>
              <w:spacing w:after="0"/>
              <w:rPr>
                <w:sz w:val="20"/>
                <w:szCs w:val="20"/>
                <w:color w:val="auto"/>
              </w:rPr>
            </w:pPr>
            <w:r>
              <w:rPr>
                <w:rFonts w:ascii="Arial" w:cs="Arial" w:eastAsia="Arial" w:hAnsi="Arial"/>
                <w:sz w:val="14"/>
                <w:szCs w:val="14"/>
                <w:color w:val="auto"/>
              </w:rPr>
              <w:t>7</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2019-12-05T12:38:28Z</dcterms:created>
  <dcterms:modified xsi:type="dcterms:W3CDTF">2019-12-05T12:38:28Z</dcterms:modified>
</cp:coreProperties>
</file>