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31, 2013;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36195</wp:posOffset>
            </wp:positionV>
            <wp:extent cx="196405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268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6"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86"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1840" w:val="left"/>
          <w:tab w:leader="none" w:pos="3320" w:val="left"/>
          <w:tab w:leader="none" w:pos="514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Accelerated Filer </w:t>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 xml:space="preserve">Non-accelerated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Smaller Reporting Company </w:t>
      </w:r>
      <w:r>
        <w:rPr>
          <w:rFonts w:ascii="Arial" w:cs="Arial" w:eastAsia="Arial" w:hAnsi="Arial"/>
          <w:sz w:val="16"/>
          <w:szCs w:val="16"/>
          <w:color w:val="auto"/>
        </w:rPr>
        <w:t>o</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$539,981,520 (27,705,568 shares at the closing price on the New York Stock Exchange of $19.49 on March 1, 2013).</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15, 2013: 27,877,224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2013 Annual Meeting of Shareholders, scheduled to be held December 17, 2013,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gridSpan w:val="7"/>
          </w:tcPr>
          <w:p>
            <w:pPr>
              <w:jc w:val="center"/>
              <w:ind w:right="2100"/>
              <w:spacing w:after="0"/>
              <w:rPr>
                <w:sz w:val="20"/>
                <w:szCs w:val="20"/>
                <w:color w:val="auto"/>
              </w:rPr>
            </w:pPr>
            <w:r>
              <w:rPr>
                <w:rFonts w:ascii="Arial" w:cs="Arial" w:eastAsia="Arial" w:hAnsi="Arial"/>
                <w:sz w:val="22"/>
                <w:szCs w:val="22"/>
                <w:b w:val="1"/>
                <w:bCs w:val="1"/>
                <w:color w:val="auto"/>
                <w:w w:val="97"/>
              </w:rPr>
              <w:t>Winnebago Industries, Inc.</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380" w:type="dxa"/>
            <w:vAlign w:val="bottom"/>
            <w:gridSpan w:val="8"/>
          </w:tcPr>
          <w:p>
            <w:pPr>
              <w:jc w:val="center"/>
              <w:ind w:right="1620"/>
              <w:spacing w:after="0"/>
              <w:rPr>
                <w:sz w:val="20"/>
                <w:szCs w:val="20"/>
                <w:color w:val="auto"/>
              </w:rPr>
            </w:pPr>
            <w:r>
              <w:rPr>
                <w:rFonts w:ascii="Arial" w:cs="Arial" w:eastAsia="Arial" w:hAnsi="Arial"/>
                <w:sz w:val="22"/>
                <w:szCs w:val="22"/>
                <w:b w:val="1"/>
                <w:bCs w:val="1"/>
                <w:color w:val="auto"/>
                <w:w w:val="98"/>
              </w:rPr>
              <w:t>2013 Form 10-K Annual Report</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7"/>
          </w:tcPr>
          <w:p>
            <w:pPr>
              <w:jc w:val="center"/>
              <w:ind w:right="2100"/>
              <w:spacing w:after="0"/>
              <w:rPr>
                <w:sz w:val="20"/>
                <w:szCs w:val="20"/>
                <w:color w:val="auto"/>
              </w:rPr>
            </w:pPr>
            <w:r>
              <w:rPr>
                <w:rFonts w:ascii="Arial" w:cs="Arial" w:eastAsia="Arial" w:hAnsi="Arial"/>
                <w:sz w:val="22"/>
                <w:szCs w:val="22"/>
                <w:b w:val="1"/>
                <w:bCs w:val="1"/>
                <w:color w:val="auto"/>
                <w:w w:val="97"/>
              </w:rPr>
              <w:t>Table of Contents</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FF"/>
            </w:tcBorders>
            <w:gridSpan w:val="5"/>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74"/>
              </w:rPr>
            </w:pPr>
            <w:hyperlink w:anchor="page2">
              <w:r>
                <w:rPr>
                  <w:rFonts w:ascii="Arial" w:cs="Arial" w:eastAsia="Arial" w:hAnsi="Arial"/>
                  <w:sz w:val="16"/>
                  <w:szCs w:val="16"/>
                  <w:color w:val="0000FF"/>
                  <w:w w:val="74"/>
                </w:rPr>
                <w:t>iii</w:t>
              </w:r>
            </w:hyperlink>
          </w:p>
        </w:tc>
      </w:tr>
      <w:tr>
        <w:trPr>
          <w:trHeight w:val="547"/>
        </w:trPr>
        <w:tc>
          <w:tcPr>
            <w:tcW w:w="520" w:type="dxa"/>
            <w:vAlign w:val="bottom"/>
            <w:tcBorders>
              <w:bottom w:val="single" w:sz="8" w:color="0000FF"/>
            </w:tcBorders>
          </w:tcPr>
          <w:p>
            <w:pPr>
              <w:spacing w:after="0"/>
              <w:rPr>
                <w:rFonts w:ascii="Arial" w:cs="Arial" w:eastAsia="Arial" w:hAnsi="Arial"/>
                <w:sz w:val="16"/>
                <w:szCs w:val="16"/>
                <w:b w:val="1"/>
                <w:bCs w:val="1"/>
                <w:color w:val="0000FF"/>
                <w:w w:val="95"/>
              </w:rPr>
            </w:pPr>
            <w:hyperlink w:anchor="page3">
              <w:r>
                <w:rPr>
                  <w:rFonts w:ascii="Arial" w:cs="Arial" w:eastAsia="Arial" w:hAnsi="Arial"/>
                  <w:sz w:val="16"/>
                  <w:szCs w:val="16"/>
                  <w:b w:val="1"/>
                  <w:bCs w:val="1"/>
                  <w:color w:val="0000FF"/>
                  <w:w w:val="95"/>
                </w:rPr>
                <w:t>PART I</w:t>
              </w:r>
            </w:hyperlink>
          </w:p>
        </w:tc>
        <w:tc>
          <w:tcPr>
            <w:tcW w:w="12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19"/>
                <w:szCs w:val="19"/>
                <w:color w:val="auto"/>
              </w:rPr>
            </w:pPr>
          </w:p>
        </w:tc>
        <w:tc>
          <w:tcPr>
            <w:tcW w:w="660" w:type="dxa"/>
            <w:vAlign w:val="bottom"/>
            <w:tcBorders>
              <w:bottom w:val="single" w:sz="8" w:color="0000FF"/>
            </w:tcBorders>
          </w:tcPr>
          <w:p>
            <w:pPr>
              <w:spacing w:after="0"/>
              <w:rPr>
                <w:rFonts w:ascii="Arial" w:cs="Arial" w:eastAsia="Arial" w:hAnsi="Arial"/>
                <w:sz w:val="16"/>
                <w:szCs w:val="16"/>
                <w:color w:val="0000FF"/>
                <w:w w:val="98"/>
              </w:rPr>
            </w:pPr>
            <w:hyperlink w:anchor="page4">
              <w:r>
                <w:rPr>
                  <w:rFonts w:ascii="Arial" w:cs="Arial" w:eastAsia="Arial" w:hAnsi="Arial"/>
                  <w:sz w:val="16"/>
                  <w:szCs w:val="16"/>
                  <w:color w:val="0000FF"/>
                  <w:w w:val="98"/>
                </w:rPr>
                <w:t>Business</w:t>
              </w:r>
            </w:hyperlink>
          </w:p>
        </w:tc>
        <w:tc>
          <w:tcPr>
            <w:tcW w:w="7600" w:type="dxa"/>
            <w:vAlign w:val="bottom"/>
            <w:gridSpan w:val="17"/>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9">
              <w:r>
                <w:rPr>
                  <w:rFonts w:ascii="Arial" w:cs="Arial" w:eastAsia="Arial" w:hAnsi="Arial"/>
                  <w:sz w:val="16"/>
                  <w:szCs w:val="16"/>
                  <w:color w:val="0000FF"/>
                  <w:w w:val="98"/>
                </w:rPr>
                <w:t>Risk Factors</w:t>
              </w:r>
            </w:hyperlink>
          </w:p>
        </w:tc>
        <w:tc>
          <w:tcPr>
            <w:tcW w:w="7360" w:type="dxa"/>
            <w:vAlign w:val="bottom"/>
            <w:gridSpan w:val="15"/>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80" w:type="dxa"/>
            <w:vAlign w:val="bottom"/>
          </w:tcPr>
          <w:p>
            <w:pPr>
              <w:spacing w:after="0"/>
              <w:rPr>
                <w:sz w:val="19"/>
                <w:szCs w:val="19"/>
                <w:color w:val="auto"/>
              </w:rPr>
            </w:pPr>
          </w:p>
        </w:tc>
        <w:tc>
          <w:tcPr>
            <w:tcW w:w="2020" w:type="dxa"/>
            <w:vAlign w:val="bottom"/>
            <w:tcBorders>
              <w:bottom w:val="single" w:sz="8" w:color="0000FF"/>
            </w:tcBorders>
            <w:gridSpan w:val="9"/>
          </w:tcPr>
          <w:p>
            <w:pPr>
              <w:spacing w:after="0"/>
              <w:rPr>
                <w:rFonts w:ascii="Arial" w:cs="Arial" w:eastAsia="Arial" w:hAnsi="Arial"/>
                <w:sz w:val="16"/>
                <w:szCs w:val="16"/>
                <w:color w:val="0000FF"/>
                <w:w w:val="99"/>
              </w:rPr>
            </w:pPr>
            <w:hyperlink w:anchor="page11">
              <w:r>
                <w:rPr>
                  <w:rFonts w:ascii="Arial" w:cs="Arial" w:eastAsia="Arial" w:hAnsi="Arial"/>
                  <w:sz w:val="16"/>
                  <w:szCs w:val="16"/>
                  <w:color w:val="0000FF"/>
                  <w:w w:val="99"/>
                </w:rPr>
                <w:t>Unresolved Staff Comments</w:t>
              </w:r>
            </w:hyperlink>
          </w:p>
        </w:tc>
        <w:tc>
          <w:tcPr>
            <w:tcW w:w="6240" w:type="dxa"/>
            <w:vAlign w:val="bottom"/>
            <w:gridSpan w:val="9"/>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74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11">
              <w:r>
                <w:rPr>
                  <w:rFonts w:ascii="Arial" w:cs="Arial" w:eastAsia="Arial" w:hAnsi="Arial"/>
                  <w:sz w:val="16"/>
                  <w:szCs w:val="16"/>
                  <w:color w:val="0000FF"/>
                  <w:w w:val="98"/>
                </w:rPr>
                <w:t>Properties</w:t>
              </w:r>
            </w:hyperlink>
          </w:p>
        </w:tc>
        <w:tc>
          <w:tcPr>
            <w:tcW w:w="7520" w:type="dxa"/>
            <w:vAlign w:val="bottom"/>
            <w:gridSpan w:val="16"/>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12">
              <w:r>
                <w:rPr>
                  <w:rFonts w:ascii="Arial" w:cs="Arial" w:eastAsia="Arial" w:hAnsi="Arial"/>
                  <w:sz w:val="16"/>
                  <w:szCs w:val="16"/>
                  <w:color w:val="0000FF"/>
                  <w:w w:val="99"/>
                </w:rPr>
                <w:t>Legal Proceedings</w:t>
              </w:r>
            </w:hyperlink>
          </w:p>
        </w:tc>
        <w:tc>
          <w:tcPr>
            <w:tcW w:w="6920" w:type="dxa"/>
            <w:vAlign w:val="bottom"/>
            <w:gridSpan w:val="13"/>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Mine Safety Disclosures</w:t>
              </w:r>
            </w:hyperlink>
          </w:p>
        </w:tc>
        <w:tc>
          <w:tcPr>
            <w:tcW w:w="2180" w:type="dxa"/>
            <w:vAlign w:val="bottom"/>
            <w:gridSpan w:val="2"/>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9</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12">
              <w:r>
                <w:rPr>
                  <w:rFonts w:ascii="Arial" w:cs="Arial" w:eastAsia="Arial" w:hAnsi="Arial"/>
                  <w:sz w:val="16"/>
                  <w:szCs w:val="16"/>
                  <w:b w:val="1"/>
                  <w:bCs w:val="1"/>
                  <w:color w:val="0000FF"/>
                  <w:w w:val="94"/>
                </w:rPr>
                <w:t>PART II</w:t>
              </w:r>
            </w:hyperlink>
          </w:p>
        </w:tc>
        <w:tc>
          <w:tcPr>
            <w:tcW w:w="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280" w:type="dxa"/>
            <w:vAlign w:val="bottom"/>
          </w:tcPr>
          <w:p>
            <w:pPr>
              <w:spacing w:after="0"/>
              <w:rPr>
                <w:sz w:val="21"/>
                <w:szCs w:val="21"/>
                <w:color w:val="auto"/>
              </w:rPr>
            </w:pPr>
          </w:p>
        </w:tc>
        <w:tc>
          <w:tcPr>
            <w:tcW w:w="8260" w:type="dxa"/>
            <w:vAlign w:val="bottom"/>
            <w:tcBorders>
              <w:bottom w:val="single" w:sz="8" w:color="0000FF"/>
            </w:tcBorders>
            <w:gridSpan w:val="1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Market for the Registrant's Common Equity, Related Stockholder Matters and Issuer Purchases of Equity Securities</w:t>
              </w:r>
            </w:hyperlink>
          </w:p>
        </w:tc>
        <w:tc>
          <w:tcPr>
            <w:tcW w:w="20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Selected Financial Data</w:t>
              </w:r>
            </w:hyperlink>
          </w:p>
        </w:tc>
        <w:tc>
          <w:tcPr>
            <w:tcW w:w="2180" w:type="dxa"/>
            <w:vAlign w:val="bottom"/>
            <w:gridSpan w:val="2"/>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11</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c>
          <w:tcPr>
            <w:tcW w:w="2180" w:type="dxa"/>
            <w:vAlign w:val="bottom"/>
            <w:gridSpan w:val="2"/>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11</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280" w:type="dxa"/>
            <w:vAlign w:val="bottom"/>
          </w:tcPr>
          <w:p>
            <w:pPr>
              <w:spacing w:after="0"/>
              <w:rPr>
                <w:sz w:val="19"/>
                <w:szCs w:val="19"/>
                <w:color w:val="auto"/>
              </w:rPr>
            </w:pPr>
          </w:p>
        </w:tc>
        <w:tc>
          <w:tcPr>
            <w:tcW w:w="4240" w:type="dxa"/>
            <w:vAlign w:val="bottom"/>
            <w:gridSpan w:val="1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Quantitative and Qualitative Disclosures About Market Risk</w:t>
              </w:r>
            </w:hyperlink>
          </w:p>
        </w:tc>
        <w:tc>
          <w:tcPr>
            <w:tcW w:w="2120" w:type="dxa"/>
            <w:vAlign w:val="bottom"/>
            <w:gridSpan w:val="2"/>
          </w:tcPr>
          <w:p>
            <w:pPr>
              <w:spacing w:after="0"/>
              <w:rPr>
                <w:sz w:val="19"/>
                <w:szCs w:val="19"/>
                <w:color w:val="auto"/>
              </w:rPr>
            </w:pPr>
          </w:p>
        </w:tc>
        <w:tc>
          <w:tcPr>
            <w:tcW w:w="1900" w:type="dxa"/>
            <w:vAlign w:val="bottom"/>
            <w:gridSpan w:val="3"/>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280" w:type="dxa"/>
            <w:vAlign w:val="bottom"/>
          </w:tcPr>
          <w:p>
            <w:pPr>
              <w:spacing w:after="0"/>
              <w:rPr>
                <w:sz w:val="19"/>
                <w:szCs w:val="19"/>
                <w:color w:val="auto"/>
              </w:rPr>
            </w:pPr>
          </w:p>
        </w:tc>
        <w:tc>
          <w:tcPr>
            <w:tcW w:w="4240" w:type="dxa"/>
            <w:vAlign w:val="bottom"/>
            <w:gridSpan w:val="1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Financial Statements and Supplementary Data</w:t>
              </w:r>
            </w:hyperlink>
          </w:p>
        </w:tc>
        <w:tc>
          <w:tcPr>
            <w:tcW w:w="4020" w:type="dxa"/>
            <w:vAlign w:val="bottom"/>
            <w:gridSpan w:val="5"/>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280" w:type="dxa"/>
            <w:vAlign w:val="bottom"/>
          </w:tcPr>
          <w:p>
            <w:pPr>
              <w:spacing w:after="0"/>
              <w:rPr>
                <w:sz w:val="19"/>
                <w:szCs w:val="19"/>
                <w:color w:val="auto"/>
              </w:rPr>
            </w:pPr>
          </w:p>
        </w:tc>
        <w:tc>
          <w:tcPr>
            <w:tcW w:w="6420" w:type="dxa"/>
            <w:vAlign w:val="bottom"/>
            <w:gridSpan w:val="16"/>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Changes in and Disagreements with Accountants on Accounting and Financial Disclosure</w:t>
              </w:r>
            </w:hyperlink>
          </w:p>
        </w:tc>
        <w:tc>
          <w:tcPr>
            <w:tcW w:w="1840" w:type="dxa"/>
            <w:vAlign w:val="bottom"/>
            <w:gridSpan w:val="2"/>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50</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280" w:type="dxa"/>
            <w:vAlign w:val="bottom"/>
          </w:tcPr>
          <w:p>
            <w:pPr>
              <w:spacing w:after="0"/>
              <w:rPr>
                <w:sz w:val="19"/>
                <w:szCs w:val="19"/>
                <w:color w:val="auto"/>
              </w:rPr>
            </w:pPr>
          </w:p>
        </w:tc>
        <w:tc>
          <w:tcPr>
            <w:tcW w:w="6420" w:type="dxa"/>
            <w:vAlign w:val="bottom"/>
            <w:gridSpan w:val="16"/>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Controls and Procedures</w:t>
              </w:r>
            </w:hyperlink>
          </w:p>
        </w:tc>
        <w:tc>
          <w:tcPr>
            <w:tcW w:w="1840" w:type="dxa"/>
            <w:vAlign w:val="bottom"/>
            <w:gridSpan w:val="2"/>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50</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280" w:type="dxa"/>
            <w:vAlign w:val="bottom"/>
          </w:tcPr>
          <w:p>
            <w:pPr>
              <w:spacing w:after="0"/>
              <w:rPr>
                <w:sz w:val="19"/>
                <w:szCs w:val="19"/>
                <w:color w:val="auto"/>
              </w:rPr>
            </w:pPr>
          </w:p>
        </w:tc>
        <w:tc>
          <w:tcPr>
            <w:tcW w:w="1780" w:type="dxa"/>
            <w:vAlign w:val="bottom"/>
            <w:gridSpan w:val="8"/>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Other Information</w:t>
              </w:r>
            </w:hyperlink>
          </w:p>
        </w:tc>
        <w:tc>
          <w:tcPr>
            <w:tcW w:w="6480" w:type="dxa"/>
            <w:vAlign w:val="bottom"/>
            <w:gridSpan w:val="10"/>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FF"/>
              </w:rPr>
            </w:pPr>
            <w:hyperlink w:anchor="page54">
              <w:r>
                <w:rPr>
                  <w:rFonts w:ascii="Arial" w:cs="Arial" w:eastAsia="Arial" w:hAnsi="Arial"/>
                  <w:sz w:val="16"/>
                  <w:szCs w:val="16"/>
                  <w:b w:val="1"/>
                  <w:bCs w:val="1"/>
                  <w:color w:val="0000FF"/>
                </w:rPr>
                <w:t>PART III</w:t>
              </w:r>
            </w:hyperlink>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82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Directors, Executive Officers and Corporate Governance</w:t>
              </w:r>
            </w:hyperlink>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280" w:type="dxa"/>
            <w:vAlign w:val="bottom"/>
          </w:tcPr>
          <w:p>
            <w:pPr>
              <w:spacing w:after="0"/>
              <w:rPr>
                <w:sz w:val="19"/>
                <w:szCs w:val="19"/>
                <w:color w:val="auto"/>
              </w:rPr>
            </w:pPr>
          </w:p>
        </w:tc>
        <w:tc>
          <w:tcPr>
            <w:tcW w:w="4040" w:type="dxa"/>
            <w:vAlign w:val="bottom"/>
            <w:gridSpan w:val="12"/>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Executive Compensation</w:t>
              </w:r>
            </w:hyperlink>
          </w:p>
        </w:tc>
        <w:tc>
          <w:tcPr>
            <w:tcW w:w="4220" w:type="dxa"/>
            <w:vAlign w:val="bottom"/>
            <w:gridSpan w:val="6"/>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Security Ownership of Certain Beneficial Owners and Management and Related Stockholder Matters</w:t>
              </w:r>
            </w:hyperlink>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280" w:type="dxa"/>
            <w:vAlign w:val="bottom"/>
          </w:tcPr>
          <w:p>
            <w:pPr>
              <w:spacing w:after="0"/>
              <w:rPr>
                <w:sz w:val="19"/>
                <w:szCs w:val="19"/>
                <w:color w:val="auto"/>
              </w:rPr>
            </w:pPr>
          </w:p>
        </w:tc>
        <w:tc>
          <w:tcPr>
            <w:tcW w:w="5420" w:type="dxa"/>
            <w:vAlign w:val="bottom"/>
            <w:gridSpan w:val="14"/>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Certain Relationships and Related Transactions and Director Independence</w:t>
              </w:r>
            </w:hyperlink>
          </w:p>
        </w:tc>
        <w:tc>
          <w:tcPr>
            <w:tcW w:w="1780" w:type="dxa"/>
            <w:vAlign w:val="bottom"/>
            <w:gridSpan w:val="3"/>
          </w:tcPr>
          <w:p>
            <w:pPr>
              <w:spacing w:after="0"/>
              <w:rPr>
                <w:sz w:val="19"/>
                <w:szCs w:val="19"/>
                <w:color w:val="auto"/>
              </w:rPr>
            </w:pPr>
          </w:p>
        </w:tc>
        <w:tc>
          <w:tcPr>
            <w:tcW w:w="1060" w:type="dxa"/>
            <w:vAlign w:val="bottom"/>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280" w:type="dxa"/>
            <w:vAlign w:val="bottom"/>
          </w:tcPr>
          <w:p>
            <w:pPr>
              <w:spacing w:after="0"/>
              <w:rPr>
                <w:sz w:val="19"/>
                <w:szCs w:val="19"/>
                <w:color w:val="auto"/>
              </w:rPr>
            </w:pPr>
          </w:p>
        </w:tc>
        <w:tc>
          <w:tcPr>
            <w:tcW w:w="5420" w:type="dxa"/>
            <w:vAlign w:val="bottom"/>
            <w:gridSpan w:val="14"/>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Principal Accounting Fees and Services</w:t>
              </w:r>
            </w:hyperlink>
          </w:p>
        </w:tc>
        <w:tc>
          <w:tcPr>
            <w:tcW w:w="2840" w:type="dxa"/>
            <w:vAlign w:val="bottom"/>
            <w:gridSpan w:val="4"/>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FF"/>
                <w:w w:val="98"/>
              </w:rPr>
            </w:pPr>
            <w:hyperlink w:anchor="page54">
              <w:r>
                <w:rPr>
                  <w:rFonts w:ascii="Arial" w:cs="Arial" w:eastAsia="Arial" w:hAnsi="Arial"/>
                  <w:sz w:val="16"/>
                  <w:szCs w:val="16"/>
                  <w:b w:val="1"/>
                  <w:bCs w:val="1"/>
                  <w:color w:val="0000FF"/>
                  <w:w w:val="98"/>
                </w:rPr>
                <w:t>PART IV</w:t>
              </w:r>
            </w:hyperlink>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Exhibits, Financial Statement Schedules</w:t>
              </w:r>
            </w:hyperlink>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Income (Loss)</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ARS</w:t>
            </w:r>
          </w:p>
        </w:tc>
        <w:tc>
          <w:tcPr>
            <w:tcW w:w="9640" w:type="dxa"/>
            <w:vAlign w:val="bottom"/>
          </w:tcPr>
          <w:p>
            <w:pPr>
              <w:ind w:left="480"/>
              <w:spacing w:after="0"/>
              <w:rPr>
                <w:sz w:val="20"/>
                <w:szCs w:val="20"/>
                <w:color w:val="auto"/>
              </w:rPr>
            </w:pPr>
            <w:r>
              <w:rPr>
                <w:rFonts w:ascii="Arial" w:cs="Arial" w:eastAsia="Arial" w:hAnsi="Arial"/>
                <w:sz w:val="16"/>
                <w:szCs w:val="16"/>
                <w:color w:val="auto"/>
              </w:rPr>
              <w:t>Auction Rate Securities</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Codification</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ASP</w:t>
            </w:r>
          </w:p>
        </w:tc>
        <w:tc>
          <w:tcPr>
            <w:tcW w:w="9640" w:type="dxa"/>
            <w:vAlign w:val="bottom"/>
          </w:tcPr>
          <w:p>
            <w:pPr>
              <w:ind w:left="480"/>
              <w:spacing w:after="0"/>
              <w:rPr>
                <w:sz w:val="20"/>
                <w:szCs w:val="20"/>
                <w:color w:val="auto"/>
              </w:rPr>
            </w:pPr>
            <w:r>
              <w:rPr>
                <w:rFonts w:ascii="Arial" w:cs="Arial" w:eastAsia="Arial" w:hAnsi="Arial"/>
                <w:sz w:val="16"/>
                <w:szCs w:val="16"/>
                <w:color w:val="auto"/>
              </w:rPr>
              <w:t>Average Sales Price</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Accounting Standards Update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CCMF</w:t>
            </w:r>
          </w:p>
        </w:tc>
        <w:tc>
          <w:tcPr>
            <w:tcW w:w="9640" w:type="dxa"/>
            <w:vAlign w:val="bottom"/>
          </w:tcPr>
          <w:p>
            <w:pPr>
              <w:ind w:left="480"/>
              <w:spacing w:after="0"/>
              <w:rPr>
                <w:sz w:val="20"/>
                <w:szCs w:val="20"/>
                <w:color w:val="auto"/>
              </w:rPr>
            </w:pPr>
            <w:r>
              <w:rPr>
                <w:rFonts w:ascii="Arial" w:cs="Arial" w:eastAsia="Arial" w:hAnsi="Arial"/>
                <w:sz w:val="16"/>
                <w:szCs w:val="16"/>
                <w:color w:val="auto"/>
              </w:rPr>
              <w:t>Charles City Manufacturing Facility</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Company Owned Life Insurance</w:t>
            </w:r>
          </w:p>
        </w:tc>
      </w:tr>
      <w:tr>
        <w:trPr>
          <w:trHeight w:val="218"/>
        </w:trPr>
        <w:tc>
          <w:tcPr>
            <w:tcW w:w="17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640" w:type="dxa"/>
            <w:vAlign w:val="bottom"/>
          </w:tcPr>
          <w:p>
            <w:pPr>
              <w:ind w:left="4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w:t>
            </w:r>
          </w:p>
        </w:tc>
      </w:tr>
      <w:tr>
        <w:trPr>
          <w:trHeight w:val="204"/>
        </w:trPr>
        <w:tc>
          <w:tcPr>
            <w:tcW w:w="1780" w:type="dxa"/>
            <w:vAlign w:val="bottom"/>
          </w:tcPr>
          <w:p>
            <w:pPr>
              <w:spacing w:after="0"/>
              <w:rPr>
                <w:sz w:val="17"/>
                <w:szCs w:val="17"/>
                <w:color w:val="auto"/>
              </w:rPr>
            </w:pPr>
          </w:p>
        </w:tc>
        <w:tc>
          <w:tcPr>
            <w:tcW w:w="9640" w:type="dxa"/>
            <w:vAlign w:val="bottom"/>
          </w:tcPr>
          <w:p>
            <w:pPr>
              <w:ind w:left="480"/>
              <w:spacing w:after="0"/>
              <w:rPr>
                <w:sz w:val="20"/>
                <w:szCs w:val="20"/>
                <w:color w:val="auto"/>
              </w:rPr>
            </w:pPr>
            <w:r>
              <w:rPr>
                <w:rFonts w:ascii="Arial" w:cs="Arial" w:eastAsia="Arial" w:hAnsi="Arial"/>
                <w:sz w:val="16"/>
                <w:szCs w:val="16"/>
                <w:color w:val="auto"/>
              </w:rPr>
              <w:t>as Borrowers, and General Electric Capital Corporation, as Agent</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Discounted Cash Flow</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EBITDA</w:t>
            </w:r>
          </w:p>
        </w:tc>
        <w:tc>
          <w:tcPr>
            <w:tcW w:w="9640" w:type="dxa"/>
            <w:vAlign w:val="bottom"/>
          </w:tcPr>
          <w:p>
            <w:pPr>
              <w:ind w:left="480"/>
              <w:spacing w:after="0"/>
              <w:rPr>
                <w:sz w:val="20"/>
                <w:szCs w:val="20"/>
                <w:color w:val="auto"/>
              </w:rPr>
            </w:pPr>
            <w:r>
              <w:rPr>
                <w:rFonts w:ascii="Arial" w:cs="Arial" w:eastAsia="Arial" w:hAnsi="Arial"/>
                <w:sz w:val="16"/>
                <w:szCs w:val="16"/>
                <w:color w:val="auto"/>
              </w:rPr>
              <w:t>Earnings Before Interest, Tax, Depreciation, and Amortization</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Per Share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FASB</w:t>
            </w:r>
          </w:p>
        </w:tc>
        <w:tc>
          <w:tcPr>
            <w:tcW w:w="9640" w:type="dxa"/>
            <w:vAlign w:val="bottom"/>
          </w:tcPr>
          <w:p>
            <w:pPr>
              <w:ind w:left="480"/>
              <w:spacing w:after="0"/>
              <w:rPr>
                <w:sz w:val="20"/>
                <w:szCs w:val="20"/>
                <w:color w:val="auto"/>
              </w:rPr>
            </w:pPr>
            <w:r>
              <w:rPr>
                <w:rFonts w:ascii="Arial" w:cs="Arial" w:eastAsia="Arial" w:hAnsi="Arial"/>
                <w:sz w:val="16"/>
                <w:szCs w:val="16"/>
                <w:color w:val="auto"/>
              </w:rPr>
              <w:t>Financial Accounting Standards Board</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First In, First Out</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GAAP</w:t>
            </w:r>
          </w:p>
        </w:tc>
        <w:tc>
          <w:tcPr>
            <w:tcW w:w="9640" w:type="dxa"/>
            <w:vAlign w:val="bottom"/>
          </w:tcPr>
          <w:p>
            <w:pPr>
              <w:ind w:left="480"/>
              <w:spacing w:after="0"/>
              <w:rPr>
                <w:sz w:val="20"/>
                <w:szCs w:val="20"/>
                <w:color w:val="auto"/>
              </w:rPr>
            </w:pPr>
            <w:r>
              <w:rPr>
                <w:rFonts w:ascii="Arial" w:cs="Arial" w:eastAsia="Arial" w:hAnsi="Arial"/>
                <w:sz w:val="16"/>
                <w:szCs w:val="16"/>
                <w:color w:val="auto"/>
              </w:rPr>
              <w:t>Generally Accepted Accounting Principles</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Electric Capital Corporation</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IRS</w:t>
            </w:r>
          </w:p>
        </w:tc>
        <w:tc>
          <w:tcPr>
            <w:tcW w:w="9640" w:type="dxa"/>
            <w:vAlign w:val="bottom"/>
          </w:tcPr>
          <w:p>
            <w:pPr>
              <w:ind w:left="480"/>
              <w:spacing w:after="0"/>
              <w:rPr>
                <w:sz w:val="20"/>
                <w:szCs w:val="20"/>
                <w:color w:val="auto"/>
              </w:rPr>
            </w:pPr>
            <w:r>
              <w:rPr>
                <w:rFonts w:ascii="Arial" w:cs="Arial" w:eastAsia="Arial" w:hAnsi="Arial"/>
                <w:sz w:val="16"/>
                <w:szCs w:val="16"/>
                <w:color w:val="auto"/>
              </w:rPr>
              <w:t>Internal Revenue Service</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London Interbank Offered Rate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LIFO</w:t>
            </w:r>
          </w:p>
        </w:tc>
        <w:tc>
          <w:tcPr>
            <w:tcW w:w="9640" w:type="dxa"/>
            <w:vAlign w:val="bottom"/>
          </w:tcPr>
          <w:p>
            <w:pPr>
              <w:ind w:left="480"/>
              <w:spacing w:after="0"/>
              <w:rPr>
                <w:sz w:val="20"/>
                <w:szCs w:val="20"/>
                <w:color w:val="auto"/>
              </w:rPr>
            </w:pPr>
            <w:r>
              <w:rPr>
                <w:rFonts w:ascii="Arial" w:cs="Arial" w:eastAsia="Arial" w:hAnsi="Arial"/>
                <w:sz w:val="16"/>
                <w:szCs w:val="16"/>
                <w:color w:val="auto"/>
              </w:rPr>
              <w:t>Last In, First Out</w:t>
            </w:r>
          </w:p>
        </w:tc>
      </w:tr>
      <w:tr>
        <w:trPr>
          <w:trHeight w:val="228"/>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 Agreement</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r>
      <w:tr>
        <w:trPr>
          <w:trHeight w:val="214"/>
        </w:trPr>
        <w:tc>
          <w:tcPr>
            <w:tcW w:w="1780" w:type="dxa"/>
            <w:vAlign w:val="bottom"/>
            <w:shd w:val="clear" w:color="auto" w:fill="CCEEFF"/>
          </w:tcPr>
          <w:p>
            <w:pPr>
              <w:spacing w:after="0"/>
              <w:rPr>
                <w:sz w:val="18"/>
                <w:szCs w:val="18"/>
                <w:color w:val="auto"/>
              </w:rPr>
            </w:pP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National Association, as successor to Burdale Capital Finance, Inc., as Agent</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MVA</w:t>
            </w:r>
          </w:p>
        </w:tc>
        <w:tc>
          <w:tcPr>
            <w:tcW w:w="9640" w:type="dxa"/>
            <w:vAlign w:val="bottom"/>
          </w:tcPr>
          <w:p>
            <w:pPr>
              <w:ind w:left="480"/>
              <w:spacing w:after="0"/>
              <w:rPr>
                <w:sz w:val="20"/>
                <w:szCs w:val="20"/>
                <w:color w:val="auto"/>
              </w:rPr>
            </w:pPr>
            <w:r>
              <w:rPr>
                <w:rFonts w:ascii="Arial" w:cs="Arial" w:eastAsia="Arial" w:hAnsi="Arial"/>
                <w:sz w:val="16"/>
                <w:szCs w:val="16"/>
                <w:color w:val="auto"/>
              </w:rPr>
              <w:t>Motor Vehicle Act</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Non-Meaningful Figure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NOL</w:t>
            </w:r>
          </w:p>
        </w:tc>
        <w:tc>
          <w:tcPr>
            <w:tcW w:w="9640" w:type="dxa"/>
            <w:vAlign w:val="bottom"/>
          </w:tcPr>
          <w:p>
            <w:pPr>
              <w:ind w:left="480"/>
              <w:spacing w:after="0"/>
              <w:rPr>
                <w:sz w:val="20"/>
                <w:szCs w:val="20"/>
                <w:color w:val="auto"/>
              </w:rPr>
            </w:pPr>
            <w:r>
              <w:rPr>
                <w:rFonts w:ascii="Arial" w:cs="Arial" w:eastAsia="Arial" w:hAnsi="Arial"/>
                <w:sz w:val="16"/>
                <w:szCs w:val="16"/>
                <w:color w:val="auto"/>
              </w:rPr>
              <w:t>Net Operating Loss</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Stock Exchange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OCI</w:t>
            </w:r>
          </w:p>
        </w:tc>
        <w:tc>
          <w:tcPr>
            <w:tcW w:w="9640" w:type="dxa"/>
            <w:vAlign w:val="bottom"/>
          </w:tcPr>
          <w:p>
            <w:pPr>
              <w:ind w:left="480"/>
              <w:spacing w:after="0"/>
              <w:rPr>
                <w:sz w:val="20"/>
                <w:szCs w:val="20"/>
                <w:color w:val="auto"/>
              </w:rPr>
            </w:pPr>
            <w:r>
              <w:rPr>
                <w:rFonts w:ascii="Arial" w:cs="Arial" w:eastAsia="Arial" w:hAnsi="Arial"/>
                <w:sz w:val="16"/>
                <w:szCs w:val="16"/>
                <w:color w:val="auto"/>
              </w:rPr>
              <w:t>Other Comprehensive Income</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OEM</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Original Equipment Manufacturing</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OSHA</w:t>
            </w:r>
          </w:p>
        </w:tc>
        <w:tc>
          <w:tcPr>
            <w:tcW w:w="9640" w:type="dxa"/>
            <w:vAlign w:val="bottom"/>
          </w:tcPr>
          <w:p>
            <w:pPr>
              <w:ind w:left="480"/>
              <w:spacing w:after="0"/>
              <w:rPr>
                <w:sz w:val="20"/>
                <w:szCs w:val="20"/>
                <w:color w:val="auto"/>
              </w:rPr>
            </w:pPr>
            <w:r>
              <w:rPr>
                <w:rFonts w:ascii="Arial" w:cs="Arial" w:eastAsia="Arial" w:hAnsi="Arial"/>
                <w:sz w:val="16"/>
                <w:szCs w:val="16"/>
                <w:color w:val="auto"/>
              </w:rPr>
              <w:t>Occupational Safety and Health Administration</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Return on Equity</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ROIC</w:t>
            </w:r>
          </w:p>
        </w:tc>
        <w:tc>
          <w:tcPr>
            <w:tcW w:w="9640" w:type="dxa"/>
            <w:vAlign w:val="bottom"/>
          </w:tcPr>
          <w:p>
            <w:pPr>
              <w:ind w:left="480"/>
              <w:spacing w:after="0"/>
              <w:rPr>
                <w:sz w:val="20"/>
                <w:szCs w:val="20"/>
                <w:color w:val="auto"/>
              </w:rPr>
            </w:pPr>
            <w:r>
              <w:rPr>
                <w:rFonts w:ascii="Arial" w:cs="Arial" w:eastAsia="Arial" w:hAnsi="Arial"/>
                <w:sz w:val="16"/>
                <w:szCs w:val="16"/>
                <w:color w:val="auto"/>
              </w:rPr>
              <w:t>Return on Invested Capital</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RVIA</w:t>
            </w:r>
          </w:p>
        </w:tc>
        <w:tc>
          <w:tcPr>
            <w:tcW w:w="9640" w:type="dxa"/>
            <w:vAlign w:val="bottom"/>
          </w:tcPr>
          <w:p>
            <w:pPr>
              <w:ind w:left="480"/>
              <w:spacing w:after="0"/>
              <w:rPr>
                <w:sz w:val="20"/>
                <w:szCs w:val="20"/>
                <w:color w:val="auto"/>
              </w:rPr>
            </w:pPr>
            <w:r>
              <w:rPr>
                <w:rFonts w:ascii="Arial" w:cs="Arial" w:eastAsia="Arial" w:hAnsi="Arial"/>
                <w:sz w:val="16"/>
                <w:szCs w:val="16"/>
                <w:color w:val="auto"/>
              </w:rPr>
              <w:t>Recreation Vehicle Industry Association</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Securities and Exchange Commission</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SERP</w:t>
            </w:r>
          </w:p>
        </w:tc>
        <w:tc>
          <w:tcPr>
            <w:tcW w:w="9640" w:type="dxa"/>
            <w:vAlign w:val="bottom"/>
          </w:tcPr>
          <w:p>
            <w:pPr>
              <w:ind w:left="480"/>
              <w:spacing w:after="0"/>
              <w:rPr>
                <w:sz w:val="20"/>
                <w:szCs w:val="20"/>
                <w:color w:val="auto"/>
              </w:rPr>
            </w:pPr>
            <w:r>
              <w:rPr>
                <w:rFonts w:ascii="Arial" w:cs="Arial" w:eastAsia="Arial" w:hAnsi="Arial"/>
                <w:sz w:val="16"/>
                <w:szCs w:val="16"/>
                <w:color w:val="auto"/>
              </w:rPr>
              <w:t>Supplemental Executive Retirement Plan</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SIR</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Self-Insured Retention</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640" w:type="dxa"/>
            <w:vAlign w:val="bottom"/>
          </w:tcPr>
          <w:p>
            <w:pPr>
              <w:ind w:left="480"/>
              <w:spacing w:after="0"/>
              <w:rPr>
                <w:sz w:val="20"/>
                <w:szCs w:val="20"/>
                <w:color w:val="auto"/>
              </w:rPr>
            </w:pPr>
            <w:r>
              <w:rPr>
                <w:rFonts w:ascii="Arial" w:cs="Arial" w:eastAsia="Arial" w:hAnsi="Arial"/>
                <w:sz w:val="16"/>
                <w:szCs w:val="16"/>
                <w:color w:val="auto"/>
              </w:rPr>
              <w:t>Statistical Surveys, Inc.</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SunnyBrook RV, Inc.</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Towables</w:t>
            </w:r>
          </w:p>
        </w:tc>
        <w:tc>
          <w:tcPr>
            <w:tcW w:w="9640" w:type="dxa"/>
            <w:vAlign w:val="bottom"/>
          </w:tcPr>
          <w:p>
            <w:pPr>
              <w:ind w:left="48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United States of America</w:t>
            </w: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Wells Fargo</w:t>
            </w:r>
          </w:p>
        </w:tc>
        <w:tc>
          <w:tcPr>
            <w:tcW w:w="9640" w:type="dxa"/>
            <w:vAlign w:val="bottom"/>
          </w:tcPr>
          <w:p>
            <w:pPr>
              <w:ind w:left="480"/>
              <w:spacing w:after="0"/>
              <w:rPr>
                <w:sz w:val="20"/>
                <w:szCs w:val="20"/>
                <w:color w:val="auto"/>
              </w:rPr>
            </w:pPr>
            <w:r>
              <w:rPr>
                <w:rFonts w:ascii="Arial" w:cs="Arial" w:eastAsia="Arial" w:hAnsi="Arial"/>
                <w:sz w:val="16"/>
                <w:szCs w:val="16"/>
                <w:color w:val="auto"/>
              </w:rPr>
              <w:t>Wells Fargo Bank, National Association</w:t>
            </w: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eXtensible Business Reporting Language</w:t>
            </w:r>
          </w:p>
        </w:tc>
      </w:tr>
      <w:tr>
        <w:trPr>
          <w:trHeight w:val="845"/>
        </w:trPr>
        <w:tc>
          <w:tcPr>
            <w:tcW w:w="178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6"/>
                <w:szCs w:val="16"/>
                <w:color w:val="auto"/>
              </w:rPr>
              <w:t>iii</w:t>
            </w: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31, 2013</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 We sell motorhomes through independent dealers under the Winnebago, Itasca and Era brand names.</w:t>
      </w:r>
    </w:p>
    <w:p>
      <w:pPr>
        <w:spacing w:after="0" w:line="14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December 29, 2010 we purchased substantially all of the assets of SunnyBrook, a manufacturer of travel trailers and fifth wheel RVs. The aggregate consideration paid was $4.7 million, net of cash acquired, including the repayment of $3.3 million of SunnyBrook commercial and shareholder debt on the closing date. Also on December 29, 2010, we entered into a five-year operating lease agreement for the SunnyBrook facilities. The operations of Towables are included in our consolidated operating results from the date of its acquisition. Towables will continue to manufacture products under the SunnyBrook brands. In addition, Towables has broadened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growth.</w:t>
      </w:r>
    </w:p>
    <w:p>
      <w:pPr>
        <w:spacing w:after="0" w:line="15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Other products manufactured by us consist primarily of OEM parts, including extruded aluminum and other component products for other manufacturers and commercial vehicles.</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website, located at www.winnebagoind.com,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Net revenues by major product classes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17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31, 2013</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25, 2012</w:t>
            </w:r>
          </w:p>
        </w:tc>
        <w:tc>
          <w:tcPr>
            <w:tcW w:w="220" w:type="dxa"/>
            <w:vAlign w:val="bottom"/>
          </w:tcPr>
          <w:p>
            <w:pPr>
              <w:spacing w:after="0"/>
              <w:rPr>
                <w:sz w:val="22"/>
                <w:szCs w:val="22"/>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August 27, 2011</w:t>
            </w:r>
          </w:p>
        </w:tc>
        <w:tc>
          <w:tcPr>
            <w:tcW w:w="200" w:type="dxa"/>
            <w:vAlign w:val="bottom"/>
          </w:tcPr>
          <w:p>
            <w:pPr>
              <w:spacing w:after="0"/>
              <w:rPr>
                <w:sz w:val="22"/>
                <w:szCs w:val="22"/>
                <w:color w:val="auto"/>
              </w:rPr>
            </w:pPr>
          </w:p>
        </w:tc>
        <w:tc>
          <w:tcPr>
            <w:tcW w:w="1740" w:type="dxa"/>
            <w:vAlign w:val="bottom"/>
            <w:gridSpan w:val="3"/>
          </w:tcPr>
          <w:p>
            <w:pPr>
              <w:ind w:left="120"/>
              <w:spacing w:after="0"/>
              <w:rPr>
                <w:sz w:val="20"/>
                <w:szCs w:val="20"/>
                <w:color w:val="auto"/>
              </w:rPr>
            </w:pPr>
            <w:r>
              <w:rPr>
                <w:rFonts w:ascii="Arial" w:cs="Arial" w:eastAsia="Arial" w:hAnsi="Arial"/>
                <w:sz w:val="16"/>
                <w:szCs w:val="16"/>
                <w:b w:val="1"/>
                <w:bCs w:val="1"/>
                <w:color w:val="auto"/>
              </w:rPr>
              <w:t>August 28, 2010</w:t>
            </w:r>
          </w:p>
        </w:tc>
        <w:tc>
          <w:tcPr>
            <w:tcW w:w="220" w:type="dxa"/>
            <w:vAlign w:val="bottom"/>
          </w:tcPr>
          <w:p>
            <w:pPr>
              <w:spacing w:after="0"/>
              <w:rPr>
                <w:sz w:val="22"/>
                <w:szCs w:val="22"/>
                <w:color w:val="auto"/>
              </w:rPr>
            </w:pP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August 29, 2009</w:t>
            </w:r>
          </w:p>
        </w:tc>
      </w:tr>
      <w:tr>
        <w:trPr>
          <w:trHeight w:val="257"/>
        </w:trPr>
        <w:tc>
          <w:tcPr>
            <w:tcW w:w="1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718,580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496,193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456,337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428,932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191,178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70"/>
        </w:trPr>
        <w:tc>
          <w:tcPr>
            <w:tcW w:w="17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54,683</w:t>
            </w: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56,784</w:t>
            </w: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16,712</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28,702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20,552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20,341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17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803,165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581,679</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496,418</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449,484</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211,519</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3810</wp:posOffset>
            </wp:positionV>
            <wp:extent cx="614870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48705" cy="26035"/>
                    </a:xfrm>
                    <a:prstGeom prst="rect">
                      <a:avLst/>
                    </a:prstGeom>
                    <a:noFill/>
                  </pic:spPr>
                </pic:pic>
              </a:graphicData>
            </a:graphic>
          </wp:anchor>
        </w:drawing>
      </w:r>
    </w:p>
    <w:p>
      <w:pPr>
        <w:ind w:left="260" w:hanging="238"/>
        <w:spacing w:after="0"/>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8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Motorhomes, parts and service</w:t>
      </w:r>
      <w:r>
        <w:rPr>
          <w:rFonts w:ascii="Arial" w:cs="Arial" w:eastAsia="Arial" w:hAnsi="Arial"/>
          <w:sz w:val="16"/>
          <w:szCs w:val="16"/>
          <w:color w:val="auto"/>
        </w:rPr>
        <w:t>. A motorhome is a self-propelled mobile dwelling used primarily as temporary living quarters during vacation and camping</w:t>
      </w:r>
      <w:r>
        <w:rPr>
          <w:rFonts w:ascii="Arial" w:cs="Arial" w:eastAsia="Arial" w:hAnsi="Arial"/>
          <w:sz w:val="16"/>
          <w:szCs w:val="16"/>
          <w:b w:val="1"/>
          <w:bCs w:val="1"/>
          <w:color w:val="auto"/>
        </w:rPr>
        <w:t xml:space="preserve"> </w:t>
      </w:r>
      <w:r>
        <w:rPr>
          <w:rFonts w:ascii="Arial" w:cs="Arial" w:eastAsia="Arial" w:hAnsi="Arial"/>
          <w:sz w:val="16"/>
          <w:szCs w:val="16"/>
          <w:color w:val="auto"/>
        </w:rPr>
        <w:t>trips, or to support some other active lifestyle. The RVIA classifies motorhomes into three types which are defined as follows:</w:t>
      </w:r>
    </w:p>
    <w:p>
      <w:pPr>
        <w:spacing w:after="0" w:line="122" w:lineRule="exact"/>
        <w:rPr>
          <w:sz w:val="20"/>
          <w:szCs w:val="20"/>
          <w:color w:val="auto"/>
        </w:rPr>
      </w:pPr>
    </w:p>
    <w:p>
      <w:pPr>
        <w:ind w:left="340" w:right="420" w:hanging="332"/>
        <w:spacing w:after="0" w:line="25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A models are conventional motorhomes constructed directly on medium- and heavy-duty truck chassis, which include the engine and drivetrain components. The living area and driver's compartment are designed and produced by the motorhome manufacturer. We manufacture Class A motorhomes with gas and diesel engines.</w:t>
      </w:r>
    </w:p>
    <w:p>
      <w:pPr>
        <w:spacing w:after="0" w:line="147" w:lineRule="exact"/>
        <w:rPr>
          <w:rFonts w:ascii="Arial" w:cs="Arial" w:eastAsia="Arial" w:hAnsi="Arial"/>
          <w:sz w:val="16"/>
          <w:szCs w:val="16"/>
          <w:color w:val="auto"/>
        </w:rPr>
      </w:pPr>
    </w:p>
    <w:p>
      <w:pPr>
        <w:ind w:left="340" w:right="18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B models are panel-type vans to which sleeping, kitchen, and/or toilet facilities are added. These models may also have a top extension to provide more headroom. We manufacture Class B motorhomes with gas and diesel engines.</w:t>
      </w:r>
    </w:p>
    <w:p>
      <w:pPr>
        <w:spacing w:after="0" w:line="141" w:lineRule="exact"/>
        <w:rPr>
          <w:rFonts w:ascii="Arial" w:cs="Arial" w:eastAsia="Arial" w:hAnsi="Arial"/>
          <w:sz w:val="16"/>
          <w:szCs w:val="16"/>
          <w:color w:val="auto"/>
        </w:rPr>
      </w:pPr>
    </w:p>
    <w:p>
      <w:pPr>
        <w:ind w:left="340" w:right="36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C models are motorhomes built on van-type chassis onto which the motorhome manufacturer constructs a living area with access to the driver's compartment. We manufacture Class C motorhomes with gas and diesel engines.</w:t>
      </w:r>
    </w:p>
    <w:p>
      <w:pPr>
        <w:spacing w:after="0" w:line="15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manufacture and sell Class A and C motorhomes under the Winnebago and Itasca brand names and Class B motorhomes under the Winnebago Touring Coach brand name. Our product offerings for the 2014 model year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31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Winnebago</w:t>
            </w: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Itasca</w:t>
            </w: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Winnebago Touring Coach</w:t>
            </w: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Vista, Sightseer, Adventurer</w:t>
            </w:r>
          </w:p>
        </w:tc>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Sunstar, Sunova, Suncruiser</w:t>
            </w:r>
          </w:p>
        </w:tc>
        <w:tc>
          <w:tcPr>
            <w:tcW w:w="3480" w:type="dxa"/>
            <w:vAlign w:val="bottom"/>
            <w:tcBorders>
              <w:bottom w:val="single" w:sz="8" w:color="CCEEFF"/>
            </w:tcBorders>
            <w:shd w:val="clear" w:color="auto" w:fill="CCEEFF"/>
          </w:tcPr>
          <w:p>
            <w:pPr>
              <w:spacing w:after="0"/>
              <w:rPr>
                <w:sz w:val="21"/>
                <w:szCs w:val="21"/>
                <w:color w:val="auto"/>
              </w:rPr>
            </w:pPr>
          </w:p>
        </w:tc>
      </w:tr>
      <w:tr>
        <w:trPr>
          <w:trHeight w:val="233"/>
        </w:trPr>
        <w:tc>
          <w:tcPr>
            <w:tcW w:w="2060" w:type="dxa"/>
            <w:vAlign w:val="bottom"/>
          </w:tcPr>
          <w:p>
            <w:pPr>
              <w:ind w:left="40"/>
              <w:spacing w:after="0"/>
              <w:rPr>
                <w:sz w:val="20"/>
                <w:szCs w:val="20"/>
                <w:color w:val="auto"/>
              </w:rPr>
            </w:pPr>
            <w:r>
              <w:rPr>
                <w:rFonts w:ascii="Arial" w:cs="Arial" w:eastAsia="Arial" w:hAnsi="Arial"/>
                <w:sz w:val="16"/>
                <w:szCs w:val="16"/>
                <w:color w:val="auto"/>
              </w:rPr>
              <w:t>Class A (diesel)</w:t>
            </w:r>
          </w:p>
        </w:tc>
        <w:tc>
          <w:tcPr>
            <w:tcW w:w="3140" w:type="dxa"/>
            <w:vAlign w:val="bottom"/>
          </w:tcPr>
          <w:p>
            <w:pPr>
              <w:ind w:left="280"/>
              <w:spacing w:after="0"/>
              <w:rPr>
                <w:sz w:val="20"/>
                <w:szCs w:val="20"/>
                <w:color w:val="auto"/>
              </w:rPr>
            </w:pPr>
            <w:r>
              <w:rPr>
                <w:rFonts w:ascii="Arial" w:cs="Arial" w:eastAsia="Arial" w:hAnsi="Arial"/>
                <w:sz w:val="16"/>
                <w:szCs w:val="16"/>
                <w:color w:val="auto"/>
              </w:rPr>
              <w:t>Via, Forza, Journey, Tour</w:t>
            </w:r>
          </w:p>
        </w:tc>
        <w:tc>
          <w:tcPr>
            <w:tcW w:w="2740" w:type="dxa"/>
            <w:vAlign w:val="bottom"/>
          </w:tcPr>
          <w:p>
            <w:pPr>
              <w:ind w:left="80"/>
              <w:spacing w:after="0"/>
              <w:rPr>
                <w:sz w:val="20"/>
                <w:szCs w:val="20"/>
                <w:color w:val="auto"/>
              </w:rPr>
            </w:pPr>
            <w:r>
              <w:rPr>
                <w:rFonts w:ascii="Arial" w:cs="Arial" w:eastAsia="Arial" w:hAnsi="Arial"/>
                <w:sz w:val="16"/>
                <w:szCs w:val="16"/>
                <w:color w:val="auto"/>
              </w:rPr>
              <w:t>Reyo, Solei, Meridian, Ellipse</w:t>
            </w:r>
          </w:p>
        </w:tc>
        <w:tc>
          <w:tcPr>
            <w:tcW w:w="3480" w:type="dxa"/>
            <w:vAlign w:val="bottom"/>
          </w:tcPr>
          <w:p>
            <w:pPr>
              <w:spacing w:after="0"/>
              <w:rPr>
                <w:sz w:val="20"/>
                <w:szCs w:val="20"/>
                <w:color w:val="auto"/>
              </w:rPr>
            </w:pPr>
          </w:p>
        </w:tc>
      </w:tr>
      <w:tr>
        <w:trPr>
          <w:trHeight w:val="26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 (gas and diesel)</w:t>
            </w:r>
          </w:p>
        </w:tc>
        <w:tc>
          <w:tcPr>
            <w:tcW w:w="31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Travato, Era</w:t>
            </w:r>
          </w:p>
        </w:tc>
      </w:tr>
      <w:tr>
        <w:trPr>
          <w:trHeight w:val="218"/>
        </w:trPr>
        <w:tc>
          <w:tcPr>
            <w:tcW w:w="2060" w:type="dxa"/>
            <w:vAlign w:val="bottom"/>
          </w:tcPr>
          <w:p>
            <w:pPr>
              <w:ind w:left="40"/>
              <w:spacing w:after="0"/>
              <w:rPr>
                <w:sz w:val="20"/>
                <w:szCs w:val="20"/>
                <w:color w:val="auto"/>
              </w:rPr>
            </w:pPr>
            <w:r>
              <w:rPr>
                <w:rFonts w:ascii="Arial" w:cs="Arial" w:eastAsia="Arial" w:hAnsi="Arial"/>
                <w:sz w:val="16"/>
                <w:szCs w:val="16"/>
                <w:color w:val="auto"/>
              </w:rPr>
              <w:t>Class C</w:t>
            </w:r>
          </w:p>
        </w:tc>
        <w:tc>
          <w:tcPr>
            <w:tcW w:w="3140" w:type="dxa"/>
            <w:vAlign w:val="bottom"/>
          </w:tcPr>
          <w:p>
            <w:pPr>
              <w:ind w:left="280"/>
              <w:spacing w:after="0"/>
              <w:rPr>
                <w:sz w:val="20"/>
                <w:szCs w:val="20"/>
                <w:color w:val="auto"/>
              </w:rPr>
            </w:pPr>
            <w:r>
              <w:rPr>
                <w:rFonts w:ascii="Arial" w:cs="Arial" w:eastAsia="Arial" w:hAnsi="Arial"/>
                <w:sz w:val="16"/>
                <w:szCs w:val="16"/>
                <w:color w:val="auto"/>
              </w:rPr>
              <w:t>Minnie Winnie, Minnie Winnie Premier,</w:t>
            </w:r>
          </w:p>
        </w:tc>
        <w:tc>
          <w:tcPr>
            <w:tcW w:w="2740" w:type="dxa"/>
            <w:vAlign w:val="bottom"/>
          </w:tcPr>
          <w:p>
            <w:pPr>
              <w:ind w:left="80"/>
              <w:spacing w:after="0"/>
              <w:rPr>
                <w:sz w:val="20"/>
                <w:szCs w:val="20"/>
                <w:color w:val="auto"/>
              </w:rPr>
            </w:pPr>
            <w:r>
              <w:rPr>
                <w:rFonts w:ascii="Arial" w:cs="Arial" w:eastAsia="Arial" w:hAnsi="Arial"/>
                <w:sz w:val="16"/>
                <w:szCs w:val="16"/>
                <w:color w:val="auto"/>
              </w:rPr>
              <w:t>Spirit, Spirit Silver, Impulse Silver,</w:t>
            </w:r>
          </w:p>
        </w:tc>
        <w:tc>
          <w:tcPr>
            <w:tcW w:w="3480" w:type="dxa"/>
            <w:vAlign w:val="bottom"/>
          </w:tcPr>
          <w:p>
            <w:pPr>
              <w:spacing w:after="0"/>
              <w:rPr>
                <w:sz w:val="18"/>
                <w:szCs w:val="18"/>
                <w:color w:val="auto"/>
              </w:rPr>
            </w:pPr>
          </w:p>
        </w:tc>
      </w:tr>
      <w:tr>
        <w:trPr>
          <w:trHeight w:val="189"/>
        </w:trPr>
        <w:tc>
          <w:tcPr>
            <w:tcW w:w="2060" w:type="dxa"/>
            <w:vAlign w:val="bottom"/>
          </w:tcPr>
          <w:p>
            <w:pPr>
              <w:spacing w:after="0"/>
              <w:rPr>
                <w:sz w:val="16"/>
                <w:szCs w:val="16"/>
                <w:color w:val="auto"/>
              </w:rPr>
            </w:pPr>
          </w:p>
        </w:tc>
        <w:tc>
          <w:tcPr>
            <w:tcW w:w="3140" w:type="dxa"/>
            <w:vAlign w:val="bottom"/>
          </w:tcPr>
          <w:p>
            <w:pPr>
              <w:ind w:left="280"/>
              <w:spacing w:after="0"/>
              <w:rPr>
                <w:sz w:val="20"/>
                <w:szCs w:val="20"/>
                <w:color w:val="auto"/>
              </w:rPr>
            </w:pPr>
            <w:r>
              <w:rPr>
                <w:rFonts w:ascii="Arial" w:cs="Arial" w:eastAsia="Arial" w:hAnsi="Arial"/>
                <w:sz w:val="16"/>
                <w:szCs w:val="16"/>
                <w:color w:val="auto"/>
              </w:rPr>
              <w:t>Access Premier,Trend, Aspect, View,</w:t>
            </w:r>
          </w:p>
        </w:tc>
        <w:tc>
          <w:tcPr>
            <w:tcW w:w="2740" w:type="dxa"/>
            <w:vAlign w:val="bottom"/>
          </w:tcPr>
          <w:p>
            <w:pPr>
              <w:ind w:left="80"/>
              <w:spacing w:after="0"/>
              <w:rPr>
                <w:sz w:val="20"/>
                <w:szCs w:val="20"/>
                <w:color w:val="auto"/>
              </w:rPr>
            </w:pPr>
            <w:r>
              <w:rPr>
                <w:rFonts w:ascii="Arial" w:cs="Arial" w:eastAsia="Arial" w:hAnsi="Arial"/>
                <w:sz w:val="16"/>
                <w:szCs w:val="16"/>
                <w:color w:val="auto"/>
              </w:rPr>
              <w:t>Viva!, Cambria, Navion, Navion iQ</w:t>
            </w:r>
          </w:p>
        </w:tc>
        <w:tc>
          <w:tcPr>
            <w:tcW w:w="3480" w:type="dxa"/>
            <w:vAlign w:val="bottom"/>
          </w:tcPr>
          <w:p>
            <w:pPr>
              <w:spacing w:after="0"/>
              <w:rPr>
                <w:sz w:val="16"/>
                <w:szCs w:val="16"/>
                <w:color w:val="auto"/>
              </w:rPr>
            </w:pPr>
          </w:p>
        </w:tc>
      </w:tr>
      <w:tr>
        <w:trPr>
          <w:trHeight w:val="195"/>
        </w:trPr>
        <w:tc>
          <w:tcPr>
            <w:tcW w:w="2060" w:type="dxa"/>
            <w:vAlign w:val="bottom"/>
          </w:tcPr>
          <w:p>
            <w:pPr>
              <w:spacing w:after="0"/>
              <w:rPr>
                <w:sz w:val="16"/>
                <w:szCs w:val="16"/>
                <w:color w:val="auto"/>
              </w:rPr>
            </w:pPr>
          </w:p>
        </w:tc>
        <w:tc>
          <w:tcPr>
            <w:tcW w:w="3140" w:type="dxa"/>
            <w:vAlign w:val="bottom"/>
          </w:tcPr>
          <w:p>
            <w:pPr>
              <w:ind w:left="280"/>
              <w:spacing w:after="0"/>
              <w:rPr>
                <w:sz w:val="20"/>
                <w:szCs w:val="20"/>
                <w:color w:val="auto"/>
              </w:rPr>
            </w:pPr>
            <w:r>
              <w:rPr>
                <w:rFonts w:ascii="Arial" w:cs="Arial" w:eastAsia="Arial" w:hAnsi="Arial"/>
                <w:sz w:val="16"/>
                <w:szCs w:val="16"/>
                <w:color w:val="auto"/>
              </w:rPr>
              <w:t>View Profile</w:t>
            </w:r>
          </w:p>
        </w:tc>
        <w:tc>
          <w:tcPr>
            <w:tcW w:w="2740" w:type="dxa"/>
            <w:vAlign w:val="bottom"/>
          </w:tcPr>
          <w:p>
            <w:pPr>
              <w:spacing w:after="0"/>
              <w:rPr>
                <w:sz w:val="16"/>
                <w:szCs w:val="16"/>
                <w:color w:val="auto"/>
              </w:rPr>
            </w:pPr>
          </w:p>
        </w:tc>
        <w:tc>
          <w:tcPr>
            <w:tcW w:w="3480" w:type="dxa"/>
            <w:vAlign w:val="bottom"/>
          </w:tcPr>
          <w:p>
            <w:pPr>
              <w:spacing w:after="0"/>
              <w:rPr>
                <w:sz w:val="16"/>
                <w:szCs w:val="16"/>
                <w:color w:val="auto"/>
              </w:rPr>
            </w:pPr>
          </w:p>
        </w:tc>
      </w:tr>
    </w:tbl>
    <w:p>
      <w:pPr>
        <w:spacing w:after="0" w:line="183"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motorhome, we offer a comprehensive 12-month/15,000-mile warranty on the coach and, for Class A and C motorhomes, a 3-year/36,000-mile structural warranty on sidewalls and floors.</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$66,000 to $383,000, depending on size and model, plus optional equipment and delivery charges. Our motorhomes range in length from 21 to 43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25, 2012</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27, 2011</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28, 2010</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29, 2009</w:t>
            </w:r>
          </w:p>
        </w:tc>
      </w:tr>
      <w:tr>
        <w:trPr>
          <w:trHeight w:val="257"/>
        </w:trPr>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3,761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2,452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Class B</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236</w:t>
            </w: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149</w:t>
            </w: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1,745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6,821</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4,642</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4,395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4,433</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2,196</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56769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900" cy="26035"/>
                    </a:xfrm>
                    <a:prstGeom prst="rect">
                      <a:avLst/>
                    </a:prstGeom>
                    <a:noFill/>
                  </pic:spPr>
                </pic:pic>
              </a:graphicData>
            </a:graphic>
          </wp:anchor>
        </w:drawing>
      </w:r>
    </w:p>
    <w:p>
      <w:pPr>
        <w:ind w:left="260" w:hanging="238"/>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facility and parts we sell to our dealers. As of August 31, 2013, our parts inventory was approximately $2.6 million and 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located in a 450,000-square foot warehouse with what we believe to be among the most sophisticated distribution and tracking systems in the industry. Our competitive strategy is to provide proprietary manufactured parts through our dealer network, which we believe increases customer satisfaction and the value of our motorhomes.</w:t>
      </w:r>
    </w:p>
    <w:p>
      <w:pPr>
        <w:spacing w:after="0" w:line="127"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Towable RVs. </w:t>
      </w:r>
      <w:r>
        <w:rPr>
          <w:rFonts w:ascii="Arial" w:cs="Arial" w:eastAsia="Arial" w:hAnsi="Arial"/>
          <w:sz w:val="16"/>
          <w:szCs w:val="16"/>
          <w:color w:val="auto"/>
        </w:rPr>
        <w:t>A towable is a non-motorized vehicle that connects to a ball hitch mounted on the tow vehicle and is used as temporary living quarters for</w:t>
      </w:r>
      <w:r>
        <w:rPr>
          <w:rFonts w:ascii="Arial" w:cs="Arial" w:eastAsia="Arial" w:hAnsi="Arial"/>
          <w:sz w:val="16"/>
          <w:szCs w:val="16"/>
          <w:b w:val="1"/>
          <w:bCs w:val="1"/>
          <w:color w:val="auto"/>
        </w:rPr>
        <w:t xml:space="preserve"> </w:t>
      </w:r>
      <w:r>
        <w:rPr>
          <w:rFonts w:ascii="Arial" w:cs="Arial" w:eastAsia="Arial" w:hAnsi="Arial"/>
          <w:sz w:val="16"/>
          <w:szCs w:val="16"/>
          <w:color w:val="auto"/>
        </w:rPr>
        <w:t>recreational travel. We manufacture and sell conventional travel trailers which are towed by means of a hitch attached to the frame of the towing vehicle and fifth wheel trailers which are constructed with a raised forward section that is connected to the vehicle with a special fifth wheel hitch.</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towable product offerings for the 2014 model year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60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Sunnybrook</w:t>
            </w: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Winnebago</w:t>
            </w:r>
          </w:p>
        </w:tc>
      </w:tr>
      <w:tr>
        <w:trPr>
          <w:trHeight w:val="218"/>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60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Sunset Creek, Remington MicroLite, Remington Ultra Lite, Remington</w:t>
            </w: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 Minnie, Ultra</w:t>
            </w:r>
          </w:p>
        </w:tc>
      </w:tr>
      <w:tr>
        <w:trPr>
          <w:trHeight w:val="214"/>
        </w:trPr>
        <w:tc>
          <w:tcPr>
            <w:tcW w:w="1800" w:type="dxa"/>
            <w:vAlign w:val="bottom"/>
            <w:shd w:val="clear" w:color="auto" w:fill="CCEEFF"/>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XLT</w:t>
            </w:r>
          </w:p>
        </w:tc>
        <w:tc>
          <w:tcPr>
            <w:tcW w:w="3580" w:type="dxa"/>
            <w:vAlign w:val="bottom"/>
            <w:shd w:val="clear" w:color="auto" w:fill="CCEEFF"/>
          </w:tcPr>
          <w:p>
            <w:pPr>
              <w:spacing w:after="0"/>
              <w:rPr>
                <w:sz w:val="18"/>
                <w:szCs w:val="18"/>
                <w:color w:val="auto"/>
              </w:rPr>
            </w:pPr>
          </w:p>
        </w:tc>
      </w:tr>
      <w:tr>
        <w:trPr>
          <w:trHeight w:val="224"/>
        </w:trPr>
        <w:tc>
          <w:tcPr>
            <w:tcW w:w="180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6040" w:type="dxa"/>
            <w:vAlign w:val="bottom"/>
          </w:tcPr>
          <w:p>
            <w:pPr>
              <w:ind w:left="860"/>
              <w:spacing w:after="0"/>
              <w:rPr>
                <w:sz w:val="20"/>
                <w:szCs w:val="20"/>
                <w:color w:val="auto"/>
              </w:rPr>
            </w:pPr>
            <w:r>
              <w:rPr>
                <w:rFonts w:ascii="Arial" w:cs="Arial" w:eastAsia="Arial" w:hAnsi="Arial"/>
                <w:sz w:val="16"/>
                <w:szCs w:val="16"/>
                <w:color w:val="auto"/>
              </w:rPr>
              <w:t>Raven, Remington</w:t>
            </w:r>
          </w:p>
        </w:tc>
        <w:tc>
          <w:tcPr>
            <w:tcW w:w="3580" w:type="dxa"/>
            <w:vAlign w:val="bottom"/>
          </w:tcPr>
          <w:p>
            <w:pPr>
              <w:ind w:left="200"/>
              <w:spacing w:after="0"/>
              <w:rPr>
                <w:sz w:val="20"/>
                <w:szCs w:val="20"/>
                <w:color w:val="auto"/>
              </w:rPr>
            </w:pPr>
            <w:r>
              <w:rPr>
                <w:rFonts w:ascii="Arial" w:cs="Arial" w:eastAsia="Arial" w:hAnsi="Arial"/>
                <w:sz w:val="16"/>
                <w:szCs w:val="16"/>
                <w:color w:val="auto"/>
              </w:rPr>
              <w:t>Lite Five</w:t>
            </w:r>
          </w:p>
        </w:tc>
      </w:tr>
    </w:tbl>
    <w:p>
      <w:pPr>
        <w:spacing w:after="0" w:line="18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Our travel trailers and fifth wheels are sold by dealers in the retail market with manufacturer's suggested retail prices ranging from approximately $18,000 to $56,000, depending on size and model, plus optional equipment and delivery charges. Our towables range in length from 18 to 37 feet. All new units purchased receive a comprehensive 12-month warranty. Unit sales of our towables were 2,038 travel trailers and 497 fifth wheels in Fiscal 2013, 1,372 travel trailers and 966 fifth wheels in Fiscal 2012 and 575 travel trailers and 194 fifth wheels in Fiscal 2011.</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We manufacture aluminum extrusions which are sold to approximately 70 customers. To a limited extent, we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component parts sold to outside manufacturers. We also manufacture commercial vehicles which are motorhome shells, primarily custom designed for the buyer's special needs and requirements, such as law enforcement command centers and mobile medical and dental clinics. These commercial vehicles are sold through our dealer network. We've also begun manufacturing transit buses which we believe complement our motorized vehicle line-up. Our buses are sold through a single dealer.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Our motorhomes are produced in the state of Iowa at two different campuses. Our Forest City facilities are vertically integrated and provide mechanized assembly line manufacturing. We also operate an assembly plant and a hardwood cabinet products manufacturing facility in Charles City, Iowa.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and Chrysler Group, LLC. Class C chassis are also purchased from Chrysler Group, LLC. In Fiscal 2013, only three vendors, Ford Motor Company, Freightliner Custom Chassis Corporation and Mercedes-Benz (USA and Canada combined) individually accounted for more than 10% of our raw material purchases and approximating 44%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approximate revenue of our motorhome backlog was $346.7 million and $163.7 million as of August 31, 2013 and August 25, 2012, respectively. The approximate revenue of our towable backlog was $4.7 million and $8.8 million as of August 31, 2013 and August 25, 2012, respectively. A more detailed description of our motorhome and towable order backlog is included in Item 7, "Management's Discussion and Analysis of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organization located throughout the US and, to a limited extent, in Canada. Foreign sales, including Canada, were 10% or less of net revenues during each of the past three fiscal years. See Note 15 to our Financial Statements of this Annual Report on Form 10-K.</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of August 31, 2013 and August 25, 2012, our motorhome dealer organization in the US and Canada included approximately 245 and 235 dealer locations, respectively. We have a number of dealers that carry our Winnebago, Itasca and Winnebago Touring Coach brands; we count each motorhome dealer location only once regardless of how many of our brands are offered at each such dealer location. Our towable dealer organization consisted of 272 and 232 dealer locations as of August 31, 2013 and August 25, 2012, respectively, across the US and Canada. Many of our towable dealerships also carry more than one of the towable product lines, but each dealership is counted only once in the number of towable dealer locations. One of our dealer organizations accounted for 26.5% of our net revenue for Fiscal 2013, as they sold our products in 68 of their dealership locations across 26 US states. A second dealer organization accounted for 12.3% of our net revenue for Fiscal 2013, as they sold our products in 11 dealership locations across 3 US states.</w:t>
      </w:r>
    </w:p>
    <w:p>
      <w:pPr>
        <w:spacing w:after="0" w:line="15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sales and service agreements with dealers which generally have a term of ten years but are subject to annual review. Many of the dealers are also engaged in other areas of business, including the sale of automobiles, trailers or boats, and many dealers carry one or more competitive lines of recreation vehicles. We continue to place high emphasis on the capability of our dealers to provide complete service for our recreation vehicles. Dealers are obligated to provide full service for owners of our recreation vehicles or, in lieu thereof, to secure such service from other authorized providers.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financing. See Note 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them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Our sales of RVs are generally influenced by this pattern in retail sales, but can also be affected by the level of dealer inventory. Our products are generally manufactured against orders from dealers.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and Trademarks</w:t>
      </w:r>
    </w:p>
    <w:p>
      <w:pPr>
        <w:spacing w:after="0" w:line="18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We believe that we currently are in compliance with applicable environmental laws and regulations in all material aspects.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several registered trademarks associated with our motorhomes which include: Access, Adventurer, Aspect, Cambria, Chalet, Destination, Ellipse, Era, Impulse, Itasca, Journey, Latitude, Meridian, Navion, Outlook, Reyo, Rialta, Sightseer, Spirit, Suncruiser, Sundancer, Sunova, Sunrise, Sunstar, Tour, Vectra, Via, View, Vista, Voyage, and Winnebago. Winnebago of Indiana, LLC also has several registered trademarks associated with their towable products which include: Bristol Bay, Brookside, Sunnybrook, Sunset Creek, West Pointe, and Raven. We believe that our trademarks and trade names are significant to our business and we will vigorously protect them against infringement. We are not dependent upon any patents or technology licenses of others for the conduct of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2013, 2012 and 2011, we spent approximately $3.8 million, $3.4 million and $3.3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2013, 2012 and 2011, we employed approximately 2,680, 2,380 and 2,130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5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5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184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(1)</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Chairman of the Board, Chief Executive Officer and President (2006)</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Sales and Product Management (2012)</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48</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(2012)</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51</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Administration (1998)</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62</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Manufacturing (2010)</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50</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40</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Product Development (2001)</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64</w:t>
            </w:r>
          </w:p>
        </w:tc>
      </w:tr>
      <w:tr>
        <w:trPr>
          <w:trHeight w:val="224"/>
        </w:trPr>
        <w:tc>
          <w:tcPr>
            <w:tcW w:w="3060" w:type="dxa"/>
            <w:vAlign w:val="bottom"/>
          </w:tcPr>
          <w:p>
            <w:pPr>
              <w:ind w:left="40"/>
              <w:spacing w:after="0"/>
              <w:rPr>
                <w:sz w:val="20"/>
                <w:szCs w:val="20"/>
                <w:color w:val="auto"/>
              </w:rPr>
            </w:pPr>
            <w:r>
              <w:rPr>
                <w:rFonts w:ascii="Arial" w:cs="Arial" w:eastAsia="Arial" w:hAnsi="Arial"/>
                <w:sz w:val="16"/>
                <w:szCs w:val="16"/>
                <w:color w:val="auto"/>
              </w:rPr>
              <w:t>Donald L. Heidemann</w:t>
            </w:r>
          </w:p>
        </w:tc>
        <w:tc>
          <w:tcPr>
            <w:tcW w:w="6520" w:type="dxa"/>
            <w:vAlign w:val="bottom"/>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41</w:t>
            </w:r>
          </w:p>
        </w:tc>
      </w:tr>
      <w:tr>
        <w:trPr>
          <w:trHeight w:val="293"/>
        </w:trPr>
        <w:tc>
          <w:tcPr>
            <w:tcW w:w="30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Director</w:t>
            </w:r>
          </w:p>
        </w:tc>
        <w:tc>
          <w:tcPr>
            <w:tcW w:w="65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80"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Mr. Potts has over 30 years of experience with Winnebago Industries. He has been Chairman of the Board since January 2012, Chief Executive Officer since June 2011, and President since January 2011. Prior to that time, he served as Senior Vice President, Strategic Planning from November 2009 to June 2011, Vice President, Manufacturing from October 2006 to November 2009, Director of Manufacturing from February 2006 to October 2006 and as General Manager of Manufacturing Services from November 2000 to February 2006.</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Prior to joining Winnebago Industries,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7" w:lineRule="exact"/>
        <w:rPr>
          <w:sz w:val="20"/>
          <w:szCs w:val="20"/>
          <w:color w:val="auto"/>
        </w:rPr>
      </w:pPr>
    </w:p>
    <w:p>
      <w:pPr>
        <w:jc w:val="both"/>
        <w:ind w:right="120"/>
        <w:spacing w:after="0" w:line="191" w:lineRule="exact"/>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Industries, Mr. Folkers was employed as in</w:t>
      </w:r>
      <w:r>
        <w:rPr>
          <w:rFonts w:ascii="MS PGothic" w:cs="MS PGothic" w:eastAsia="MS PGothic" w:hAnsi="MS PGothic"/>
          <w:sz w:val="16"/>
          <w:szCs w:val="16"/>
          <w:color w:val="auto"/>
        </w:rPr>
        <w:t>‑</w:t>
      </w:r>
      <w:r>
        <w:rPr>
          <w:rFonts w:ascii="Arial" w:cs="Arial" w:eastAsia="Arial" w:hAnsi="Arial"/>
          <w:sz w:val="16"/>
          <w:szCs w:val="16"/>
          <w:color w:val="auto"/>
        </w:rPr>
        <w:t>house counsel for John Morrell &amp; Co., in Sioux Falls, SD from 1998 to 2010. Mr. Folkers is a member of the Iowa Bar Association.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14 years of experience with Winnebago Industries. He has been Vice President, Administration since joining the Company in 1998.</w:t>
      </w:r>
    </w:p>
    <w:p>
      <w:pPr>
        <w:spacing w:after="0" w:line="16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Krieger has over 29 years of experience with Winnebago Industries. He has been Vice President, Manufacturing since May 2010. Prior to that time, he served as Director of Manufacturing from November 2009 to May 2010 and General Manager - Fabrication from February 2002 to November 2009.</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Ms. Nielsen has eight years of experience with Winnebago Industries. She has been Vice President and Chief Financial Officer since November 2005. Ms. Nielsen joined the Company in August 2005 as Director of Special Projects and Training. Prior to joining Winnebago Industries, she was employed as a senior audit manager at Deloitte &amp; Touche LLP, where she worked from 1995 to 2005. Ms. Nielsen is a Certified Public Accountant.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Mr. O'Leary has over 41 years of experience with Winnebago Industries. He has been Vice President, Product Development since 2001.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Mr. Heidemann has six years of experience with Winnebago Industries. He was elected to the position of Treasurer in August 2007 and added Director of Finance responsibilities in August 2011. Prior to joining Winnebago Industries, Mr. Heidemann served in various treasury positions for Select Comfort Corporation from 2003 to July 2007 and served in various treasury positions for Rent-A-Center Incorporated from 1998 to 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our market share, sales volume and profit margins. Some of our competitors are much larger than us, most notably in the towable recreation vehicle market, which may provide them additional purchasing power. These competitive pressures may continue to have a material adverse effect on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87"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Companies within the recreation vehicle industry are subject to volatility in operating results due primarily to general economic conditions because the purchase of an RV is often viewed as a consumer luxury purchase. Specific factors affecting the recreation vehicle industry include:</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business is affected by the availability and terms of the financing to dealers. Generally, recreation vehicle dealers finance their purchases of inventory with financing provided by lending institutions. Two financial flooring institutions held 80% of our total financed dealer inventory dollars that were outstanding at August 31, 2013. In the event that either or both of these lending institutions limit or discontinue dealer financing, we could experience a material adverse effect on our results of operations. Our business is also affected by the availability and terms of financing to retail purchasers. Retail buyers purchasing a motorhome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recreation vehicle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 Our business also does well when the US housing market is strong and our business weakens when the US housing market weakens.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One of our dealer organizations accounted for 26.5% of our net revenue for Fiscal 2013, as they sold our products in 68 of their dealership locations across 26 US states. A second dealer organization accounted for 12.3% of our net revenue for Fiscal 2013, as they sold products in 11 of their dealership locations across 3 US states. The loss of either or both of these dealer organizations could have a significant adverse effect on our business. In addition, deterioration in the liquidity or creditworthiness of either of both of these dealers could negatively impact our sales and could trigger repurchase obligations under our repurchase agreements.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RVs in the future, this would increase our costs and could have a material adverse effect on our results of operations, financial condition, and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RVs, however, are not generally purchased for fuel efficiency. Fuel shortages and substantial increases in fuel prices have had a material adverse effect on the recreation vehicle industry as a whole in the past and could have a material adverse effect on us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suppliers. In the case of motorhome chassis, Ford Motor Company, Freightliner Custom Chassis Corporation and Mercedes-Benz (USA and Canada) are our major suppliers. Our relationship with our chassis suppliers is similar to our other supplier relationships in that no special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Sales of motorhomes rely on chassis supply and are affected by shortages. Decisions by our suppliers to decrease production, production delays, or work stoppages by the employees of such suppliers could have a material adverse effect on our ability to produce motorhomes and ultimately,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recreation vehicle industry. We have an insurance policy covering product liability, however, we are self-insured for a portion of product liability claims.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187"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subject to numerous federal, state and local regulations. Some regulations govern the manufacture and sale of our products, including the provisions of the MVA, and the safety standards for recreation vehicles and components which have been established under the Motor Vehicle Act by the Department of Transportation. The MVA authorizes the National Highway Traffic Safety Administration to require a manufacturer to recall and repair vehicles which contain certain hazards or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manufacturing, purchasing, operating or selling our products and could have a material adverse effect on our results of operations, financial condition, and cash flows. In addition, our failure to comply with present or future regulations could result in fines being imposed on us, potential civil and criminal liability, suspension of sales or production or cessation of operations.</w:t>
      </w:r>
    </w:p>
    <w:p>
      <w:pPr>
        <w:spacing w:after="0" w:line="34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4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Failure to comply with NYSE and SEC laws or regulations could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3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Recently, the SEC adopted new rules pursuant to Section 1502 of the Dodd-Frank Wall Street Reform and Consumer Protection Act setting forth new disclosure requirements concerning the use or potential use of certain minerals, deemed conflict minerals (tantalum, tin, gold and tungsten), that are mined from the Democratic Republic of Congo and adjoining countries. These new requirements will necessitate due diligence efforts on our part to assess whether such minerals are used in our products in order to make the relevant required disclosures beginning in May 2014. There will be costs associated with complying with these new disclosure requirements, including for diligence to determine the sources of those minerals that may be used or necessary to the production of our products. We may face reputational challenges that could impact future sales if we determine that certain of our products contain minerals not determined to be conflict free or if we are unable to sufficiently verify the origins for all conflict minerals used in our products.</w:t>
      </w:r>
    </w:p>
    <w:p>
      <w:pPr>
        <w:spacing w:after="0" w:line="15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8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and certain of our compensation programs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31, 2013: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5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Facility Type/Use</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of 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maintenance,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1,558,000</w:t>
            </w:r>
          </w:p>
        </w:tc>
        <w:tc>
          <w:tcPr>
            <w:tcW w:w="0" w:type="dxa"/>
            <w:vAlign w:val="bottom"/>
          </w:tcPr>
          <w:p>
            <w:pPr>
              <w:spacing w:after="0"/>
              <w:rPr>
                <w:sz w:val="1"/>
                <w:szCs w:val="1"/>
                <w:color w:val="auto"/>
              </w:rPr>
            </w:pP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tcPr>
          <w:p>
            <w:pPr>
              <w:ind w:left="740"/>
              <w:spacing w:after="0"/>
              <w:rPr>
                <w:sz w:val="20"/>
                <w:szCs w:val="20"/>
                <w:color w:val="auto"/>
              </w:rPr>
            </w:pPr>
            <w:r>
              <w:rPr>
                <w:rFonts w:ascii="Arial" w:cs="Arial" w:eastAsia="Arial" w:hAnsi="Arial"/>
                <w:sz w:val="16"/>
                <w:szCs w:val="16"/>
                <w:color w:val="auto"/>
              </w:rPr>
              <w:t>Warehouse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702,000</w:t>
            </w:r>
          </w:p>
        </w:tc>
        <w:tc>
          <w:tcPr>
            <w:tcW w:w="0" w:type="dxa"/>
            <w:vAlign w:val="bottom"/>
          </w:tcPr>
          <w:p>
            <w:pPr>
              <w:spacing w:after="0"/>
              <w:rPr>
                <w:sz w:val="1"/>
                <w:szCs w:val="1"/>
                <w:color w:val="auto"/>
              </w:rPr>
            </w:pPr>
          </w:p>
        </w:tc>
      </w:tr>
      <w:tr>
        <w:trPr>
          <w:trHeight w:val="25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Middlebury, Indiana</w:t>
            </w:r>
          </w:p>
        </w:tc>
        <w:tc>
          <w:tcPr>
            <w:tcW w:w="550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Manufacturing and office</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277,000</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2,698,000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500" w:type="dxa"/>
            <w:vAlign w:val="bottom"/>
            <w:vMerge w:val="restart"/>
          </w:tcPr>
          <w:p>
            <w:pPr>
              <w:ind w:left="3500"/>
              <w:spacing w:after="0"/>
              <w:rPr>
                <w:sz w:val="20"/>
                <w:szCs w:val="20"/>
                <w:color w:val="auto"/>
              </w:rPr>
            </w:pPr>
            <w:r>
              <w:rPr>
                <w:rFonts w:ascii="Arial" w:cs="Arial" w:eastAsia="Arial" w:hAnsi="Arial"/>
                <w:sz w:val="16"/>
                <w:szCs w:val="16"/>
                <w:color w:val="auto"/>
              </w:rPr>
              <w:t>8</w:t>
            </w: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16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80"/>
        <w:spacing w:after="0" w:line="191" w:lineRule="exact"/>
        <w:rPr>
          <w:sz w:val="20"/>
          <w:szCs w:val="20"/>
          <w:color w:val="auto"/>
        </w:rPr>
      </w:pPr>
      <w:r>
        <w:rPr>
          <w:rFonts w:ascii="Arial" w:cs="Arial" w:eastAsia="Arial" w:hAnsi="Arial"/>
          <w:sz w:val="16"/>
          <w:szCs w:val="16"/>
          <w:color w:val="auto"/>
        </w:rPr>
        <w:t>The facilities that we own in Forest City and Charles City are located on approximately 450 acres of land. We lease 244,000 square feet of our warehouse facilities in Forest City to others.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5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January 2011, we entered into a five-year lease agreement with FFT Land Management for real property consisting of four buildings and approximately 30 acres of land located in Middlebury, Indiana. The buildings are being utilized to manufacture towable trailers. See Note 19.</w:t>
      </w:r>
    </w:p>
    <w:p>
      <w:pPr>
        <w:spacing w:after="0" w:line="14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the first quarter of Fiscal 2013, property in Hampton, Iowa, an asset held for sale, was sold for $550,000 in gross proceeds resulting in a loss of $28,000 not including previous impairments. See Note 6.</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8, we have encumbered substantially all of our real property for the benefit of the lender under such facility.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2013 and Fiscal 2012: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2013</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Close</w:t>
            </w:r>
          </w:p>
        </w:tc>
        <w:tc>
          <w:tcPr>
            <w:tcW w:w="1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Fiscal 2012</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14.22</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13.53</w:t>
            </w:r>
          </w:p>
        </w:tc>
        <w:tc>
          <w:tcPr>
            <w:tcW w:w="26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19.49</w:t>
            </w:r>
          </w:p>
        </w:tc>
        <w:tc>
          <w:tcPr>
            <w:tcW w:w="1940" w:type="dxa"/>
            <w:vAlign w:val="bottom"/>
          </w:tcPr>
          <w:p>
            <w:pPr>
              <w:ind w:left="18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10.51</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20.76</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25.15</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19.33</w:t>
            </w:r>
          </w:p>
        </w:tc>
        <w:tc>
          <w:tcPr>
            <w:tcW w:w="26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22.27</w:t>
            </w:r>
          </w:p>
        </w:tc>
        <w:tc>
          <w:tcPr>
            <w:tcW w:w="1940" w:type="dxa"/>
            <w:vAlign w:val="bottom"/>
          </w:tcPr>
          <w:p>
            <w:pPr>
              <w:ind w:left="18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8.50</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11.01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15, 2013: 3,278</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15, 2008, our Board of Directors suspended future cash dividend payments in order to conserve capital and to maintain liquidity. No dividends have been paid since the first quarter of Fiscal 2009.</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credit facility, as further described in Note 8, also contains covenants that limit our ability, among other things, to pay cash dividends without the consent of Wells Fargo, as Agent and the lenders thereunder, in their sole discretion.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Our credit facility, as further described in Note 8, contains covenants that limits our ability, among other things, except for limited purchases of our common stock from employees, to make distributions or payments with respect to or purchases of our common stock without consent of the lenders.</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2013, approximately 882,000 shares were repurchased under the authorization, at an aggregate cost of approximately $12.7 million, or $14.40 per share. Approximately 21,000 of these shares were repurchased from employees who vested in Winnebago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Industries shares during the fiscal year and elected to pay their payroll tax via delivery of common stock as opposed to cash. As of August 31, 2013, there was approximately $39.9 million remaining under this authorization.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06/02/13 - 07/06/13</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41,442,000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07/07/13 - 08/03/13</w:t>
            </w:r>
          </w:p>
        </w:tc>
        <w:tc>
          <w:tcPr>
            <w:tcW w:w="180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24.01</w:t>
            </w:r>
          </w:p>
        </w:tc>
        <w:tc>
          <w:tcPr>
            <w:tcW w:w="1580" w:type="dxa"/>
            <w:vAlign w:val="bottom"/>
          </w:tcPr>
          <w:p>
            <w:pPr>
              <w:jc w:val="right"/>
              <w:spacing w:after="0"/>
              <w:rPr>
                <w:sz w:val="20"/>
                <w:szCs w:val="20"/>
                <w:color w:val="auto"/>
              </w:rPr>
            </w:pPr>
            <w:r>
              <w:rPr>
                <w:rFonts w:ascii="Arial" w:cs="Arial" w:eastAsia="Arial" w:hAnsi="Arial"/>
                <w:sz w:val="16"/>
                <w:szCs w:val="16"/>
                <w:color w:val="auto"/>
              </w:rPr>
              <w:t>10,000</w:t>
            </w:r>
          </w:p>
        </w:tc>
        <w:tc>
          <w:tcPr>
            <w:tcW w:w="5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41,202,000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08/04/13 - 08/31/13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55,600</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55,600</w:t>
            </w:r>
          </w:p>
        </w:tc>
        <w:tc>
          <w:tcPr>
            <w:tcW w:w="5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39,922,000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23.17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65,600</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39,922,000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31, 2013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w:t>
            </w:r>
          </w:p>
        </w:tc>
        <w:tc>
          <w:tcPr>
            <w:tcW w:w="6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(b)</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(c)</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gridSpan w:val="2"/>
          </w:tcPr>
          <w:p>
            <w:pPr>
              <w:jc w:val="center"/>
              <w:ind w:right="6"/>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1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be Issued Upon</w:t>
            </w:r>
          </w:p>
        </w:tc>
        <w:tc>
          <w:tcPr>
            <w:tcW w:w="620" w:type="dxa"/>
            <w:vAlign w:val="bottom"/>
          </w:tcPr>
          <w:p>
            <w:pPr>
              <w:spacing w:after="0"/>
              <w:rPr>
                <w:sz w:val="16"/>
                <w:szCs w:val="16"/>
                <w:color w:val="auto"/>
              </w:rPr>
            </w:pPr>
          </w:p>
        </w:tc>
        <w:tc>
          <w:tcPr>
            <w:tcW w:w="24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Weighted Average</w:t>
            </w:r>
          </w:p>
        </w:tc>
        <w:tc>
          <w:tcPr>
            <w:tcW w:w="274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for the 2-for-1 Stock</w:t>
            </w: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Exercise of</w:t>
            </w:r>
          </w:p>
        </w:tc>
        <w:tc>
          <w:tcPr>
            <w:tcW w:w="620" w:type="dxa"/>
            <w:vAlign w:val="bottom"/>
          </w:tcPr>
          <w:p>
            <w:pPr>
              <w:spacing w:after="0"/>
              <w:rPr>
                <w:sz w:val="16"/>
                <w:szCs w:val="16"/>
                <w:color w:val="auto"/>
              </w:rPr>
            </w:pPr>
          </w:p>
        </w:tc>
        <w:tc>
          <w:tcPr>
            <w:tcW w:w="1820" w:type="dxa"/>
            <w:vAlign w:val="bottom"/>
          </w:tcPr>
          <w:p>
            <w:pPr>
              <w:jc w:val="center"/>
              <w:ind w:left="399"/>
              <w:spacing w:after="0"/>
              <w:rPr>
                <w:sz w:val="20"/>
                <w:szCs w:val="20"/>
                <w:color w:val="auto"/>
              </w:rPr>
            </w:pPr>
            <w:r>
              <w:rPr>
                <w:rFonts w:ascii="Arial" w:cs="Arial" w:eastAsia="Arial" w:hAnsi="Arial"/>
                <w:sz w:val="16"/>
                <w:szCs w:val="16"/>
                <w:b w:val="1"/>
                <w:bCs w:val="1"/>
                <w:color w:val="auto"/>
              </w:rPr>
              <w:t>Exercise Price of</w:t>
            </w: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Split on March 5, 2004)</w:t>
            </w: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Outstanding Options,</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44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Warrants and Rights</w:t>
            </w:r>
          </w:p>
        </w:tc>
        <w:tc>
          <w:tcPr>
            <w:tcW w:w="202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b w:val="1"/>
                <w:bCs w:val="1"/>
                <w:color w:val="auto"/>
                <w:w w:val="99"/>
              </w:rPr>
              <w:t>Reflected in (a))</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06"/>
              <w:spacing w:after="0"/>
              <w:rPr>
                <w:sz w:val="20"/>
                <w:szCs w:val="20"/>
                <w:color w:val="auto"/>
              </w:rPr>
            </w:pPr>
            <w:r>
              <w:rPr>
                <w:rFonts w:ascii="Arial" w:cs="Arial" w:eastAsia="Arial" w:hAnsi="Arial"/>
                <w:sz w:val="11"/>
                <w:szCs w:val="11"/>
                <w:color w:val="auto"/>
              </w:rPr>
              <w:t>(1)</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w:t>
            </w:r>
          </w:p>
        </w:tc>
        <w:tc>
          <w:tcPr>
            <w:tcW w:w="1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664,994</w:t>
            </w:r>
          </w:p>
        </w:tc>
        <w:tc>
          <w:tcPr>
            <w:tcW w:w="62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29.83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2,857,171</w:t>
            </w: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(3)</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111,700</w:t>
            </w:r>
          </w:p>
        </w:tc>
        <w:tc>
          <w:tcPr>
            <w:tcW w:w="6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(4)</w:t>
            </w:r>
          </w:p>
        </w:tc>
        <w:tc>
          <w:tcPr>
            <w:tcW w:w="1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12.89</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776,694</w:t>
            </w:r>
          </w:p>
        </w:tc>
        <w:tc>
          <w:tcPr>
            <w:tcW w:w="62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27.39</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2,857,171</w:t>
            </w: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right="8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includes 552,902 stock options granted under the 2004 Incentive Compensation Plan, as amended (the "Plan"). Also included are 112,092 options granted under the 1997 Stock Option Plan.</w:t>
      </w:r>
    </w:p>
    <w:p>
      <w:pPr>
        <w:ind w:left="260" w:right="220" w:hanging="238"/>
        <w:spacing w:after="0" w:line="220"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Plan as of August 31, 2013. The Plan replaced the 1997 Stock Option Plan effective January 1, 2004. No new grants may be made under the 1997 Stock Option Plan. Any stock options previously granted under the 1997 Stock Option Plan will continue to be exercisable in accordance with their original terms and conditions.</w:t>
      </w:r>
    </w:p>
    <w:p>
      <w:pPr>
        <w:spacing w:after="0" w:line="1" w:lineRule="exact"/>
        <w:rPr>
          <w:rFonts w:ascii="Arial" w:cs="Arial" w:eastAsia="Arial" w:hAnsi="Arial"/>
          <w:sz w:val="18"/>
          <w:szCs w:val="18"/>
          <w:color w:val="auto"/>
          <w:vertAlign w:val="superscript"/>
        </w:rPr>
      </w:pPr>
    </w:p>
    <w:p>
      <w:pPr>
        <w:ind w:left="260" w:right="240" w:hanging="238"/>
        <w:spacing w:after="0" w:line="225"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as amended. The Board of Directors may terminate the Directors' Deferred Compensation Plan at any time. If not terminated earlier, the Directors' Deferred Compensation Plan will automatically terminate on June 30, 2023. For a description of the key provisions of the Directors' Deferred Compensation Plan, see the information in our Proxy Statement for the Annual Meeting of Shareholders scheduled to be held December 17, 2013 under the caption "Director Compensation," which information is incorporated by reference herein.</w:t>
      </w:r>
    </w:p>
    <w:p>
      <w:pPr>
        <w:spacing w:after="0" w:line="1" w:lineRule="exact"/>
        <w:rPr>
          <w:rFonts w:ascii="Arial" w:cs="Arial" w:eastAsia="Arial" w:hAnsi="Arial"/>
          <w:sz w:val="18"/>
          <w:szCs w:val="18"/>
          <w:color w:val="auto"/>
          <w:vertAlign w:val="superscript"/>
        </w:rPr>
      </w:pPr>
    </w:p>
    <w:p>
      <w:pPr>
        <w:ind w:left="260" w:right="16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31, 2013 under the Directors' Deferred Compensation Plan.</w:t>
      </w:r>
    </w:p>
    <w:p>
      <w:pPr>
        <w:ind w:left="260" w:right="60" w:hanging="238"/>
        <w:spacing w:after="0" w:line="225"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30, 2008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69000" cy="343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1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rPr>
              <w:t>Base Period</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8/30/08</w:t>
            </w:r>
          </w:p>
        </w:tc>
        <w:tc>
          <w:tcPr>
            <w:tcW w:w="1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8/29/09</w:t>
            </w:r>
          </w:p>
        </w:tc>
        <w:tc>
          <w:tcPr>
            <w:tcW w:w="1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8/28/10</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8/27/11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8/25/12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8/31/13</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100.00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103.44</w:t>
            </w:r>
          </w:p>
        </w:tc>
        <w:tc>
          <w:tcPr>
            <w:tcW w:w="7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80.56</w:t>
            </w: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63.56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101.03</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204.36</w:t>
            </w:r>
          </w:p>
        </w:tc>
      </w:tr>
      <w:tr>
        <w:trPr>
          <w:trHeight w:val="260"/>
        </w:trPr>
        <w:tc>
          <w:tcPr>
            <w:tcW w:w="39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840" w:type="dxa"/>
            <w:vAlign w:val="bottom"/>
            <w:gridSpan w:val="3"/>
          </w:tcPr>
          <w:p>
            <w:pPr>
              <w:jc w:val="right"/>
              <w:ind w:right="560"/>
              <w:spacing w:after="0"/>
              <w:rPr>
                <w:sz w:val="20"/>
                <w:szCs w:val="20"/>
                <w:color w:val="auto"/>
              </w:rPr>
            </w:pPr>
            <w:r>
              <w:rPr>
                <w:rFonts w:ascii="Arial" w:cs="Arial" w:eastAsia="Arial" w:hAnsi="Arial"/>
                <w:sz w:val="16"/>
                <w:szCs w:val="16"/>
                <w:color w:val="auto"/>
              </w:rPr>
              <w:t>100.00</w:t>
            </w: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82.41</w:t>
            </w:r>
          </w:p>
        </w:tc>
        <w:tc>
          <w:tcPr>
            <w:tcW w:w="720" w:type="dxa"/>
            <w:vAlign w:val="bottom"/>
          </w:tcPr>
          <w:p>
            <w:pPr>
              <w:spacing w:after="0"/>
              <w:rPr>
                <w:sz w:val="22"/>
                <w:szCs w:val="22"/>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86.99</w:t>
            </w: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98.07</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120.11</w:t>
            </w:r>
          </w:p>
        </w:tc>
        <w:tc>
          <w:tcPr>
            <w:tcW w:w="20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142.18</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100.00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92.57</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113.89</w:t>
            </w:r>
          </w:p>
        </w:tc>
        <w:tc>
          <w:tcPr>
            <w:tcW w:w="1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156.35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237.56</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366.45</w:t>
            </w:r>
          </w:p>
        </w:tc>
      </w:tr>
      <w:tr>
        <w:trPr>
          <w:trHeight w:val="386"/>
        </w:trPr>
        <w:tc>
          <w:tcPr>
            <w:tcW w:w="3960" w:type="dxa"/>
            <w:vAlign w:val="bottom"/>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Fiscal Years Ended</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70"/>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EPS)</w:t>
            </w:r>
          </w:p>
        </w:tc>
        <w:tc>
          <w:tcPr>
            <w:tcW w:w="18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08/31/13</w:t>
            </w:r>
          </w:p>
        </w:tc>
        <w:tc>
          <w:tcPr>
            <w:tcW w:w="13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 xml:space="preserve">8/25/12 </w:t>
            </w:r>
            <w:r>
              <w:rPr>
                <w:rFonts w:ascii="Arial" w:cs="Arial" w:eastAsia="Arial" w:hAnsi="Arial"/>
                <w:sz w:val="21"/>
                <w:szCs w:val="21"/>
                <w:color w:val="auto"/>
                <w:vertAlign w:val="superscript"/>
              </w:rPr>
              <w:t>(1)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20"/>
              <w:spacing w:after="0"/>
              <w:rPr>
                <w:sz w:val="20"/>
                <w:szCs w:val="20"/>
                <w:color w:val="auto"/>
              </w:rPr>
            </w:pPr>
            <w:r>
              <w:rPr>
                <w:rFonts w:ascii="Arial" w:cs="Arial" w:eastAsia="Arial" w:hAnsi="Arial"/>
                <w:sz w:val="16"/>
                <w:szCs w:val="16"/>
                <w:b w:val="1"/>
                <w:bCs w:val="1"/>
                <w:color w:val="auto"/>
              </w:rPr>
              <w:t>08/27/11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08/28/10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40"/>
              <w:spacing w:after="0"/>
              <w:rPr>
                <w:sz w:val="20"/>
                <w:szCs w:val="20"/>
                <w:color w:val="auto"/>
              </w:rPr>
            </w:pPr>
            <w:r>
              <w:rPr>
                <w:rFonts w:ascii="Arial" w:cs="Arial" w:eastAsia="Arial" w:hAnsi="Arial"/>
                <w:sz w:val="16"/>
                <w:szCs w:val="16"/>
                <w:b w:val="1"/>
                <w:bCs w:val="1"/>
                <w:color w:val="auto"/>
              </w:rPr>
              <w:t xml:space="preserve">8/29/09 </w:t>
            </w:r>
            <w:r>
              <w:rPr>
                <w:rFonts w:ascii="Arial" w:cs="Arial" w:eastAsia="Arial" w:hAnsi="Arial"/>
                <w:sz w:val="21"/>
                <w:szCs w:val="21"/>
                <w:b w:val="1"/>
                <w:bCs w:val="1"/>
                <w:color w:val="auto"/>
                <w:vertAlign w:val="superscript"/>
              </w:rPr>
              <w:t>(1)</w:t>
            </w:r>
          </w:p>
        </w:tc>
      </w:tr>
      <w:tr>
        <w:trPr>
          <w:trHeight w:val="264"/>
        </w:trPr>
        <w:tc>
          <w:tcPr>
            <w:tcW w:w="3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6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803,165</w:t>
            </w:r>
          </w:p>
        </w:tc>
        <w:tc>
          <w:tcPr>
            <w:tcW w:w="6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581,679</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496,418</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449,484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211,519</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10,247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(78,766)</w:t>
            </w:r>
          </w:p>
        </w:tc>
      </w:tr>
      <w:tr>
        <w:trPr>
          <w:trHeight w:val="270"/>
        </w:trPr>
        <w:tc>
          <w:tcPr>
            <w:tcW w:w="3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6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Net income (loss) - basic</w:t>
            </w: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(2.71)</w:t>
            </w:r>
          </w:p>
        </w:tc>
      </w:tr>
      <w:tr>
        <w:trPr>
          <w:trHeight w:val="280"/>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 diluted</w:t>
            </w:r>
          </w:p>
        </w:tc>
        <w:tc>
          <w:tcPr>
            <w:tcW w:w="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(2.71)</w:t>
            </w:r>
          </w:p>
        </w:tc>
      </w:tr>
      <w:tr>
        <w:trPr>
          <w:trHeight w:val="260"/>
        </w:trPr>
        <w:tc>
          <w:tcPr>
            <w:tcW w:w="3960" w:type="dxa"/>
            <w:vAlign w:val="bottom"/>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0.12</w:t>
            </w:r>
          </w:p>
        </w:tc>
      </w:tr>
      <w:tr>
        <w:trPr>
          <w:trHeight w:val="280"/>
        </w:trPr>
        <w:tc>
          <w:tcPr>
            <w:tcW w:w="3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1"/>
        </w:trPr>
        <w:tc>
          <w:tcPr>
            <w:tcW w:w="3960" w:type="dxa"/>
            <w:vAlign w:val="bottom"/>
          </w:tcPr>
          <w:p>
            <w:pPr>
              <w:ind w:left="40"/>
              <w:spacing w:after="0"/>
              <w:rPr>
                <w:sz w:val="20"/>
                <w:szCs w:val="20"/>
                <w:color w:val="auto"/>
              </w:rPr>
            </w:pPr>
            <w:r>
              <w:rPr>
                <w:rFonts w:ascii="Arial" w:cs="Arial" w:eastAsia="Arial" w:hAnsi="Arial"/>
                <w:sz w:val="16"/>
                <w:szCs w:val="16"/>
                <w:color w:val="auto"/>
              </w:rPr>
              <w:t>Balance sheet data:</w:t>
            </w: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309,145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286,072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239,927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227,357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220,466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ind w:right="380" w:firstLine="8"/>
        <w:spacing w:after="0" w:line="263"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 Fiscal 2009 we established a valuation allowance of $45.3 million on our deferred tax assets. In Fiscal 2012, we determined we no longer needed the valuation allowance and re-established $39.0 million of deferred tax assets.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Executive Overview</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Industry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Company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Results of Operations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Analysis of Financial Condition, Liquidity and Capital Resources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Contractual Obligations and Commercial Commitments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Critical Accounting Policies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7"/>
        </w:numPr>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80" w:lineRule="exact"/>
        <w:rPr>
          <w:rFonts w:ascii="Arial" w:cs="Arial" w:eastAsia="Arial" w:hAnsi="Arial"/>
          <w:sz w:val="16"/>
          <w:szCs w:val="16"/>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Through August 31</w:t>
            </w:r>
          </w:p>
        </w:tc>
        <w:tc>
          <w:tcPr>
            <w:tcW w:w="1300" w:type="dxa"/>
            <w:vAlign w:val="bottom"/>
          </w:tcPr>
          <w:p>
            <w:pPr>
              <w:spacing w:after="0"/>
              <w:rPr>
                <w:sz w:val="17"/>
                <w:szCs w:val="17"/>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22.2%</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24.2%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22.2%</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23.7%</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17.4%</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19.4%</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17.6%</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15.2%</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20.3%</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20.2%</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19.5%</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16.3%</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18.3%</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17.4%</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17.9%</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18.4%</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20.5%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19.0%</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17.4%</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17.6%</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7.9%</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15.6%</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tcPr>
          <w:p>
            <w:pPr>
              <w:ind w:left="680"/>
              <w:spacing w:after="0"/>
              <w:rPr>
                <w:sz w:val="20"/>
                <w:szCs w:val="20"/>
                <w:color w:val="auto"/>
              </w:rPr>
            </w:pPr>
            <w:r>
              <w:rPr>
                <w:rFonts w:ascii="Arial" w:cs="Arial" w:eastAsia="Arial" w:hAnsi="Arial"/>
                <w:sz w:val="14"/>
                <w:szCs w:val="14"/>
                <w:b w:val="1"/>
                <w:bCs w:val="1"/>
                <w:color w:val="auto"/>
              </w:rPr>
              <w:t>Through July 31</w:t>
            </w:r>
          </w:p>
        </w:tc>
        <w:tc>
          <w:tcPr>
            <w:tcW w:w="1300" w:type="dxa"/>
            <w:vAlign w:val="bottom"/>
          </w:tcPr>
          <w:p>
            <w:pPr>
              <w:spacing w:after="0"/>
              <w:rPr>
                <w:sz w:val="24"/>
                <w:szCs w:val="24"/>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4"/>
                <w:szCs w:val="24"/>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14.0%</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15.3%</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16.5%</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14.9%</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15.4%</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17.3%</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18.0%</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9.9%</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14.5%</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16.1%</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17.1%</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12.6%</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11.7%</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13.1%</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14.9%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13.8%</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12.8%</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15.5%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16.5%</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13.2%</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20.2%</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12.7%</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7.1%</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4.8%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right"/>
              <w:ind w:right="1125"/>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3"/>
          </w:tcPr>
          <w:p>
            <w:pPr>
              <w:jc w:val="right"/>
              <w:ind w:right="905"/>
              <w:spacing w:after="0"/>
              <w:rPr>
                <w:sz w:val="20"/>
                <w:szCs w:val="20"/>
                <w:color w:val="auto"/>
              </w:rPr>
            </w:pPr>
            <w:r>
              <w:rPr>
                <w:rFonts w:ascii="Arial" w:cs="Arial" w:eastAsia="Arial" w:hAnsi="Arial"/>
                <w:sz w:val="14"/>
                <w:szCs w:val="14"/>
                <w:b w:val="1"/>
                <w:bCs w:val="1"/>
                <w:color w:val="auto"/>
              </w:rPr>
              <w:t>Canadian</w:t>
            </w:r>
          </w:p>
        </w:tc>
        <w:tc>
          <w:tcPr>
            <w:tcW w:w="1120" w:type="dxa"/>
            <w:vAlign w:val="bottom"/>
          </w:tcPr>
          <w:p>
            <w:pPr>
              <w:spacing w:after="0"/>
              <w:rPr>
                <w:sz w:val="16"/>
                <w:szCs w:val="16"/>
                <w:color w:val="auto"/>
              </w:rPr>
            </w:pPr>
          </w:p>
        </w:tc>
      </w:tr>
      <w:tr>
        <w:trPr>
          <w:trHeight w:val="39"/>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2"/>
          </w:tcPr>
          <w:p>
            <w:pPr>
              <w:spacing w:after="0"/>
              <w:rPr>
                <w:sz w:val="3"/>
                <w:szCs w:val="3"/>
                <w:color w:val="auto"/>
              </w:rPr>
            </w:pPr>
          </w:p>
        </w:tc>
      </w:tr>
      <w:tr>
        <w:trPr>
          <w:trHeight w:val="258"/>
        </w:trPr>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Through July 31</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Calendar Year</w:t>
            </w:r>
          </w:p>
        </w:tc>
        <w:tc>
          <w:tcPr>
            <w:tcW w:w="100" w:type="dxa"/>
            <w:vAlign w:val="bottom"/>
          </w:tcPr>
          <w:p>
            <w:pPr>
              <w:spacing w:after="0"/>
              <w:rPr>
                <w:sz w:val="22"/>
                <w:szCs w:val="22"/>
                <w:color w:val="auto"/>
              </w:rPr>
            </w:pPr>
          </w:p>
        </w:tc>
        <w:tc>
          <w:tcPr>
            <w:tcW w:w="212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Through July 31</w:t>
            </w: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Retail Towables:</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2011</w:t>
            </w:r>
          </w:p>
        </w:tc>
      </w:tr>
      <w:tr>
        <w:trPr>
          <w:trHeight w:val="256"/>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2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520" w:type="dxa"/>
            <w:vAlign w:val="bottom"/>
            <w:gridSpan w:val="3"/>
            <w:shd w:val="clear" w:color="auto" w:fill="CCEEFF"/>
          </w:tcPr>
          <w:p>
            <w:pPr>
              <w:jc w:val="right"/>
              <w:ind w:right="265"/>
              <w:spacing w:after="0"/>
              <w:rPr>
                <w:sz w:val="20"/>
                <w:szCs w:val="20"/>
                <w:color w:val="auto"/>
              </w:rPr>
            </w:pPr>
            <w:r>
              <w:rPr>
                <w:rFonts w:ascii="Arial" w:cs="Arial" w:eastAsia="Arial" w:hAnsi="Arial"/>
                <w:sz w:val="16"/>
                <w:szCs w:val="16"/>
                <w:color w:val="auto"/>
              </w:rPr>
              <w:t>0.8%</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40" w:type="dxa"/>
            <w:vAlign w:val="bottom"/>
            <w:gridSpan w:val="3"/>
            <w:shd w:val="clear" w:color="auto" w:fill="CCEEFF"/>
          </w:tcPr>
          <w:p>
            <w:pPr>
              <w:jc w:val="right"/>
              <w:ind w:right="285"/>
              <w:spacing w:after="0"/>
              <w:rPr>
                <w:sz w:val="20"/>
                <w:szCs w:val="20"/>
                <w:color w:val="auto"/>
              </w:rPr>
            </w:pPr>
            <w:r>
              <w:rPr>
                <w:rFonts w:ascii="Arial" w:cs="Arial" w:eastAsia="Arial" w:hAnsi="Arial"/>
                <w:sz w:val="16"/>
                <w:szCs w:val="16"/>
                <w:color w:val="auto"/>
              </w:rPr>
              <w:t>0.6%</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64"/>
        </w:trPr>
        <w:tc>
          <w:tcPr>
            <w:tcW w:w="1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0.8%</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1.5%</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0.6%</w:t>
            </w:r>
          </w:p>
        </w:tc>
      </w:tr>
      <w:tr>
        <w:trPr>
          <w:trHeight w:val="240"/>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2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520" w:type="dxa"/>
            <w:vAlign w:val="bottom"/>
            <w:gridSpan w:val="3"/>
            <w:shd w:val="clear" w:color="auto" w:fill="CCEEFF"/>
          </w:tcPr>
          <w:p>
            <w:pPr>
              <w:jc w:val="right"/>
              <w:ind w:right="265"/>
              <w:spacing w:after="0"/>
              <w:rPr>
                <w:sz w:val="20"/>
                <w:szCs w:val="20"/>
                <w:color w:val="auto"/>
              </w:rPr>
            </w:pPr>
            <w:r>
              <w:rPr>
                <w:rFonts w:ascii="Arial" w:cs="Arial" w:eastAsia="Arial" w:hAnsi="Arial"/>
                <w:sz w:val="16"/>
                <w:szCs w:val="16"/>
                <w:color w:val="auto"/>
              </w:rPr>
              <w:t>0.9%</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40" w:type="dxa"/>
            <w:vAlign w:val="bottom"/>
            <w:gridSpan w:val="3"/>
            <w:shd w:val="clear" w:color="auto" w:fill="CCEEFF"/>
          </w:tcPr>
          <w:p>
            <w:pPr>
              <w:jc w:val="right"/>
              <w:ind w:right="285"/>
              <w:spacing w:after="0"/>
              <w:rPr>
                <w:sz w:val="20"/>
                <w:szCs w:val="20"/>
                <w:color w:val="auto"/>
              </w:rPr>
            </w:pPr>
            <w:r>
              <w:rPr>
                <w:rFonts w:ascii="Arial" w:cs="Arial" w:eastAsia="Arial" w:hAnsi="Arial"/>
                <w:sz w:val="16"/>
                <w:szCs w:val="16"/>
                <w:color w:val="auto"/>
              </w:rPr>
              <w:t>0.9%</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ectPr>
          <w:pgSz w:w="11900" w:h="16838" w:orient="portrait"/>
          <w:cols w:equalWidth="0" w:num="1">
            <w:col w:w="11420"/>
          </w:cols>
          <w:pgMar w:left="240" w:top="141" w:right="239" w:bottom="1440" w:gutter="0" w:footer="0" w:header="0"/>
        </w:sect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15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0"/>
        </w:trPr>
        <w:tc>
          <w:tcPr>
            <w:tcW w:w="544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6"/>
                <w:szCs w:val="16"/>
                <w:b w:val="1"/>
                <w:bCs w:val="1"/>
                <w:color w:val="auto"/>
              </w:rPr>
              <w:t>Class A, B &amp; C Motorhomes</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b w:val="1"/>
                <w:bCs w:val="1"/>
                <w:color w:val="auto"/>
              </w:rPr>
              <w:t>Travel Trailers &amp; Fifth Wheels</w:t>
            </w:r>
          </w:p>
        </w:tc>
        <w:tc>
          <w:tcPr>
            <w:tcW w:w="98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1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14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As of Quarter End</w:t>
            </w:r>
          </w:p>
        </w:tc>
      </w:tr>
      <w:tr>
        <w:trPr>
          <w:trHeight w:val="244"/>
        </w:trPr>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600" w:type="dxa"/>
            <w:vAlign w:val="bottom"/>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1160" w:type="dxa"/>
            <w:vAlign w:val="bottom"/>
          </w:tcPr>
          <w:p>
            <w:pPr>
              <w:jc w:val="right"/>
              <w:ind w:right="261"/>
              <w:spacing w:after="0"/>
              <w:rPr>
                <w:sz w:val="20"/>
                <w:szCs w:val="20"/>
                <w:color w:val="auto"/>
              </w:rPr>
            </w:pPr>
            <w:r>
              <w:rPr>
                <w:rFonts w:ascii="Arial" w:cs="Arial" w:eastAsia="Arial" w:hAnsi="Arial"/>
                <w:sz w:val="14"/>
                <w:szCs w:val="14"/>
                <w:b w:val="1"/>
                <w:bCs w:val="1"/>
                <w:color w:val="auto"/>
              </w:rPr>
              <w:t>Dealer</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Order</w:t>
            </w:r>
          </w:p>
        </w:tc>
        <w:tc>
          <w:tcPr>
            <w:tcW w:w="1140" w:type="dxa"/>
            <w:vAlign w:val="bottom"/>
          </w:tcPr>
          <w:p>
            <w:pPr>
              <w:jc w:val="right"/>
              <w:ind w:right="100"/>
              <w:spacing w:after="0"/>
              <w:rPr>
                <w:sz w:val="20"/>
                <w:szCs w:val="20"/>
                <w:color w:val="auto"/>
              </w:rPr>
            </w:pPr>
            <w:r>
              <w:rPr>
                <w:rFonts w:ascii="Arial" w:cs="Arial" w:eastAsia="Arial" w:hAnsi="Arial"/>
                <w:sz w:val="14"/>
                <w:szCs w:val="14"/>
                <w:b w:val="1"/>
                <w:bCs w:val="1"/>
                <w:color w:val="auto"/>
              </w:rPr>
              <w:t>Wholesale</w:t>
            </w:r>
          </w:p>
        </w:tc>
        <w:tc>
          <w:tcPr>
            <w:tcW w:w="1620" w:type="dxa"/>
            <w:vAlign w:val="bottom"/>
          </w:tcPr>
          <w:p>
            <w:pPr>
              <w:jc w:val="right"/>
              <w:ind w:right="500"/>
              <w:spacing w:after="0"/>
              <w:rPr>
                <w:sz w:val="20"/>
                <w:szCs w:val="20"/>
                <w:color w:val="auto"/>
              </w:rPr>
            </w:pPr>
            <w:r>
              <w:rPr>
                <w:rFonts w:ascii="Arial" w:cs="Arial" w:eastAsia="Arial" w:hAnsi="Arial"/>
                <w:sz w:val="14"/>
                <w:szCs w:val="14"/>
                <w:b w:val="1"/>
                <w:bCs w:val="1"/>
                <w:color w:val="auto"/>
              </w:rPr>
              <w:t>Retail</w:t>
            </w:r>
          </w:p>
        </w:tc>
        <w:tc>
          <w:tcPr>
            <w:tcW w:w="1160" w:type="dxa"/>
            <w:vAlign w:val="bottom"/>
          </w:tcPr>
          <w:p>
            <w:pPr>
              <w:jc w:val="right"/>
              <w:ind w:right="261"/>
              <w:spacing w:after="0"/>
              <w:rPr>
                <w:sz w:val="20"/>
                <w:szCs w:val="20"/>
                <w:color w:val="auto"/>
              </w:rPr>
            </w:pPr>
            <w:r>
              <w:rPr>
                <w:rFonts w:ascii="Arial" w:cs="Arial" w:eastAsia="Arial" w:hAnsi="Arial"/>
                <w:sz w:val="14"/>
                <w:szCs w:val="14"/>
                <w:b w:val="1"/>
                <w:bCs w:val="1"/>
                <w:color w:val="auto"/>
              </w:rPr>
              <w:t>Dealer</w:t>
            </w:r>
          </w:p>
        </w:tc>
        <w:tc>
          <w:tcPr>
            <w:tcW w:w="980" w:type="dxa"/>
            <w:vAlign w:val="bottom"/>
          </w:tcPr>
          <w:p>
            <w:pPr>
              <w:jc w:val="right"/>
              <w:ind w:right="201"/>
              <w:spacing w:after="0"/>
              <w:rPr>
                <w:sz w:val="20"/>
                <w:szCs w:val="20"/>
                <w:color w:val="auto"/>
              </w:rPr>
            </w:pPr>
            <w:r>
              <w:rPr>
                <w:rFonts w:ascii="Arial" w:cs="Arial" w:eastAsia="Arial" w:hAnsi="Arial"/>
                <w:sz w:val="14"/>
                <w:szCs w:val="14"/>
                <w:b w:val="1"/>
                <w:bCs w:val="1"/>
                <w:color w:val="auto"/>
              </w:rPr>
              <w:t>Order</w:t>
            </w:r>
          </w:p>
        </w:tc>
      </w:tr>
      <w:tr>
        <w:trPr>
          <w:trHeight w:val="276"/>
        </w:trPr>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6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Registrations</w:t>
            </w: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Inventory</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Deliveries</w:t>
            </w:r>
          </w:p>
        </w:tc>
        <w:tc>
          <w:tcPr>
            <w:tcW w:w="16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Registrations</w:t>
            </w: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Inventory</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Backlog</w:t>
            </w:r>
          </w:p>
        </w:tc>
      </w:tr>
      <w:tr>
        <w:trPr>
          <w:trHeight w:val="256"/>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1,040</w:t>
            </w:r>
          </w:p>
        </w:tc>
        <w:tc>
          <w:tcPr>
            <w:tcW w:w="160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1,053</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1,945</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435</w:t>
            </w:r>
          </w:p>
        </w:tc>
        <w:tc>
          <w:tcPr>
            <w:tcW w:w="162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255</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1,146</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r>
      <w:tr>
        <w:trPr>
          <w:trHeight w:val="260"/>
        </w:trPr>
        <w:tc>
          <w:tcPr>
            <w:tcW w:w="1520" w:type="dxa"/>
            <w:vAlign w:val="bottom"/>
            <w:gridSpan w:val="3"/>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1,001</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872</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2,074</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2"/>
                <w:szCs w:val="22"/>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562</w:t>
            </w:r>
          </w:p>
        </w:tc>
        <w:tc>
          <w:tcPr>
            <w:tcW w:w="1620" w:type="dxa"/>
            <w:vAlign w:val="bottom"/>
          </w:tcPr>
          <w:p>
            <w:pPr>
              <w:jc w:val="right"/>
              <w:ind w:right="440"/>
              <w:spacing w:after="0"/>
              <w:rPr>
                <w:sz w:val="20"/>
                <w:szCs w:val="20"/>
                <w:color w:val="auto"/>
              </w:rPr>
            </w:pPr>
            <w:r>
              <w:rPr>
                <w:rFonts w:ascii="Arial" w:cs="Arial" w:eastAsia="Arial" w:hAnsi="Arial"/>
                <w:sz w:val="16"/>
                <w:szCs w:val="16"/>
                <w:color w:val="auto"/>
              </w:rPr>
              <w:t>332</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1,376</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417</w:t>
            </w:r>
          </w:p>
        </w:tc>
      </w:tr>
      <w:tr>
        <w:trPr>
          <w:trHeight w:val="280"/>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1,280</w:t>
            </w:r>
          </w:p>
        </w:tc>
        <w:tc>
          <w:tcPr>
            <w:tcW w:w="160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1,414</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1,940</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646</w:t>
            </w:r>
          </w:p>
        </w:tc>
        <w:tc>
          <w:tcPr>
            <w:tcW w:w="162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652</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1,370</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505</w:t>
            </w:r>
          </w:p>
        </w:tc>
      </w:tr>
      <w:tr>
        <w:trPr>
          <w:trHeight w:val="264"/>
        </w:trPr>
        <w:tc>
          <w:tcPr>
            <w:tcW w:w="15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1,321</w:t>
            </w:r>
          </w:p>
        </w:tc>
        <w:tc>
          <w:tcPr>
            <w:tcW w:w="16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1,334</w:t>
            </w:r>
          </w:p>
        </w:tc>
        <w:tc>
          <w:tcPr>
            <w:tcW w:w="116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1,927</w:t>
            </w:r>
          </w:p>
        </w:tc>
        <w:tc>
          <w:tcPr>
            <w:tcW w:w="9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695</w:t>
            </w:r>
          </w:p>
        </w:tc>
        <w:tc>
          <w:tcPr>
            <w:tcW w:w="16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700</w:t>
            </w:r>
          </w:p>
        </w:tc>
        <w:tc>
          <w:tcPr>
            <w:tcW w:w="116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1,365</w:t>
            </w:r>
          </w:p>
        </w:tc>
        <w:tc>
          <w:tcPr>
            <w:tcW w:w="9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411</w:t>
            </w:r>
          </w:p>
        </w:tc>
      </w:tr>
      <w:tr>
        <w:trPr>
          <w:trHeight w:val="240"/>
        </w:trPr>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Fiscal 2012</w:t>
            </w:r>
          </w:p>
        </w:tc>
        <w:tc>
          <w:tcPr>
            <w:tcW w:w="11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4,642</w:t>
            </w:r>
          </w:p>
        </w:tc>
        <w:tc>
          <w:tcPr>
            <w:tcW w:w="1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6"/>
                <w:szCs w:val="16"/>
                <w:color w:val="auto"/>
              </w:rPr>
              <w:t>4,673</w:t>
            </w:r>
          </w:p>
        </w:tc>
        <w:tc>
          <w:tcPr>
            <w:tcW w:w="1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2,338</w:t>
            </w:r>
          </w:p>
        </w:tc>
        <w:tc>
          <w:tcPr>
            <w:tcW w:w="16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rPr>
              <w:t>1,939</w:t>
            </w:r>
          </w:p>
        </w:tc>
        <w:tc>
          <w:tcPr>
            <w:tcW w:w="1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14"/>
        </w:trPr>
        <w:tc>
          <w:tcPr>
            <w:tcW w:w="1520" w:type="dxa"/>
            <w:vAlign w:val="bottom"/>
            <w:gridSpan w:val="3"/>
          </w:tcPr>
          <w:p>
            <w:pPr>
              <w:ind w:left="40"/>
              <w:spacing w:after="0"/>
              <w:rPr>
                <w:sz w:val="20"/>
                <w:szCs w:val="20"/>
                <w:color w:val="auto"/>
              </w:rPr>
            </w:pPr>
            <w:r>
              <w:rPr>
                <w:rFonts w:ascii="Arial" w:cs="Arial" w:eastAsia="Arial" w:hAnsi="Arial"/>
                <w:sz w:val="16"/>
                <w:szCs w:val="16"/>
                <w:color w:val="auto"/>
              </w:rPr>
              <w:t>Q1</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1,534</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1,416</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2,045</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24"/>
                <w:szCs w:val="24"/>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557</w:t>
            </w:r>
          </w:p>
        </w:tc>
        <w:tc>
          <w:tcPr>
            <w:tcW w:w="1620" w:type="dxa"/>
            <w:vAlign w:val="bottom"/>
          </w:tcPr>
          <w:p>
            <w:pPr>
              <w:jc w:val="right"/>
              <w:ind w:right="440"/>
              <w:spacing w:after="0"/>
              <w:rPr>
                <w:sz w:val="20"/>
                <w:szCs w:val="20"/>
                <w:color w:val="auto"/>
              </w:rPr>
            </w:pPr>
            <w:r>
              <w:rPr>
                <w:rFonts w:ascii="Arial" w:cs="Arial" w:eastAsia="Arial" w:hAnsi="Arial"/>
                <w:sz w:val="16"/>
                <w:szCs w:val="16"/>
                <w:color w:val="auto"/>
              </w:rPr>
              <w:t>367</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1,555</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687</w:t>
            </w:r>
          </w:p>
        </w:tc>
      </w:tr>
      <w:tr>
        <w:trPr>
          <w:trHeight w:val="280"/>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1,419</w:t>
            </w:r>
          </w:p>
        </w:tc>
        <w:tc>
          <w:tcPr>
            <w:tcW w:w="1600" w:type="dxa"/>
            <w:vAlign w:val="bottom"/>
            <w:shd w:val="clear" w:color="auto" w:fill="CCEEFF"/>
          </w:tcPr>
          <w:p>
            <w:pPr>
              <w:jc w:val="right"/>
              <w:ind w:right="460"/>
              <w:spacing w:after="0"/>
              <w:rPr>
                <w:sz w:val="20"/>
                <w:szCs w:val="20"/>
                <w:color w:val="auto"/>
              </w:rPr>
            </w:pPr>
            <w:r>
              <w:rPr>
                <w:rFonts w:ascii="Arial" w:cs="Arial" w:eastAsia="Arial" w:hAnsi="Arial"/>
                <w:sz w:val="16"/>
                <w:szCs w:val="16"/>
                <w:color w:val="auto"/>
              </w:rPr>
              <w:t>1,072</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2,392</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548</w:t>
            </w:r>
          </w:p>
        </w:tc>
        <w:tc>
          <w:tcPr>
            <w:tcW w:w="1620" w:type="dxa"/>
            <w:vAlign w:val="bottom"/>
            <w:shd w:val="clear" w:color="auto" w:fill="CCEEFF"/>
          </w:tcPr>
          <w:p>
            <w:pPr>
              <w:jc w:val="right"/>
              <w:ind w:right="440"/>
              <w:spacing w:after="0"/>
              <w:rPr>
                <w:sz w:val="20"/>
                <w:szCs w:val="20"/>
                <w:color w:val="auto"/>
              </w:rPr>
            </w:pPr>
            <w:r>
              <w:rPr>
                <w:rFonts w:ascii="Arial" w:cs="Arial" w:eastAsia="Arial" w:hAnsi="Arial"/>
                <w:sz w:val="16"/>
                <w:szCs w:val="16"/>
                <w:color w:val="auto"/>
              </w:rPr>
              <w:t>328</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1,775</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r>
      <w:tr>
        <w:trPr>
          <w:trHeight w:val="260"/>
        </w:trPr>
        <w:tc>
          <w:tcPr>
            <w:tcW w:w="1520" w:type="dxa"/>
            <w:vAlign w:val="bottom"/>
            <w:gridSpan w:val="3"/>
          </w:tcPr>
          <w:p>
            <w:pPr>
              <w:ind w:left="40"/>
              <w:spacing w:after="0"/>
              <w:rPr>
                <w:sz w:val="20"/>
                <w:szCs w:val="20"/>
                <w:color w:val="auto"/>
              </w:rPr>
            </w:pPr>
            <w:r>
              <w:rPr>
                <w:rFonts w:ascii="Arial" w:cs="Arial" w:eastAsia="Arial" w:hAnsi="Arial"/>
                <w:sz w:val="16"/>
                <w:szCs w:val="16"/>
                <w:color w:val="auto"/>
              </w:rPr>
              <w:t>Q3</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1,978</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1,736</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2,634</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22"/>
                <w:szCs w:val="22"/>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713</w:t>
            </w:r>
          </w:p>
        </w:tc>
        <w:tc>
          <w:tcPr>
            <w:tcW w:w="1620" w:type="dxa"/>
            <w:vAlign w:val="bottom"/>
          </w:tcPr>
          <w:p>
            <w:pPr>
              <w:jc w:val="right"/>
              <w:ind w:right="440"/>
              <w:spacing w:after="0"/>
              <w:rPr>
                <w:sz w:val="20"/>
                <w:szCs w:val="20"/>
                <w:color w:val="auto"/>
              </w:rPr>
            </w:pPr>
            <w:r>
              <w:rPr>
                <w:rFonts w:ascii="Arial" w:cs="Arial" w:eastAsia="Arial" w:hAnsi="Arial"/>
                <w:sz w:val="16"/>
                <w:szCs w:val="16"/>
                <w:color w:val="auto"/>
              </w:rPr>
              <w:t>846</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1,642</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443</w:t>
            </w:r>
          </w:p>
        </w:tc>
      </w:tr>
      <w:tr>
        <w:trPr>
          <w:trHeight w:val="273"/>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1,890</w:t>
            </w:r>
          </w:p>
        </w:tc>
        <w:tc>
          <w:tcPr>
            <w:tcW w:w="1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6"/>
                <w:szCs w:val="16"/>
                <w:color w:val="auto"/>
              </w:rPr>
              <w:t>1,870</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2,654</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3,409</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717</w:t>
            </w:r>
          </w:p>
        </w:tc>
        <w:tc>
          <w:tcPr>
            <w:tcW w:w="16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6"/>
                <w:szCs w:val="16"/>
                <w:color w:val="auto"/>
              </w:rPr>
              <w:t>748</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1,611</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w:t>
            </w:r>
          </w:p>
        </w:tc>
      </w:tr>
      <w:tr>
        <w:trPr>
          <w:trHeight w:val="280"/>
        </w:trPr>
        <w:tc>
          <w:tcPr>
            <w:tcW w:w="15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Fiscal 2013</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6,821</w:t>
            </w:r>
          </w:p>
        </w:tc>
        <w:tc>
          <w:tcPr>
            <w:tcW w:w="16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6,094</w:t>
            </w:r>
          </w:p>
        </w:tc>
        <w:tc>
          <w:tcPr>
            <w:tcW w:w="1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2,535</w:t>
            </w:r>
          </w:p>
        </w:tc>
        <w:tc>
          <w:tcPr>
            <w:tcW w:w="16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2,289</w:t>
            </w:r>
          </w:p>
        </w:tc>
        <w:tc>
          <w:tcPr>
            <w:tcW w:w="1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54"/>
        </w:trPr>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1520" w:type="dxa"/>
            <w:vAlign w:val="bottom"/>
            <w:gridSpan w:val="3"/>
          </w:tcPr>
          <w:p>
            <w:pPr>
              <w:ind w:left="40"/>
              <w:spacing w:after="0"/>
              <w:rPr>
                <w:sz w:val="20"/>
                <w:szCs w:val="20"/>
                <w:color w:val="auto"/>
              </w:rPr>
            </w:pPr>
            <w:r>
              <w:rPr>
                <w:rFonts w:ascii="Arial" w:cs="Arial" w:eastAsia="Arial" w:hAnsi="Arial"/>
                <w:sz w:val="16"/>
                <w:szCs w:val="16"/>
                <w:color w:val="auto"/>
              </w:rPr>
              <w:t>Increase in units</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2,179</w:t>
            </w:r>
          </w:p>
        </w:tc>
        <w:tc>
          <w:tcPr>
            <w:tcW w:w="1600" w:type="dxa"/>
            <w:vAlign w:val="bottom"/>
          </w:tcPr>
          <w:p>
            <w:pPr>
              <w:jc w:val="right"/>
              <w:ind w:right="460"/>
              <w:spacing w:after="0"/>
              <w:rPr>
                <w:sz w:val="20"/>
                <w:szCs w:val="20"/>
                <w:color w:val="auto"/>
              </w:rPr>
            </w:pPr>
            <w:r>
              <w:rPr>
                <w:rFonts w:ascii="Arial" w:cs="Arial" w:eastAsia="Arial" w:hAnsi="Arial"/>
                <w:sz w:val="16"/>
                <w:szCs w:val="16"/>
                <w:color w:val="auto"/>
              </w:rPr>
              <w:t>1,421</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727</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280"/>
              <w:spacing w:after="0"/>
              <w:rPr>
                <w:sz w:val="20"/>
                <w:szCs w:val="20"/>
                <w:color w:val="auto"/>
              </w:rPr>
            </w:pPr>
            <w:r>
              <w:rPr>
                <w:rFonts w:ascii="Arial" w:cs="Arial" w:eastAsia="Arial" w:hAnsi="Arial"/>
                <w:sz w:val="16"/>
                <w:szCs w:val="16"/>
                <w:color w:val="auto"/>
              </w:rPr>
              <w:t>197</w:t>
            </w:r>
          </w:p>
        </w:tc>
        <w:tc>
          <w:tcPr>
            <w:tcW w:w="1620" w:type="dxa"/>
            <w:vAlign w:val="bottom"/>
          </w:tcPr>
          <w:p>
            <w:pPr>
              <w:jc w:val="right"/>
              <w:ind w:right="440"/>
              <w:spacing w:after="0"/>
              <w:rPr>
                <w:sz w:val="20"/>
                <w:szCs w:val="20"/>
                <w:color w:val="auto"/>
              </w:rPr>
            </w:pPr>
            <w:r>
              <w:rPr>
                <w:rFonts w:ascii="Arial" w:cs="Arial" w:eastAsia="Arial" w:hAnsi="Arial"/>
                <w:sz w:val="16"/>
                <w:szCs w:val="16"/>
                <w:color w:val="auto"/>
              </w:rPr>
              <w:t>350</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246</w:t>
            </w:r>
          </w:p>
        </w:tc>
        <w:tc>
          <w:tcPr>
            <w:tcW w:w="980" w:type="dxa"/>
            <w:vAlign w:val="bottom"/>
          </w:tcPr>
          <w:p>
            <w:pPr>
              <w:spacing w:after="0"/>
              <w:rPr>
                <w:sz w:val="22"/>
                <w:szCs w:val="22"/>
                <w:color w:val="auto"/>
              </w:rPr>
            </w:pPr>
          </w:p>
        </w:tc>
      </w:tr>
      <w:tr>
        <w:trPr>
          <w:trHeight w:val="228"/>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Percentage</w:t>
            </w:r>
          </w:p>
        </w:tc>
        <w:tc>
          <w:tcPr>
            <w:tcW w:w="1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increase</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46.9%</w:t>
            </w:r>
          </w:p>
        </w:tc>
        <w:tc>
          <w:tcPr>
            <w:tcW w:w="16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30.4%</w:t>
            </w:r>
          </w:p>
        </w:tc>
        <w:tc>
          <w:tcPr>
            <w:tcW w:w="11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37.7%</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6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18.1%</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18.0%</w:t>
            </w:r>
          </w:p>
        </w:tc>
        <w:tc>
          <w:tcPr>
            <w:tcW w:w="980" w:type="dxa"/>
            <w:vAlign w:val="bottom"/>
            <w:shd w:val="clear" w:color="auto" w:fill="CCEEFF"/>
          </w:tcPr>
          <w:p>
            <w:pPr>
              <w:spacing w:after="0"/>
              <w:rPr>
                <w:sz w:val="18"/>
                <w:szCs w:val="18"/>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Highlights of Fiscal 2013:</w:t>
      </w:r>
    </w:p>
    <w:p>
      <w:pPr>
        <w:spacing w:after="0" w:line="8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Consolidated revenues, gross profit, and operating income were significantly higher for Fiscal 2013 as compared to Fiscal 2012. Quarterly results for the past two fiscal years are illustrated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820" w:type="dxa"/>
            <w:vAlign w:val="bottom"/>
            <w:gridSpan w:val="4"/>
          </w:tcPr>
          <w:p>
            <w:pPr>
              <w:ind w:left="300"/>
              <w:spacing w:after="0"/>
              <w:rPr>
                <w:sz w:val="20"/>
                <w:szCs w:val="20"/>
                <w:color w:val="auto"/>
              </w:rPr>
            </w:pPr>
            <w:r>
              <w:rPr>
                <w:rFonts w:ascii="Arial" w:cs="Arial" w:eastAsia="Arial" w:hAnsi="Arial"/>
                <w:sz w:val="16"/>
                <w:szCs w:val="16"/>
                <w:b w:val="1"/>
                <w:bCs w:val="1"/>
                <w:color w:val="auto"/>
              </w:rPr>
              <w:t>Gross Profit</w:t>
            </w:r>
          </w:p>
        </w:tc>
        <w:tc>
          <w:tcPr>
            <w:tcW w:w="2160" w:type="dxa"/>
            <w:vAlign w:val="bottom"/>
            <w:gridSpan w:val="3"/>
          </w:tcPr>
          <w:p>
            <w:pPr>
              <w:ind w:left="5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Income (Loss)</w:t>
            </w:r>
          </w:p>
        </w:tc>
        <w:tc>
          <w:tcPr>
            <w:tcW w:w="21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Operating Margin</w:t>
            </w:r>
          </w:p>
        </w:tc>
      </w:tr>
      <w:tr>
        <w:trPr>
          <w:trHeight w:val="251"/>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9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2012</w:t>
            </w:r>
          </w:p>
        </w:tc>
      </w:tr>
      <w:tr>
        <w:trPr>
          <w:trHeight w:val="256"/>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193,554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10.7%</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r>
      <w:tr>
        <w:trPr>
          <w:trHeight w:val="260"/>
        </w:trPr>
        <w:tc>
          <w:tcPr>
            <w:tcW w:w="106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177,166</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131,600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17,191</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6,846</w:t>
            </w:r>
          </w:p>
        </w:tc>
        <w:tc>
          <w:tcPr>
            <w:tcW w:w="1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9.7%</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8,872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22"/>
                <w:szCs w:val="22"/>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(0.9)%</w:t>
            </w:r>
          </w:p>
        </w:tc>
      </w:tr>
      <w:tr>
        <w:trPr>
          <w:trHeight w:val="280"/>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218,199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155,709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9.7%</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r>
      <w:tr>
        <w:trPr>
          <w:trHeight w:val="26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214,246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162,533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25,496</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16,267</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11.9%</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15,332</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6,536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4.0 %</w:t>
            </w:r>
          </w:p>
        </w:tc>
      </w:tr>
      <w:tr>
        <w:trPr>
          <w:trHeight w:val="24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803,165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581,679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84,631</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10.5%</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1.6 %</w:t>
            </w:r>
          </w:p>
        </w:tc>
      </w:tr>
      <w:tr>
        <w:trPr>
          <w:trHeight w:val="20"/>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Motorized performance:</w:t>
      </w:r>
    </w:p>
    <w:p>
      <w:pPr>
        <w:spacing w:after="0" w:line="181" w:lineRule="exact"/>
        <w:rPr>
          <w:sz w:val="20"/>
          <w:szCs w:val="20"/>
          <w:color w:val="auto"/>
        </w:rPr>
      </w:pPr>
    </w:p>
    <w:p>
      <w:pPr>
        <w:ind w:left="340" w:right="100" w:hanging="332"/>
        <w:spacing w:after="0" w:line="25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Fiscal 2013 motorhome deliveries increased by approximately 47% as compared to Fiscal 2012. In addition delivery retail demand for our motorized products grew over 30% as compared to Fiscal 2012. As a result, dealer inventory grew by nearly 38% when comparing the same time periods. We view this as a reflection of our dealer network's confidence in our products and the overall industry. Our belief of improving dealer confidence is further supported by the continued growth in our sales order backlog. As noted in the above table, our backlog reached 3,409 at the end of the fiscal year. This is the first time our backlog has been in excess of 3,000 since the fourth quarter of Fiscal 2002.</w:t>
      </w:r>
    </w:p>
    <w:p>
      <w:pPr>
        <w:spacing w:after="0" w:line="16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continuing strong demand for our motorized products has led to enhanced financial performance. The sales pricing environment has firmed as compared to a year ago and the incremental volume has provided operating leverage in multiple areas. Approximately 17% of the incremental motorhome revenue flowed through to the operating profit line.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Towables performance:</w:t>
      </w:r>
    </w:p>
    <w:p>
      <w:pPr>
        <w:spacing w:after="0" w:line="181" w:lineRule="exact"/>
        <w:rPr>
          <w:sz w:val="20"/>
          <w:szCs w:val="20"/>
          <w:color w:val="auto"/>
        </w:rPr>
      </w:pPr>
    </w:p>
    <w:p>
      <w:pPr>
        <w:ind w:left="340" w:right="300" w:hanging="332"/>
        <w:spacing w:after="0" w:line="25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Towables generated an operating loss of $3.5 million in Fiscal 2013 compared to an operating loss of $744,000 in Fiscal 2012. Excluding non-cash expense of approximately $550,000 related to the acceleration of acquisition related intangible assets (see further discussion at Note 7), Towables was operationally break-even in the fourth quarter of Fiscal 2013.</w:t>
      </w:r>
    </w:p>
    <w:p>
      <w:pPr>
        <w:spacing w:after="0" w:line="160"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two most noteworthy issues that negatively impacted Towables' operating performance during Fiscal 2013 were increased warranty expense due to escalating negative claim experience and unfavorable overhead variances due to lower production. Significant changes were made in the first half of Fiscal 2013 in key management positions to address the recent performance problems. Notably, a new Towables president was named in January 2013 and leadership responsibilities of warranty and service were centralized to our company headquarters in Iowa to better leverage our expertise in these areas. During February 2013, production was idled in one of the assembly plants where production issues had been pervasive and only a small core group of employees were retained to train and work in the other assembly plant that has not experienced similar issues. Production resumed in this plant during the fourth quarter of Fiscal 2013.</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line="25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Fiscal 2013, the Winnebago towable branded products experienced triple digit growth in both wholesale shipments and retail registrations. This growth is attributed to a concerted effort to update existing Winnebago product lines and through the introduction of a new line of Ultralite travel trailers that have successfully penetrated the fastest growing segment in the towable market. The SunnyBrook products have now been realigned with a renewed focus on primary large volume product segments. As a result of this new strategy, we have discontinued several models and focused the three SunnyBrook brands to more effectively penetrate specific segments of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6,869</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6,888</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5,706</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5,114</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00" w:type="dxa"/>
            <w:vAlign w:val="bottom"/>
          </w:tcPr>
          <w:p>
            <w:pPr>
              <w:ind w:left="40"/>
              <w:spacing w:after="0"/>
              <w:rPr>
                <w:sz w:val="20"/>
                <w:szCs w:val="20"/>
                <w:color w:val="auto"/>
              </w:rPr>
            </w:pPr>
            <w:r>
              <w:rPr>
                <w:rFonts w:ascii="Arial" w:cs="Arial" w:eastAsia="Arial" w:hAnsi="Arial"/>
                <w:sz w:val="16"/>
                <w:szCs w:val="16"/>
                <w:color w:val="auto"/>
              </w:rPr>
              <w:t>Q2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7,707</w:t>
            </w:r>
          </w:p>
        </w:tc>
        <w:tc>
          <w:tcPr>
            <w:tcW w:w="38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7,868</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(161)</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8,206</w:t>
            </w:r>
          </w:p>
        </w:tc>
        <w:tc>
          <w:tcPr>
            <w:tcW w:w="38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8,140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6,678</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5,267</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1,411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6,916</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6,102</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4,807</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2,137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44.5 %</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4,922</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4,623</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20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28,198</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24,830</w:t>
            </w: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3,368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25,750</w:t>
            </w:r>
          </w:p>
        </w:tc>
        <w:tc>
          <w:tcPr>
            <w:tcW w:w="3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23,979</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1,771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Increase</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6,869</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1,631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7,127</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5,706</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10,972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7,707</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42.4 %</w:t>
            </w:r>
          </w:p>
        </w:tc>
        <w:tc>
          <w:tcPr>
            <w:tcW w:w="10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10,747</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8,206</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2,541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2,850</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1,955</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3,272</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2,538</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0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3,302</w:t>
            </w:r>
          </w:p>
        </w:tc>
        <w:tc>
          <w:tcPr>
            <w:tcW w:w="38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2,455</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847</w:t>
            </w:r>
          </w:p>
        </w:tc>
        <w:tc>
          <w:tcPr>
            <w:tcW w:w="1060" w:type="dxa"/>
            <w:vAlign w:val="bottom"/>
          </w:tcPr>
          <w:p>
            <w:pPr>
              <w:jc w:val="right"/>
              <w:spacing w:after="0"/>
              <w:rPr>
                <w:sz w:val="20"/>
                <w:szCs w:val="20"/>
                <w:color w:val="auto"/>
              </w:rPr>
            </w:pPr>
            <w:r>
              <w:rPr>
                <w:rFonts w:ascii="Arial" w:cs="Arial" w:eastAsia="Arial" w:hAnsi="Arial"/>
                <w:sz w:val="16"/>
                <w:szCs w:val="16"/>
                <w:color w:val="auto"/>
              </w:rPr>
              <w:t>34.5 %</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2,424</w:t>
            </w: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2,287</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20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3,138</w:t>
            </w:r>
          </w:p>
        </w:tc>
        <w:tc>
          <w:tcPr>
            <w:tcW w:w="3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2,268</w:t>
            </w:r>
          </w:p>
        </w:tc>
        <w:tc>
          <w:tcPr>
            <w:tcW w:w="12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870</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2,091</w:t>
            </w: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0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0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9,290</w:t>
            </w:r>
          </w:p>
        </w:tc>
        <w:tc>
          <w:tcPr>
            <w:tcW w:w="3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6,678</w:t>
            </w:r>
          </w:p>
        </w:tc>
        <w:tc>
          <w:tcPr>
            <w:tcW w:w="1260" w:type="dxa"/>
            <w:vAlign w:val="bottom"/>
            <w:vMerge w:val="restart"/>
          </w:tcPr>
          <w:p>
            <w:pPr>
              <w:jc w:val="right"/>
              <w:ind w:right="279"/>
              <w:spacing w:after="0"/>
              <w:rPr>
                <w:sz w:val="20"/>
                <w:szCs w:val="20"/>
                <w:color w:val="auto"/>
              </w:rPr>
            </w:pPr>
            <w:r>
              <w:rPr>
                <w:rFonts w:ascii="Arial" w:cs="Arial" w:eastAsia="Arial" w:hAnsi="Arial"/>
                <w:sz w:val="16"/>
                <w:szCs w:val="16"/>
                <w:color w:val="auto"/>
              </w:rPr>
              <w:t>2,612</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6,916</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3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6,944</w:t>
            </w:r>
          </w:p>
        </w:tc>
        <w:tc>
          <w:tcPr>
            <w:tcW w:w="12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1,556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1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00" w:type="dxa"/>
            <w:vAlign w:val="bottom"/>
            <w:tcBorders>
              <w:left w:val="single" w:sz="8" w:color="CCEEFF"/>
            </w:tcBorders>
            <w:vMerge w:val="continue"/>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vMerge w:val="continue"/>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0" w:type="dxa"/>
            <w:vAlign w:val="bottom"/>
          </w:tcPr>
          <w:p>
            <w:pPr>
              <w:ind w:left="4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37,262</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28,198</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9,064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25,750</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 rounded to the nearest hundred.</w:t>
      </w:r>
    </w:p>
    <w:p>
      <w:pPr>
        <w:ind w:left="340" w:hanging="332"/>
        <w:spacing w:after="0" w:line="187"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 rounded to the nearest hundred.</w:t>
      </w:r>
    </w:p>
    <w:p>
      <w:pPr>
        <w:ind w:left="340" w:right="180" w:hanging="332"/>
        <w:spacing w:after="0" w:line="220"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Class A, B and C wholesale shipments for September and the third and fourth calendar quarters are based upon the forecast prepared by Dr. Richard Curtin of the University of Michigan Consumer Survey Research Center for RVIA and reported in the RoadSigns RV Fall 2013 Industry Forecast Issue. The revised RVIA annual 2013 wholesale shipment forecast is 37,100 and the annual forecast for 2014 is 38,700.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U.S. retail registrations for Class A, B and C for August, 2013. Canadian retail registrations are not yet available.</w:t>
      </w:r>
    </w:p>
    <w:p>
      <w:pPr>
        <w:ind w:left="340" w:hanging="332"/>
        <w:spacing w:after="0" w:line="199"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2013 retail demand for this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41" w:right="25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184"/>
        </w:trPr>
        <w:tc>
          <w:tcPr>
            <w:tcW w:w="22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left w:val="single" w:sz="8" w:color="0000FF"/>
            </w:tcBorders>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600" w:type="dxa"/>
            <w:vAlign w:val="bottom"/>
            <w:gridSpan w:val="5"/>
          </w:tcPr>
          <w:p>
            <w:pPr>
              <w:spacing w:after="0"/>
              <w:rPr>
                <w:sz w:val="20"/>
                <w:szCs w:val="20"/>
                <w:color w:val="auto"/>
              </w:rPr>
            </w:pPr>
            <w:r>
              <w:rPr>
                <w:rFonts w:ascii="Arial" w:cs="Arial" w:eastAsia="Arial" w:hAnsi="Arial"/>
                <w:sz w:val="16"/>
                <w:szCs w:val="16"/>
                <w:color w:val="auto"/>
              </w:rPr>
              <w:t>Key statistics for the towable industry are as follows: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60,402</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54,132</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6,270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39,093</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33,698</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5,395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gridSpan w:val="2"/>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71,095</w:t>
            </w:r>
          </w:p>
        </w:tc>
        <w:tc>
          <w:tcPr>
            <w:tcW w:w="3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65,987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5,108</w:t>
            </w:r>
          </w:p>
        </w:tc>
        <w:tc>
          <w:tcPr>
            <w:tcW w:w="980" w:type="dxa"/>
            <w:vAlign w:val="bottom"/>
          </w:tcPr>
          <w:p>
            <w:pPr>
              <w:jc w:val="right"/>
              <w:spacing w:after="0"/>
              <w:rPr>
                <w:sz w:val="20"/>
                <w:szCs w:val="20"/>
                <w:color w:val="auto"/>
              </w:rPr>
            </w:pPr>
            <w:r>
              <w:rPr>
                <w:rFonts w:ascii="Arial" w:cs="Arial" w:eastAsia="Arial" w:hAnsi="Arial"/>
                <w:sz w:val="16"/>
                <w:szCs w:val="16"/>
                <w:color w:val="auto"/>
              </w:rPr>
              <w:t>7.7 %</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83,990</w:t>
            </w: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79,155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4,835</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56,601</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47,547</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9,054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67,344</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63,014</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4,330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54,782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45,266</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9,516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21.0 %</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32,469</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30,044</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24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242,880</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212,932</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29,948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222,896</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205,911</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16,985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6"/>
                <w:szCs w:val="16"/>
                <w:b w:val="1"/>
                <w:bCs w:val="1"/>
                <w:color w:val="auto"/>
              </w:rPr>
              <w:t>Increase</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66,745</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60,402</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6,343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42,710</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3,617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Q2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79,935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71,095</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8,840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93,826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83,990</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9,836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22,083</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19,654</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2,429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30,455</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25,707</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4,748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tcBorders>
              <w:left w:val="single" w:sz="8" w:color="auto"/>
            </w:tcBorders>
            <w:gridSpan w:val="2"/>
          </w:tcPr>
          <w:p>
            <w:pPr>
              <w:ind w:left="180"/>
              <w:spacing w:after="0"/>
              <w:rPr>
                <w:sz w:val="20"/>
                <w:szCs w:val="20"/>
                <w:color w:val="auto"/>
              </w:rPr>
            </w:pPr>
            <w:r>
              <w:rPr>
                <w:rFonts w:ascii="Arial" w:cs="Arial" w:eastAsia="Arial" w:hAnsi="Arial"/>
                <w:sz w:val="16"/>
                <w:szCs w:val="16"/>
                <w:color w:val="auto"/>
              </w:rPr>
              <w:t>August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20,797</w:t>
            </w:r>
          </w:p>
        </w:tc>
        <w:tc>
          <w:tcPr>
            <w:tcW w:w="3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20,963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(166)</w:t>
            </w: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80" w:type="dxa"/>
            <w:vAlign w:val="bottom"/>
          </w:tcPr>
          <w:p>
            <w:pPr>
              <w:spacing w:after="0"/>
              <w:rPr>
                <w:sz w:val="22"/>
                <w:szCs w:val="22"/>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24,003</w:t>
            </w: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auto"/>
            </w:tcBorders>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18,634</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15,984</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2,650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17,634</w:t>
            </w:r>
          </w:p>
        </w:tc>
        <w:tc>
          <w:tcPr>
            <w:tcW w:w="1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tcBorders>
            <w:gridSpan w:val="2"/>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gridSpan w:val="2"/>
            <w:vMerge w:val="restart"/>
          </w:tcPr>
          <w:p>
            <w:pPr>
              <w:ind w:left="40"/>
              <w:spacing w:after="0"/>
              <w:rPr>
                <w:sz w:val="20"/>
                <w:szCs w:val="20"/>
                <w:color w:val="auto"/>
              </w:rPr>
            </w:pPr>
            <w:r>
              <w:rPr>
                <w:rFonts w:ascii="Arial" w:cs="Arial" w:eastAsia="Arial" w:hAnsi="Arial"/>
                <w:sz w:val="16"/>
                <w:szCs w:val="16"/>
                <w:color w:val="auto"/>
              </w:rPr>
              <w:t>Q3</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61,514</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56,601</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4,913</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8.7 %</w:t>
            </w:r>
          </w:p>
        </w:tc>
        <w:tc>
          <w:tcPr>
            <w:tcW w:w="1080" w:type="dxa"/>
            <w:vAlign w:val="bottom"/>
          </w:tcPr>
          <w:p>
            <w:pPr>
              <w:spacing w:after="0"/>
              <w:rPr>
                <w:sz w:val="13"/>
                <w:szCs w:val="13"/>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67,344</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57,000</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54,782</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2,218</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32,469</w:t>
            </w:r>
          </w:p>
        </w:tc>
        <w:tc>
          <w:tcPr>
            <w:tcW w:w="1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CCEEFF"/>
            </w:tcBorders>
            <w:gridSpan w:val="2"/>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gridSpan w:val="2"/>
            <w:vMerge w:val="restart"/>
          </w:tcPr>
          <w:p>
            <w:pPr>
              <w:ind w:left="40"/>
              <w:spacing w:after="0"/>
              <w:rPr>
                <w:sz w:val="20"/>
                <w:szCs w:val="20"/>
                <w:color w:val="auto"/>
              </w:rPr>
            </w:pPr>
            <w:r>
              <w:rPr>
                <w:rFonts w:ascii="Arial" w:cs="Arial" w:eastAsia="Arial" w:hAnsi="Arial"/>
                <w:sz w:val="16"/>
                <w:szCs w:val="16"/>
                <w:color w:val="auto"/>
              </w:rPr>
              <w:t>Total</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265,194</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242,880</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22,314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9.2 %</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222,896</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2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44850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85005" cy="26035"/>
                    </a:xfrm>
                    <a:prstGeom prst="rect">
                      <a:avLst/>
                    </a:prstGeom>
                    <a:noFill/>
                  </pic:spPr>
                </pic:pic>
              </a:graphicData>
            </a:graphic>
          </wp:anchor>
        </w:drawing>
      </w:r>
    </w:p>
    <w:p>
      <w:pPr>
        <w:ind w:left="340" w:hanging="332"/>
        <w:spacing w:after="0"/>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 rounded to the nearest hundred.</w:t>
      </w:r>
    </w:p>
    <w:p>
      <w:pPr>
        <w:ind w:left="340" w:hanging="332"/>
        <w:spacing w:after="0" w:line="187"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 rounded to the nearest hundred.</w:t>
      </w:r>
    </w:p>
    <w:p>
      <w:pPr>
        <w:ind w:left="340" w:right="280" w:hanging="332"/>
        <w:spacing w:after="0" w:line="220"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2013 towable wholesale shipments for September and the third and fourth calendar quarters are based upon the forecast prepared by Dr. Richard Curtin of the University of Michigan Consumer Survey Research Center for RVIA and reported in the RoadSigns RV Fall 2013 Industry Forecast Issue. The revised annual 2013 wholesale shipment forecast is 267,700 and the annual forecast for 2014 is 281,100.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Statistical Surveys has not issued a projection for 2013 retail demand for this period.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are attempting to grow revenues and earnings in a market significantly larger than the motorized market.</w:t>
      </w:r>
    </w:p>
    <w:p>
      <w:pPr>
        <w:spacing w:after="0" w:line="17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As evidenced in the table below, our motorhome sales order backlog at the end of Fiscal 2013 significantly increased as compared to the end of Fiscal 2012. It has also increased sequentially from the end of our Fiscal 2013 third quarter, as previously illustrated. We believe the increase is a result of the positive dealer response to our new 2014 model year products introduced in late spring and increased retail registration activity of our products this past summer. We expect to continue to increase production during Fiscal 2014 to meet the growing demand for our products, while managing constraints as may occur in relation to labor and component parts.</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believe that the level of our dealer inventory at the end of Fiscal 2013 is reasonable given the improved retail demand and increased sales order backlog of our product.</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18"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1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3"/>
        </w:trPr>
        <w:tc>
          <w:tcPr>
            <w:tcW w:w="3160" w:type="dxa"/>
            <w:vAlign w:val="bottom"/>
            <w:gridSpan w:val="2"/>
          </w:tcPr>
          <w:p>
            <w:pPr>
              <w:spacing w:after="0"/>
              <w:rPr>
                <w:sz w:val="20"/>
                <w:szCs w:val="20"/>
                <w:color w:val="auto"/>
              </w:rPr>
            </w:pPr>
            <w:r>
              <w:rPr>
                <w:rFonts w:ascii="Arial" w:cs="Arial" w:eastAsia="Arial" w:hAnsi="Arial"/>
                <w:sz w:val="16"/>
                <w:szCs w:val="16"/>
                <w:color w:val="auto"/>
              </w:rPr>
              <w:t>Our unit order backlog was as follows: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As Of</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380" w:type="dxa"/>
            <w:vAlign w:val="bottom"/>
          </w:tcPr>
          <w:p>
            <w:pPr>
              <w:spacing w:after="0"/>
              <w:rPr>
                <w:sz w:val="19"/>
                <w:szCs w:val="19"/>
                <w:color w:val="auto"/>
              </w:rPr>
            </w:pPr>
          </w:p>
        </w:tc>
        <w:tc>
          <w:tcPr>
            <w:tcW w:w="2380" w:type="dxa"/>
            <w:vAlign w:val="bottom"/>
            <w:gridSpan w:val="3"/>
          </w:tcPr>
          <w:p>
            <w:pPr>
              <w:ind w:left="300"/>
              <w:spacing w:after="0"/>
              <w:rPr>
                <w:sz w:val="20"/>
                <w:szCs w:val="20"/>
                <w:color w:val="auto"/>
              </w:rPr>
            </w:pPr>
            <w:r>
              <w:rPr>
                <w:rFonts w:ascii="Arial" w:cs="Arial" w:eastAsia="Arial" w:hAnsi="Arial"/>
                <w:sz w:val="16"/>
                <w:szCs w:val="16"/>
                <w:b w:val="1"/>
                <w:bCs w:val="1"/>
                <w:color w:val="auto"/>
              </w:rPr>
              <w:t>August 31, 2013</w:t>
            </w:r>
          </w:p>
        </w:tc>
        <w:tc>
          <w:tcPr>
            <w:tcW w:w="320" w:type="dxa"/>
            <w:vAlign w:val="bottom"/>
          </w:tcPr>
          <w:p>
            <w:pPr>
              <w:spacing w:after="0"/>
              <w:rPr>
                <w:sz w:val="19"/>
                <w:szCs w:val="19"/>
                <w:color w:val="auto"/>
              </w:rPr>
            </w:pPr>
          </w:p>
        </w:tc>
        <w:tc>
          <w:tcPr>
            <w:tcW w:w="2340" w:type="dxa"/>
            <w:vAlign w:val="bottom"/>
            <w:gridSpan w:val="3"/>
          </w:tcPr>
          <w:p>
            <w:pPr>
              <w:ind w:left="360"/>
              <w:spacing w:after="0"/>
              <w:rPr>
                <w:sz w:val="20"/>
                <w:szCs w:val="20"/>
                <w:color w:val="auto"/>
              </w:rPr>
            </w:pPr>
            <w:r>
              <w:rPr>
                <w:rFonts w:ascii="Arial" w:cs="Arial" w:eastAsia="Arial" w:hAnsi="Arial"/>
                <w:sz w:val="16"/>
                <w:szCs w:val="16"/>
                <w:b w:val="1"/>
                <w:bCs w:val="1"/>
                <w:color w:val="auto"/>
              </w:rPr>
              <w:t>August 25, 2012</w:t>
            </w:r>
          </w:p>
        </w:tc>
        <w:tc>
          <w:tcPr>
            <w:tcW w:w="20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1,405</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4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763</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118.8 %</w:t>
            </w:r>
          </w:p>
        </w:tc>
      </w:tr>
      <w:tr>
        <w:trPr>
          <w:trHeight w:val="264"/>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274</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82.3 %</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59.5%</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1,037</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106.4 %</w:t>
            </w: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3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182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154.2 %</w:t>
            </w: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w:t>
            </w: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688</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181.1 %</w:t>
            </w:r>
          </w:p>
        </w:tc>
      </w:tr>
      <w:tr>
        <w:trPr>
          <w:trHeight w:val="283"/>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3,380</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1,907</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129.5 %</w:t>
            </w:r>
          </w:p>
        </w:tc>
      </w:tr>
      <w:tr>
        <w:trPr>
          <w:trHeight w:val="251"/>
        </w:trPr>
        <w:tc>
          <w:tcPr>
            <w:tcW w:w="12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Travel trailer</w:t>
            </w:r>
          </w:p>
        </w:tc>
        <w:tc>
          <w:tcPr>
            <w:tcW w:w="3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81.4%</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(126)</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(41.2)%</w:t>
            </w:r>
          </w:p>
        </w:tc>
      </w:tr>
      <w:tr>
        <w:trPr>
          <w:trHeight w:val="273"/>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(64)</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r>
      <w:tr>
        <w:trPr>
          <w:trHeight w:val="283"/>
        </w:trPr>
        <w:tc>
          <w:tcPr>
            <w:tcW w:w="3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(46.2)%</w:t>
            </w:r>
          </w:p>
        </w:tc>
      </w:tr>
      <w:tr>
        <w:trPr>
          <w:trHeight w:val="251"/>
        </w:trPr>
        <w:tc>
          <w:tcPr>
            <w:tcW w:w="12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5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Approximate backlog revenue in thousands</w:t>
            </w: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346,665</w:t>
            </w: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163,725</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182,940</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111.7 %</w:t>
            </w:r>
          </w:p>
        </w:tc>
      </w:tr>
      <w:tr>
        <w:trPr>
          <w:trHeight w:val="251"/>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Towable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4,744</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8,776</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(4,032)</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(45.9)%</w:t>
            </w: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usually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2013 Compared to Fiscal 2012</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31, 2013 compared to the fiscal year ended August 25,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25,</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2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803,165</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581,679</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221,486</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38.1 %</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718,534</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537,999</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92.5 %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180,535</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33.6 %</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84,631</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43,680</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40,951</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93.8 %</w:t>
            </w:r>
          </w:p>
        </w:tc>
      </w:tr>
      <w:tr>
        <w:trPr>
          <w:trHeight w:val="284"/>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18,318</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16,837</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1,481</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21,887</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17,267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2.7 %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4,620</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26.8 %</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impairment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(22)</w:t>
            </w: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40,233</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34,154</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6,079</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17.8 %</w:t>
            </w:r>
          </w:p>
        </w:tc>
      </w:tr>
      <w:tr>
        <w:trPr>
          <w:trHeight w:val="284"/>
        </w:trPr>
        <w:tc>
          <w:tcPr>
            <w:tcW w:w="2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44,398</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9,526</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34,872</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NMF</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581</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115</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19.8 %</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45,094</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10,107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1.7 %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34,987</w:t>
            </w: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NMF</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13,141</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(34,865)</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48,006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(137.7)%</w:t>
            </w:r>
          </w:p>
        </w:tc>
      </w:tr>
      <w:tr>
        <w:trPr>
          <w:trHeight w:val="280"/>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31,953</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44,972</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(13,019)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(0.41)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280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28,170</w:t>
            </w: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29,207</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2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0"/>
        </w:trPr>
        <w:tc>
          <w:tcPr>
            <w:tcW w:w="5480" w:type="dxa"/>
            <w:vAlign w:val="bottom"/>
            <w:gridSpan w:val="5"/>
          </w:tcPr>
          <w:p>
            <w:pPr>
              <w:spacing w:after="0"/>
              <w:rPr>
                <w:sz w:val="20"/>
                <w:szCs w:val="20"/>
                <w:color w:val="auto"/>
              </w:rPr>
            </w:pPr>
            <w:r>
              <w:rPr>
                <w:rFonts w:ascii="Arial" w:cs="Arial" w:eastAsia="Arial" w:hAnsi="Arial"/>
                <w:sz w:val="16"/>
                <w:szCs w:val="16"/>
                <w:color w:val="auto"/>
              </w:rPr>
              <w:t>Unit deliveries and ASP, net of discounts, consisted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25,</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Product</w:t>
            </w:r>
          </w:p>
        </w:tc>
        <w:tc>
          <w:tcPr>
            <w:tcW w:w="340" w:type="dxa"/>
            <w:vAlign w:val="bottom"/>
          </w:tcPr>
          <w:p>
            <w:pPr>
              <w:spacing w:after="0"/>
              <w:rPr>
                <w:sz w:val="17"/>
                <w:szCs w:val="17"/>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220" w:type="dxa"/>
            <w:vAlign w:val="bottom"/>
            <w:tcBorders>
              <w:bottom w:val="single" w:sz="8" w:color="auto"/>
            </w:tcBorders>
          </w:tcPr>
          <w:p>
            <w:pPr>
              <w:jc w:val="right"/>
              <w:ind w:right="2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3"/>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2,446</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1,648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35.5%</w:t>
            </w:r>
          </w:p>
        </w:tc>
        <w:tc>
          <w:tcPr>
            <w:tcW w:w="340" w:type="dxa"/>
            <w:vAlign w:val="bottom"/>
          </w:tcPr>
          <w:p>
            <w:pPr>
              <w:spacing w:after="0"/>
              <w:rPr>
                <w:sz w:val="20"/>
                <w:szCs w:val="20"/>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798</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48.4 %</w:t>
            </w:r>
          </w:p>
        </w:tc>
      </w:tr>
      <w:tr>
        <w:trPr>
          <w:trHeight w:val="246"/>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1,315</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931</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384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41.2 %</w:t>
            </w:r>
          </w:p>
        </w:tc>
      </w:tr>
      <w:tr>
        <w:trPr>
          <w:trHeight w:val="233"/>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3,761</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55.1%</w:t>
            </w:r>
          </w:p>
        </w:tc>
        <w:tc>
          <w:tcPr>
            <w:tcW w:w="30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2,579</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55.6%</w:t>
            </w:r>
          </w:p>
        </w:tc>
        <w:tc>
          <w:tcPr>
            <w:tcW w:w="340" w:type="dxa"/>
            <w:vAlign w:val="bottom"/>
          </w:tcPr>
          <w:p>
            <w:pPr>
              <w:spacing w:after="0"/>
              <w:rPr>
                <w:sz w:val="20"/>
                <w:szCs w:val="20"/>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1,182</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45.8 %</w:t>
            </w:r>
          </w:p>
        </w:tc>
      </w:tr>
      <w:tr>
        <w:trPr>
          <w:trHeight w:val="253"/>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319</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16.6 %</w:t>
            </w:r>
          </w:p>
        </w:tc>
      </w:tr>
      <w:tr>
        <w:trPr>
          <w:trHeight w:val="237"/>
        </w:trPr>
        <w:tc>
          <w:tcPr>
            <w:tcW w:w="2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2,688</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39.4%</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1,744</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944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54.1 %</w:t>
            </w:r>
          </w:p>
        </w:tc>
      </w:tr>
      <w:tr>
        <w:trPr>
          <w:trHeight w:val="24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6,821</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4,642</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2,179</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46.9 %</w:t>
            </w:r>
          </w:p>
        </w:tc>
      </w:tr>
      <w:tr>
        <w:trPr>
          <w:trHeight w:val="20"/>
        </w:trPr>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ASP (in thousands)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w:t>
            </w:r>
          </w:p>
        </w:tc>
        <w:tc>
          <w:tcPr>
            <w:tcW w:w="122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12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84"/>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3"/>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2,038</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80.4%</w:t>
            </w:r>
          </w:p>
        </w:tc>
        <w:tc>
          <w:tcPr>
            <w:tcW w:w="30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1,372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58.7%</w:t>
            </w:r>
          </w:p>
        </w:tc>
        <w:tc>
          <w:tcPr>
            <w:tcW w:w="340" w:type="dxa"/>
            <w:vAlign w:val="bottom"/>
          </w:tcPr>
          <w:p>
            <w:pPr>
              <w:spacing w:after="0"/>
              <w:rPr>
                <w:sz w:val="20"/>
                <w:szCs w:val="20"/>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666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48.5 %</w:t>
            </w:r>
          </w:p>
        </w:tc>
      </w:tr>
      <w:tr>
        <w:trPr>
          <w:trHeight w:val="246"/>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497</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966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41.3%</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(469)</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r>
      <w:tr>
        <w:trPr>
          <w:trHeight w:val="280"/>
        </w:trPr>
        <w:tc>
          <w:tcPr>
            <w:tcW w:w="2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2,535</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2,338</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197</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8.4 %</w:t>
            </w:r>
          </w:p>
        </w:tc>
      </w:tr>
      <w:tr>
        <w:trPr>
          <w:trHeight w:val="267"/>
        </w:trPr>
        <w:tc>
          <w:tcPr>
            <w:tcW w:w="1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28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1240" w:type="dxa"/>
            <w:vAlign w:val="bottom"/>
          </w:tcPr>
          <w:p>
            <w:pPr>
              <w:spacing w:after="0"/>
              <w:rPr>
                <w:sz w:val="23"/>
                <w:szCs w:val="23"/>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(10.5)%</w:t>
            </w:r>
          </w:p>
        </w:tc>
      </w:tr>
    </w:tbl>
    <w:p>
      <w:pPr>
        <w:ind w:left="160" w:hanging="152"/>
        <w:spacing w:after="0" w:line="205"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3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31, 2013</w:t>
            </w: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August 25, 2012</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718,580</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496,193</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222,387</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44.8 %</w:t>
            </w:r>
          </w:p>
        </w:tc>
      </w:tr>
      <w:tr>
        <w:trPr>
          <w:trHeight w:val="270"/>
        </w:trPr>
        <w:tc>
          <w:tcPr>
            <w:tcW w:w="30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54,683</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50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56,784</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23"/>
                <w:szCs w:val="23"/>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(2,101)</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64"/>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29,902</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5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28,702</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1,200</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4.2 %</w:t>
            </w:r>
          </w:p>
        </w:tc>
      </w:tr>
      <w:tr>
        <w:trPr>
          <w:trHeight w:val="264"/>
        </w:trPr>
        <w:tc>
          <w:tcPr>
            <w:tcW w:w="30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803,165</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581,679</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221,486</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20955</wp:posOffset>
            </wp:positionV>
            <wp:extent cx="5325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ind w:left="260" w:hanging="238"/>
        <w:spacing w:after="0"/>
        <w:tabs>
          <w:tab w:leader="none" w:pos="2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increase in motorhome net revenues of $222.4 million or 44.8% was primarily attributed to a 46.9% increase in unit deliveries driven by higher dealer and retail consumer demand when compared to Fiscal 2012. ASP decreased 0.9% in Fiscal 2013.</w:t>
      </w:r>
    </w:p>
    <w:p>
      <w:pPr>
        <w:spacing w:after="0" w:line="16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Towables revenues were $54.7 million in Fiscal 2013 compared to revenues of $56.8 million in Fiscal 2012. Although towable unit deliveries increased by 8.4%, the growth was more than offset by an ASP decline of 10.5%.</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$718.5 million, or 89.5% of net revenues for Fiscal 2013 compared to $538.0 million, or 92.5% of net revenues for Fiscal 2012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83.9% this year from 85.3% mainly due to decreased material costs and increased operating efficiencies.</w:t>
      </w:r>
    </w:p>
    <w:p>
      <w:pPr>
        <w:ind w:left="340" w:right="50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5.7% of net revenues compared to 7.1%. The difference was due primarily to increased revenues in Fiscal 2013.</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7.5% to 10.4% of net revenues.</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Selling expenses decreased to 2.3% from 2.9% of net revenues in Fiscal 2013 and Fiscal 2012, respectively. However, selling expenses increased $1.5 million, or 8.8%, in Fiscal 2013. The expense increase was primarily due to increased wage-related expenses of $680,000 and advertising expenses of $440,000.</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General and administrative expenses were 2.7% and 3.0% of net revenues in Fiscal 2013 and Fiscal 2012, respectively. General and administrative expenses increased $4.6 million, or 26.8%, in Fiscal 2013. This increase was due primarily to an increase of $3.7 million in wage-related expenses. We also recorded approximately $550,000 additional amortization on our Towables intangible assets (see Note 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2013 we realized a loss of $28,000 on the sale of our Hampton, Iowa property. See Note 6.</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Non-operating income increased $115,000 or 19.8%, in Fiscal 2013. This difference is primarily due to decreased line of credit expenses and was partially offset by lower investment income. We also received proceeds from COLI policies in both Fiscal 2013 and Fiscal 2012. See Note 13.</w:t>
      </w:r>
    </w:p>
    <w:p>
      <w:pPr>
        <w:spacing w:after="0" w:line="18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The overall effective income tax rate for this year was an expense of 29.1% compared to a benefit of (345.0)% last year.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5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6"/>
                <w:szCs w:val="16"/>
                <w:b w:val="1"/>
                <w:bCs w:val="1"/>
                <w:color w:val="auto"/>
              </w:rPr>
              <w:t>August 31, 2013</w:t>
            </w:r>
          </w:p>
        </w:tc>
        <w:tc>
          <w:tcPr>
            <w:tcW w:w="6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Effective</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Rate</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Rate</w:t>
            </w:r>
          </w:p>
        </w:tc>
      </w:tr>
      <w:tr>
        <w:trPr>
          <w:trHeight w:val="27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13,551</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30.0 %</w:t>
            </w:r>
          </w:p>
        </w:tc>
        <w:tc>
          <w:tcPr>
            <w:tcW w:w="6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2,914</w:t>
            </w: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28.8 %</w:t>
            </w:r>
          </w:p>
        </w:tc>
      </w:tr>
      <w:tr>
        <w:trPr>
          <w:trHeight w:val="233"/>
        </w:trPr>
        <w:tc>
          <w:tcPr>
            <w:tcW w:w="510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280" w:type="dxa"/>
            <w:vAlign w:val="bottom"/>
          </w:tcPr>
          <w:p>
            <w:pPr>
              <w:spacing w:after="0"/>
              <w:rPr>
                <w:sz w:val="20"/>
                <w:szCs w:val="20"/>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73</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0.2 %</w:t>
            </w:r>
          </w:p>
        </w:tc>
        <w:tc>
          <w:tcPr>
            <w:tcW w:w="60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(37,681)</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(372.8)%</w:t>
            </w:r>
          </w:p>
        </w:tc>
      </w:tr>
      <w:tr>
        <w:trPr>
          <w:trHeight w:val="28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(483)</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6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(159)</w:t>
            </w: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tax returns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w:t>
            </w:r>
          </w:p>
        </w:tc>
        <w:tc>
          <w:tcPr>
            <w:tcW w:w="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61</w:t>
            </w: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0.6 %</w:t>
            </w:r>
          </w:p>
        </w:tc>
      </w:tr>
      <w:tr>
        <w:trPr>
          <w:trHeight w:val="26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(benefit) for taxes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13,141</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29.1 %</w:t>
            </w:r>
          </w:p>
        </w:tc>
        <w:tc>
          <w:tcPr>
            <w:tcW w:w="6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(34,865)</w:t>
            </w:r>
          </w:p>
        </w:tc>
        <w:tc>
          <w:tcPr>
            <w:tcW w:w="1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(345.0)%</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on current operations</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primary reason for the increase in the overall effective tax expense rate on current operations was due to higher pretax income from operations compared to the prior year. Significant permanent deductions include domestic production activities deduction, income tax credits and tax-free income from COLI and student loan-related tax exempt securities. For further discussion of income taxes (which includes a reconciliation of the US statutory income tax rate to our effective tax rate),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w:t>
      </w:r>
    </w:p>
    <w:p>
      <w:pPr>
        <w:spacing w:after="0" w:line="21"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During the year, adjustments to the realizable value of certain deferred tax assets were recorded. This resulted in a non-cash tax expense of $73,000 through the increase of our valuation allowance. For further discussion of deferred tax assets (which includes a table of all types of deferred tax assets), see Note 12.</w:t>
      </w:r>
    </w:p>
    <w:p>
      <w:pPr>
        <w:spacing w:after="0" w:line="14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At the end of the fourth quarter of Fiscal 2012, we re-established almost all remaining deferred tax assets due to the fact that we were in a three-year historical cumulative income position as opposed to a three-year historical loss position and that we had a positive future outlook. This resulted in a non-cash tax benefit of $37.7 million through the reduction of our valuation allowance. For further discussion of deferred tax assets (which includes a table of all types of deferred tax assets), see Note 12.</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During Fiscal 2013, benefits of $483,000 were recorded as a result of adjustments to uncertain tax positions. During Fiscal 2012, benefits of $159,000 were recorded as a result of adjustments to uncertain tax positions. For further discussion of income taxes, see Note 12.</w:t>
      </w:r>
    </w:p>
    <w:p>
      <w:pPr>
        <w:spacing w:after="0" w:line="142"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Net income and diluted income per share were $32.0 million and $1.13 per share, respectively, for Fiscal 2013. In Fiscal 2012, the net income was $45.0 million and diluted income was $1.54 per share. Net income and diluted income per share were higher in Fiscal 2012 compared to Fiscal 2013 despite a significant increase in net revenue and pre-tax income due primarily to the tax benefit realized in Fiscal 2012.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2012 Compared to Fiscal 2011</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25, 2012 compared to the fiscal year ended August 27, 2011: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8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25,</w:t>
            </w:r>
          </w:p>
        </w:tc>
        <w:tc>
          <w:tcPr>
            <w:tcW w:w="156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56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56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581,679</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496,418</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85,261</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537,999</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92.5 %</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456,664</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92.0 %</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81,335</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17.8 %</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43,680</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39,754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3,926</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9.9 %</w:t>
            </w:r>
          </w:p>
        </w:tc>
      </w:tr>
      <w:tr>
        <w:trPr>
          <w:trHeight w:val="284"/>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16,837</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14,251</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2,586</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18.1 %</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17,267</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14,263</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6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3,004</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21.1 %</w:t>
            </w:r>
          </w:p>
        </w:tc>
      </w:tr>
      <w:tr>
        <w:trPr>
          <w:trHeight w:val="228"/>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impairment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8"/>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net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89</w:t>
            </w: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34,154</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28,475</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5,679</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19.9 %</w:t>
            </w:r>
          </w:p>
        </w:tc>
      </w:tr>
      <w:tr>
        <w:trPr>
          <w:trHeight w:val="284"/>
        </w:trPr>
        <w:tc>
          <w:tcPr>
            <w:tcW w:w="2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9,526</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1.6 %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11,279</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160" w:type="dxa"/>
            <w:vAlign w:val="bottom"/>
          </w:tcPr>
          <w:p>
            <w:pPr>
              <w:spacing w:after="0"/>
              <w:rPr>
                <w:sz w:val="20"/>
                <w:szCs w:val="20"/>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(1,753)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(15.5)%</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581</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658</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10,107</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11,937</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60" w:type="dxa"/>
            <w:vAlign w:val="bottom"/>
          </w:tcPr>
          <w:p>
            <w:pPr>
              <w:spacing w:after="0"/>
              <w:rPr>
                <w:sz w:val="20"/>
                <w:szCs w:val="20"/>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(1,830)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(15.3)%</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(34,865)</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(34,959)</w:t>
            </w: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80"/>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44,972</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11,843</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33,129</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279.7 %</w:t>
            </w: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w:t>
            </w: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0.41</w:t>
            </w:r>
          </w:p>
        </w:tc>
        <w:tc>
          <w:tcPr>
            <w:tcW w:w="1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1.13</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275.6 %</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29,207</w:t>
            </w:r>
          </w:p>
        </w:tc>
        <w:tc>
          <w:tcPr>
            <w:tcW w:w="1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29,148</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25,</w:t>
            </w: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17"/>
                <w:szCs w:val="17"/>
                <w:color w:val="auto"/>
              </w:rPr>
            </w:pP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20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3"/>
        </w:trPr>
        <w:tc>
          <w:tcPr>
            <w:tcW w:w="274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1,648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35.5%</w:t>
            </w:r>
          </w:p>
        </w:tc>
        <w:tc>
          <w:tcPr>
            <w:tcW w:w="30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1,518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360" w:type="dxa"/>
            <w:vAlign w:val="bottom"/>
          </w:tcPr>
          <w:p>
            <w:pPr>
              <w:spacing w:after="0"/>
              <w:rPr>
                <w:sz w:val="20"/>
                <w:szCs w:val="20"/>
                <w:color w:val="auto"/>
              </w:rPr>
            </w:pP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130</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8.6 %</w:t>
            </w:r>
          </w:p>
        </w:tc>
      </w:tr>
      <w:tr>
        <w:trPr>
          <w:trHeight w:val="246"/>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931</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918</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1.4 %</w:t>
            </w:r>
          </w:p>
        </w:tc>
      </w:tr>
      <w:tr>
        <w:trPr>
          <w:trHeight w:val="233"/>
        </w:trPr>
        <w:tc>
          <w:tcPr>
            <w:tcW w:w="274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2,579</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55.6%</w:t>
            </w:r>
          </w:p>
        </w:tc>
        <w:tc>
          <w:tcPr>
            <w:tcW w:w="30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2,436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55.4%</w:t>
            </w:r>
          </w:p>
        </w:tc>
        <w:tc>
          <w:tcPr>
            <w:tcW w:w="360" w:type="dxa"/>
            <w:vAlign w:val="bottom"/>
          </w:tcPr>
          <w:p>
            <w:pPr>
              <w:spacing w:after="0"/>
              <w:rPr>
                <w:sz w:val="20"/>
                <w:szCs w:val="20"/>
                <w:color w:val="auto"/>
              </w:rPr>
            </w:pP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143</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5.9 %</w:t>
            </w:r>
          </w:p>
        </w:tc>
      </w:tr>
      <w:tr>
        <w:trPr>
          <w:trHeight w:val="25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319</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216</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209.7 %</w:t>
            </w:r>
          </w:p>
        </w:tc>
      </w:tr>
      <w:tr>
        <w:trPr>
          <w:trHeight w:val="237"/>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1,744</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37.6%</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1,856</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w:t>
            </w:r>
          </w:p>
        </w:tc>
      </w:tr>
      <w:tr>
        <w:trPr>
          <w:trHeight w:val="24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4,642</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247</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5.6 %</w:t>
            </w: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7"/>
        </w:trPr>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102</w:t>
            </w: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3.4 %</w:t>
            </w: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3"/>
        </w:trPr>
        <w:tc>
          <w:tcPr>
            <w:tcW w:w="274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1,372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58.7%</w:t>
            </w:r>
          </w:p>
        </w:tc>
        <w:tc>
          <w:tcPr>
            <w:tcW w:w="30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575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360" w:type="dxa"/>
            <w:vAlign w:val="bottom"/>
          </w:tcPr>
          <w:p>
            <w:pPr>
              <w:spacing w:after="0"/>
              <w:rPr>
                <w:sz w:val="20"/>
                <w:szCs w:val="20"/>
                <w:color w:val="auto"/>
              </w:rPr>
            </w:pP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797</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138.6 %</w:t>
            </w:r>
          </w:p>
        </w:tc>
      </w:tr>
      <w:tr>
        <w:trPr>
          <w:trHeight w:val="246"/>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966</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772</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397.9 %</w:t>
            </w:r>
          </w:p>
        </w:tc>
      </w:tr>
      <w:tr>
        <w:trPr>
          <w:trHeight w:val="280"/>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2,338</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769</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1,569</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204.0 %</w:t>
            </w:r>
          </w:p>
        </w:tc>
      </w:tr>
      <w:tr>
        <w:trPr>
          <w:trHeight w:val="267"/>
        </w:trPr>
        <w:tc>
          <w:tcPr>
            <w:tcW w:w="2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324"/>
        </w:trPr>
        <w:tc>
          <w:tcPr>
            <w:tcW w:w="2740" w:type="dxa"/>
            <w:vAlign w:val="bottom"/>
          </w:tcPr>
          <w:p>
            <w:pPr>
              <w:ind w:left="18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1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4"/>
                <w:szCs w:val="24"/>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9"/>
              <w:spacing w:after="0"/>
              <w:rPr>
                <w:sz w:val="20"/>
                <w:szCs w:val="20"/>
                <w:color w:val="auto"/>
              </w:rPr>
            </w:pPr>
            <w:r>
              <w:rPr>
                <w:rFonts w:ascii="Arial" w:cs="Arial" w:eastAsia="Arial" w:hAnsi="Arial"/>
                <w:sz w:val="16"/>
                <w:szCs w:val="16"/>
                <w:color w:val="auto"/>
              </w:rPr>
              <w:t>3</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14.3 %</w:t>
            </w:r>
          </w:p>
        </w:tc>
      </w:tr>
    </w:tbl>
    <w:p>
      <w:pPr>
        <w:ind w:left="260" w:hanging="238"/>
        <w:spacing w:after="0" w:line="205" w:lineRule="auto"/>
        <w:tabs>
          <w:tab w:leader="none" w:pos="2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9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47"/>
        </w:trPr>
        <w:tc>
          <w:tcPr>
            <w:tcW w:w="29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2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August 25, 2012</w:t>
            </w:r>
          </w:p>
        </w:tc>
        <w:tc>
          <w:tcPr>
            <w:tcW w:w="5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August 27, 2011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483,532</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83.1%</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443,232</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40,300</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9.1 %</w:t>
            </w: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56,784</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9.8%</w:t>
            </w:r>
          </w:p>
        </w:tc>
        <w:tc>
          <w:tcPr>
            <w:tcW w:w="540" w:type="dxa"/>
            <w:vAlign w:val="bottom"/>
          </w:tcPr>
          <w:p>
            <w:pPr>
              <w:spacing w:after="0"/>
              <w:rPr>
                <w:sz w:val="23"/>
                <w:szCs w:val="23"/>
                <w:color w:val="auto"/>
              </w:rPr>
            </w:pP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16,712</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23"/>
                <w:szCs w:val="23"/>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40,072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239.8 %</w:t>
            </w: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12,661</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5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13,105</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(444)</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r>
      <w:tr>
        <w:trPr>
          <w:trHeight w:val="264"/>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28,702</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5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23,369</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5,333</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22.8 %</w:t>
            </w:r>
          </w:p>
        </w:tc>
      </w:tr>
      <w:tr>
        <w:trPr>
          <w:trHeight w:val="267"/>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581,679</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496,418</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85,261</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8890</wp:posOffset>
            </wp:positionV>
            <wp:extent cx="5385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ind w:left="260" w:hanging="238"/>
        <w:spacing w:after="0" w:line="224" w:lineRule="auto"/>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increase in motorhome net revenues of $40.3 million or 9.1% was attributed to both a 5.6% increase in unit deliveries and an increase in motorhome ASP of 3.4% when compared to Fiscal 2011. The increase in motorhome ASP was primarily a result of more higher-priced Class A diesel units sold in Fiscal 2012.</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$56.8 million in Fiscal 2012. SunnyBrook, which was acquired in the second quarter of Fiscal 2011, had revenues of $16.7 million in Fiscal 2011.</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$538.0 million, or 92.5% of net revenues for Fiscal 2012 compared to $456.7 million, or 92.0% of net revenues for Fiscal 2011 due to the following:</w:t>
      </w:r>
    </w:p>
    <w:p>
      <w:pPr>
        <w:spacing w:after="0" w:line="1" w:lineRule="exact"/>
        <w:rPr>
          <w:sz w:val="20"/>
          <w:szCs w:val="20"/>
          <w:color w:val="auto"/>
        </w:rPr>
      </w:pPr>
    </w:p>
    <w:p>
      <w:pPr>
        <w:jc w:val="both"/>
        <w:ind w:left="340" w:right="8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85.3% in Fiscal 2012 from 84.0% in Fiscal 2011 which was due to inflationary commodity pressures experienced in the first half of the fiscal year that were not passed on. Also impacting our variable costs were the following two significant items:</w:t>
      </w:r>
    </w:p>
    <w:p>
      <w:pPr>
        <w:spacing w:after="0" w:line="1" w:lineRule="exact"/>
        <w:rPr>
          <w:rFonts w:ascii="Arial" w:cs="Arial" w:eastAsia="Arial" w:hAnsi="Arial"/>
          <w:sz w:val="16"/>
          <w:szCs w:val="16"/>
          <w:color w:val="auto"/>
        </w:rPr>
      </w:pPr>
    </w:p>
    <w:p>
      <w:pPr>
        <w:jc w:val="both"/>
        <w:ind w:left="660" w:right="720" w:hanging="328"/>
        <w:spacing w:after="0" w:line="24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Fiscal 2011, our variable costs were positively impacted by a $3.5 million favorable inventory adjustment as a result of the annual physical inventory. This adjustment in the aggregate favorably impacted our material, labor, variable overhead and fixed overhead costs by 0.7% as a percentage of net revenues in Fiscal 2011.</w:t>
      </w:r>
    </w:p>
    <w:p>
      <w:pPr>
        <w:spacing w:after="0" w:line="1" w:lineRule="exact"/>
        <w:rPr>
          <w:rFonts w:ascii="Arial" w:cs="Arial" w:eastAsia="Arial" w:hAnsi="Arial"/>
          <w:sz w:val="16"/>
          <w:szCs w:val="16"/>
          <w:color w:val="auto"/>
        </w:rPr>
      </w:pPr>
    </w:p>
    <w:p>
      <w:pPr>
        <w:ind w:left="660" w:right="700" w:hanging="328"/>
        <w:spacing w:after="0" w:line="246"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Our variable costs were favorably impacted by $613,000, or 0.1%, of net revenues for Fiscal 2012 due to a LIFO inventory gain as a result of deflation, as compared to LIFO inventory expense of $2.1 million, or 0.4%, of net revenues for Fiscal 2011.</w:t>
      </w:r>
    </w:p>
    <w:p>
      <w:pPr>
        <w:ind w:left="340" w:right="16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7.1% of net revenues in Fiscal 2012 compared to 8.0% for Fiscal 2011. With similar spending levels, the difference was due primarily to increased revenues in Fiscal 2012.</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8.0% to 7.5% of net revenues.</w:t>
      </w:r>
    </w:p>
    <w:p>
      <w:pPr>
        <w:spacing w:after="0" w:line="16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Selling expenses increased $2.6 million, or 18.1%, in Fiscal 2012 compared to Fiscal 2011. The expense increase was primarily due to selling expenses associated with Towables and increases in advertising expenses. As a percent of net revenues, selling expenses were 2.9% in both Fiscal 2012 and Fiscal 2011.</w:t>
      </w:r>
    </w:p>
    <w:p>
      <w:pPr>
        <w:spacing w:after="0" w:line="14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General and administrative expenses increased $3.0 million, or 21.1%, in Fiscal 2012 compared to Fiscal 2011. This increase was due primarily to increases of $2.1 million in incentives and increases in Towable operating expenses, partially offset by a reduction of legal expenses. As a percent of net revenues, general and administrative expenses were 3.0% and 2.9% in Fiscal 2012 and Fiscal 2011, respectively.</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During Fiscal 2011 we realized a gain of $644,000 on the sale of an idled assembly facility (CCMF) and recorded an impairment of $605,000 on our Hampton facility, both assets held for sale. In the fourth quarter of Fiscal 2012 we recorded an additional impairment of $50,000 on the Hampton facility. See Note 6.</w:t>
      </w:r>
    </w:p>
    <w:p>
      <w:pPr>
        <w:spacing w:after="0" w:line="14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Non-operating income decreased $77,000 or 11.7%, in Fiscal 2012. This difference is primarily due to lower investment income. We also received proceeds from COLI policies in both Fiscal 2012 and Fiscal 2011. See Note 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overall effective income tax rate for this year was a benefit of (345.0)% compared to an expense of 0.8% last year.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64"/>
        </w:trPr>
        <w:tc>
          <w:tcPr>
            <w:tcW w:w="5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August 25, 2012</w:t>
            </w:r>
          </w:p>
        </w:tc>
        <w:tc>
          <w:tcPr>
            <w:tcW w:w="6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August 27, 2011</w:t>
            </w:r>
          </w:p>
        </w:tc>
      </w:tr>
      <w:tr>
        <w:trPr>
          <w:trHeight w:val="198"/>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Effective</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5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Rate</w:t>
            </w:r>
          </w:p>
        </w:tc>
      </w:tr>
      <w:tr>
        <w:trPr>
          <w:trHeight w:val="27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2,914</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28.8 %</w:t>
            </w:r>
          </w:p>
        </w:tc>
        <w:tc>
          <w:tcPr>
            <w:tcW w:w="6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2,597</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21.7 %</w:t>
            </w:r>
          </w:p>
        </w:tc>
      </w:tr>
      <w:tr>
        <w:trPr>
          <w:trHeight w:val="233"/>
        </w:trPr>
        <w:tc>
          <w:tcPr>
            <w:tcW w:w="5100" w:type="dxa"/>
            <w:vAlign w:val="bottom"/>
          </w:tcPr>
          <w:p>
            <w:pPr>
              <w:ind w:left="40"/>
              <w:spacing w:after="0"/>
              <w:rPr>
                <w:sz w:val="20"/>
                <w:szCs w:val="20"/>
                <w:color w:val="auto"/>
              </w:rPr>
            </w:pPr>
            <w:r>
              <w:rPr>
                <w:rFonts w:ascii="Arial" w:cs="Arial" w:eastAsia="Arial" w:hAnsi="Arial"/>
                <w:sz w:val="16"/>
                <w:szCs w:val="16"/>
                <w:color w:val="auto"/>
              </w:rPr>
              <w:t>Valuation allowance decrease</w:t>
            </w:r>
          </w:p>
        </w:tc>
        <w:tc>
          <w:tcPr>
            <w:tcW w:w="280" w:type="dxa"/>
            <w:vAlign w:val="bottom"/>
          </w:tcPr>
          <w:p>
            <w:pPr>
              <w:spacing w:after="0"/>
              <w:rPr>
                <w:sz w:val="20"/>
                <w:szCs w:val="20"/>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(37,681)</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(372.8)%</w:t>
            </w:r>
          </w:p>
        </w:tc>
        <w:tc>
          <w:tcPr>
            <w:tcW w:w="60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(2,013)</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(16.8)%</w:t>
            </w:r>
          </w:p>
        </w:tc>
      </w:tr>
      <w:tr>
        <w:trPr>
          <w:trHeight w:val="280"/>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(159)</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6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(490)</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r>
      <w:tr>
        <w:trPr>
          <w:trHeight w:val="264"/>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tax returns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61</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0.6 %</w:t>
            </w:r>
          </w:p>
        </w:tc>
        <w:tc>
          <w:tcPr>
            <w:tcW w:w="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w:t>
            </w:r>
          </w:p>
        </w:tc>
      </w:tr>
      <w:tr>
        <w:trPr>
          <w:trHeight w:val="26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 provision for taxes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(34,865)</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(345.0)%</w:t>
            </w:r>
          </w:p>
        </w:tc>
        <w:tc>
          <w:tcPr>
            <w:tcW w:w="6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0.8 %</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on current operations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primary reason for the increase in the overall effective tax expense rate on current operations is lower income tax credits and an increase in state taxes for Fiscal 2012 compared to Fiscal 2011. Significant permanent deductions are income tax credits and tax-free income from COLI and student loan-related tax exempt securities. For further discussion of income taxes (which includes a reconciliation of the US statutory income tax rate to our effective tax rate),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 decrease</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the end of the fourth quarter of Fiscal 2012, we re-established almost all remaining deferred tax assets due to the fact that we are now in a three-year historical cumulative income position as opposed to a three-year historical loss position and that we have a positive future outlook. This resulted in a non-cash tax benefit of $37.7 million through the reduction of our valuation allowance. For further discussion of deferred tax assets (which includes a table of all types of deferred tax assets), see Note 12.</w:t>
      </w:r>
    </w:p>
    <w:p>
      <w:pPr>
        <w:spacing w:after="0" w:line="14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During the fourth quarter of Fiscal 2011, we re-established a portion of our deferred tax assets due to the taxable earnings achieved in Fiscal 2011 which increased the likelihood of realizing a portion of gross deferred tax assets in the future. This resulted in a tax benefit of $649,000 through the reduction of our valuation allowance. Also, the sale of CCMF resulted in a tax loss even though we incurred a gain for accounting purposes and we were able to utilize the associated deferred tax assets of $685,000 as a current tax deduction and reduce the related valuation allowance accordingly. We were also able to utilize NOLs and tax credit deferred tax assets established in the prior year of $479,000 due to taxable income earned in Fiscal 2011 and reduce the related valuation allowance accordingly.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During Fiscal 2012, benefits of $159,000 were recorded as a result of adjustments to uncertain tax positions. During Fiscal 2011, benefits of $490,000 were recorded as a result of adjustments to uncertain tax positions. For further discussion of income taxes, see Note 12.</w:t>
      </w:r>
    </w:p>
    <w:p>
      <w:pPr>
        <w:spacing w:after="0" w:line="14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Net income and diluted income per share were $45.0 million and $1.54 per share, respectively, for Fiscal 2012. In Fiscal 2011, the net income was $11.8 million and diluted income was $0.41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Cash and cash equivalents increased $1.6 million during Fiscal 2013 and totaled $64.3 million as of August 31, 2013. The significant liquidity events that occurred during Fiscal 2013 were:</w:t>
      </w:r>
    </w:p>
    <w:p>
      <w:pPr>
        <w:spacing w:after="0" w:line="14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Generated net income of $32.0 million</w:t>
      </w:r>
    </w:p>
    <w:p>
      <w:pPr>
        <w:spacing w:after="0" w:line="5" w:lineRule="exact"/>
        <w:rPr>
          <w:rFonts w:ascii="Arial" w:cs="Arial" w:eastAsia="Arial" w:hAnsi="Arial"/>
          <w:sz w:val="16"/>
          <w:szCs w:val="16"/>
          <w:color w:val="auto"/>
        </w:rPr>
      </w:pPr>
    </w:p>
    <w:p>
      <w:pPr>
        <w:ind w:left="340" w:right="56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in inventory of $24.3 million: The increase was primarily a result of increased work-in-process and raw material inventory due to increased production levels, and higher average cost per unit due to the mix of product ordered by our dealers.</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 repurchases of approximately $12.7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Proceeds from the sale of ARS of $7.3 million, as we continued to liquidate this portfolio</w:t>
      </w:r>
    </w:p>
    <w:p>
      <w:pPr>
        <w:spacing w:after="0" w:line="8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Fiscal 2012, we had in place a $20 million revolving credit facility with Wells Fargo Bank that was terminated in October 2012. On October 31, 2012 we entered into the Credit Agreement with GECC. The Credit Agreement provides for an initial $35.0 million revolving credit facility based on our eligible inventory and expires October 31, 2015 unless terminated earlier in accordance with its terms. There is no termination fee associated with the Credit Agreement. 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See Note 8 to the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Working capital at August 31, 2013 and August 25, 2012 was $153.5 million and $126.1 million, respectively, an increase of $27.4 million. We currently expect cash on hand, funds generated from operations and the availability under a credit facility to be sufficient to cover both short-term and long-term operating requirements. We anticipate capital expenditures in Fiscal 2014 of approximately $11.6 million, primarily for manufacturing equipment and facilities.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Cash provided by operating activities was $10.2 million for the fiscal year ended August 31, 2013 compared to $115,000 for the fiscal year ended August 25, 2012, and cash used by operating activities of $10.1 million for the fiscal year ended August 27, 2011. The combination of net income of $32.0 million in Fiscal 2013 and changes in non-cash charges (e.g., depreciation, LIFO, stock-based compensation, deferred income taxes) provided $39.0 million of operating cash compared to $15.9 million in Fiscal 2012 and $16.6 million in Fiscal 2011. In Fiscal 2013, Fiscal 2012, and Fiscal 2011, changes in assets and liabilities (primarily inventory increases each year) used $28.8 million, $15.8 million, and $31.1 million, respectively, of operating cash.</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Cash provided by investing activities of $4.1 million in Fiscal 2013 was due primarily to proceeds of ARS investments of $7.3 million and was partially offset by capital spending of $4.4 million. In Fiscal 2012, cash used in investing activities of $118,000 was primarily due to capital spending of $2.2 million and was offset by proceeds of $1.7 million from COLI policies and ARS redemptions of $1.1 million. During Fiscal 2011, cash provided by investing activities of $4.2 million was primarily due to ARS redemptions of $7.2 million, partially offset by the acquisition of Towables for $4.7 million and capital spending of $2.1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Cash used in financing activities was $12.7 million and $6.6 million for the fiscal years ended August 31, 2013 and August 25, 2012, respectively, and was primarily for repurchases of our stock each year. Cash provided by financing activities for the fiscal year ended August 27, 2011 was $500,000.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31, 2013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2015-2016</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2017-2018</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28,440</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22,471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4,987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4,429</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10,364</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1,188</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1,436</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41,428</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Fiscal 2014</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2015-2016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2017-2018</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165,360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60,806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104,554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720"/>
              <w:spacing w:after="0"/>
              <w:rPr>
                <w:sz w:val="20"/>
                <w:szCs w:val="20"/>
                <w:color w:val="auto"/>
              </w:rPr>
            </w:pPr>
            <w:r>
              <w:rPr>
                <w:rFonts w:ascii="Arial" w:cs="Arial" w:eastAsia="Arial" w:hAnsi="Arial"/>
                <w:sz w:val="16"/>
                <w:szCs w:val="16"/>
                <w:color w:val="auto"/>
              </w:rPr>
              <w:t>—  $</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240" w:hanging="232"/>
        <w:spacing w:after="0" w:line="187"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93"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See Note 11.</w:t>
      </w:r>
    </w:p>
    <w:p>
      <w:pPr>
        <w:ind w:left="240" w:hanging="232"/>
        <w:spacing w:after="0" w:line="199" w:lineRule="auto"/>
        <w:tabs>
          <w:tab w:leader="none" w:pos="2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Generally, revenues for recreation vehicles are recorded when all of the following conditions are met: an order for a product has been received from a dealer, written or verbal approval for payment has been received from the dealer's floorplan financing institution, and title has transfered to the dealer who placed the order. Most sales are financed under floorplan financing arrangements with banks or finance companies.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Revenues from the sales of our OEM and recreation vehicles related parts are recorded as the products are shipped from our location. The title of ownership transfers on these products as they leave our location due to the freight terms of F.O.B. - Shipper.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upon their request.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(which has ranged in recent years from 4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375"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While there can be no assurance that dealer and economic conditions will not adversely change, we currently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as of August 31, 2013 would have affected net income by approximately $250,000.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We provide, with the purchase of any new motorhome, a comprehensive 12-month/15,000-mile warranty on Class A, B and C motorhomes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and are adjusted as required to reflect actual costs incurred, as information becomes available. A significant increase in dealership labor rates, the cost of parts or the frequency of claims could have a material</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adverse impact on our operating results for the period or periods in which such claims or additional costs materialize. Further discussion of our warranty costs and associated accruals is included in Note 9.</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there can be no assurance that warranty expense will not adversely change, we currently do not believe there is a reasonable likelihood that there will be a material change in the future estimates or assumptions we use to calculate our warranty reserve. A hypothetical change of a 10% increase or decrease in our significant warranty commitment assumptions as of August 31, 2013 would have affected net income by approximately $550,000.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We have evaluated the sustainability of our deferred tax assets on our balance sheet which includes the assessment of cumulative income or losses over recent prior periods. Based on ASC 740 guidelines, we determined a valuation allowance of $1.6 million was appropriate as of August 31, 2013.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retiree health care benefits due to the fact that we have established maximum amounts ("dollar caps") on the amount we will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10 - Employee and Retiree Benefits</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 inventory loss reserve contains uncertainties because the calculation requires management to make assumptions and to apply judgment regarding a number of factors, including historical results and current inventory loss trends.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summary is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We have market risk exposure to our ARS, which is described in further detail in Note 4. Also, the assets we maintain to fund deferred compensation have market risk, but we maintain a corresponding liability for these assets. The market risk is therefore borne by the participants in the deferred compensation program.</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could incur financial market risk in the form of interest rate risk. Risk can be quantified by measuring the financial impact of a near-term adverse increase in short-term interest rates. At August 31, 2013, we had a $35.0 million credit facility with GECC. The interest rates applicable to this agreement are based on LIBOR plus 3.0%. We currently have no borrowings under this credit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780" w:type="dxa"/>
            <w:vAlign w:val="bottom"/>
            <w:gridSpan w:val="9"/>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17"/>
        </w:trPr>
        <w:tc>
          <w:tcPr>
            <w:tcW w:w="60" w:type="dxa"/>
            <w:vAlign w:val="bottom"/>
          </w:tcPr>
          <w:p>
            <w:pPr>
              <w:spacing w:after="0"/>
              <w:rPr>
                <w:sz w:val="24"/>
                <w:szCs w:val="24"/>
                <w:color w:val="auto"/>
              </w:rPr>
            </w:pPr>
          </w:p>
        </w:tc>
        <w:tc>
          <w:tcPr>
            <w:tcW w:w="10720" w:type="dxa"/>
            <w:vAlign w:val="bottom"/>
            <w:gridSpan w:val="8"/>
          </w:tcPr>
          <w:p>
            <w:pPr>
              <w:spacing w:after="0"/>
              <w:rPr>
                <w:sz w:val="20"/>
                <w:szCs w:val="20"/>
                <w:color w:val="auto"/>
              </w:rPr>
            </w:pPr>
            <w:r>
              <w:rPr>
                <w:rFonts w:ascii="Arial" w:cs="Arial" w:eastAsia="Arial" w:hAnsi="Arial"/>
                <w:sz w:val="16"/>
                <w:szCs w:val="16"/>
                <w:b w:val="1"/>
                <w:bCs w:val="1"/>
                <w:color w:val="auto"/>
              </w:rPr>
              <w:t>Index to Financial Statements</w:t>
            </w:r>
          </w:p>
        </w:tc>
        <w:tc>
          <w:tcPr>
            <w:tcW w:w="120" w:type="dxa"/>
            <w:vAlign w:val="bottom"/>
          </w:tcPr>
          <w:p>
            <w:pPr>
              <w:spacing w:after="0"/>
              <w:rPr>
                <w:sz w:val="24"/>
                <w:szCs w:val="24"/>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6"/>
              </w:rPr>
              <w:t>Page</w:t>
            </w:r>
          </w:p>
        </w:tc>
      </w:tr>
      <w:tr>
        <w:trPr>
          <w:trHeight w:val="507"/>
        </w:trPr>
        <w:tc>
          <w:tcPr>
            <w:tcW w:w="60" w:type="dxa"/>
            <w:vAlign w:val="bottom"/>
          </w:tcPr>
          <w:p>
            <w:pPr>
              <w:spacing w:after="0"/>
              <w:rPr>
                <w:sz w:val="24"/>
                <w:szCs w:val="24"/>
                <w:color w:val="auto"/>
              </w:rPr>
            </w:pPr>
          </w:p>
        </w:tc>
        <w:tc>
          <w:tcPr>
            <w:tcW w:w="4780" w:type="dxa"/>
            <w:vAlign w:val="bottom"/>
            <w:tcBorders>
              <w:bottom w:val="single" w:sz="8" w:color="0000FF"/>
            </w:tcBorders>
            <w:gridSpan w:val="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Report on Internal Control Over Financial Reporting</w:t>
              </w:r>
            </w:hyperlink>
          </w:p>
        </w:tc>
        <w:tc>
          <w:tcPr>
            <w:tcW w:w="594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26</w:t>
              </w:r>
            </w:hyperlink>
          </w:p>
        </w:tc>
        <w:tc>
          <w:tcPr>
            <w:tcW w:w="32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200" w:type="dxa"/>
            <w:vAlign w:val="bottom"/>
            <w:tcBorders>
              <w:bottom w:val="single" w:sz="8" w:color="0000FF"/>
            </w:tcBorders>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Reports of Independent Registered Public Accounting Firm</w:t>
              </w:r>
            </w:hyperlink>
          </w:p>
        </w:tc>
        <w:tc>
          <w:tcPr>
            <w:tcW w:w="65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27</w:t>
              </w:r>
            </w:hyperlink>
          </w:p>
        </w:tc>
        <w:tc>
          <w:tcPr>
            <w:tcW w:w="32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10720" w:type="dxa"/>
            <w:vAlign w:val="bottom"/>
            <w:gridSpan w:val="8"/>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Consolidated Statements of Operations and Comprehensive Income for the Years Ended August 31, 2013, August 25, 2012, and August 27, 2011</w:t>
              </w:r>
            </w:hyperlink>
          </w:p>
        </w:tc>
        <w:tc>
          <w:tcPr>
            <w:tcW w:w="500" w:type="dxa"/>
            <w:vAlign w:val="bottom"/>
            <w:gridSpan w:val="3"/>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23"/>
        </w:trPr>
        <w:tc>
          <w:tcPr>
            <w:tcW w:w="60" w:type="dxa"/>
            <w:vAlign w:val="bottom"/>
          </w:tcPr>
          <w:p>
            <w:pPr>
              <w:spacing w:after="0"/>
              <w:rPr>
                <w:sz w:val="19"/>
                <w:szCs w:val="19"/>
                <w:color w:val="auto"/>
              </w:rPr>
            </w:pPr>
          </w:p>
        </w:tc>
        <w:tc>
          <w:tcPr>
            <w:tcW w:w="10420" w:type="dxa"/>
            <w:vAlign w:val="bottom"/>
            <w:tcBorders>
              <w:top w:val="single" w:sz="8" w:color="0000FF"/>
            </w:tcBorders>
            <w:gridSpan w:val="7"/>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Consolidated Balance Sheets as of August 31, 2013 and August 25, 2012</w:t>
              </w:r>
            </w:hyperlink>
          </w:p>
        </w:tc>
        <w:tc>
          <w:tcPr>
            <w:tcW w:w="300" w:type="dxa"/>
            <w:vAlign w:val="bottom"/>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30</w:t>
              </w:r>
            </w:hyperlink>
          </w:p>
        </w:tc>
        <w:tc>
          <w:tcPr>
            <w:tcW w:w="320" w:type="dxa"/>
            <w:vAlign w:val="bottom"/>
          </w:tcPr>
          <w:p>
            <w:pPr>
              <w:spacing w:after="0"/>
              <w:rPr>
                <w:sz w:val="19"/>
                <w:szCs w:val="19"/>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tcBorders>
              <w:bottom w:val="single" w:sz="8" w:color="0000FF"/>
            </w:tcBorders>
            <w:gridSpan w:val="6"/>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Consolidated Statements of Changes in Stockholders' Equity for the Years Ended August 31, 2013, August 25, 2012, and August 27, 2011</w:t>
              </w:r>
            </w:hyperlink>
          </w:p>
        </w:tc>
        <w:tc>
          <w:tcPr>
            <w:tcW w:w="820" w:type="dxa"/>
            <w:vAlign w:val="bottom"/>
            <w:gridSpan w:val="2"/>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33">
              <w:r>
                <w:rPr>
                  <w:rFonts w:ascii="Arial" w:cs="Arial" w:eastAsia="Arial" w:hAnsi="Arial"/>
                  <w:sz w:val="16"/>
                  <w:szCs w:val="16"/>
                  <w:color w:val="0000FF"/>
                  <w:w w:val="78"/>
                </w:rPr>
                <w:t>31</w:t>
              </w:r>
            </w:hyperlink>
          </w:p>
        </w:tc>
        <w:tc>
          <w:tcPr>
            <w:tcW w:w="32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8420" w:type="dxa"/>
            <w:vAlign w:val="bottom"/>
            <w:tcBorders>
              <w:bottom w:val="single" w:sz="8" w:color="0000FF"/>
            </w:tcBorders>
            <w:gridSpan w:val="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Consolidated Statements of Cash Flows for the Years Ended August 31, 2013, August 25, 2012, and August 27, 2011</w:t>
              </w:r>
            </w:hyperlink>
          </w:p>
        </w:tc>
        <w:tc>
          <w:tcPr>
            <w:tcW w:w="2300" w:type="dxa"/>
            <w:vAlign w:val="bottom"/>
            <w:gridSpan w:val="3"/>
          </w:tcPr>
          <w:p>
            <w:pPr>
              <w:spacing w:after="0"/>
              <w:rPr>
                <w:sz w:val="20"/>
                <w:szCs w:val="20"/>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34">
              <w:r>
                <w:rPr>
                  <w:rFonts w:ascii="Arial" w:cs="Arial" w:eastAsia="Arial" w:hAnsi="Arial"/>
                  <w:sz w:val="16"/>
                  <w:szCs w:val="16"/>
                  <w:color w:val="0000FF"/>
                  <w:w w:val="78"/>
                </w:rPr>
                <w:t>32</w:t>
              </w:r>
            </w:hyperlink>
          </w:p>
        </w:tc>
        <w:tc>
          <w:tcPr>
            <w:tcW w:w="32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10720" w:type="dxa"/>
            <w:vAlign w:val="bottom"/>
            <w:gridSpan w:val="8"/>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Notes to Consolidated Financial Statements</w:t>
              </w:r>
            </w:hyperlink>
          </w:p>
        </w:tc>
        <w:tc>
          <w:tcPr>
            <w:tcW w:w="500" w:type="dxa"/>
            <w:vAlign w:val="bottom"/>
            <w:gridSpan w:val="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33</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5300" w:type="dxa"/>
            <w:vAlign w:val="bottom"/>
            <w:gridSpan w:val="4"/>
          </w:tcPr>
          <w:p>
            <w:pPr>
              <w:jc w:val="right"/>
              <w:ind w:right="2680"/>
              <w:spacing w:after="0"/>
              <w:rPr>
                <w:sz w:val="20"/>
                <w:szCs w:val="20"/>
                <w:color w:val="auto"/>
              </w:rPr>
            </w:pPr>
            <w:r>
              <w:rPr>
                <w:rFonts w:ascii="Arial" w:cs="Arial" w:eastAsia="Arial" w:hAnsi="Arial"/>
                <w:sz w:val="16"/>
                <w:szCs w:val="16"/>
                <w:color w:val="auto"/>
              </w:rPr>
              <w:t>25</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31, 2013.</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920" w:type="dxa"/>
            <w:vAlign w:val="bottom"/>
          </w:tcPr>
          <w:p>
            <w:pPr>
              <w:spacing w:after="0"/>
              <w:rPr>
                <w:sz w:val="20"/>
                <w:szCs w:val="20"/>
                <w:color w:val="auto"/>
              </w:rPr>
            </w:pPr>
            <w:r>
              <w:rPr>
                <w:rFonts w:ascii="Arial" w:cs="Arial" w:eastAsia="Arial" w:hAnsi="Arial"/>
                <w:sz w:val="16"/>
                <w:szCs w:val="16"/>
                <w:color w:val="auto"/>
              </w:rPr>
              <w:t>Randy J. Potts</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Chief Executive Officer, President</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color w:val="auto"/>
              </w:rPr>
              <w:t>and Chairman of the Board</w:t>
            </w:r>
          </w:p>
        </w:tc>
        <w:tc>
          <w:tcPr>
            <w:tcW w:w="148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29, 2013</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29, 2013</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(the "Company") as of August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31, 2013,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31, 2013 of the Company and our report dated October 29, 2013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(the "Company") as of August 31, 2013 and August 25, 2012, and the related consolidated statements of operations and comprehensive income, consolidated statements of stockholders' equity, and consolidated statements of cash flows for each of the three years in the period ended August 31, 2013.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at August 31, 2013 and August 25, 2012, and the results of their operations and their cash flows for each of the three years in the period ended August 31, 2013, in conformity with accounting principles generally accepted in the United States of America.</w:t>
      </w:r>
    </w:p>
    <w:p>
      <w:pPr>
        <w:spacing w:after="0" w:line="161"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31, 2013, based on the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and our report dated October 29, 2013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29, 2013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240" w:top="141" w:right="39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31, 2013</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25, 2012</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803,165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581,679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496,418</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718,534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537,999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456,664</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84,631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43,680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39,754</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18,318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16,837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14,251</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21,887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14,263</w:t>
            </w:r>
          </w:p>
        </w:tc>
      </w:tr>
      <w:tr>
        <w:trPr>
          <w:trHeight w:val="26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Assets held for sale impairment (gain)</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w:t>
            </w:r>
          </w:p>
        </w:tc>
      </w:tr>
      <w:tr>
        <w:trPr>
          <w:trHeight w:val="250"/>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40,233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34,154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28,475</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44,398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11,279</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658</w:t>
            </w:r>
          </w:p>
        </w:tc>
      </w:tr>
      <w:tr>
        <w:trPr>
          <w:trHeight w:val="247"/>
        </w:trPr>
        <w:tc>
          <w:tcPr>
            <w:tcW w:w="5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45,094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10,107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11,937</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13,141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(34,865)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94</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44,972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11,843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0.41</w:t>
            </w:r>
          </w:p>
        </w:tc>
      </w:tr>
      <w:tr>
        <w:trPr>
          <w:trHeight w:val="224"/>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0.41</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28,075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29,145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29,121</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29,207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29,148</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44,972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11,843</w:t>
            </w: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$1,944, $1,791 and $1,578)</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(2,621)</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360"/>
              <w:spacing w:after="0"/>
              <w:rPr>
                <w:sz w:val="20"/>
                <w:szCs w:val="20"/>
                <w:color w:val="auto"/>
              </w:rPr>
            </w:pPr>
            <w:r>
              <w:rPr>
                <w:rFonts w:ascii="Arial" w:cs="Arial" w:eastAsia="Arial" w:hAnsi="Arial"/>
                <w:sz w:val="16"/>
                <w:szCs w:val="16"/>
                <w:color w:val="auto"/>
              </w:rPr>
              <w:t>(net of tax of $361, $387 and $412)</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685</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(increase) in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$2,177, $3,894 and $0)</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360"/>
              <w:spacing w:after="0"/>
              <w:rPr>
                <w:sz w:val="20"/>
                <w:szCs w:val="20"/>
                <w:color w:val="auto"/>
              </w:rPr>
            </w:pPr>
            <w:r>
              <w:rPr>
                <w:rFonts w:ascii="Arial" w:cs="Arial" w:eastAsia="Arial" w:hAnsi="Arial"/>
                <w:sz w:val="16"/>
                <w:szCs w:val="16"/>
                <w:color w:val="auto"/>
              </w:rPr>
              <w:t>(net of tax of $1,613, $1,729 and $0)</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2,869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(depreciation) of investments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$125, $189 and $3)</w:t>
            </w: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w:t>
            </w:r>
          </w:p>
        </w:tc>
      </w:tr>
      <w:tr>
        <w:trPr>
          <w:trHeight w:val="250"/>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(1,696)</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41,740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10,147</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2013</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64,277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62,683</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($152 and $175,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29,145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22,726</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87,094</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8,277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4,509</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7,742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8,453</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223,850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187,068</w:t>
            </w:r>
          </w:p>
        </w:tc>
      </w:tr>
      <w:tr>
        <w:trPr>
          <w:trHeight w:val="247"/>
        </w:trPr>
        <w:tc>
          <w:tcPr>
            <w:tcW w:w="72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19,978</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550</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9,074</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25,051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23,127</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25,649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30,520</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Amortizable intangible assets</w:t>
            </w:r>
          </w:p>
        </w:tc>
        <w:tc>
          <w:tcPr>
            <w:tcW w:w="240" w:type="dxa"/>
            <w:vAlign w:val="bottom"/>
          </w:tcPr>
          <w:p>
            <w:pPr>
              <w:spacing w:after="0"/>
              <w:rPr>
                <w:sz w:val="22"/>
                <w:szCs w:val="22"/>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641</w:t>
            </w:r>
          </w:p>
        </w:tc>
      </w:tr>
      <w:tr>
        <w:trPr>
          <w:trHeight w:val="27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10,993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13,886</w:t>
            </w:r>
          </w:p>
        </w:tc>
      </w:tr>
      <w:tr>
        <w:trPr>
          <w:trHeight w:val="28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r>
      <w:tr>
        <w:trPr>
          <w:trHeight w:val="267"/>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28,142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24,920</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348</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16,038</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8,443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6,990</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4,137</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627</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2,661</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5,297</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70,354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61,018</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5,228</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64,074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75,135</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68,062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80,363</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29,334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28,496</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509,443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477,490</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(3,686)</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(23,917 and 23,122 shares, respectively)</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(394,785)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(383,497)</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170,729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144,691</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2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28, 2010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29,464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420,675</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1,242</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97,527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to directors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$1,166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Unrealized depreciation of investments, net of $3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11,843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August 27, 2011</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30,131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432,518</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(454)</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(379,353)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108,730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(2,011)</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to directors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804</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(6,604)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(6,604)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$5,298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(5,787)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$1,729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2,869</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depreciation of investments, net of $189</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44,972</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44,972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25, 2012</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28,496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477,490</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(3,686)</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(383,497)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1,167</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to directors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Vesting of directors' stock units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(12,718)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(12,718)</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$594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1,650</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$1,613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2,676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$125</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209</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31,953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31,953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August 31, 2013</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29,334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509,443</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849</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31, 2013</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25, 2012</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27, 2011</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31,953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44,972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11,843</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4,872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5,492</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(income)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605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(34,749)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517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1,378</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Provision for doubtful accounts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loss on disposal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(994)</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(372)</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investments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90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(969)</w:t>
            </w: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(23,792)</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(8,908)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101</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(2,127)</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8,939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7,627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(1,551)</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(3,741)</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(10,119)</w:t>
            </w:r>
          </w:p>
        </w:tc>
      </w:tr>
      <w:tr>
        <w:trPr>
          <w:trHeight w:val="284"/>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7,150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life insurance</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659</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(2,109)</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4,143</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acquisition, net of cash acquired</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(4,694)</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of COLI borrowings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4,235</w:t>
            </w:r>
          </w:p>
        </w:tc>
      </w:tr>
      <w:tr>
        <w:trPr>
          <w:trHeight w:val="284"/>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83</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506</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500</w:t>
            </w:r>
          </w:p>
        </w:tc>
      </w:tr>
      <w:tr>
        <w:trPr>
          <w:trHeight w:val="284"/>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(5,384)</w:t>
            </w: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62,683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69,307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74,691</w:t>
            </w:r>
          </w:p>
        </w:tc>
      </w:tr>
      <w:tr>
        <w:trPr>
          <w:trHeight w:val="28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64,277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62,683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69,307</w:t>
            </w:r>
          </w:p>
        </w:tc>
      </w:tr>
      <w:tr>
        <w:trPr>
          <w:trHeight w:val="267"/>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Supplement cash flow disclosure:</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(refunded),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1,703</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United States manufacturers of recreation vehicles. We sell motorhomes through independent dealers, primarily throughout the United States and Canada, under the Winnebago, Itasca and Winnebago Touring Coach brand names. We also sell travel trailer and fifth wheel towable products primarily throughout the United States and Canada under the SunnyBrook and Winnebago brand names. Other products manufactured by us consist primarily of original equipment manufacturing parts, including extruded aluminum and other component products for other manufacturers and commercial vehicles.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for Fiscal 2013 include the parent company and our wholly-owned subsidiary, Winnebago of Indiana, LLC. See Note 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 material intercompany balances and transactions with our subsidiary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2013 is a 53-week fiscal year; the first quarter ending December 1, 2012 was a 14-week quarter. Fiscal 2012 and Fiscal 2011 were 52-week periods.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598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440" w:type="dxa"/>
            <w:vAlign w:val="bottom"/>
          </w:tcPr>
          <w:p>
            <w:pPr>
              <w:jc w:val="right"/>
              <w:ind w:right="199"/>
              <w:spacing w:after="0"/>
              <w:rPr>
                <w:sz w:val="20"/>
                <w:szCs w:val="20"/>
                <w:color w:val="auto"/>
              </w:rPr>
            </w:pPr>
            <w:r>
              <w:rPr>
                <w:rFonts w:ascii="Arial" w:cs="Arial" w:eastAsia="Arial" w:hAnsi="Arial"/>
                <w:sz w:val="16"/>
                <w:szCs w:val="16"/>
                <w:color w:val="auto"/>
              </w:rPr>
              <w:t>3-10 years</w:t>
            </w:r>
          </w:p>
        </w:tc>
      </w:tr>
      <w:tr>
        <w:trPr>
          <w:trHeight w:val="25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 equipment</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assessed the fair value of certain properties which were idled and are listed for sale (see Note 6). We also reviewed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long-lived depreciable assets for impairment, noting no impairment.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Amortizable intangible assets consisted of dealer network, trademarks and non-compete agreements and were amortized using the straight-line method up to seven to ten years. Goodwill assets are reviewed for impairment by applying a fair-value based test on an annual basis, or more frequently if circumstances indicate a potential impairment. Amortizable intangible assets are also subject to impairment test annually or whenever events or changes in circumstances indicate that the carrying value of an asset may not be recoverable from future cash flows. See discussion of changes in our intangible asset amortization in Note 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an SIR for product liability which varies annually based on market conditions and for at least the last five fiscal years was at $2.5 million per occurrence and $6.0 million in aggregate per policy year. In the event that the annual aggregate of the SIR is exhausted by payment of claims and defense expenses, an SIR of $1.0 million, excluding defense expenses, is applicable to each claim covered under this policy.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 part of the process of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Generally, revenues for our recreation vehicles are recorded when the following conditions are met: an order for a product has been received from a dealer, written or verbal approval for payment has been received from the dealer's floorplan financing institution, and the title has transfered to the dealer who placed the order. Most sales are financed by our dealers under floorplan financing arrangements with banks or finance companies.</w:t>
      </w:r>
    </w:p>
    <w:p>
      <w:pPr>
        <w:spacing w:after="0" w:line="14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Revenues of our OEM components and recreation vehicle related parts are recorded as the products are shipped from our location. The title of ownership transfers on these products as they leave our location due to the freight terms of F.O.B. - Shipper.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3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One of our dealer organizations accounted for 26.5%, 25.5%, and 18% of our consolidated net revenue in Fiscal 2013, 2012 and 2011, respectively. In Fiscal 2013 they sold our products in 68 of their dealership locations across 26 US states. A second dealer organization accounted for 12.3% of our net revenue for Fiscal 2013, as they sold products in 11 of their dealership locations across 3 US states.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accruals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of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revenues for products shipped are included within net sales, while shipping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 xml:space="preserve">We have two operating segments, motorhomes and Towables, which aggregate into one reportable segment, the recreation vehicle market. We design, develop, manufacture and market motorized and towable recreation products along with supporting products and services. The Chief Executive Officer has been identified as the Chief Operating Decision Maker as defined by ASC No. 280, </w:t>
      </w:r>
      <w:r>
        <w:rPr>
          <w:rFonts w:ascii="Arial" w:cs="Arial" w:eastAsia="Arial" w:hAnsi="Arial"/>
          <w:sz w:val="16"/>
          <w:szCs w:val="16"/>
          <w:i w:val="1"/>
          <w:iCs w:val="1"/>
          <w:color w:val="auto"/>
        </w:rPr>
        <w:t>Disclosures about Segments Reporting</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2013, 2012 and 2011, we spent approximately $3.8 million, $3.4 million and $3.2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$4.7 million, $4.3 million, and $3.4 million in Fiscal 2013, 2012 and 2011,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Certain amounts reported in prior years in deferred tax assets have been reclassified to conform to the current year footnote presentation. The reclassifications had no impact on total deferred tax assets (see Note 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4 and Note 14.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On June 16,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ASU 2011-05 became effective for fiscal years beginning after December 15, 2011 (our Fiscal 2013). We adopted this guidance in Fiscal 2013. This guidance resulted in no significant impact on our consolidated financial statements.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The adoption of this guidance had no significant impact on our consolidated financial statements.</w:t>
      </w:r>
    </w:p>
    <w:p>
      <w:pPr>
        <w:spacing w:after="0" w:line="34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 which improves the reporting of reclassification out of AOCI. An entity is required to present, either on the face of the net income statement or in the notes, the changes in accumulated balances for each component of AOCI, as well as significant amounts reclassified out of AOCI by the respective line items. ASU 2013-02 is effective for fiscal years beginning after December 15, 2012 (our Fiscal 2014). We adopted this guidance in Fiscal 2013. This guidance resulted in no significant impact on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July 2013, the FASB updated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requires entities to present unrecognized tax benefits as a liability and not combine it with deferred tax assets to the extent a net operating loss carryforward, a similar tax loss, or a tax credit carryforward is not available at the reporting date. ASU 2011-13 will become effective for fiscal years beginning after December 15, 2013 (our Fiscal 2015). We are currently evaluating the impact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December 29, 2010 we purchased, through Towables, substantially all of the assets of SunnyBrook, a manufacturer of travel trailer and fifth wheel RVs. The aggregate consideration paid was $4.7 million in cash, net of cash acquired, including the repayment of $3.3 million of SunnyBrook commercial and shareholder debt on the closing date. The assets acquired include inventory, equipment and other tangible and intangible property and are being used in connection with the operation of manufacturing towable recreation vehicles. Also on December 29, 2010, we entered into a five-year operating lease agreement for the SunnyBrook facilities. See Note 19. The operations of Towables are included in our consolidated operating results from the date of its acquisition. Towables has continued to manufacture products under the SunnyBrook brands. In addition, in the first quarter of Fiscal 2012, Towables began diversifying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earnings growth.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20" w:type="dxa"/>
            <w:vAlign w:val="bottom"/>
          </w:tcPr>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64"/>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29, 2010</w:t>
            </w:r>
          </w:p>
        </w:tc>
      </w:tr>
      <w:tr>
        <w:trPr>
          <w:trHeight w:val="24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5,773</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337</w:t>
            </w:r>
          </w:p>
        </w:tc>
      </w:tr>
      <w:tr>
        <w:trPr>
          <w:trHeight w:val="25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Dealer network</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535</w:t>
            </w:r>
          </w:p>
        </w:tc>
      </w:tr>
      <w:tr>
        <w:trPr>
          <w:trHeight w:val="25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Non-compete agreement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40</w:t>
            </w:r>
          </w:p>
        </w:tc>
      </w:tr>
      <w:tr>
        <w:trPr>
          <w:trHeight w:val="246"/>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(2,513)</w:t>
            </w:r>
          </w:p>
        </w:tc>
      </w:tr>
      <w:tr>
        <w:trPr>
          <w:trHeight w:val="233"/>
        </w:trPr>
        <w:tc>
          <w:tcPr>
            <w:tcW w:w="9520" w:type="dxa"/>
            <w:vAlign w:val="bottom"/>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5,596</w:t>
            </w:r>
          </w:p>
        </w:tc>
      </w:tr>
      <w:tr>
        <w:trPr>
          <w:trHeight w:val="246"/>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4,694</w:t>
            </w:r>
          </w:p>
        </w:tc>
      </w:tr>
      <w:tr>
        <w:trPr>
          <w:trHeight w:val="20"/>
        </w:trPr>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had been amortized on a straight line basis over 10 years. The trademarks were valued based on the Relief from Royalty Method and had been amortized on a straight line basis over 10 years. The non-compete agreement had been amortized on a straight line basis over 7 years. See Note 7.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measurement in its entirety. Our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31, 2013 and August 25, 2012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31, 2013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25, 2012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31, 2013</w:t>
            </w:r>
          </w:p>
        </w:tc>
        <w:tc>
          <w:tcPr>
            <w:tcW w:w="300" w:type="dxa"/>
            <w:vAlign w:val="bottom"/>
          </w:tcPr>
          <w:p>
            <w:pPr>
              <w:spacing w:after="0"/>
              <w:rPr>
                <w:sz w:val="19"/>
                <w:szCs w:val="19"/>
                <w:color w:val="auto"/>
              </w:rPr>
            </w:pPr>
          </w:p>
        </w:tc>
        <w:tc>
          <w:tcPr>
            <w:tcW w:w="1880" w:type="dxa"/>
            <w:vAlign w:val="bottom"/>
          </w:tcPr>
          <w:p>
            <w:pPr>
              <w:jc w:val="right"/>
              <w:ind w:right="39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7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10,627</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Net realized loss included in non-operating income</w:t>
            </w:r>
          </w:p>
        </w:tc>
        <w:tc>
          <w:tcPr>
            <w:tcW w:w="260" w:type="dxa"/>
            <w:vAlign w:val="bottom"/>
          </w:tcPr>
          <w:p>
            <w:pPr>
              <w:spacing w:after="0"/>
              <w:rPr>
                <w:sz w:val="22"/>
                <w:szCs w:val="22"/>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(503)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Sales</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(1,050)</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the end of year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at August 31, 2013 using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Range</w:t>
            </w:r>
          </w:p>
        </w:tc>
        <w:tc>
          <w:tcPr>
            <w:tcW w:w="720" w:type="dxa"/>
            <w:vAlign w:val="bottom"/>
            <w:tcBorders>
              <w:bottom w:val="single" w:sz="8" w:color="auto"/>
            </w:tcBorders>
          </w:tcPr>
          <w:p>
            <w:pPr>
              <w:spacing w:after="0"/>
              <w:rPr>
                <w:sz w:val="19"/>
                <w:szCs w:val="19"/>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Valuation Technique</w:t>
            </w:r>
          </w:p>
        </w:tc>
        <w:tc>
          <w:tcPr>
            <w:tcW w:w="120" w:type="dxa"/>
            <w:vAlign w:val="bottom"/>
            <w:tcBorders>
              <w:bottom w:val="single" w:sz="8" w:color="CCEEFF"/>
            </w:tcBorders>
          </w:tcPr>
          <w:p>
            <w:pPr>
              <w:spacing w:after="0"/>
              <w:rPr>
                <w:sz w:val="22"/>
                <w:szCs w:val="22"/>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Low</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High</w:t>
            </w:r>
          </w:p>
        </w:tc>
      </w:tr>
      <w:tr>
        <w:trPr>
          <w:trHeight w:val="25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Discounted Cash Flow</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Projected ARS Yield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57"/>
        </w:trPr>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Discount for lack of marketability</w:t>
            </w: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Our long-term investments are comprised of our ARS as described in Note 4. Our ARS investments are classified as Level 3, as</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were unavailable due to events described in Note 4. Due to limited market information, we utilized a DCF model to derive an estimate of fair value for the ARS at August 31, 2013.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They are classified as Level 1 as they are traded in an active market for which closing stock prices are readily available. These securities fund the Executive Share</w:t>
      </w:r>
    </w:p>
    <w:p>
      <w:pPr>
        <w:sectPr>
          <w:pgSz w:w="11900" w:h="16838" w:orient="portrait"/>
          <w:cols w:equalWidth="0" w:num="1">
            <w:col w:w="11420"/>
          </w:cols>
          <w:pgMar w:left="240" w:top="141"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Option Plan (see Note 10), a deferred compensation program. The Executive Plan assets related to those options that will expire within a year are included in prepaid expenses and other assets in the accompanying balance sheets. The remaining assets are included in other assets.</w:t>
      </w:r>
    </w:p>
    <w:p>
      <w:pPr>
        <w:spacing w:after="0" w:line="15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intangible assets and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3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At August 31, 2013, we held $2.4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is rated AAA by Standard &amp; Poor's Ratings Services and Fitch Ratings, and are collateralized by student loans guaranteed by the US Government under the Federal Family Education Loan Program.</w:t>
      </w:r>
    </w:p>
    <w:p>
      <w:pPr>
        <w:spacing w:after="0" w:line="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and, as a result, our ability to liquidate our investment and fully recover the par value in the near term may be limited or nonexistent. We have no reason to believe that the underlying issuer of our ARS is presently at risk of default. We have continued to receive interest payments on the ARS in accordance with their terms. We believe we will ultimately be able to liquidate our ARS related investment without significant loss primarily due to the collateral securing the ARS, but also due to the partial redemptions we have received over the last four fiscal years at par value. However, redemption could take until final maturity of the ARS (up to 25 years) to realize the par value of our investments. Due to the changes and uncertainty in the ARS market, we believe the recovery period for this investments is likely to be longer than 12 months and as a result, we have classified this investments as long-term as of August 31, 2013.</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August 31, 2013, there was insufficient observable ARS market information available to determine the fair value of our ARS investment.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an unrealized temporary impairment of $242,000 in accumulated other comprehensive income before tax considerations related to our long-term ARS investments of $2.4 million (par value) at August 31, 2013.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 October 16, 2013, our remaining ARS holding of $2.4 million was called at par for a full redemption.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38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31, 2013</w:t>
            </w:r>
          </w:p>
        </w:tc>
        <w:tc>
          <w:tcPr>
            <w:tcW w:w="36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6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43,927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30,054</w:t>
            </w:r>
          </w:p>
        </w:tc>
      </w:tr>
      <w:tr>
        <w:trPr>
          <w:trHeight w:val="260"/>
        </w:trPr>
        <w:tc>
          <w:tcPr>
            <w:tcW w:w="63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46,257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45,240</w:t>
            </w:r>
          </w:p>
        </w:tc>
      </w:tr>
      <w:tr>
        <w:trPr>
          <w:trHeight w:val="273"/>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52,201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42,824</w:t>
            </w:r>
          </w:p>
        </w:tc>
      </w:tr>
      <w:tr>
        <w:trPr>
          <w:trHeight w:val="247"/>
        </w:trPr>
        <w:tc>
          <w:tcPr>
            <w:tcW w:w="638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142,385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118,118</w:t>
            </w:r>
          </w:p>
        </w:tc>
      </w:tr>
      <w:tr>
        <w:trPr>
          <w:trHeight w:val="273"/>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(29,844)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(31,024)</w:t>
            </w:r>
          </w:p>
        </w:tc>
      </w:tr>
      <w:tr>
        <w:trPr>
          <w:trHeight w:val="240"/>
        </w:trPr>
        <w:tc>
          <w:tcPr>
            <w:tcW w:w="638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112,541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87,094</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$142.4 million inventory at August 31, 2013, $136.1 million is valued on a LIFO basis and the Towables inventory of $6.3 million is valued on a FIFO basis. Of the $118.1 million inventory at August 25, 2012, $110.1 million is valued on a LIFO basis and the Towables inventory of $8.0 million is valued on a FIFO basis.</w:t>
      </w:r>
    </w:p>
    <w:p>
      <w:pPr>
        <w:spacing w:after="0" w:line="17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Based on decreases in inflation partially offset by an increase in inventories during Fiscal 2013, we recorded a reduction to LIFO reserves of $1.2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31, 2013</w:t>
            </w:r>
          </w:p>
        </w:tc>
        <w:tc>
          <w:tcPr>
            <w:tcW w:w="380" w:type="dxa"/>
            <w:vAlign w:val="bottom"/>
          </w:tcPr>
          <w:p>
            <w:pPr>
              <w:spacing w:after="0"/>
              <w:rPr>
                <w:sz w:val="19"/>
                <w:szCs w:val="19"/>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50,297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49,641</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91,224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90,775</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9,044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8,858</w:t>
            </w:r>
          </w:p>
        </w:tc>
      </w:tr>
      <w:tr>
        <w:trPr>
          <w:trHeight w:val="25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151,322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150,031</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(131,056)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(130,053)</w:t>
            </w:r>
          </w:p>
        </w:tc>
      </w:tr>
      <w:tr>
        <w:trPr>
          <w:trHeight w:val="24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20,266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19,978</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recorded an impairment of $855,000 for the Hampton facility in the fourth quarter of Fiscal 2009 when the decision to close the facility was made. Additional impairment of $605,000 was recorded during the third quarter of Fiscal 2011 as a result of deteriorating real estate market conditions and and an additional impairment of $50,000 was recorded during the fourth quarter of Fiscal 2012 based upon the sale of the asset that occurred shortly after Fiscal 2012. On August 30, 2012 (our Fiscal 2013), the facility was sold in an arm's-length transaction to New South Central Properties, LLC. The sale generated $550,000 in gross proceeds, selling costs of $28,000 and a loss of $28,000.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At August 31, 2013, we had no assets held for sale.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Goodwill and intangible assets are the result of the acquisition of SunnyBrook during the second quarter of Fiscal 2011, as more fully described in Note 2. Goodwill of $1.2 million is not subject to amortization for financial statement purposes, but is amortizable for tax return purposes. During the course of our annual evaluation of goodwill, we have determined that the fair value substantially exceeds the carrying value. Amortizable intangible assets are amortized on a straight-line basis. During the course of our annual review of intangible assets, we identified a decrease in the estimated useful lives of our intangible assets related to the SunnyBrook acquisition. In order to reflect the updated estimated useful lives, the intangible assets have been fully amortized as of August 31, 2013.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20"/>
                <w:szCs w:val="20"/>
                <w:color w:val="auto"/>
              </w:rPr>
            </w:pPr>
            <w:r>
              <w:rPr>
                <w:rFonts w:ascii="Arial" w:cs="Arial" w:eastAsia="Arial" w:hAnsi="Arial"/>
                <w:sz w:val="16"/>
                <w:szCs w:val="16"/>
                <w:color w:val="auto"/>
              </w:rPr>
              <w:t>Amortizable intangible assets consist of the following: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August 31, 2013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$640,000, $79,000 and $51,000 for Fiscal 2013, Fiscal 2012, and Fiscal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October 31, 2012, we entered into a Credit Agreement with GECC. The Credit Agreement provides for an initial $35.0 million revolving credit facility, based on our eligible inventory and will expire on October 31, 2015, unless terminated earlier in accordance with its terms. There is no termination fee associated with the agreement.</w:t>
      </w:r>
    </w:p>
    <w:p>
      <w:pPr>
        <w:spacing w:after="0" w:line="14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Interest on loans made under the new credit facility will be based on LIBOR plus a margin of 3.0%. The initial unused line fee associated with the Credit Agreement is 0.50% per annum and has the ability to be lowered based upon facility usage.</w:t>
      </w:r>
    </w:p>
    <w:p>
      <w:pPr>
        <w:spacing w:after="0" w:line="151"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report, we are in compliance with all terms of the Credit Agreement, and no borrowings have been made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2013, Fiscal 2012 and Fiscal 2011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31, 2013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25, 2012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298"/>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57"/>
        </w:trPr>
        <w:tc>
          <w:tcPr>
            <w:tcW w:w="5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6,990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7,335</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60" w:type="dxa"/>
            <w:vAlign w:val="bottom"/>
          </w:tcPr>
          <w:p>
            <w:pPr>
              <w:spacing w:after="0"/>
              <w:rPr>
                <w:sz w:val="22"/>
                <w:szCs w:val="22"/>
                <w:color w:val="auto"/>
              </w:rPr>
            </w:pPr>
          </w:p>
        </w:tc>
        <w:tc>
          <w:tcPr>
            <w:tcW w:w="1720" w:type="dxa"/>
            <w:vAlign w:val="bottom"/>
          </w:tcPr>
          <w:p>
            <w:pPr>
              <w:jc w:val="right"/>
              <w:ind w:right="459"/>
              <w:spacing w:after="0"/>
              <w:rPr>
                <w:sz w:val="20"/>
                <w:szCs w:val="20"/>
                <w:color w:val="auto"/>
              </w:rPr>
            </w:pPr>
            <w:r>
              <w:rPr>
                <w:rFonts w:ascii="Arial" w:cs="Arial" w:eastAsia="Arial" w:hAnsi="Arial"/>
                <w:sz w:val="16"/>
                <w:szCs w:val="16"/>
                <w:color w:val="auto"/>
              </w:rPr>
              <w:t>9,075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5,756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8"/>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(7,622)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(6,101)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rPr>
              <w:t>(5,865)</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8,443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6,990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4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August 31, 2013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36,244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45,132</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22,366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8"/>
              <w:spacing w:after="0"/>
              <w:rPr>
                <w:sz w:val="20"/>
                <w:szCs w:val="20"/>
                <w:color w:val="auto"/>
              </w:rPr>
            </w:pPr>
            <w:r>
              <w:rPr>
                <w:rFonts w:ascii="Arial" w:cs="Arial" w:eastAsia="Arial" w:hAnsi="Arial"/>
                <w:sz w:val="16"/>
                <w:szCs w:val="16"/>
                <w:color w:val="auto"/>
              </w:rPr>
              <w:t>23,630</w:t>
            </w:r>
          </w:p>
        </w:tc>
        <w:tc>
          <w:tcPr>
            <w:tcW w:w="0" w:type="dxa"/>
            <w:vAlign w:val="bottom"/>
          </w:tcPr>
          <w:p>
            <w:pPr>
              <w:spacing w:after="0"/>
              <w:rPr>
                <w:sz w:val="1"/>
                <w:szCs w:val="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6,959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7,798</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2,876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8"/>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Officer stock-based compensation</w:t>
            </w:r>
          </w:p>
        </w:tc>
        <w:tc>
          <w:tcPr>
            <w:tcW w:w="3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543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69,093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80,004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(5,019)</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24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64,074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75,135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In January 2012 and January 2013 the employer established dollar caps were reduced by 10% in each year through plan amendments which reduced our liability for postretirement health care by $4.6 million and $4.3 million, respectively, as presented in the table below.</w:t>
      </w:r>
    </w:p>
    <w:p>
      <w:pPr>
        <w:spacing w:after="0" w:line="17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discount rate used in determining the accumulated postretirement benefit obligation was 4.6% at August 31, 2013 and 3.6% at August 25, 2012. In Fiscal 2013, the increase in the discount rate resulted in a decrease to the benefit obligation of $5.6 million, presented as an actuarial gain in the following table. Assumed health care cost trend rates do not have a significant effect in determining the accumulated postretirement benefit obligation due to employer caps established.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4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4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2013</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74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41,370</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1,849</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539</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(1,213)</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Actuarial (gain)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(5,572)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7,185</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(4,289)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(4,598)</w:t>
            </w:r>
          </w:p>
        </w:tc>
      </w:tr>
      <w:tr>
        <w:trPr>
          <w:trHeight w:val="24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r>
      <w:tr>
        <w:trPr>
          <w:trHeight w:val="20"/>
        </w:trPr>
        <w:tc>
          <w:tcPr>
            <w:tcW w:w="1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31, 2013</w:t>
            </w:r>
          </w:p>
        </w:tc>
        <w:tc>
          <w:tcPr>
            <w:tcW w:w="260" w:type="dxa"/>
            <w:vAlign w:val="bottom"/>
          </w:tcPr>
          <w:p>
            <w:pPr>
              <w:spacing w:after="0"/>
              <w:rPr>
                <w:sz w:val="22"/>
                <w:szCs w:val="22"/>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25, 2012</w:t>
            </w:r>
          </w:p>
        </w:tc>
        <w:tc>
          <w:tcPr>
            <w:tcW w:w="280" w:type="dxa"/>
            <w:vAlign w:val="bottom"/>
          </w:tcPr>
          <w:p>
            <w:pPr>
              <w:spacing w:after="0"/>
              <w:rPr>
                <w:sz w:val="22"/>
                <w:szCs w:val="22"/>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4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1,508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1,849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1,905</w:t>
            </w:r>
          </w:p>
        </w:tc>
      </w:tr>
      <w:tr>
        <w:trPr>
          <w:trHeight w:val="260"/>
        </w:trPr>
        <w:tc>
          <w:tcPr>
            <w:tcW w:w="49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608</w:t>
            </w:r>
          </w:p>
        </w:tc>
      </w:tr>
      <w:tr>
        <w:trPr>
          <w:trHeight w:val="28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(4,592)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(4,199)</w:t>
            </w:r>
          </w:p>
        </w:tc>
      </w:tr>
      <w:tr>
        <w:trPr>
          <w:trHeight w:val="264"/>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1,603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1,095</w:t>
            </w:r>
          </w:p>
        </w:tc>
      </w:tr>
      <w:tr>
        <w:trPr>
          <w:trHeight w:val="24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(1,485)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(591)</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benefit associated with the establishment of caps on the employer portion of benefits in Fiscal 2005 and the 10% cap reductions in both Fiscal 2013 and Fiscal 2012.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2013</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(16,926)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(17,808)</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14,899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22,075</w:t>
            </w:r>
          </w:p>
        </w:tc>
      </w:tr>
      <w:tr>
        <w:trPr>
          <w:trHeight w:val="24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4,267</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estimated amounts that will be will be amortized from accumulated other comprehensive income to net periodic benefit cost in Fiscal 2014 include a prior service credit of $5.3 million and an actuarial net loss of $1.1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2014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1,402</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1,735</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1,893</w:t>
            </w:r>
          </w:p>
        </w:tc>
      </w:tr>
      <w:tr>
        <w:trPr>
          <w:trHeight w:val="264"/>
        </w:trPr>
        <w:tc>
          <w:tcPr>
            <w:tcW w:w="680" w:type="dxa"/>
            <w:vAlign w:val="bottom"/>
            <w:tcBorders>
              <w:bottom w:val="single" w:sz="8" w:color="CCEEFF"/>
            </w:tcBorders>
          </w:tcPr>
          <w:p>
            <w:pPr>
              <w:spacing w:after="0"/>
              <w:rPr>
                <w:sz w:val="22"/>
                <w:szCs w:val="22"/>
                <w:color w:val="auto"/>
              </w:rPr>
            </w:pPr>
          </w:p>
        </w:tc>
        <w:tc>
          <w:tcPr>
            <w:tcW w:w="8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2019-2023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11,383</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19,188</w:t>
            </w:r>
          </w:p>
        </w:tc>
      </w:tr>
      <w:tr>
        <w:trPr>
          <w:trHeight w:val="20"/>
        </w:trPr>
        <w:tc>
          <w:tcPr>
            <w:tcW w:w="6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31, 2013 and include benefits attached to estimated current employees' future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$1.5 million, $1.6 million and $1.8 million in Fiscal 2013, 2012 and 2011, respectively. Total deferred compensation liabilities were $22.4 million and $23.6 million at August 31, 2013 and August 25, 2012, respectively.</w:t>
      </w:r>
    </w:p>
    <w:p>
      <w:pPr>
        <w:sectPr>
          <w:pgSz w:w="11900" w:h="16838" w:orient="portrait"/>
          <w:cols w:equalWidth="0" w:num="1">
            <w:col w:w="11420"/>
          </w:cols>
          <w:pgMar w:left="240" w:top="118"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$2.9 million and $3.3 million at August 31, 2013 and August 25, 2012,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2013</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55,484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53,948</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(30,433)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(30,821)</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25,051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23,127</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31, 2013 and August 25, 2012 were $8.2 million and $9.4 million, respectively, and the liabilities were $7.0 million and $7.8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 accompanying balance sheets. Such assets on August 31, 2013 and August 25, 2012 were $105,000 and $102,000, respectively, and liabilities were $105,000 and $102,000,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2013, 2012 and 2011 were $865,000, $676,000 and $676,000,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$232.9 million and $165.4 million at August 31, 2013 and August 25, 2012, respectively.</w:t>
      </w:r>
    </w:p>
    <w:p>
      <w:pPr>
        <w:spacing w:after="0" w:line="14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repurchase exposure beyond existing repurchase agreements, related to dealer inventory in states that we have had historical experience of repurchasing inventory, totaled $8.0 million and $5.0 million at August 31, 2013 and August 25, 2012, respectively.</w:t>
      </w:r>
    </w:p>
    <w:p>
      <w:pPr>
        <w:spacing w:after="0" w:line="14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$1.3 million as of August 31, 2013 and $627,000 as of August 25,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1"/>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2013</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2012</w:t>
            </w:r>
          </w:p>
        </w:tc>
        <w:tc>
          <w:tcPr>
            <w:tcW w:w="18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Fiscal 2011</w:t>
            </w:r>
          </w:p>
        </w:tc>
      </w:tr>
      <w:tr>
        <w:trPr>
          <w:trHeight w:val="270"/>
        </w:trPr>
        <w:tc>
          <w:tcPr>
            <w:tcW w:w="6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62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51"/>
        </w:trPr>
        <w:tc>
          <w:tcPr>
            <w:tcW w:w="666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have operating leases for certain land, buildings and equipment. Lease expense was $949,000 for Fiscal 2013 (see Note 19), $864,000 for Fiscal 2012 and $642,000 for Fiscal 2011. Minimum future lease commitments under noncancelable lease agreements in excess of one year as of August 31, 2013 are 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6"/>
                <w:szCs w:val="16"/>
                <w:color w:val="auto"/>
              </w:rPr>
              <w:t>follows:</w:t>
            </w:r>
          </w:p>
        </w:tc>
        <w:tc>
          <w:tcPr>
            <w:tcW w:w="8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05"/>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705</w:t>
            </w:r>
          </w:p>
        </w:tc>
      </w:tr>
      <w:tr>
        <w:trPr>
          <w:trHeight w:val="280"/>
        </w:trPr>
        <w:tc>
          <w:tcPr>
            <w:tcW w:w="1340" w:type="dxa"/>
            <w:vAlign w:val="bottom"/>
            <w:shd w:val="clear" w:color="auto" w:fill="CCEEFF"/>
          </w:tcPr>
          <w:p>
            <w:pPr>
              <w:spacing w:after="0"/>
              <w:rPr>
                <w:sz w:val="24"/>
                <w:szCs w:val="24"/>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3"/>
        </w:trPr>
        <w:tc>
          <w:tcPr>
            <w:tcW w:w="1340" w:type="dxa"/>
            <w:vAlign w:val="bottom"/>
            <w:shd w:val="clear" w:color="auto" w:fill="CCEEFF"/>
          </w:tcPr>
          <w:p>
            <w:pPr>
              <w:spacing w:after="0"/>
              <w:rPr>
                <w:sz w:val="23"/>
                <w:szCs w:val="23"/>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40"/>
        </w:trPr>
        <w:tc>
          <w:tcPr>
            <w:tcW w:w="1340" w:type="dxa"/>
            <w:vAlign w:val="bottom"/>
          </w:tcPr>
          <w:p>
            <w:pPr>
              <w:spacing w:after="0"/>
              <w:rPr>
                <w:sz w:val="20"/>
                <w:szCs w:val="20"/>
                <w:color w:val="auto"/>
              </w:rPr>
            </w:pPr>
          </w:p>
        </w:tc>
        <w:tc>
          <w:tcPr>
            <w:tcW w:w="88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2,074</w:t>
            </w:r>
          </w:p>
        </w:tc>
      </w:tr>
      <w:tr>
        <w:trPr>
          <w:trHeight w:val="20"/>
        </w:trPr>
        <w:tc>
          <w:tcPr>
            <w:tcW w:w="13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20"/>
                <w:szCs w:val="20"/>
                <w:color w:val="auto"/>
              </w:rPr>
            </w:pPr>
            <w:r>
              <w:rPr>
                <w:rFonts w:ascii="Arial" w:cs="Arial" w:eastAsia="Arial" w:hAnsi="Arial"/>
                <w:sz w:val="16"/>
                <w:szCs w:val="16"/>
                <w:b w:val="1"/>
                <w:bCs w:val="1"/>
                <w:color w:val="auto"/>
              </w:rPr>
              <w:t>Note 12: Income Taxes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6"/>
                <w:szCs w:val="16"/>
                <w:color w:val="auto"/>
              </w:rPr>
              <w:t>The components of the provision (benefit) for income taxes are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2013</w:t>
            </w:r>
          </w:p>
        </w:tc>
        <w:tc>
          <w:tcPr>
            <w:tcW w:w="24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40" w:type="dxa"/>
            <w:vAlign w:val="bottom"/>
          </w:tcPr>
          <w:p>
            <w:pPr>
              <w:spacing w:after="0"/>
              <w:rPr>
                <w:sz w:val="22"/>
                <w:szCs w:val="22"/>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2011</w:t>
            </w:r>
          </w:p>
        </w:tc>
      </w:tr>
      <w:tr>
        <w:trPr>
          <w:trHeight w:val="270"/>
        </w:trPr>
        <w:tc>
          <w:tcPr>
            <w:tcW w:w="5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10,958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588</w:t>
            </w: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(564)</w:t>
            </w:r>
          </w:p>
        </w:tc>
      </w:tr>
      <w:tr>
        <w:trPr>
          <w:trHeight w:val="250"/>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tax provision (benefit)</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10,278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(33,218)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w:t>
            </w: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w:t>
            </w:r>
          </w:p>
        </w:tc>
      </w:tr>
      <w:tr>
        <w:trPr>
          <w:trHeight w:val="250"/>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tax provision (benefit)</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(34,749)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w:t>
            </w:r>
          </w:p>
        </w:tc>
      </w:tr>
      <w:tr>
        <w:trPr>
          <w:trHeight w:val="24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tax provision (benefit)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(34,865)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Tax Provision (Benefit)</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current federal tax provision noted in the table above for Fiscal 2013 and 2012 represents primarily the estimated federal tax payable for those fiscal years in addition to the tax effect of tax planning initiatives recorded during the year.</w:t>
      </w:r>
    </w:p>
    <w:p>
      <w:pPr>
        <w:sectPr>
          <w:pgSz w:w="11900" w:h="16838" w:orient="portrait"/>
          <w:cols w:equalWidth="0" w:num="1">
            <w:col w:w="11420"/>
          </w:cols>
          <w:pgMar w:left="240" w:top="141"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41" w:right="2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lower value of FY2013 state payable in Fiscal 2013 and the state benefit recorded in Fiscal 2012 and Fiscal 2011 is primarily a result of tax planning initiatives recorded during those years.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Provision (Benefit)</w:t>
      </w:r>
    </w:p>
    <w:p>
      <w:pPr>
        <w:spacing w:after="0" w:line="2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deferred federal and state expense recorded during Fiscal 2013 is primarily a result of the utilization of deferred tax assets during the year. The deferred federal and state tax benefit recorded during Fiscal 2012 is associated with the reduction in valuation allowance on deferred tax assets as we determined that $39.0 million of our deferred tax assets were sustainable.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6"/>
                <w:szCs w:val="16"/>
                <w:b w:val="1"/>
                <w:bCs w:val="1"/>
                <w:color w:val="auto"/>
              </w:rPr>
              <w:t>(A percentage)</w:t>
            </w:r>
          </w:p>
        </w:tc>
        <w:tc>
          <w:tcPr>
            <w:tcW w:w="20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August 31, 2013</w:t>
            </w: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25, 2012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70"/>
        </w:trPr>
        <w:tc>
          <w:tcPr>
            <w:tcW w:w="5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8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35.0 %</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34.0 %</w:t>
            </w:r>
          </w:p>
        </w:tc>
        <w:tc>
          <w:tcPr>
            <w:tcW w:w="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4.8 %</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state returns</w:t>
            </w:r>
          </w:p>
        </w:tc>
        <w:tc>
          <w:tcPr>
            <w:tcW w:w="208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0.6 %</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Effective tax provision (benefit) rate</w:t>
            </w:r>
          </w:p>
        </w:tc>
        <w:tc>
          <w:tcPr>
            <w:tcW w:w="1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29.1 %</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(345.0)%</w:t>
            </w: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color w:val="auto"/>
              </w:rPr>
              <w:t>Significant items comprising our net deferred tax assets are as follows:</w:t>
            </w: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31, 2013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Warranty reserves</w:t>
            </w:r>
          </w:p>
        </w:tc>
        <w:tc>
          <w:tcPr>
            <w:tcW w:w="20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3,191</w:t>
            </w:r>
          </w:p>
        </w:tc>
        <w:tc>
          <w:tcPr>
            <w:tcW w:w="56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1,704</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Accrued vacation</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1,810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(1,078)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1,118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3"/>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reserves</w:t>
            </w:r>
          </w:p>
        </w:tc>
        <w:tc>
          <w:tcPr>
            <w:tcW w:w="18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997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current</w:t>
            </w:r>
          </w:p>
        </w:tc>
        <w:tc>
          <w:tcPr>
            <w:tcW w:w="1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7,742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8,453</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Postretirement health care benefits</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13,186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16,508</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10,678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12,416</w:t>
            </w:r>
          </w:p>
        </w:tc>
        <w:tc>
          <w:tcPr>
            <w:tcW w:w="0" w:type="dxa"/>
            <w:vAlign w:val="bottom"/>
          </w:tcPr>
          <w:p>
            <w:pPr>
              <w:spacing w:after="0"/>
              <w:rPr>
                <w:sz w:val="1"/>
                <w:szCs w:val="1"/>
                <w:color w:val="auto"/>
              </w:rPr>
            </w:pPr>
          </w:p>
        </w:tc>
      </w:tr>
      <w:tr>
        <w:trPr>
          <w:trHeight w:val="233"/>
        </w:trPr>
        <w:tc>
          <w:tcPr>
            <w:tcW w:w="5300" w:type="dxa"/>
            <w:vAlign w:val="bottom"/>
          </w:tcPr>
          <w:p>
            <w:pPr>
              <w:ind w:left="180"/>
              <w:spacing w:after="0"/>
              <w:rPr>
                <w:sz w:val="20"/>
                <w:szCs w:val="20"/>
                <w:color w:val="auto"/>
              </w:rPr>
            </w:pPr>
            <w:r>
              <w:rPr>
                <w:rFonts w:ascii="Arial" w:cs="Arial" w:eastAsia="Arial" w:hAnsi="Arial"/>
                <w:sz w:val="16"/>
                <w:szCs w:val="16"/>
                <w:color w:val="auto"/>
              </w:rPr>
              <w:t>Tax credits and NOL carryforwards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2,070</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Unrecognized tax benefit</w:t>
            </w: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1,206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1,416</w:t>
            </w:r>
          </w:p>
        </w:tc>
        <w:tc>
          <w:tcPr>
            <w:tcW w:w="0" w:type="dxa"/>
            <w:vAlign w:val="bottom"/>
          </w:tcPr>
          <w:p>
            <w:pPr>
              <w:spacing w:after="0"/>
              <w:rPr>
                <w:sz w:val="1"/>
                <w:szCs w:val="1"/>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73"/>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8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1,068</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noncurrent</w:t>
            </w:r>
          </w:p>
        </w:tc>
        <w:tc>
          <w:tcPr>
            <w:tcW w:w="1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27,291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32,089</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gross deferred tax assets</w:t>
            </w: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35,033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40,542</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Valuation allowance</w:t>
            </w:r>
          </w:p>
        </w:tc>
        <w:tc>
          <w:tcPr>
            <w:tcW w:w="18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(1,642)</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4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33,391</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38,973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hanging="252"/>
        <w:spacing w:after="0" w:line="225" w:lineRule="auto"/>
        <w:tabs>
          <w:tab w:leader="none" w:pos="2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At August 31, 2013, tax credits and NOL carryforwards included $1.4 million of unused tax credits, which will expire in Fiscal 2014, and $676,000 of state NOLs that will begin to expire in Fiscal 2018 if not otherwise used by us. A valuation allowance of $1.6 million has been maintained for these assets as it is unlikely that the $1.4 million of tax credits will be utilized before they expire and $249,000 of state NOLs are currently not available to be utilized due to a suspension put in place by that state.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4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65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41"/>
        </w:trPr>
        <w:tc>
          <w:tcPr>
            <w:tcW w:w="6580" w:type="dxa"/>
            <w:vAlign w:val="bottom"/>
            <w:gridSpan w:val="2"/>
          </w:tcPr>
          <w:p>
            <w:pPr>
              <w:spacing w:after="0"/>
              <w:rPr>
                <w:sz w:val="20"/>
                <w:szCs w:val="20"/>
                <w:color w:val="auto"/>
              </w:rPr>
            </w:pPr>
            <w:r>
              <w:rPr>
                <w:rFonts w:ascii="Arial" w:cs="Arial" w:eastAsia="Arial" w:hAnsi="Arial"/>
                <w:sz w:val="16"/>
                <w:szCs w:val="16"/>
                <w:b w:val="1"/>
                <w:bCs w:val="1"/>
                <w:color w:val="auto"/>
              </w:rPr>
              <w:t>Unrecognized Tax Benefits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5"/>
        </w:trPr>
        <w:tc>
          <w:tcPr>
            <w:tcW w:w="6580" w:type="dxa"/>
            <w:vAlign w:val="bottom"/>
            <w:gridSpan w:val="2"/>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1"/>
        </w:trPr>
        <w:tc>
          <w:tcPr>
            <w:tcW w:w="6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 2013</w:t>
            </w: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2012</w:t>
            </w:r>
          </w:p>
        </w:tc>
        <w:tc>
          <w:tcPr>
            <w:tcW w:w="220" w:type="dxa"/>
            <w:vAlign w:val="bottom"/>
          </w:tcPr>
          <w:p>
            <w:pPr>
              <w:spacing w:after="0"/>
              <w:rPr>
                <w:sz w:val="24"/>
                <w:szCs w:val="24"/>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b w:val="1"/>
                <w:bCs w:val="1"/>
                <w:color w:val="auto"/>
              </w:rPr>
              <w:t>Fiscal 2011</w:t>
            </w:r>
          </w:p>
        </w:tc>
      </w:tr>
      <w:tr>
        <w:trPr>
          <w:trHeight w:val="257"/>
        </w:trPr>
        <w:tc>
          <w:tcPr>
            <w:tcW w:w="65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(5,228)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(5,387)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(5,877)</w:t>
            </w:r>
          </w:p>
        </w:tc>
      </w:tr>
      <w:tr>
        <w:trPr>
          <w:trHeight w:val="260"/>
        </w:trPr>
        <w:tc>
          <w:tcPr>
            <w:tcW w:w="6580" w:type="dxa"/>
            <w:vAlign w:val="bottom"/>
            <w:gridSpan w:val="2"/>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4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3,101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490</w:t>
            </w:r>
          </w:p>
        </w:tc>
      </w:tr>
      <w:tr>
        <w:trPr>
          <w:trHeight w:val="273"/>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0"/>
        </w:trPr>
        <w:tc>
          <w:tcPr>
            <w:tcW w:w="6580" w:type="dxa"/>
            <w:vAlign w:val="bottom"/>
            <w:gridSpan w:val="2"/>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(5,228)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(5,387)</w:t>
            </w:r>
          </w:p>
        </w:tc>
      </w:tr>
      <w:tr>
        <w:trPr>
          <w:trHeight w:val="20"/>
        </w:trPr>
        <w:tc>
          <w:tcPr>
            <w:tcW w:w="12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Approximately $1.9 million of the gross decreases for Fiscal 2013 includes the removal of the interest and penalties from the overall disclosed reserve balance of unrecognized tax benefits. The remaining reductions are as a result of changes in balance of positions that meet the more-likely-than-not threshold.</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the remaining uncertain positions are ultimately favorably resolved, $2.8 million of unrecognized benefits could have a positive impact on our effective tax rate, as we have recorded deferred tax assets associated with these positions. It is our policy to recognize interest and penalties accrued relative to unrecognized tax benefits into tax expense. The Company reduced its accrual for interest by $235,000 and penalties by $92,000 during Fiscal 2013. In total, as of August 31, 2013 the Company has recognized a liability for penalties of $542,000 and interest of $1.3 million. Approximately $2.2 million and $2.4 million of interest and penalties are included in the unrecognized tax benefits ending balance for Fiscal 2012 and Fiscal 2011.</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 for Fiscal 2011, was under examination by the IRS during Fiscal 2013. This examination was concluded during the fourth quarter of Fiscal 2013 with minor changes being recommended by the IRS, resulting in nominal tax benefit.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31,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20"/>
                <w:szCs w:val="20"/>
                <w:color w:val="auto"/>
              </w:rPr>
            </w:pPr>
            <w:r>
              <w:rPr>
                <w:rFonts w:ascii="Arial" w:cs="Arial" w:eastAsia="Arial" w:hAnsi="Arial"/>
                <w:sz w:val="16"/>
                <w:szCs w:val="16"/>
                <w:b w:val="1"/>
                <w:bCs w:val="1"/>
                <w:color w:val="auto"/>
              </w:rPr>
              <w:t>Note 13: Non-Operating Income and Expense</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8"/>
        </w:trPr>
        <w:tc>
          <w:tcPr>
            <w:tcW w:w="5460" w:type="dxa"/>
            <w:vAlign w:val="bottom"/>
          </w:tcPr>
          <w:p>
            <w:pPr>
              <w:spacing w:after="0"/>
              <w:rPr>
                <w:sz w:val="20"/>
                <w:szCs w:val="20"/>
                <w:color w:val="auto"/>
              </w:rPr>
            </w:pPr>
            <w:r>
              <w:rPr>
                <w:rFonts w:ascii="Arial" w:cs="Arial" w:eastAsia="Arial" w:hAnsi="Arial"/>
                <w:sz w:val="16"/>
                <w:szCs w:val="16"/>
                <w:color w:val="auto"/>
              </w:rPr>
              <w:t>Non-operating income consists of:</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5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31, 2013</w:t>
            </w:r>
          </w:p>
        </w:tc>
        <w:tc>
          <w:tcPr>
            <w:tcW w:w="22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25, 2012</w:t>
            </w:r>
          </w:p>
        </w:tc>
        <w:tc>
          <w:tcPr>
            <w:tcW w:w="24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5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 appreciation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2,616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2,788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3,045</w:t>
            </w:r>
          </w:p>
        </w:tc>
      </w:tr>
      <w:tr>
        <w:trPr>
          <w:trHeight w:val="260"/>
        </w:trPr>
        <w:tc>
          <w:tcPr>
            <w:tcW w:w="5460" w:type="dxa"/>
            <w:vAlign w:val="bottom"/>
          </w:tcPr>
          <w:p>
            <w:pPr>
              <w:ind w:left="40"/>
              <w:spacing w:after="0"/>
              <w:rPr>
                <w:sz w:val="20"/>
                <w:szCs w:val="20"/>
                <w:color w:val="auto"/>
              </w:rPr>
            </w:pPr>
            <w:r>
              <w:rPr>
                <w:rFonts w:ascii="Arial" w:cs="Arial" w:eastAsia="Arial" w:hAnsi="Arial"/>
                <w:sz w:val="16"/>
                <w:szCs w:val="16"/>
                <w:color w:val="auto"/>
              </w:rPr>
              <w:t>COLI death benefits</w:t>
            </w:r>
          </w:p>
        </w:tc>
        <w:tc>
          <w:tcPr>
            <w:tcW w:w="240" w:type="dxa"/>
            <w:vAlign w:val="bottom"/>
          </w:tcPr>
          <w:p>
            <w:pPr>
              <w:spacing w:after="0"/>
              <w:rPr>
                <w:sz w:val="22"/>
                <w:szCs w:val="22"/>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372</w:t>
            </w: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 premiums</w:t>
            </w: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(564)</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COLI interest expense</w:t>
            </w: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(1,821)</w:t>
            </w:r>
          </w:p>
        </w:tc>
      </w:tr>
      <w:tr>
        <w:trPr>
          <w:trHeight w:val="250"/>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COLI</w:t>
            </w:r>
          </w:p>
        </w:tc>
        <w:tc>
          <w:tcPr>
            <w:tcW w:w="2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1,032</w:t>
            </w:r>
          </w:p>
        </w:tc>
      </w:tr>
      <w:tr>
        <w:trPr>
          <w:trHeight w:val="247"/>
        </w:trPr>
        <w:tc>
          <w:tcPr>
            <w:tcW w:w="5460" w:type="dxa"/>
            <w:vAlign w:val="bottom"/>
          </w:tcPr>
          <w:p>
            <w:pPr>
              <w:ind w:left="180"/>
              <w:spacing w:after="0"/>
              <w:rPr>
                <w:sz w:val="20"/>
                <w:szCs w:val="20"/>
                <w:color w:val="auto"/>
              </w:rPr>
            </w:pPr>
            <w:r>
              <w:rPr>
                <w:rFonts w:ascii="Arial" w:cs="Arial" w:eastAsia="Arial" w:hAnsi="Arial"/>
                <w:sz w:val="16"/>
                <w:szCs w:val="16"/>
                <w:color w:val="auto"/>
              </w:rPr>
              <w:t>Total line of credit expense</w:t>
            </w:r>
          </w:p>
        </w:tc>
        <w:tc>
          <w:tcPr>
            <w:tcW w:w="240" w:type="dxa"/>
            <w:vAlign w:val="bottom"/>
          </w:tcPr>
          <w:p>
            <w:pPr>
              <w:spacing w:after="0"/>
              <w:rPr>
                <w:sz w:val="21"/>
                <w:szCs w:val="21"/>
                <w:color w:val="auto"/>
              </w:rPr>
            </w:pPr>
          </w:p>
        </w:tc>
        <w:tc>
          <w:tcPr>
            <w:tcW w:w="1660" w:type="dxa"/>
            <w:vAlign w:val="bottom"/>
          </w:tcPr>
          <w:p>
            <w:pPr>
              <w:jc w:val="right"/>
              <w:ind w:right="27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(564)</w:t>
            </w:r>
          </w:p>
        </w:tc>
      </w:tr>
      <w:tr>
        <w:trPr>
          <w:trHeight w:val="280"/>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investment</w:t>
            </w: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54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2"/>
                <w:szCs w:val="22"/>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194</w:t>
            </w:r>
          </w:p>
        </w:tc>
      </w:tr>
      <w:tr>
        <w:trPr>
          <w:trHeight w:val="273"/>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foreign currency transactions</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r>
      <w:tr>
        <w:trPr>
          <w:trHeight w:val="240"/>
        </w:trPr>
        <w:tc>
          <w:tcPr>
            <w:tcW w:w="5460" w:type="dxa"/>
            <w:vAlign w:val="bottom"/>
          </w:tcPr>
          <w:p>
            <w:pPr>
              <w:ind w:left="40"/>
              <w:spacing w:after="0"/>
              <w:rPr>
                <w:sz w:val="20"/>
                <w:szCs w:val="20"/>
                <w:color w:val="auto"/>
              </w:rPr>
            </w:pPr>
            <w:r>
              <w:rPr>
                <w:rFonts w:ascii="Arial" w:cs="Arial" w:eastAsia="Arial" w:hAnsi="Arial"/>
                <w:sz w:val="16"/>
                <w:szCs w:val="16"/>
                <w:color w:val="auto"/>
              </w:rPr>
              <w:t>Total non-operating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658</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 No more than 4.0 million shares of common stock may be issued under the Plan and no more than 2.0 million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With respect to stock options, the Plan replaced the 1997 Stock Option Plan. Any stock options previously granted under the 1997 Stock Option Plan continue to be exercisable in accordance with their original terms and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retirement or upon a change of control (as defined in the Plan), if earlier. Historically, options issued to directors vested six months after grant. Share awards vest based either upon continued employment, beginning one year after the date of grant, with immediate vesting upon retirement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Prior to Fiscal 2007, stock-based compensation generally consisted only of stock options. In Fiscal 2007 and Fiscal 2008, we granted restricted time-based share awards to key employees and directors instead of stock options. No stock options or restricted share awards were granted in Fiscal 2010. In Fiscal 2011, Fiscal 2012, and Fiscal 2013 we granted restricted time-based stock awards to key employees and directors. In Fiscal 2012 the Board of Directors granted 50,000 shares of restricted common stock to Robert J. Olson, retiring Executive Chairman of the Board, in recognition of his contributions to the Company during his 43 years of service.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For Fiscal 2011, Fiscal 2012 and Fiscal 2013, the Human Resources Committee of our Board of Directors established annual incentive plans for the officers that were to be paid in 2/3 cash and 1/3 restricted stock (stock must be held for one year from date of grant). Certain financial performance metrics had to be met to achieve payment under these plans; these metrics (diluted EPS and ROIC) were not met for Fiscal 2011. Certain financial performance metrics (pre-tax income and ROIC) were achieved for Fiscal 2012 under the annual incentive plan thus $459,000 of compensation expense was accrued under this plan at the end of Fiscal 2012 of which $120,000 was stock-based. On October 9, 2012, the Human Resources Committee of the Board of Directors approved the award of 9,606 restricted shares to the officers under the annual incentive plan. Of the shares granted, we repurchased 2,408 shares from employees who elected to pay their payroll tax via delivery of common stock as opposed to cash. Certain financial performance metrics (net income and ROIC) were achieved for Fiscal 2013 under the annual incentive plan thus $3.0 million of compensation expense was accrued under this plan at the end of Fiscal 2013 of which $1.0 million was stock-based. On October 15, 2013, the Human Resources Committee of the Board of Directors approved the award of 38,139 restricted shares to the officers under the annual incentive plan. Of the shares granted, we repurchased 19,436 shares from employees who elected to pay their payroll tax via delivery of shares of common stock as opposed to cash.</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2011, Fiscal 2012 and Fiscal 2013, the Human Resources Committee of our Board of Directors established three different three-year incentive compensation plans (Officers Long-Term Incentive Plan Fiscal 2011-2013, 2012-2014 and 2013-2015) to serve as an incentive to our senior management team to achieve certain ROE targets. If the ROE target is met, restricted stock will be awarded subsequent to the end of each three year period with a one-year restriction on sale upon award.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53"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As of the end of Fiscal 2012, $791,000 of stock-based compensation expense was accrued for these plans. Specifically, for the 2010-2012 plan, the ROE target was met, thus subsequent to year end, in October 2012 restricted stock was awarded to the officers in this plan. On October 9, 2012, the Human Resources Committee of the Board of Directors approved the award of 25,532 shares valued at $318,000 to the officers under the 2010-2012 long-term incentive plan. Of the shares granted, we repurchased 7,295 shares valued at $91,000 from employees who elected to pay their payroll tax via delivery of common stock as opposed to cash.</w:t>
      </w:r>
    </w:p>
    <w:p>
      <w:pPr>
        <w:spacing w:after="0" w:line="14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of the end of Fiscal 2013, $444,000 of stock-based compensation expense has been accrued for these plans. Specifically, for the 2011-2013 plan, the ROE target was met, thus subsequent to year end, in October 2013 restricted stock was awarded to the officers in this plan. On October 15, 2013, the Human Resources Committee of the Board of Directors approved the award of 16,006 shares valued at $443,000 to the officers under the 2011-2013 long-term incentive plan. Of the shares granted, we repurchased 7,875 shares valued at $218,000 from employees who elected to pay their payroll tax via delivery of common stock as opposed to cash.</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2013, there were 11,987 stock units awarded to our non-employee directors in lieu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compensation. The aggregate intrinsic value of these awards as of August 31, 2013 was $2.5 million with 111,700 stock units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9"/>
              </w:rPr>
              <w:t>Year Ended</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August 31, 2013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August 25, 2012</w:t>
            </w:r>
          </w:p>
        </w:tc>
        <w:tc>
          <w:tcPr>
            <w:tcW w:w="1700" w:type="dxa"/>
            <w:vAlign w:val="bottom"/>
            <w:gridSpan w:val="3"/>
          </w:tcPr>
          <w:p>
            <w:pPr>
              <w:jc w:val="right"/>
              <w:ind w:right="164"/>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7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9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60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7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Performance-based long-term plan employee award expense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18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80"/>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Time-based directors award expense</w:t>
            </w:r>
          </w:p>
        </w:tc>
        <w:tc>
          <w:tcPr>
            <w:tcW w:w="9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Directors stock unit expense</w:t>
            </w:r>
          </w:p>
        </w:tc>
        <w:tc>
          <w:tcPr>
            <w:tcW w:w="9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gridSpan w:val="7"/>
          </w:tcPr>
          <w:p>
            <w:pPr>
              <w:spacing w:after="0"/>
              <w:rPr>
                <w:sz w:val="20"/>
                <w:szCs w:val="20"/>
                <w:color w:val="auto"/>
              </w:rPr>
            </w:pPr>
            <w:r>
              <w:rPr>
                <w:rFonts w:ascii="Arial" w:cs="Arial" w:eastAsia="Arial" w:hAnsi="Arial"/>
                <w:sz w:val="16"/>
                <w:szCs w:val="16"/>
                <w:color w:val="auto"/>
              </w:rPr>
              <w:t>A summary of stock option activity for Fiscal 2013, 2012 and 2011 is as follows:</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9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rPr>
              <w:t>August 31, 2013</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left="566"/>
              <w:spacing w:after="0"/>
              <w:rPr>
                <w:sz w:val="20"/>
                <w:szCs w:val="20"/>
                <w:color w:val="auto"/>
              </w:rPr>
            </w:pPr>
            <w:r>
              <w:rPr>
                <w:rFonts w:ascii="Arial" w:cs="Arial" w:eastAsia="Arial" w:hAnsi="Arial"/>
                <w:sz w:val="14"/>
                <w:szCs w:val="14"/>
                <w:b w:val="1"/>
                <w:bCs w:val="1"/>
                <w:color w:val="auto"/>
              </w:rPr>
              <w:t>August 25, 2012</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August 27, 2011</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Wtd. Avg.</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Wtd. Avg.</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Price/Share</w:t>
            </w: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Price/Share</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Price/Share</w:t>
            </w:r>
          </w:p>
        </w:tc>
        <w:tc>
          <w:tcPr>
            <w:tcW w:w="0" w:type="dxa"/>
            <w:vAlign w:val="bottom"/>
          </w:tcPr>
          <w:p>
            <w:pPr>
              <w:spacing w:after="0"/>
              <w:rPr>
                <w:sz w:val="1"/>
                <w:szCs w:val="1"/>
                <w:color w:val="auto"/>
              </w:rPr>
            </w:pPr>
          </w:p>
        </w:tc>
      </w:tr>
      <w:tr>
        <w:trPr>
          <w:trHeight w:val="27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727,664</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$18 - $36</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812,983</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$18 - $36</w:t>
            </w:r>
          </w:p>
        </w:tc>
        <w:tc>
          <w:tcPr>
            <w:tcW w:w="1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28.84</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940,815</w:t>
            </w:r>
          </w:p>
        </w:tc>
        <w:tc>
          <w:tcPr>
            <w:tcW w:w="1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 $36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264"/>
        </w:trPr>
        <w:tc>
          <w:tcPr>
            <w:tcW w:w="318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 $11</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canceled</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(58,670)</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$18 - $32</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(85,319)</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$19 - $32</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color w:val="auto"/>
              </w:rPr>
              <w:t>26.81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(118,832)</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 $32</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250"/>
        </w:trPr>
        <w:tc>
          <w:tcPr>
            <w:tcW w:w="3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664,994</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727,664</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$18 - $36</w:t>
            </w:r>
          </w:p>
        </w:tc>
        <w:tc>
          <w:tcPr>
            <w:tcW w:w="1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812,983</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244"/>
        </w:trPr>
        <w:tc>
          <w:tcPr>
            <w:tcW w:w="318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664,994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$26 - $36</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727,664</w:t>
            </w:r>
          </w:p>
        </w:tc>
        <w:tc>
          <w:tcPr>
            <w:tcW w:w="880" w:type="dxa"/>
            <w:vAlign w:val="bottom"/>
          </w:tcPr>
          <w:p>
            <w:pPr>
              <w:jc w:val="right"/>
              <w:ind w:right="4"/>
              <w:spacing w:after="0"/>
              <w:rPr>
                <w:sz w:val="20"/>
                <w:szCs w:val="20"/>
                <w:color w:val="auto"/>
              </w:rPr>
            </w:pPr>
            <w:r>
              <w:rPr>
                <w:rFonts w:ascii="Arial" w:cs="Arial" w:eastAsia="Arial" w:hAnsi="Arial"/>
                <w:sz w:val="14"/>
                <w:szCs w:val="14"/>
                <w:color w:val="auto"/>
              </w:rPr>
              <w:t>$18 - $36</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3"/>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1"/>
                <w:szCs w:val="21"/>
                <w:color w:val="auto"/>
              </w:rPr>
            </w:pPr>
          </w:p>
        </w:tc>
        <w:tc>
          <w:tcPr>
            <w:tcW w:w="900" w:type="dxa"/>
            <w:vAlign w:val="bottom"/>
          </w:tcPr>
          <w:p>
            <w:pPr>
              <w:jc w:val="right"/>
              <w:ind w:right="24"/>
              <w:spacing w:after="0"/>
              <w:rPr>
                <w:sz w:val="20"/>
                <w:szCs w:val="20"/>
                <w:color w:val="auto"/>
              </w:rPr>
            </w:pPr>
            <w:r>
              <w:rPr>
                <w:rFonts w:ascii="Arial" w:cs="Arial" w:eastAsia="Arial" w:hAnsi="Arial"/>
                <w:sz w:val="14"/>
                <w:szCs w:val="14"/>
                <w:color w:val="auto"/>
              </w:rPr>
              <w:t>812,983</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4"/>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weighted average remaining contractual life for options outstanding and exercisable at August 31, 2013 was 1.3 years. There was no aggregate intrinsic value for the options outstanding and exercisable at August 31, 2013. Other values related to options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Fiscal 2013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2011</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50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5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2013, 2012 and 2011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31, 2013</w:t>
            </w:r>
          </w:p>
        </w:tc>
        <w:tc>
          <w:tcPr>
            <w:tcW w:w="120" w:type="dxa"/>
            <w:vAlign w:val="bottom"/>
          </w:tcPr>
          <w:p>
            <w:pPr>
              <w:spacing w:after="0"/>
              <w:rPr>
                <w:sz w:val="22"/>
                <w:szCs w:val="22"/>
                <w:color w:val="auto"/>
              </w:rPr>
            </w:pPr>
          </w:p>
        </w:tc>
        <w:tc>
          <w:tcPr>
            <w:tcW w:w="19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August 25, 2012</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27, 2011</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Average Grant</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Date 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Date 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Date 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70,956</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148,500</w:t>
            </w:r>
          </w:p>
        </w:tc>
        <w:tc>
          <w:tcPr>
            <w:tcW w:w="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28,110</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190,738</w:t>
            </w:r>
          </w:p>
        </w:tc>
        <w:tc>
          <w:tcPr>
            <w:tcW w:w="2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72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151,000</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28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(70,732)</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(120,044)</w:t>
            </w:r>
          </w:p>
        </w:tc>
        <w:tc>
          <w:tcPr>
            <w:tcW w:w="7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(30,610)</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r>
      <w:tr>
        <w:trPr>
          <w:trHeight w:val="264"/>
        </w:trPr>
        <w:tc>
          <w:tcPr>
            <w:tcW w:w="3480" w:type="dxa"/>
            <w:vAlign w:val="bottom"/>
          </w:tcPr>
          <w:p>
            <w:pPr>
              <w:ind w:left="40"/>
              <w:spacing w:after="0"/>
              <w:rPr>
                <w:sz w:val="20"/>
                <w:szCs w:val="20"/>
                <w:color w:val="auto"/>
              </w:rPr>
            </w:pPr>
            <w:r>
              <w:rPr>
                <w:rFonts w:ascii="Arial" w:cs="Arial" w:eastAsia="Arial" w:hAnsi="Arial"/>
                <w:sz w:val="16"/>
                <w:szCs w:val="16"/>
                <w:color w:val="auto"/>
              </w:rPr>
              <w:t>Canceled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(7,500)</w:t>
            </w:r>
          </w:p>
        </w:tc>
        <w:tc>
          <w:tcPr>
            <w:tcW w:w="72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190,962</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70,956</w:t>
            </w:r>
          </w:p>
        </w:tc>
        <w:tc>
          <w:tcPr>
            <w:tcW w:w="7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148,500</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31, 2013 was $4.3 million.</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41"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August 31, 2013, there was $1.1 million of unrecognized compensation expense related to restricted stock awards that is expected to be recognized over a weighted average period of 1.8 years. The total fair value of awards vested during Fiscal 2013, 2012 and 2011 was $1.1 million, $1.2 million and $582,000, respectively.</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October 16, 2013 the full Board of Directors approved the award of grants of 66,700 shares of our restricted common stock under the Plan valued at $1.8 million to our key management group (approximately 60 employees). The Board of Directors also granted 17,500 shares of our restricted common stock valued at $477,000 to the non-management members of the Board.</w:t>
      </w:r>
    </w:p>
    <w:p>
      <w:pPr>
        <w:spacing w:after="0" w:line="17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$27.28. The fair value of this award to employees is amortized on a straight-line basis over the requisite service period of three years or to an employee's eligible retirement date, if earlier; thus restricted stock awards are expensed immediately upon grant for retirement-eligible employees. Estimated non-cash stock compensation expense based on this restricted stock grant will be approximately $691,000 for the first quarter of Fiscal 2014 and $1.3 million for Fiscal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20"/>
                <w:szCs w:val="20"/>
                <w:color w:val="auto"/>
              </w:rPr>
            </w:pPr>
            <w:r>
              <w:rPr>
                <w:rFonts w:ascii="Arial" w:cs="Arial" w:eastAsia="Arial" w:hAnsi="Arial"/>
                <w:sz w:val="16"/>
                <w:szCs w:val="16"/>
                <w:b w:val="1"/>
                <w:bCs w:val="1"/>
                <w:color w:val="auto"/>
              </w:rPr>
              <w:t>Note 15: Net Revenues Classifications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240" w:type="dxa"/>
            <w:vAlign w:val="bottom"/>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31, 2013</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25, 2012</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Motorhomes, parts and service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718,580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496,193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456,337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Towables and parts</w:t>
            </w: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54,683</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56,784</w:t>
            </w: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16,712</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29,902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28,702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23,369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803,165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581,679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496,418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31, 2013</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25, 2012</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742,798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522,515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446,616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60,367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59,164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49,802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803,165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581,679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496,418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2013</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25, 2012</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27, 2011</w:t>
            </w:r>
          </w:p>
        </w:tc>
      </w:tr>
      <w:tr>
        <w:trPr>
          <w:trHeight w:val="270"/>
        </w:trPr>
        <w:tc>
          <w:tcPr>
            <w:tcW w:w="6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31,953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44,972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11,843</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29,121</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293"/>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11,843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28,075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29,145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29,121</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28,170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29,207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29,148</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r>
    </w:tbl>
    <w:p>
      <w:pPr>
        <w:spacing w:after="0" w:line="191"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 xml:space="preserve">For the fiscal years ended August 31, 2013, August 25, 2012 and August 27, 2011, there were options outstanding to purchase 664,994 shares, 727,664 shares and 812,983 shares, respectively, of common stock at an average price of $29.83, $29.08 and $28.84,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4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50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7"/>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Note 17: Interim Financial Information (Unaudited)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26"/>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rPr>
              <w:t>Quarter Ended</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December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ind w:left="260"/>
              <w:spacing w:after="0"/>
              <w:rPr>
                <w:sz w:val="20"/>
                <w:szCs w:val="20"/>
                <w:color w:val="auto"/>
              </w:rPr>
            </w:pPr>
            <w:r>
              <w:rPr>
                <w:rFonts w:ascii="Arial" w:cs="Arial" w:eastAsia="Arial" w:hAnsi="Arial"/>
                <w:sz w:val="16"/>
                <w:szCs w:val="16"/>
                <w:b w:val="1"/>
                <w:bCs w:val="1"/>
                <w:color w:val="auto"/>
              </w:rPr>
              <w:t>March 2,</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June 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2013</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193,554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177,166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218,199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214,246</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20,747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17,191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25,496</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15,332</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7,391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10,616</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5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0.26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0.38</w:t>
            </w:r>
          </w:p>
        </w:tc>
      </w:tr>
      <w:tr>
        <w:trPr>
          <w:trHeight w:val="391"/>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Quarter Ended</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November 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May 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25,</w:t>
            </w:r>
          </w:p>
        </w:tc>
      </w:tr>
      <w:tr>
        <w:trPr>
          <w:trHeight w:val="23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4"/>
              </w:rPr>
              <w:t xml:space="preserve">2012 </w:t>
            </w:r>
            <w:r>
              <w:rPr>
                <w:rFonts w:ascii="Arial" w:cs="Arial" w:eastAsia="Arial" w:hAnsi="Arial"/>
                <w:sz w:val="21"/>
                <w:szCs w:val="21"/>
                <w:b w:val="1"/>
                <w:bCs w:val="1"/>
                <w:color w:val="auto"/>
                <w:w w:val="94"/>
                <w:vertAlign w:val="superscript"/>
              </w:rPr>
              <w:t>(1)</w:t>
            </w:r>
          </w:p>
        </w:tc>
      </w:tr>
      <w:tr>
        <w:trPr>
          <w:trHeight w:val="25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131,837</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131,600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155,709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162,533</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8,496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6,846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16,267</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(1,164)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(912)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40,908</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share (basic)</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5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(loss) per share (diluted)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w:t>
            </w:r>
          </w:p>
        </w:tc>
      </w:tr>
    </w:tbl>
    <w:p>
      <w:pPr>
        <w:spacing w:after="0" w:line="183" w:lineRule="exact"/>
        <w:rPr>
          <w:sz w:val="20"/>
          <w:szCs w:val="20"/>
          <w:color w:val="auto"/>
        </w:rPr>
      </w:pPr>
    </w:p>
    <w:p>
      <w:pPr>
        <w:ind w:right="260" w:firstLine="8"/>
        <w:spacing w:after="0" w:line="263" w:lineRule="auto"/>
        <w:tabs>
          <w:tab w:leader="none" w:pos="162"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 Fiscal 2009 we established a valuation allowance of $45.3 million on our deferred tax assets. In the fourth quarter of Fiscal 2012, we determined we no longer needed the valuation allowance and re-established $39.0 million of deferred tax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2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August 31, 2013</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August 25, 2012</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98"/>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rPr>
              <w:t>and Losses on</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rPr>
              <w:t>and Losses 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6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Available-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for-Sale Securities</w:t>
            </w:r>
          </w:p>
        </w:tc>
        <w:tc>
          <w:tcPr>
            <w:tcW w:w="38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Pension Items</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for-Sale Securities</w:t>
            </w:r>
          </w:p>
        </w:tc>
        <w:tc>
          <w:tcPr>
            <w:tcW w:w="34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57"/>
        </w:trPr>
        <w:tc>
          <w:tcPr>
            <w:tcW w:w="2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(360)</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(454)</w:t>
            </w:r>
          </w:p>
        </w:tc>
      </w:tr>
      <w:tr>
        <w:trPr>
          <w:trHeight w:val="270"/>
        </w:trPr>
        <w:tc>
          <w:tcPr>
            <w:tcW w:w="2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6,288</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209</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(761)</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(1,075)</w:t>
            </w:r>
          </w:p>
        </w:tc>
      </w:tr>
      <w:tr>
        <w:trPr>
          <w:trHeight w:val="264"/>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(1,962)</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(2,157)</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(2,157)</w:t>
            </w:r>
          </w:p>
        </w:tc>
      </w:tr>
      <w:tr>
        <w:trPr>
          <w:trHeight w:val="250"/>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4,326</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209</w:t>
            </w: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(2,918)</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(3,232)</w:t>
            </w:r>
          </w:p>
        </w:tc>
      </w:tr>
      <w:tr>
        <w:trPr>
          <w:trHeight w:val="270"/>
        </w:trPr>
        <w:tc>
          <w:tcPr>
            <w:tcW w:w="2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3"/>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135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tcPr>
          <w:p>
            <w:pPr>
              <w:ind w:left="320"/>
              <w:spacing w:after="0"/>
              <w:rPr>
                <w:sz w:val="20"/>
                <w:szCs w:val="20"/>
                <w:color w:val="auto"/>
              </w:rPr>
            </w:pPr>
            <w:r>
              <w:rPr>
                <w:rFonts w:ascii="Arial" w:cs="Arial" w:eastAsia="Arial" w:hAnsi="Arial"/>
                <w:sz w:val="16"/>
                <w:szCs w:val="16"/>
                <w:b w:val="1"/>
                <w:bCs w:val="1"/>
                <w:color w:val="auto"/>
              </w:rPr>
              <w:t>Location on Consolidated Statements of</w:t>
            </w:r>
          </w:p>
        </w:tc>
        <w:tc>
          <w:tcPr>
            <w:tcW w:w="0" w:type="dxa"/>
            <w:vAlign w:val="bottom"/>
          </w:tcPr>
          <w:p>
            <w:pPr>
              <w:spacing w:after="0"/>
              <w:rPr>
                <w:sz w:val="1"/>
                <w:szCs w:val="1"/>
                <w:color w:val="auto"/>
              </w:rPr>
            </w:pPr>
          </w:p>
        </w:tc>
      </w:tr>
      <w:tr>
        <w:trPr>
          <w:trHeight w:val="22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August 31, 2013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25, 2012</w:t>
            </w:r>
          </w:p>
        </w:tc>
        <w:tc>
          <w:tcPr>
            <w:tcW w:w="120" w:type="dxa"/>
            <w:vAlign w:val="bottom"/>
            <w:tcBorders>
              <w:bottom w:val="single" w:sz="8" w:color="CCEEFF"/>
            </w:tcBorders>
          </w:tcPr>
          <w:p>
            <w:pPr>
              <w:spacing w:after="0"/>
              <w:rPr>
                <w:sz w:val="19"/>
                <w:szCs w:val="19"/>
                <w:color w:val="auto"/>
              </w:rPr>
            </w:pPr>
          </w:p>
        </w:tc>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Operations and Comprehensive Income</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(3,990)</w:t>
            </w:r>
          </w:p>
        </w:tc>
        <w:tc>
          <w:tcPr>
            <w:tcW w:w="12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expenses</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1,791</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(2,801)</w:t>
            </w:r>
          </w:p>
        </w:tc>
        <w:tc>
          <w:tcPr>
            <w:tcW w:w="1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23"/>
                <w:szCs w:val="23"/>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expenses</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19: Related Party Transactions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former president of our Towables operation and former majority owner of SunnyBrook is a majority owner of FFT Land Management which leased manufacturing and office space to us in Middlebury, Indiana from January 1, 2011 to December 31, 2015 with annual payments of $660,000. For the twelve months ended August 31, 2013 and August 25, 2012 and the eight months ended August 27, 2011, we recorded rent expense associated with the lease of $660,000, $660,000 and $440,000, respectively. We believe that the lease agreement terms are similar to those that would result from arm's-length negotiations between unrelated parties.</w:t>
      </w:r>
    </w:p>
    <w:p>
      <w:pPr>
        <w:spacing w:after="0" w:line="156"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31, 2013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2014 Shareholder Proposals" in our Proxy Statement for the Annual Meeting of Shareholders scheduled to be held December 17, 2013, which information is incorporated by reference herein.</w:t>
      </w:r>
    </w:p>
    <w:p>
      <w:pPr>
        <w:spacing w:after="0" w:line="14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17, 2013,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17, 2013,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17, 2013,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17, 2013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25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34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Exhibits: See Exhibit Index on pages 53-55.</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2013</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29, 2013, by the following persons on behalf of the Registrant and in the capacities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3"/>
          </w:tcPr>
          <w:p>
            <w:pPr>
              <w:ind w:left="1980"/>
              <w:spacing w:after="0"/>
              <w:rPr>
                <w:sz w:val="20"/>
                <w:szCs w:val="20"/>
                <w:color w:val="auto"/>
              </w:rPr>
            </w:pPr>
            <w:r>
              <w:rPr>
                <w:rFonts w:ascii="Arial" w:cs="Arial" w:eastAsia="Arial" w:hAnsi="Arial"/>
                <w:sz w:val="16"/>
                <w:szCs w:val="16"/>
                <w:b w:val="1"/>
                <w:bCs w:val="1"/>
                <w:color w:val="auto"/>
              </w:rPr>
              <w:t>Signature</w:t>
            </w: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Capacity</w:t>
            </w:r>
          </w:p>
        </w:tc>
      </w:tr>
      <w:tr>
        <w:trPr>
          <w:trHeight w:val="595"/>
        </w:trPr>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740" w:type="dxa"/>
            <w:vAlign w:val="bottom"/>
            <w:tcBorders>
              <w:top w:val="single" w:sz="8" w:color="auto"/>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Randy J. Potts</w:t>
            </w:r>
          </w:p>
        </w:tc>
        <w:tc>
          <w:tcPr>
            <w:tcW w:w="9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195"/>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Sarah N. Nielsen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Sarah N. Nielsen</w:t>
            </w:r>
          </w:p>
        </w:tc>
        <w:tc>
          <w:tcPr>
            <w:tcW w:w="9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Irvin E. Aal</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Irvin E. Aal</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Robert M. Chiusano</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Robert M. Chiusano</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Jerry N. Currie</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Jerry N. Currie</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Lawrence A. Erickson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Lawrence A. Erickson</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Robert J. Olson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Robert J. Olson</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Martha T. Rodamaker</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Martha T. Rodamaker</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Mark T. Schroepfer</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60"/>
              <w:spacing w:after="0"/>
              <w:rPr>
                <w:sz w:val="20"/>
                <w:szCs w:val="20"/>
                <w:color w:val="auto"/>
              </w:rPr>
            </w:pPr>
            <w:r>
              <w:rPr>
                <w:rFonts w:ascii="Arial" w:cs="Arial" w:eastAsia="Arial" w:hAnsi="Arial"/>
                <w:sz w:val="16"/>
                <w:szCs w:val="16"/>
                <w:color w:val="auto"/>
              </w:rPr>
              <w:t>Mark T. Schroepfer</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459"/>
        </w:trPr>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gridSpan w:val="2"/>
          </w:tcPr>
          <w:p>
            <w:pPr>
              <w:ind w:left="920"/>
              <w:spacing w:after="0"/>
              <w:rPr>
                <w:sz w:val="20"/>
                <w:szCs w:val="20"/>
                <w:color w:val="auto"/>
              </w:rPr>
            </w:pPr>
            <w:r>
              <w:rPr>
                <w:rFonts w:ascii="Arial" w:cs="Arial" w:eastAsia="Arial" w:hAnsi="Arial"/>
                <w:sz w:val="16"/>
                <w:szCs w:val="16"/>
                <w:color w:val="auto"/>
              </w:rPr>
              <w:t>52</w:t>
            </w:r>
          </w:p>
        </w:tc>
        <w:tc>
          <w:tcPr>
            <w:tcW w:w="3460" w:type="dxa"/>
            <w:vAlign w:val="bottom"/>
          </w:tcPr>
          <w:p>
            <w:pPr>
              <w:spacing w:after="0"/>
              <w:rPr>
                <w:sz w:val="24"/>
                <w:szCs w:val="24"/>
                <w:color w:val="auto"/>
              </w:rPr>
            </w:pPr>
          </w:p>
        </w:tc>
      </w:tr>
    </w:tbl>
    <w:p>
      <w:pPr>
        <w:sectPr>
          <w:pgSz w:w="11900" w:h="16838" w:orient="portrait"/>
          <w:cols w:equalWidth="0" w:num="1">
            <w:col w:w="11080"/>
          </w:cols>
          <w:pgMar w:left="240" w:top="141" w:right="57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80" w:hanging="499"/>
        <w:spacing w:after="0" w:line="191" w:lineRule="exact"/>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10b.</w:t>
        <w:tab/>
        <w:t>Winnebago Industries, Inc. 1997 Stock Option Plan previously filed with the Registrant's Annual Report on Form 10-K for the fiscal year ended August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30, 1997 (Commission File Number 001-06403) and incorporated by reference herein.*</w:t>
      </w:r>
    </w:p>
    <w:p>
      <w:pPr>
        <w:spacing w:after="0" w:line="167"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10c.</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20" w:hanging="499"/>
        <w:spacing w:after="0" w:line="253" w:lineRule="auto"/>
        <w:tabs>
          <w:tab w:leader="none" w:pos="480" w:val="left"/>
        </w:tabs>
        <w:rPr>
          <w:sz w:val="20"/>
          <w:szCs w:val="20"/>
          <w:color w:val="auto"/>
        </w:rPr>
      </w:pPr>
      <w:r>
        <w:rPr>
          <w:rFonts w:ascii="Arial" w:cs="Arial" w:eastAsia="Arial" w:hAnsi="Arial"/>
          <w:sz w:val="16"/>
          <w:szCs w:val="16"/>
          <w:color w:val="auto"/>
        </w:rPr>
        <w:t>10d.</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7" w:lineRule="exact"/>
        <w:rPr>
          <w:sz w:val="20"/>
          <w:szCs w:val="20"/>
          <w:color w:val="auto"/>
        </w:rPr>
      </w:pPr>
    </w:p>
    <w:p>
      <w:pPr>
        <w:ind w:left="500" w:right="560" w:hanging="499"/>
        <w:spacing w:after="0" w:line="253" w:lineRule="auto"/>
        <w:tabs>
          <w:tab w:leader="none" w:pos="480" w:val="left"/>
        </w:tabs>
        <w:rPr>
          <w:sz w:val="20"/>
          <w:szCs w:val="20"/>
          <w:color w:val="auto"/>
        </w:rPr>
      </w:pPr>
      <w:r>
        <w:rPr>
          <w:rFonts w:ascii="Arial" w:cs="Arial" w:eastAsia="Arial" w:hAnsi="Arial"/>
          <w:sz w:val="16"/>
          <w:szCs w:val="16"/>
          <w:color w:val="auto"/>
        </w:rPr>
        <w:t>10e.</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4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10f.</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42"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10g.</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10h.</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10i.</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10j.</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49"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10k.</w:t>
        <w:tab/>
        <w:t>Winnebago Industries, Inc. Officers' Long-Term Incentive Plan, fiscal three-year period 2011, 2012 and 2013 previously filed with the Registrant's Current Report on Form 8-K dated July 22, 2010 (Commission File Number 001-06403) and incorporated by reference herein.*</w:t>
      </w:r>
    </w:p>
    <w:p>
      <w:pPr>
        <w:spacing w:after="0" w:line="142" w:lineRule="exact"/>
        <w:rPr>
          <w:sz w:val="20"/>
          <w:szCs w:val="20"/>
          <w:color w:val="auto"/>
        </w:rPr>
      </w:pPr>
    </w:p>
    <w:p>
      <w:pPr>
        <w:ind w:left="500" w:right="160" w:hanging="485"/>
        <w:spacing w:after="0" w:line="260" w:lineRule="auto"/>
        <w:rPr>
          <w:sz w:val="20"/>
          <w:szCs w:val="20"/>
          <w:color w:val="auto"/>
        </w:rPr>
      </w:pPr>
      <w:r>
        <w:rPr>
          <w:rFonts w:ascii="Arial" w:cs="Arial" w:eastAsia="Arial" w:hAnsi="Arial"/>
          <w:sz w:val="16"/>
          <w:szCs w:val="16"/>
          <w:color w:val="auto"/>
        </w:rPr>
        <w:t>10l. Winnebago Industries, Inc. Officers' Long-Term Incentive Plan, fiscal three-year period 2012, 2013 and 2014 previously filed with the Registrant's Current Report on Form 8-K dated June 21, 2011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500" w:right="60" w:hanging="485"/>
        <w:spacing w:after="0" w:line="260" w:lineRule="auto"/>
        <w:rPr>
          <w:sz w:val="20"/>
          <w:szCs w:val="20"/>
          <w:color w:val="auto"/>
        </w:rPr>
      </w:pPr>
      <w:r>
        <w:rPr>
          <w:rFonts w:ascii="Arial" w:cs="Arial" w:eastAsia="Arial" w:hAnsi="Arial"/>
          <w:sz w:val="16"/>
          <w:szCs w:val="16"/>
          <w:color w:val="auto"/>
        </w:rPr>
        <w:t>10m. Winnebago Industries, Inc. Officers' Long-Term Incentive Plan, fiscal three-year period 2013, 2014 and 2015 previously filed with the Registrant's Current Report on Form 8-K dated June 20, 2012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10n.</w:t>
        <w:tab/>
        <w:t>Winnebago Industries, Inc. Officers' Long-Term Incentive Plan, fiscal three-year period 2013, 2014 and 2015 previously filed with the Registrant's Current Report on Form 8-K dated June 19, 2013 (Commission File Number 001-06403) and incorporated by reference herein.*</w:t>
      </w:r>
    </w:p>
    <w:p>
      <w:pPr>
        <w:spacing w:after="0" w:line="142" w:lineRule="exact"/>
        <w:rPr>
          <w:sz w:val="20"/>
          <w:szCs w:val="20"/>
          <w:color w:val="auto"/>
        </w:rPr>
      </w:pPr>
    </w:p>
    <w:p>
      <w:pPr>
        <w:jc w:val="both"/>
        <w:ind w:left="500" w:right="100" w:hanging="499"/>
        <w:spacing w:after="0" w:line="253" w:lineRule="auto"/>
        <w:tabs>
          <w:tab w:leader="none" w:pos="480" w:val="left"/>
        </w:tabs>
        <w:rPr>
          <w:sz w:val="20"/>
          <w:szCs w:val="20"/>
          <w:color w:val="auto"/>
        </w:rPr>
      </w:pPr>
      <w:r>
        <w:rPr>
          <w:rFonts w:ascii="Arial" w:cs="Arial" w:eastAsia="Arial" w:hAnsi="Arial"/>
          <w:sz w:val="16"/>
          <w:szCs w:val="16"/>
          <w:color w:val="auto"/>
        </w:rPr>
        <w:t>10o.</w:t>
        <w:tab/>
        <w:t>Amended and Restated Executive Change of Control Agreement dated December 17, 2008 between Winnebago Industries, Inc. and Robert L. Gossett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80" w:hanging="499"/>
        <w:spacing w:after="0" w:line="253" w:lineRule="auto"/>
        <w:tabs>
          <w:tab w:leader="none" w:pos="480" w:val="left"/>
        </w:tabs>
        <w:rPr>
          <w:sz w:val="20"/>
          <w:szCs w:val="20"/>
          <w:color w:val="auto"/>
        </w:rPr>
      </w:pPr>
      <w:r>
        <w:rPr>
          <w:rFonts w:ascii="Arial" w:cs="Arial" w:eastAsia="Arial" w:hAnsi="Arial"/>
          <w:sz w:val="16"/>
          <w:szCs w:val="16"/>
          <w:color w:val="auto"/>
        </w:rPr>
        <w:t>10p.</w:t>
        <w:tab/>
        <w:t>Amended and Restated Executive Change of Control Agreement dated December 17, 2008 between Winnebago Industries, Inc. and William J. O'Leary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10q.</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10r.</w:t>
        <w:tab/>
        <w:t>Amended and Restated Executive Change of Control Agreement dated December 17, 2008 between Winnebago Industries, Inc. and Randy J. Potts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10s.</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ind w:left="500" w:right="180" w:hanging="499"/>
        <w:spacing w:after="0" w:line="253" w:lineRule="auto"/>
        <w:tabs>
          <w:tab w:leader="none" w:pos="480" w:val="left"/>
        </w:tabs>
        <w:rPr>
          <w:sz w:val="20"/>
          <w:szCs w:val="20"/>
          <w:color w:val="auto"/>
        </w:rPr>
      </w:pPr>
      <w:r>
        <w:rPr>
          <w:rFonts w:ascii="Arial" w:cs="Arial" w:eastAsia="Arial" w:hAnsi="Arial"/>
          <w:sz w:val="16"/>
          <w:szCs w:val="16"/>
          <w:color w:val="auto"/>
        </w:rPr>
        <w:t>10t.</w:t>
        <w:tab/>
        <w:t>Executive Change of Control Agreement dated August 1, 2011 between Winnebago Industries, Inc. and Donald L. Heidemann previously filed with the Registrant's Annual Report on Form 10-K for the fiscal year ended August 27, 2011 (Commission File Number 001-06403) and incorporated by reference herein.*</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10u.</w:t>
        <w:tab/>
        <w:t>Executive Change of Control between Winnebago Industries, Inc. and Steven S. Degnan dated June 20, 2012.*</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10v.</w:t>
        <w:tab/>
        <w:t>Executive Change of Control between Winnebago Industries, Inc. and Scott C. Folkers dated June 20, 2012.*</w:t>
      </w:r>
    </w:p>
    <w:p>
      <w:pPr>
        <w:spacing w:after="0" w:line="167"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10w.</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10x.</w:t>
        <w:tab/>
        <w:t>Winnebago Industries, Inc. Officers' Incentive Compensation Plan for Fiscal 2013 previously filed with the Registrant's Current Report on Form 8-K dated June 20, 2012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2014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18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167" w:lineRule="exact"/>
        <w:rPr>
          <w:sz w:val="20"/>
          <w:szCs w:val="20"/>
          <w:color w:val="auto"/>
        </w:rPr>
      </w:pPr>
    </w:p>
    <w:p>
      <w:pPr>
        <w:ind w:left="500" w:hanging="478"/>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29, 2013.</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29, 2013.</w:t>
      </w:r>
    </w:p>
    <w:p>
      <w:pPr>
        <w:spacing w:after="0" w:line="167" w:lineRule="exact"/>
        <w:rPr>
          <w:sz w:val="20"/>
          <w:szCs w:val="20"/>
          <w:color w:val="auto"/>
        </w:rPr>
      </w:pPr>
    </w:p>
    <w:p>
      <w:pPr>
        <w:ind w:left="500" w:right="42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29, 2013.</w:t>
      </w:r>
    </w:p>
    <w:p>
      <w:pPr>
        <w:spacing w:after="0" w:line="142" w:lineRule="exact"/>
        <w:rPr>
          <w:sz w:val="20"/>
          <w:szCs w:val="20"/>
          <w:color w:val="auto"/>
        </w:rPr>
      </w:pPr>
    </w:p>
    <w:p>
      <w:pPr>
        <w:ind w:left="500" w:right="48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29, 2013.</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400"/>
          </w:cols>
          <w:pgMar w:left="240" w:top="141"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800" w:space="1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31, 2013 formatted in XBRL: (i) the Consolidated Balance Sheets, (ii) the Consolidated Statements of Operations, (iii) the Consolidated Statements Stockholders' Equity,</w:t>
      </w:r>
    </w:p>
    <w:p>
      <w:pPr>
        <w:spacing w:after="0" w:line="1" w:lineRule="exact"/>
        <w:rPr>
          <w:sz w:val="20"/>
          <w:szCs w:val="20"/>
          <w:color w:val="auto"/>
        </w:rPr>
      </w:pPr>
    </w:p>
    <w:p>
      <w:pPr>
        <w:ind w:right="100" w:firstLine="8"/>
        <w:spacing w:after="0" w:line="260"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Consolidated Statement of Cash Flows, and (v) related notes to these financial statements. Such exhibits are deemed furnished and not filed pursuant to Rule 406T of Regulation S-T.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41" w:right="25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6"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3780" w:type="dxa"/>
            <w:vAlign w:val="bottom"/>
          </w:tcPr>
          <w:p>
            <w:pPr>
              <w:spacing w:after="0"/>
              <w:rPr>
                <w:sz w:val="20"/>
                <w:szCs w:val="20"/>
                <w:color w:val="auto"/>
              </w:rPr>
            </w:pPr>
            <w:r>
              <w:rPr>
                <w:rFonts w:ascii="Arial" w:cs="Arial" w:eastAsia="Arial" w:hAnsi="Arial"/>
                <w:sz w:val="13"/>
                <w:szCs w:val="13"/>
                <w:b w:val="1"/>
                <w:bCs w:val="1"/>
                <w:color w:val="auto"/>
              </w:rPr>
              <w:t>BOARD OF DIRECTORS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SHAREHOLDER INFORMATION</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Randy J. Potts (54)</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Publications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Chief Executive Officer,</w:t>
            </w:r>
          </w:p>
        </w:tc>
        <w:tc>
          <w:tcPr>
            <w:tcW w:w="34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and Chairman of the Board</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 notice of Annual Meeting of Shareholders and Proxy</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Statement is furnished to shareholders upon request in</w:t>
            </w:r>
          </w:p>
        </w:tc>
        <w:tc>
          <w:tcPr>
            <w:tcW w:w="0" w:type="dxa"/>
            <w:vAlign w:val="bottom"/>
          </w:tcPr>
          <w:p>
            <w:pPr>
              <w:spacing w:after="0"/>
              <w:rPr>
                <w:sz w:val="1"/>
                <w:szCs w:val="1"/>
                <w:color w:val="auto"/>
              </w:rPr>
            </w:pPr>
          </w:p>
        </w:tc>
      </w:tr>
      <w:tr>
        <w:trPr>
          <w:trHeight w:val="152"/>
        </w:trPr>
        <w:tc>
          <w:tcPr>
            <w:tcW w:w="3780" w:type="dxa"/>
            <w:vAlign w:val="bottom"/>
            <w:vMerge w:val="restart"/>
          </w:tcPr>
          <w:p>
            <w:pPr>
              <w:spacing w:after="0"/>
              <w:rPr>
                <w:sz w:val="20"/>
                <w:szCs w:val="20"/>
                <w:color w:val="auto"/>
              </w:rPr>
            </w:pPr>
            <w:r>
              <w:rPr>
                <w:rFonts w:ascii="Arial" w:cs="Arial" w:eastAsia="Arial" w:hAnsi="Arial"/>
                <w:sz w:val="13"/>
                <w:szCs w:val="13"/>
                <w:color w:val="auto"/>
              </w:rPr>
              <w:t>Irvin E. Aal (74) 1,2,3*</w:t>
            </w:r>
          </w:p>
        </w:tc>
        <w:tc>
          <w:tcPr>
            <w:tcW w:w="3420" w:type="dxa"/>
            <w:vAlign w:val="bottom"/>
            <w:gridSpan w:val="6"/>
          </w:tcPr>
          <w:p>
            <w:pPr>
              <w:spacing w:after="0"/>
              <w:rPr>
                <w:sz w:val="20"/>
                <w:szCs w:val="20"/>
                <w:color w:val="auto"/>
              </w:rPr>
            </w:pPr>
            <w:r>
              <w:rPr>
                <w:rFonts w:ascii="Arial" w:cs="Arial" w:eastAsia="Arial" w:hAnsi="Arial"/>
                <w:sz w:val="13"/>
                <w:szCs w:val="13"/>
                <w:color w:val="auto"/>
              </w:rPr>
              <w:t>advance of the annual meeting.</w:t>
            </w:r>
          </w:p>
        </w:tc>
        <w:tc>
          <w:tcPr>
            <w:tcW w:w="0" w:type="dxa"/>
            <w:vAlign w:val="bottom"/>
          </w:tcPr>
          <w:p>
            <w:pPr>
              <w:spacing w:after="0"/>
              <w:rPr>
                <w:sz w:val="1"/>
                <w:szCs w:val="1"/>
                <w:color w:val="auto"/>
              </w:rPr>
            </w:pPr>
          </w:p>
        </w:tc>
      </w:tr>
      <w:tr>
        <w:trPr>
          <w:trHeight w:val="118"/>
        </w:trPr>
        <w:tc>
          <w:tcPr>
            <w:tcW w:w="37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General Manager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Copies of our quarterly financial earnings releases, the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Case Tyler Business Unit of CNH Global</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9"/>
              </w:rPr>
              <w:t>annual report on Form 10-K (without exhibits), the quarterly</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reports on Form 10-Q (without exhibits) and current reports</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Robert M. Chiusano (62) 2,4*</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Form 8-K (without exhibits) as filed by us with the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 and Chief</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Securities and Exchange Commission, may be obtained</w:t>
            </w:r>
          </w:p>
        </w:tc>
        <w:tc>
          <w:tcPr>
            <w:tcW w:w="0" w:type="dxa"/>
            <w:vAlign w:val="bottom"/>
          </w:tcPr>
          <w:p>
            <w:pPr>
              <w:spacing w:after="0"/>
              <w:rPr>
                <w:sz w:val="1"/>
                <w:szCs w:val="1"/>
                <w:color w:val="auto"/>
              </w:rPr>
            </w:pPr>
          </w:p>
        </w:tc>
      </w:tr>
      <w:tr>
        <w:trPr>
          <w:trHeight w:val="135"/>
        </w:trPr>
        <w:tc>
          <w:tcPr>
            <w:tcW w:w="3780" w:type="dxa"/>
            <w:vAlign w:val="bottom"/>
          </w:tcPr>
          <w:p>
            <w:pPr>
              <w:ind w:left="180"/>
              <w:spacing w:after="0" w:line="135" w:lineRule="exact"/>
              <w:rPr>
                <w:sz w:val="20"/>
                <w:szCs w:val="20"/>
                <w:color w:val="auto"/>
              </w:rPr>
            </w:pPr>
            <w:r>
              <w:rPr>
                <w:rFonts w:ascii="Arial" w:cs="Arial" w:eastAsia="Arial" w:hAnsi="Arial"/>
                <w:sz w:val="13"/>
                <w:szCs w:val="13"/>
                <w:color w:val="auto"/>
              </w:rPr>
              <w:t>Operating Officer - Commercial Systems</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without charge from the corporate offices as follows:</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Rockwell Collins, Inc.</w:t>
            </w: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Sheila Davis, PR/IR Manager</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Jerry N. Currie (68) 1,3</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Inc.</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and Chief Executive Officer</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605 W. Crystal Lake Road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CURRIES Company</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152</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Forest City, Iowa 50436-0152</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Lawrence A. Erickson (64)** 1,2*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(641) 585-3535</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Senior Vice President and Chief</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Fax: (641) 585-6966</w:t>
            </w:r>
          </w:p>
        </w:tc>
        <w:tc>
          <w:tcPr>
            <w:tcW w:w="0" w:type="dxa"/>
            <w:vAlign w:val="bottom"/>
          </w:tcPr>
          <w:p>
            <w:pPr>
              <w:spacing w:after="0"/>
              <w:rPr>
                <w:sz w:val="1"/>
                <w:szCs w:val="1"/>
                <w:color w:val="auto"/>
              </w:rPr>
            </w:pPr>
          </w:p>
        </w:tc>
      </w:tr>
      <w:tr>
        <w:trPr>
          <w:trHeight w:val="128"/>
        </w:trPr>
        <w:tc>
          <w:tcPr>
            <w:tcW w:w="3780" w:type="dxa"/>
            <w:vAlign w:val="bottom"/>
          </w:tcPr>
          <w:p>
            <w:pPr>
              <w:ind w:left="180"/>
              <w:spacing w:after="0" w:line="128" w:lineRule="exact"/>
              <w:rPr>
                <w:sz w:val="20"/>
                <w:szCs w:val="20"/>
                <w:color w:val="auto"/>
              </w:rPr>
            </w:pPr>
            <w:r>
              <w:rPr>
                <w:rFonts w:ascii="Arial" w:cs="Arial" w:eastAsia="Arial" w:hAnsi="Arial"/>
                <w:sz w:val="13"/>
                <w:szCs w:val="13"/>
                <w:color w:val="auto"/>
              </w:rPr>
              <w:t>Financial Officer</w:t>
            </w:r>
          </w:p>
        </w:tc>
        <w:tc>
          <w:tcPr>
            <w:tcW w:w="3420" w:type="dxa"/>
            <w:vAlign w:val="bottom"/>
            <w:gridSpan w:val="6"/>
          </w:tcPr>
          <w:p>
            <w:pPr>
              <w:spacing w:after="0" w:line="128" w:lineRule="exact"/>
              <w:rPr>
                <w:sz w:val="20"/>
                <w:szCs w:val="20"/>
                <w:color w:val="auto"/>
              </w:rPr>
            </w:pPr>
            <w:r>
              <w:rPr>
                <w:rFonts w:ascii="Arial" w:cs="Arial" w:eastAsia="Arial" w:hAnsi="Arial"/>
                <w:sz w:val="13"/>
                <w:szCs w:val="13"/>
                <w:color w:val="auto"/>
              </w:rPr>
              <w:t>E-Mail: ir@winnebagoind.com</w:t>
            </w:r>
          </w:p>
        </w:tc>
        <w:tc>
          <w:tcPr>
            <w:tcW w:w="0" w:type="dxa"/>
            <w:vAlign w:val="bottom"/>
          </w:tcPr>
          <w:p>
            <w:pPr>
              <w:spacing w:after="0"/>
              <w:rPr>
                <w:sz w:val="1"/>
                <w:szCs w:val="1"/>
                <w:color w:val="auto"/>
              </w:rPr>
            </w:pPr>
          </w:p>
        </w:tc>
      </w:tr>
      <w:tr>
        <w:trPr>
          <w:trHeight w:val="140"/>
        </w:trPr>
        <w:tc>
          <w:tcPr>
            <w:tcW w:w="3780" w:type="dxa"/>
            <w:vAlign w:val="bottom"/>
          </w:tcPr>
          <w:p>
            <w:pPr>
              <w:spacing w:after="0" w:line="140" w:lineRule="exact"/>
              <w:rPr>
                <w:sz w:val="20"/>
                <w:szCs w:val="20"/>
                <w:color w:val="auto"/>
              </w:rPr>
            </w:pPr>
            <w:r>
              <w:rPr>
                <w:rFonts w:ascii="Arial" w:cs="Arial" w:eastAsia="Arial" w:hAnsi="Arial"/>
                <w:sz w:val="13"/>
                <w:szCs w:val="13"/>
                <w:color w:val="auto"/>
              </w:rPr>
              <w:t>Rockwell Collins, Inc.</w:t>
            </w: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Robert J. Olson (62) 4</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President,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and Chairman of the Board</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Winnebago Industries, Inc.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Martha T. Rodamaker (51) 1,3</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First Citizens National Bank</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0"/>
                <w:szCs w:val="20"/>
                <w:color w:val="auto"/>
              </w:rPr>
            </w:pPr>
            <w:r>
              <w:rPr>
                <w:rFonts w:ascii="Arial" w:cs="Arial" w:eastAsia="Arial" w:hAnsi="Arial"/>
                <w:sz w:val="13"/>
                <w:szCs w:val="13"/>
                <w:color w:val="auto"/>
              </w:rPr>
              <w:t>Mark T. Schroepfer (66) 1*,4</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Lincoln Industrial Corp</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3"/>
                <w:szCs w:val="13"/>
                <w:color w:val="auto"/>
              </w:rPr>
              <w:t>Board Committee/Members</w:t>
            </w: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All news releases issued by us, reports filed by us with the</w:t>
            </w:r>
          </w:p>
        </w:tc>
        <w:tc>
          <w:tcPr>
            <w:tcW w:w="0" w:type="dxa"/>
            <w:vAlign w:val="bottom"/>
          </w:tcPr>
          <w:p>
            <w:pPr>
              <w:spacing w:after="0"/>
              <w:rPr>
                <w:sz w:val="1"/>
                <w:szCs w:val="1"/>
                <w:color w:val="auto"/>
              </w:rPr>
            </w:pPr>
          </w:p>
        </w:tc>
      </w:tr>
      <w:tr>
        <w:trPr>
          <w:trHeight w:val="41"/>
        </w:trPr>
        <w:tc>
          <w:tcPr>
            <w:tcW w:w="3780" w:type="dxa"/>
            <w:vAlign w:val="bottom"/>
            <w:vMerge w:val="restart"/>
          </w:tcPr>
          <w:p>
            <w:pPr>
              <w:spacing w:after="0" w:line="135" w:lineRule="exact"/>
              <w:rPr>
                <w:sz w:val="20"/>
                <w:szCs w:val="20"/>
                <w:color w:val="auto"/>
              </w:rPr>
            </w:pPr>
            <w:r>
              <w:rPr>
                <w:rFonts w:ascii="Arial" w:cs="Arial" w:eastAsia="Arial" w:hAnsi="Arial"/>
                <w:sz w:val="13"/>
                <w:szCs w:val="13"/>
                <w:color w:val="auto"/>
              </w:rPr>
              <w:t>1. Audit</w:t>
            </w:r>
          </w:p>
        </w:tc>
        <w:tc>
          <w:tcPr>
            <w:tcW w:w="3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3420" w:type="dxa"/>
            <w:vAlign w:val="bottom"/>
            <w:gridSpan w:val="6"/>
            <w:vMerge w:val="restart"/>
          </w:tcPr>
          <w:p>
            <w:pPr>
              <w:spacing w:after="0" w:line="135" w:lineRule="exact"/>
              <w:rPr>
                <w:sz w:val="20"/>
                <w:szCs w:val="20"/>
                <w:color w:val="auto"/>
              </w:rPr>
            </w:pPr>
            <w:r>
              <w:rPr>
                <w:rFonts w:ascii="Arial" w:cs="Arial" w:eastAsia="Arial" w:hAnsi="Arial"/>
                <w:sz w:val="13"/>
                <w:szCs w:val="13"/>
                <w:color w:val="auto"/>
              </w:rPr>
              <w:t>Securities and Exchange Commission (including exhibits)</w:t>
            </w:r>
          </w:p>
        </w:tc>
        <w:tc>
          <w:tcPr>
            <w:tcW w:w="0" w:type="dxa"/>
            <w:vAlign w:val="bottom"/>
          </w:tcPr>
          <w:p>
            <w:pPr>
              <w:spacing w:after="0"/>
              <w:rPr>
                <w:sz w:val="1"/>
                <w:szCs w:val="1"/>
                <w:color w:val="auto"/>
              </w:rPr>
            </w:pPr>
          </w:p>
        </w:tc>
      </w:tr>
      <w:tr>
        <w:trPr>
          <w:trHeight w:val="41"/>
        </w:trPr>
        <w:tc>
          <w:tcPr>
            <w:tcW w:w="3780" w:type="dxa"/>
            <w:vAlign w:val="bottom"/>
            <w:vMerge w:val="restart"/>
          </w:tcPr>
          <w:p>
            <w:pPr>
              <w:spacing w:after="0" w:line="135" w:lineRule="exact"/>
              <w:rPr>
                <w:sz w:val="20"/>
                <w:szCs w:val="20"/>
                <w:color w:val="auto"/>
              </w:rPr>
            </w:pPr>
            <w:r>
              <w:rPr>
                <w:rFonts w:ascii="Arial" w:cs="Arial" w:eastAsia="Arial" w:hAnsi="Arial"/>
                <w:sz w:val="13"/>
                <w:szCs w:val="13"/>
                <w:color w:val="auto"/>
              </w:rPr>
              <w:t>2. Human Resources</w:t>
            </w:r>
          </w:p>
        </w:tc>
        <w:tc>
          <w:tcPr>
            <w:tcW w:w="3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3420" w:type="dxa"/>
            <w:vAlign w:val="bottom"/>
            <w:gridSpan w:val="6"/>
            <w:vMerge w:val="restart"/>
          </w:tcPr>
          <w:p>
            <w:pPr>
              <w:spacing w:after="0" w:line="135" w:lineRule="exact"/>
              <w:rPr>
                <w:sz w:val="20"/>
                <w:szCs w:val="20"/>
                <w:color w:val="auto"/>
              </w:rPr>
            </w:pPr>
            <w:r>
              <w:rPr>
                <w:rFonts w:ascii="Arial" w:cs="Arial" w:eastAsia="Arial" w:hAnsi="Arial"/>
                <w:sz w:val="13"/>
                <w:szCs w:val="13"/>
                <w:color w:val="auto"/>
              </w:rPr>
              <w:t>and information on our Corporate Governance Policies and</w:t>
            </w:r>
          </w:p>
        </w:tc>
        <w:tc>
          <w:tcPr>
            <w:tcW w:w="0" w:type="dxa"/>
            <w:vAlign w:val="bottom"/>
          </w:tcPr>
          <w:p>
            <w:pPr>
              <w:spacing w:after="0"/>
              <w:rPr>
                <w:sz w:val="1"/>
                <w:szCs w:val="1"/>
                <w:color w:val="auto"/>
              </w:rPr>
            </w:pPr>
          </w:p>
        </w:tc>
      </w:tr>
      <w:tr>
        <w:trPr>
          <w:trHeight w:val="41"/>
        </w:trPr>
        <w:tc>
          <w:tcPr>
            <w:tcW w:w="3780" w:type="dxa"/>
            <w:vAlign w:val="bottom"/>
            <w:vMerge w:val="restart"/>
          </w:tcPr>
          <w:p>
            <w:pPr>
              <w:spacing w:after="0" w:line="135" w:lineRule="exact"/>
              <w:rPr>
                <w:sz w:val="20"/>
                <w:szCs w:val="20"/>
                <w:color w:val="auto"/>
              </w:rPr>
            </w:pPr>
            <w:r>
              <w:rPr>
                <w:rFonts w:ascii="Arial" w:cs="Arial" w:eastAsia="Arial" w:hAnsi="Arial"/>
                <w:sz w:val="13"/>
                <w:szCs w:val="13"/>
                <w:color w:val="auto"/>
              </w:rPr>
              <w:t>3. Nominating and Governance</w:t>
            </w:r>
          </w:p>
        </w:tc>
        <w:tc>
          <w:tcPr>
            <w:tcW w:w="3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3420" w:type="dxa"/>
            <w:vAlign w:val="bottom"/>
            <w:gridSpan w:val="6"/>
            <w:vMerge w:val="restart"/>
          </w:tcPr>
          <w:p>
            <w:pPr>
              <w:spacing w:after="0" w:line="135" w:lineRule="exact"/>
              <w:rPr>
                <w:sz w:val="20"/>
                <w:szCs w:val="20"/>
                <w:color w:val="auto"/>
              </w:rPr>
            </w:pPr>
            <w:r>
              <w:rPr>
                <w:rFonts w:ascii="Arial" w:cs="Arial" w:eastAsia="Arial" w:hAnsi="Arial"/>
                <w:sz w:val="13"/>
                <w:szCs w:val="13"/>
                <w:color w:val="auto"/>
                <w:w w:val="96"/>
              </w:rPr>
              <w:t>Procedures may also be viewed at the Winnebago Industries'</w:t>
            </w:r>
          </w:p>
        </w:tc>
        <w:tc>
          <w:tcPr>
            <w:tcW w:w="0" w:type="dxa"/>
            <w:vAlign w:val="bottom"/>
          </w:tcPr>
          <w:p>
            <w:pPr>
              <w:spacing w:after="0"/>
              <w:rPr>
                <w:sz w:val="1"/>
                <w:szCs w:val="1"/>
                <w:color w:val="auto"/>
              </w:rPr>
            </w:pPr>
          </w:p>
        </w:tc>
      </w:tr>
      <w:tr>
        <w:trPr>
          <w:trHeight w:val="41"/>
        </w:trPr>
        <w:tc>
          <w:tcPr>
            <w:tcW w:w="3780" w:type="dxa"/>
            <w:vAlign w:val="bottom"/>
            <w:vMerge w:val="restart"/>
          </w:tcPr>
          <w:p>
            <w:pPr>
              <w:spacing w:after="0" w:line="135" w:lineRule="exact"/>
              <w:rPr>
                <w:sz w:val="20"/>
                <w:szCs w:val="20"/>
                <w:color w:val="auto"/>
              </w:rPr>
            </w:pPr>
            <w:r>
              <w:rPr>
                <w:rFonts w:ascii="Arial" w:cs="Arial" w:eastAsia="Arial" w:hAnsi="Arial"/>
                <w:sz w:val="13"/>
                <w:szCs w:val="13"/>
                <w:color w:val="auto"/>
              </w:rPr>
              <w:t>4. Business Development Advisory</w:t>
            </w:r>
          </w:p>
        </w:tc>
        <w:tc>
          <w:tcPr>
            <w:tcW w:w="3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3420" w:type="dxa"/>
            <w:vAlign w:val="bottom"/>
            <w:gridSpan w:val="6"/>
            <w:vMerge w:val="restart"/>
          </w:tcPr>
          <w:p>
            <w:pPr>
              <w:spacing w:after="0" w:line="141" w:lineRule="exact"/>
              <w:rPr>
                <w:sz w:val="20"/>
                <w:szCs w:val="20"/>
                <w:color w:val="auto"/>
              </w:rPr>
            </w:pPr>
            <w:r>
              <w:rPr>
                <w:rFonts w:ascii="Arial" w:cs="Arial" w:eastAsia="Arial" w:hAnsi="Arial"/>
                <w:sz w:val="13"/>
                <w:szCs w:val="13"/>
                <w:color w:val="auto"/>
                <w:w w:val="99"/>
              </w:rPr>
              <w:t>website: http://winnebagoind.com/investor.html. Information</w:t>
            </w:r>
          </w:p>
        </w:tc>
        <w:tc>
          <w:tcPr>
            <w:tcW w:w="0" w:type="dxa"/>
            <w:vAlign w:val="bottom"/>
          </w:tcPr>
          <w:p>
            <w:pPr>
              <w:spacing w:after="0"/>
              <w:rPr>
                <w:sz w:val="1"/>
                <w:szCs w:val="1"/>
                <w:color w:val="auto"/>
              </w:rPr>
            </w:pPr>
          </w:p>
        </w:tc>
      </w:tr>
      <w:tr>
        <w:trPr>
          <w:trHeight w:val="47"/>
        </w:trPr>
        <w:tc>
          <w:tcPr>
            <w:tcW w:w="3780" w:type="dxa"/>
            <w:vAlign w:val="bottom"/>
            <w:vMerge w:val="restart"/>
          </w:tcPr>
          <w:p>
            <w:pPr>
              <w:spacing w:after="0" w:line="135" w:lineRule="exact"/>
              <w:rPr>
                <w:sz w:val="20"/>
                <w:szCs w:val="20"/>
                <w:color w:val="auto"/>
              </w:rPr>
            </w:pPr>
            <w:r>
              <w:rPr>
                <w:rFonts w:ascii="Arial" w:cs="Arial" w:eastAsia="Arial" w:hAnsi="Arial"/>
                <w:sz w:val="13"/>
                <w:szCs w:val="13"/>
                <w:color w:val="auto"/>
              </w:rPr>
              <w:t>* Committee Chairman</w:t>
            </w:r>
          </w:p>
        </w:tc>
        <w:tc>
          <w:tcPr>
            <w:tcW w:w="34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780" w:type="dxa"/>
            <w:vAlign w:val="bottom"/>
            <w:vMerge w:val="continue"/>
          </w:tcPr>
          <w:p>
            <w:pPr>
              <w:spacing w:after="0"/>
              <w:rPr>
                <w:sz w:val="5"/>
                <w:szCs w:val="5"/>
                <w:color w:val="auto"/>
              </w:rPr>
            </w:pPr>
          </w:p>
        </w:tc>
        <w:tc>
          <w:tcPr>
            <w:tcW w:w="3420" w:type="dxa"/>
            <w:vAlign w:val="bottom"/>
            <w:gridSpan w:val="6"/>
            <w:vMerge w:val="restart"/>
          </w:tcPr>
          <w:p>
            <w:pPr>
              <w:spacing w:after="0" w:line="123" w:lineRule="exact"/>
              <w:rPr>
                <w:sz w:val="20"/>
                <w:szCs w:val="20"/>
                <w:color w:val="auto"/>
              </w:rPr>
            </w:pPr>
            <w:r>
              <w:rPr>
                <w:rFonts w:ascii="Arial" w:cs="Arial" w:eastAsia="Arial" w:hAnsi="Arial"/>
                <w:sz w:val="13"/>
                <w:szCs w:val="13"/>
                <w:color w:val="auto"/>
              </w:rPr>
              <w:t>contained on Winnebago Industries' website is not</w:t>
            </w:r>
          </w:p>
        </w:tc>
        <w:tc>
          <w:tcPr>
            <w:tcW w:w="0" w:type="dxa"/>
            <w:vAlign w:val="bottom"/>
          </w:tcPr>
          <w:p>
            <w:pPr>
              <w:spacing w:after="0"/>
              <w:rPr>
                <w:sz w:val="1"/>
                <w:szCs w:val="1"/>
                <w:color w:val="auto"/>
              </w:rPr>
            </w:pPr>
          </w:p>
        </w:tc>
      </w:tr>
      <w:tr>
        <w:trPr>
          <w:trHeight w:val="54"/>
        </w:trPr>
        <w:tc>
          <w:tcPr>
            <w:tcW w:w="3780" w:type="dxa"/>
            <w:vAlign w:val="bottom"/>
            <w:vMerge w:val="restart"/>
          </w:tcPr>
          <w:p>
            <w:pPr>
              <w:spacing w:after="0"/>
              <w:rPr>
                <w:sz w:val="20"/>
                <w:szCs w:val="20"/>
                <w:color w:val="auto"/>
              </w:rPr>
            </w:pPr>
            <w:r>
              <w:rPr>
                <w:rFonts w:ascii="Arial" w:cs="Arial" w:eastAsia="Arial" w:hAnsi="Arial"/>
                <w:sz w:val="13"/>
                <w:szCs w:val="13"/>
                <w:color w:val="auto"/>
              </w:rPr>
              <w:t>** Lead Independent Director</w:t>
            </w:r>
          </w:p>
        </w:tc>
        <w:tc>
          <w:tcPr>
            <w:tcW w:w="34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3780" w:type="dxa"/>
            <w:vAlign w:val="bottom"/>
            <w:vMerge w:val="continue"/>
          </w:tcPr>
          <w:p>
            <w:pPr>
              <w:spacing w:after="0"/>
              <w:rPr>
                <w:sz w:val="8"/>
                <w:szCs w:val="8"/>
                <w:color w:val="auto"/>
              </w:rPr>
            </w:pPr>
          </w:p>
        </w:tc>
        <w:tc>
          <w:tcPr>
            <w:tcW w:w="3420" w:type="dxa"/>
            <w:vAlign w:val="bottom"/>
            <w:gridSpan w:val="6"/>
            <w:vMerge w:val="restart"/>
          </w:tcPr>
          <w:p>
            <w:pPr>
              <w:spacing w:after="0" w:line="135" w:lineRule="exact"/>
              <w:rPr>
                <w:sz w:val="20"/>
                <w:szCs w:val="20"/>
                <w:color w:val="auto"/>
              </w:rPr>
            </w:pPr>
            <w:r>
              <w:rPr>
                <w:rFonts w:ascii="Arial" w:cs="Arial" w:eastAsia="Arial" w:hAnsi="Arial"/>
                <w:sz w:val="13"/>
                <w:szCs w:val="13"/>
                <w:color w:val="auto"/>
              </w:rPr>
              <w:t>incorporated into this Annual Report or other securities</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34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37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filings.</w:t>
            </w:r>
          </w:p>
        </w:tc>
        <w:tc>
          <w:tcPr>
            <w:tcW w:w="0" w:type="dxa"/>
            <w:vAlign w:val="bottom"/>
          </w:tcPr>
          <w:p>
            <w:pPr>
              <w:spacing w:after="0"/>
              <w:rPr>
                <w:sz w:val="1"/>
                <w:szCs w:val="1"/>
                <w:color w:val="auto"/>
              </w:rPr>
            </w:pPr>
          </w:p>
        </w:tc>
      </w:tr>
      <w:tr>
        <w:trPr>
          <w:trHeight w:val="226"/>
        </w:trPr>
        <w:tc>
          <w:tcPr>
            <w:tcW w:w="3780" w:type="dxa"/>
            <w:vAlign w:val="bottom"/>
          </w:tcPr>
          <w:p>
            <w:pPr>
              <w:spacing w:after="0"/>
              <w:rPr>
                <w:sz w:val="20"/>
                <w:szCs w:val="20"/>
                <w:color w:val="auto"/>
              </w:rPr>
            </w:pPr>
            <w:r>
              <w:rPr>
                <w:rFonts w:ascii="Arial" w:cs="Arial" w:eastAsia="Arial" w:hAnsi="Arial"/>
                <w:sz w:val="13"/>
                <w:szCs w:val="13"/>
                <w:b w:val="1"/>
                <w:bCs w:val="1"/>
                <w:color w:val="auto"/>
              </w:rPr>
              <w:t>OFFICERS</w:t>
            </w:r>
          </w:p>
        </w:tc>
        <w:tc>
          <w:tcPr>
            <w:tcW w:w="3420" w:type="dxa"/>
            <w:vAlign w:val="bottom"/>
            <w:gridSpan w:val="6"/>
          </w:tcPr>
          <w:p>
            <w:pPr>
              <w:spacing w:after="0"/>
              <w:rPr>
                <w:sz w:val="20"/>
                <w:szCs w:val="20"/>
                <w:color w:val="auto"/>
              </w:rPr>
            </w:pPr>
            <w:r>
              <w:rPr>
                <w:rFonts w:ascii="Arial" w:cs="Arial" w:eastAsia="Arial" w:hAnsi="Arial"/>
                <w:sz w:val="13"/>
                <w:szCs w:val="13"/>
                <w:b w:val="1"/>
                <w:bCs w:val="1"/>
                <w:color w:val="auto"/>
              </w:rPr>
              <w:t>Number of Shareholders of Record</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As of October 15, 2013, Winnebago Industries had 3,278</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Randy J. Potts (54)</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shareholders of record.</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Chief Executive Officer and President</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Dividends Paid</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S. Scott Degnan (48)</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No dividends were paid in Fiscal 2013. Cash dividend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Sales and Product Management</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9"/>
              </w:rPr>
              <w:t>payments were suspended starting with the second quarter</w:t>
            </w:r>
          </w:p>
        </w:tc>
        <w:tc>
          <w:tcPr>
            <w:tcW w:w="0" w:type="dxa"/>
            <w:vAlign w:val="bottom"/>
          </w:tcPr>
          <w:p>
            <w:pPr>
              <w:spacing w:after="0"/>
              <w:rPr>
                <w:sz w:val="1"/>
                <w:szCs w:val="1"/>
                <w:color w:val="auto"/>
              </w:rPr>
            </w:pPr>
          </w:p>
        </w:tc>
      </w:tr>
      <w:tr>
        <w:trPr>
          <w:trHeight w:val="152"/>
        </w:trPr>
        <w:tc>
          <w:tcPr>
            <w:tcW w:w="3780" w:type="dxa"/>
            <w:vAlign w:val="bottom"/>
            <w:vMerge w:val="restart"/>
          </w:tcPr>
          <w:p>
            <w:pPr>
              <w:spacing w:after="0"/>
              <w:rPr>
                <w:sz w:val="20"/>
                <w:szCs w:val="20"/>
                <w:color w:val="auto"/>
              </w:rPr>
            </w:pPr>
            <w:r>
              <w:rPr>
                <w:rFonts w:ascii="Arial" w:cs="Arial" w:eastAsia="Arial" w:hAnsi="Arial"/>
                <w:sz w:val="13"/>
                <w:szCs w:val="13"/>
                <w:color w:val="auto"/>
              </w:rPr>
              <w:t>Scott C. Folkers (51)</w:t>
            </w:r>
          </w:p>
        </w:tc>
        <w:tc>
          <w:tcPr>
            <w:tcW w:w="3420" w:type="dxa"/>
            <w:vAlign w:val="bottom"/>
            <w:gridSpan w:val="6"/>
          </w:tcPr>
          <w:p>
            <w:pPr>
              <w:spacing w:after="0"/>
              <w:rPr>
                <w:sz w:val="20"/>
                <w:szCs w:val="20"/>
                <w:color w:val="auto"/>
              </w:rPr>
            </w:pPr>
            <w:r>
              <w:rPr>
                <w:rFonts w:ascii="Arial" w:cs="Arial" w:eastAsia="Arial" w:hAnsi="Arial"/>
                <w:sz w:val="13"/>
                <w:szCs w:val="13"/>
                <w:color w:val="auto"/>
              </w:rPr>
              <w:t>of Fiscal 2009.</w:t>
            </w:r>
          </w:p>
        </w:tc>
        <w:tc>
          <w:tcPr>
            <w:tcW w:w="0" w:type="dxa"/>
            <w:vAlign w:val="bottom"/>
          </w:tcPr>
          <w:p>
            <w:pPr>
              <w:spacing w:after="0"/>
              <w:rPr>
                <w:sz w:val="1"/>
                <w:szCs w:val="1"/>
                <w:color w:val="auto"/>
              </w:rPr>
            </w:pPr>
          </w:p>
        </w:tc>
      </w:tr>
      <w:tr>
        <w:trPr>
          <w:trHeight w:val="118"/>
        </w:trPr>
        <w:tc>
          <w:tcPr>
            <w:tcW w:w="3780" w:type="dxa"/>
            <w:vAlign w:val="bottom"/>
            <w:vMerge w:val="continue"/>
          </w:tcPr>
          <w:p>
            <w:pPr>
              <w:spacing w:after="0"/>
              <w:rPr>
                <w:sz w:val="10"/>
                <w:szCs w:val="10"/>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Shareholder Account Assistance</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General Counsel and Secretary</w:t>
            </w:r>
          </w:p>
        </w:tc>
        <w:tc>
          <w:tcPr>
            <w:tcW w:w="34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Transfer Agent to contact for address changes, account</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Robert L. Gossett (62)</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certificates and stock holdings:</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color w:val="auto"/>
              </w:rPr>
              <w:t>Vice President, Administration</w:t>
            </w: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Wells Fargo Shareowner Services</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Donald L. Heidemann (41)</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P.O. Box 64854</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Treasurer/Director of Finance</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St. Paul, MN 55164-0854 or</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1110 Centre Pointe Curve, Suite 101</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Daryl W. Krieger (50)</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Mendota Heights, MN 55120</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Manufacturing</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Telephone: (800) 468-9716 or (651) 450-4064</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Inquiries:</w:t>
            </w:r>
          </w:p>
        </w:tc>
        <w:tc>
          <w:tcPr>
            <w:tcW w:w="0" w:type="dxa"/>
            <w:vAlign w:val="bottom"/>
          </w:tcPr>
          <w:p>
            <w:pPr>
              <w:spacing w:after="0"/>
              <w:rPr>
                <w:sz w:val="1"/>
                <w:szCs w:val="1"/>
                <w:color w:val="auto"/>
              </w:rPr>
            </w:pPr>
          </w:p>
        </w:tc>
      </w:tr>
      <w:tr>
        <w:trPr>
          <w:trHeight w:val="128"/>
        </w:trPr>
        <w:tc>
          <w:tcPr>
            <w:tcW w:w="3780" w:type="dxa"/>
            <w:vAlign w:val="bottom"/>
          </w:tcPr>
          <w:p>
            <w:pPr>
              <w:spacing w:after="0" w:line="128" w:lineRule="exact"/>
              <w:rPr>
                <w:sz w:val="20"/>
                <w:szCs w:val="20"/>
                <w:color w:val="auto"/>
              </w:rPr>
            </w:pPr>
            <w:r>
              <w:rPr>
                <w:rFonts w:ascii="Arial" w:cs="Arial" w:eastAsia="Arial" w:hAnsi="Arial"/>
                <w:sz w:val="13"/>
                <w:szCs w:val="13"/>
                <w:color w:val="auto"/>
              </w:rPr>
              <w:t>Sarah N. Nielsen (40)</w:t>
            </w:r>
          </w:p>
        </w:tc>
        <w:tc>
          <w:tcPr>
            <w:tcW w:w="1580" w:type="dxa"/>
            <w:vAlign w:val="bottom"/>
            <w:tcBorders>
              <w:bottom w:val="single" w:sz="8" w:color="auto"/>
            </w:tcBorders>
            <w:gridSpan w:val="3"/>
          </w:tcPr>
          <w:p>
            <w:pPr>
              <w:spacing w:after="0" w:line="128" w:lineRule="exact"/>
              <w:rPr>
                <w:sz w:val="20"/>
                <w:szCs w:val="20"/>
                <w:color w:val="auto"/>
              </w:rPr>
            </w:pPr>
            <w:r>
              <w:rPr>
                <w:rFonts w:ascii="Arial" w:cs="Arial" w:eastAsia="Arial" w:hAnsi="Arial"/>
                <w:sz w:val="13"/>
                <w:szCs w:val="13"/>
                <w:color w:val="auto"/>
                <w:w w:val="95"/>
              </w:rPr>
              <w:t>www.shareowneronline.com</w:t>
            </w:r>
          </w:p>
        </w:tc>
        <w:tc>
          <w:tcPr>
            <w:tcW w:w="18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80" w:type="dxa"/>
            <w:vAlign w:val="bottom"/>
          </w:tcPr>
          <w:p>
            <w:pPr>
              <w:spacing w:after="0" w:line="140" w:lineRule="exact"/>
              <w:rPr>
                <w:sz w:val="20"/>
                <w:szCs w:val="20"/>
                <w:color w:val="auto"/>
              </w:rPr>
            </w:pPr>
            <w:r>
              <w:rPr>
                <w:rFonts w:ascii="Arial" w:cs="Arial" w:eastAsia="Arial" w:hAnsi="Arial"/>
                <w:sz w:val="13"/>
                <w:szCs w:val="13"/>
                <w:color w:val="auto"/>
              </w:rPr>
              <w:t>Vice President, Chief Financial Officer</w:t>
            </w:r>
          </w:p>
        </w:tc>
        <w:tc>
          <w:tcPr>
            <w:tcW w:w="34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Annual Meeting</w:t>
            </w: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34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William J. O'Leary (64)</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w w:val="97"/>
              </w:rPr>
              <w:t>The Annual Meeting of Shareholders is scheduled to be held</w:t>
            </w:r>
          </w:p>
        </w:tc>
        <w:tc>
          <w:tcPr>
            <w:tcW w:w="0" w:type="dxa"/>
            <w:vAlign w:val="bottom"/>
          </w:tcPr>
          <w:p>
            <w:pPr>
              <w:spacing w:after="0"/>
              <w:rPr>
                <w:sz w:val="1"/>
                <w:szCs w:val="1"/>
                <w:color w:val="auto"/>
              </w:rPr>
            </w:pPr>
          </w:p>
        </w:tc>
      </w:tr>
      <w:tr>
        <w:trPr>
          <w:trHeight w:val="135"/>
        </w:trPr>
        <w:tc>
          <w:tcPr>
            <w:tcW w:w="3780" w:type="dxa"/>
            <w:vAlign w:val="bottom"/>
          </w:tcPr>
          <w:p>
            <w:pPr>
              <w:spacing w:after="0" w:line="135" w:lineRule="exact"/>
              <w:rPr>
                <w:sz w:val="20"/>
                <w:szCs w:val="20"/>
                <w:color w:val="auto"/>
              </w:rPr>
            </w:pPr>
            <w:r>
              <w:rPr>
                <w:rFonts w:ascii="Arial" w:cs="Arial" w:eastAsia="Arial" w:hAnsi="Arial"/>
                <w:sz w:val="13"/>
                <w:szCs w:val="13"/>
                <w:color w:val="auto"/>
              </w:rPr>
              <w:t>Vice President, Product Development</w:t>
            </w: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on Tuesday, December 17, 2013 at 4:00 p.m. (CST) in</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3420" w:type="dxa"/>
            <w:vAlign w:val="bottom"/>
            <w:gridSpan w:val="6"/>
          </w:tcPr>
          <w:p>
            <w:pPr>
              <w:spacing w:after="0" w:line="135" w:lineRule="exact"/>
              <w:rPr>
                <w:sz w:val="20"/>
                <w:szCs w:val="20"/>
                <w:color w:val="auto"/>
              </w:rPr>
            </w:pPr>
            <w:r>
              <w:rPr>
                <w:rFonts w:ascii="Arial" w:cs="Arial" w:eastAsia="Arial" w:hAnsi="Arial"/>
                <w:sz w:val="13"/>
                <w:szCs w:val="13"/>
                <w:color w:val="auto"/>
              </w:rPr>
              <w:t>Winnebago Industries' South Office Complex Theater, 605</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W. Crystal Lake Road, Forest City, Iowa.</w:t>
            </w:r>
          </w:p>
        </w:tc>
        <w:tc>
          <w:tcPr>
            <w:tcW w:w="0" w:type="dxa"/>
            <w:vAlign w:val="bottom"/>
          </w:tcPr>
          <w:p>
            <w:pPr>
              <w:spacing w:after="0"/>
              <w:rPr>
                <w:sz w:val="1"/>
                <w:szCs w:val="1"/>
                <w:color w:val="auto"/>
              </w:rPr>
            </w:pPr>
          </w:p>
        </w:tc>
      </w:tr>
      <w:tr>
        <w:trPr>
          <w:trHeight w:val="456"/>
        </w:trPr>
        <w:tc>
          <w:tcPr>
            <w:tcW w:w="3780" w:type="dxa"/>
            <w:vAlign w:val="bottom"/>
          </w:tcPr>
          <w:p>
            <w:pPr>
              <w:spacing w:after="0"/>
              <w:rPr>
                <w:sz w:val="24"/>
                <w:szCs w:val="24"/>
                <w:color w:val="auto"/>
              </w:rPr>
            </w:pPr>
          </w:p>
        </w:tc>
        <w:tc>
          <w:tcPr>
            <w:tcW w:w="2640" w:type="dxa"/>
            <w:vAlign w:val="bottom"/>
            <w:gridSpan w:val="5"/>
          </w:tcPr>
          <w:p>
            <w:pPr>
              <w:ind w:left="1560"/>
              <w:spacing w:after="0"/>
              <w:rPr>
                <w:sz w:val="20"/>
                <w:szCs w:val="20"/>
                <w:color w:val="auto"/>
              </w:rPr>
            </w:pPr>
            <w:r>
              <w:rPr>
                <w:rFonts w:ascii="Arial" w:cs="Arial" w:eastAsia="Arial" w:hAnsi="Arial"/>
                <w:sz w:val="16"/>
                <w:szCs w:val="16"/>
                <w:color w:val="auto"/>
              </w:rPr>
              <w:t>56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340"/>
        <w:spacing w:after="0" w:line="230" w:lineRule="auto"/>
        <w:rPr>
          <w:sz w:val="20"/>
          <w:szCs w:val="20"/>
          <w:color w:val="auto"/>
        </w:rPr>
      </w:pPr>
      <w:r>
        <w:rPr>
          <w:rFonts w:ascii="Arial" w:cs="Arial" w:eastAsia="Arial" w:hAnsi="Arial"/>
          <w:sz w:val="13"/>
          <w:szCs w:val="13"/>
          <w:color w:val="auto"/>
        </w:rPr>
        <w:t>Minneapolis, Minnesota 55402-1844 (612) 397-4000</w:t>
      </w:r>
    </w:p>
    <w:p>
      <w:pPr>
        <w:spacing w:after="0" w:line="103"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138" w:lineRule="exact"/>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2013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1572895</wp:posOffset>
            </wp:positionV>
            <wp:extent cx="737235" cy="754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2">
            <w:col w:w="7480" w:space="400"/>
            <w:col w:w="3360"/>
          </w:cols>
          <w:pgMar w:left="240" w:top="141" w:right="4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3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Winnebago Industries, Inc.</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Winnebago of Indiana, LLC</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675"/>
        </w:trPr>
        <w:tc>
          <w:tcPr>
            <w:tcW w:w="3820" w:type="dxa"/>
            <w:vAlign w:val="bottom"/>
          </w:tcPr>
          <w:p>
            <w:pPr>
              <w:spacing w:after="0"/>
              <w:rPr>
                <w:sz w:val="24"/>
                <w:szCs w:val="24"/>
                <w:color w:val="auto"/>
              </w:rPr>
            </w:pPr>
          </w:p>
        </w:tc>
        <w:tc>
          <w:tcPr>
            <w:tcW w:w="3040" w:type="dxa"/>
            <w:vAlign w:val="bottom"/>
          </w:tcPr>
          <w:p>
            <w:pPr>
              <w:jc w:val="right"/>
              <w:ind w:right="979"/>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on Form S-8 (No. 333-31595, No. 333-47123, and No. 333-113246) and on Form S-3 No. 333-187720 of our reports dated October 29, 2013, relating to the consolidated financial statements of Winnebago Industries, Inc. (the “Company”) and the effectiveness of the Company’s internal control over financial reporting, appearing in the Annual Report on Form 10-K of Winnebago Industries, Inc. for the year ended August 31, 2013.</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80"/>
          </w:cols>
          <w:pgMar w:left="240" w:top="576" w:right="27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630" w:right="29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576" w:right="29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31, 2013, I, Randy Potts, Chief Executive Officer and President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31,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60"/>
          </w:cols>
          <w:pgMar w:left="240" w:top="630" w:right="29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31, 2013,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31, 2013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lvl w:ilvl="1">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21"/>
    </w:lvl>
  </w:abstractNum>
  <w:abstractNum w:abstractNumId="30">
    <w:nsid w:val="3006C83E"/>
    <w:multiLevelType w:val="hybridMultilevel"/>
    <w:lvl w:ilvl="0">
      <w:lvlJc w:val="left"/>
      <w:lvlText w:val="%1."/>
      <w:numFmt w:val="decimal"/>
      <w:start w:val="23"/>
    </w:lvl>
  </w:abstractNum>
  <w:abstractNum w:abstractNumId="31">
    <w:nsid w:val="614FD4A1"/>
    <w:multiLevelType w:val="hybridMultilevel"/>
    <w:lvl w:ilvl="0">
      <w:lvlJc w:val="left"/>
      <w:lvlText w:val="(%1)"/>
      <w:numFmt w:val="lowerRoman"/>
      <w:start w:val="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2019-12-05T16:54:23Z</dcterms:created>
  <dcterms:modified xsi:type="dcterms:W3CDTF">2019-12-05T16:54:23Z</dcterms:modified>
</cp:coreProperties>
</file>