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ind w:right="2980" w:firstLine="8"/>
        <w:spacing w:after="0" w:line="265"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August 28, 2021;</w:t>
      </w:r>
    </w:p>
    <w:p>
      <w:pPr>
        <w:jc w:val="center"/>
        <w:ind w:right="-19"/>
        <w:spacing w:after="0" w:line="237" w:lineRule="auto"/>
        <w:rPr>
          <w:sz w:val="20"/>
          <w:szCs w:val="20"/>
          <w:color w:val="auto"/>
        </w:rPr>
      </w:pPr>
      <w:r>
        <w:rPr>
          <w:rFonts w:ascii="Arial" w:cs="Arial" w:eastAsia="Arial" w:hAnsi="Arial"/>
          <w:sz w:val="16"/>
          <w:szCs w:val="16"/>
          <w:color w:val="auto"/>
        </w:rPr>
        <w:t>or</w:t>
      </w:r>
    </w:p>
    <w:p>
      <w:pPr>
        <w:spacing w:after="0" w:line="1" w:lineRule="exact"/>
        <w:rPr>
          <w:sz w:val="24"/>
          <w:szCs w:val="24"/>
          <w:color w:val="auto"/>
        </w:rPr>
      </w:pPr>
    </w:p>
    <w:p>
      <w:pPr>
        <w:ind w:right="2680" w:firstLine="8"/>
        <w:spacing w:after="0" w:line="298" w:lineRule="auto"/>
        <w:tabs>
          <w:tab w:leader="none" w:pos="21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___________________ to _______________________</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36195</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WINNEBAGO INDUSTRIES, INC.</w:t>
      </w:r>
    </w:p>
    <w:p>
      <w:pPr>
        <w:spacing w:after="0" w:line="49" w:lineRule="exact"/>
        <w:rPr>
          <w:sz w:val="24"/>
          <w:szCs w:val="24"/>
          <w:color w:val="auto"/>
        </w:rPr>
      </w:pPr>
    </w:p>
    <w:tbl>
      <w:tblPr>
        <w:tblLayout w:type="fixed"/>
        <w:tblInd w:w="10" w:type="dxa"/>
        <w:tblCellMar>
          <w:top w:w="0" w:type="dxa"/>
          <w:left w:w="0" w:type="dxa"/>
          <w:bottom w:w="0" w:type="dxa"/>
          <w:right w:w="0" w:type="dxa"/>
        </w:tblCellMar>
      </w:tblPr>
      <w:tr>
        <w:trPr>
          <w:trHeight w:val="172"/>
        </w:trPr>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40" w:type="dxa"/>
            <w:vAlign w:val="bottom"/>
            <w:gridSpan w:val="5"/>
          </w:tcPr>
          <w:p>
            <w:pPr>
              <w:jc w:val="center"/>
              <w:ind w:right="3319"/>
              <w:spacing w:after="0"/>
              <w:rPr>
                <w:sz w:val="20"/>
                <w:szCs w:val="20"/>
                <w:color w:val="auto"/>
              </w:rPr>
            </w:pPr>
            <w:r>
              <w:rPr>
                <w:rFonts w:ascii="Arial" w:cs="Arial" w:eastAsia="Arial" w:hAnsi="Arial"/>
                <w:sz w:val="14"/>
                <w:szCs w:val="14"/>
                <w:color w:val="auto"/>
              </w:rPr>
              <w:t>(Exact name of registrant as specified in its charter)</w:t>
            </w:r>
          </w:p>
        </w:tc>
        <w:tc>
          <w:tcPr>
            <w:tcW w:w="160" w:type="dxa"/>
            <w:vAlign w:val="bottom"/>
          </w:tcPr>
          <w:p>
            <w:pPr>
              <w:spacing w:after="0"/>
              <w:rPr>
                <w:sz w:val="14"/>
                <w:szCs w:val="14"/>
                <w:color w:val="auto"/>
              </w:rPr>
            </w:pPr>
          </w:p>
        </w:tc>
      </w:tr>
      <w:tr>
        <w:trPr>
          <w:trHeight w:val="225"/>
        </w:trPr>
        <w:tc>
          <w:tcPr>
            <w:tcW w:w="50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color w:val="auto"/>
              </w:rPr>
              <w:t>Iowa</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4540" w:type="dxa"/>
            <w:vAlign w:val="bottom"/>
            <w:tcBorders>
              <w:bottom w:val="single" w:sz="8" w:color="auto"/>
            </w:tcBorders>
            <w:gridSpan w:val="2"/>
          </w:tcPr>
          <w:p>
            <w:pPr>
              <w:jc w:val="right"/>
              <w:ind w:right="1759"/>
              <w:spacing w:after="0"/>
              <w:rPr>
                <w:sz w:val="20"/>
                <w:szCs w:val="20"/>
                <w:color w:val="auto"/>
              </w:rPr>
            </w:pPr>
            <w:r>
              <w:rPr>
                <w:rFonts w:ascii="Arial" w:cs="Arial" w:eastAsia="Arial" w:hAnsi="Arial"/>
                <w:sz w:val="16"/>
                <w:szCs w:val="16"/>
                <w:color w:val="auto"/>
              </w:rPr>
              <w:t>42-0802678</w:t>
            </w:r>
          </w:p>
        </w:tc>
        <w:tc>
          <w:tcPr>
            <w:tcW w:w="160" w:type="dxa"/>
            <w:vAlign w:val="bottom"/>
          </w:tcPr>
          <w:p>
            <w:pPr>
              <w:spacing w:after="0"/>
              <w:rPr>
                <w:sz w:val="19"/>
                <w:szCs w:val="19"/>
                <w:color w:val="auto"/>
              </w:rPr>
            </w:pPr>
          </w:p>
        </w:tc>
      </w:tr>
      <w:tr>
        <w:trPr>
          <w:trHeight w:val="207"/>
        </w:trPr>
        <w:tc>
          <w:tcPr>
            <w:tcW w:w="500" w:type="dxa"/>
            <w:vAlign w:val="bottom"/>
          </w:tcPr>
          <w:p>
            <w:pPr>
              <w:spacing w:after="0"/>
              <w:rPr>
                <w:sz w:val="17"/>
                <w:szCs w:val="17"/>
                <w:color w:val="auto"/>
              </w:rPr>
            </w:pPr>
          </w:p>
        </w:tc>
        <w:tc>
          <w:tcPr>
            <w:tcW w:w="3400" w:type="dxa"/>
            <w:vAlign w:val="bottom"/>
            <w:gridSpan w:val="2"/>
          </w:tcPr>
          <w:p>
            <w:pPr>
              <w:jc w:val="center"/>
              <w:ind w:left="1019"/>
              <w:spacing w:after="0"/>
              <w:rPr>
                <w:sz w:val="20"/>
                <w:szCs w:val="20"/>
                <w:color w:val="auto"/>
              </w:rPr>
            </w:pPr>
            <w:r>
              <w:rPr>
                <w:rFonts w:ascii="Arial" w:cs="Arial" w:eastAsia="Arial" w:hAnsi="Arial"/>
                <w:sz w:val="16"/>
                <w:szCs w:val="16"/>
                <w:color w:val="auto"/>
              </w:rPr>
              <w:t>(State or other jurisdiction of</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Pr>
          <w:p>
            <w:pPr>
              <w:jc w:val="center"/>
              <w:ind w:right="19"/>
              <w:spacing w:after="0"/>
              <w:rPr>
                <w:sz w:val="20"/>
                <w:szCs w:val="20"/>
                <w:color w:val="auto"/>
              </w:rPr>
            </w:pPr>
            <w:r>
              <w:rPr>
                <w:rFonts w:ascii="Arial" w:cs="Arial" w:eastAsia="Arial" w:hAnsi="Arial"/>
                <w:sz w:val="16"/>
                <w:szCs w:val="16"/>
                <w:color w:val="auto"/>
              </w:rPr>
              <w:t>(I.R.S. Employer Identification No.)</w:t>
            </w:r>
          </w:p>
        </w:tc>
        <w:tc>
          <w:tcPr>
            <w:tcW w:w="16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400" w:type="dxa"/>
            <w:vAlign w:val="bottom"/>
            <w:gridSpan w:val="2"/>
          </w:tcPr>
          <w:p>
            <w:pPr>
              <w:jc w:val="center"/>
              <w:ind w:left="1019"/>
              <w:spacing w:after="0"/>
              <w:rPr>
                <w:sz w:val="20"/>
                <w:szCs w:val="20"/>
                <w:color w:val="auto"/>
              </w:rPr>
            </w:pPr>
            <w:r>
              <w:rPr>
                <w:rFonts w:ascii="Arial" w:cs="Arial" w:eastAsia="Arial" w:hAnsi="Arial"/>
                <w:sz w:val="16"/>
                <w:szCs w:val="16"/>
                <w:color w:val="auto"/>
              </w:rPr>
              <w:t>incorporation or organization)</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67"/>
        </w:trPr>
        <w:tc>
          <w:tcPr>
            <w:tcW w:w="500" w:type="dxa"/>
            <w:vAlign w:val="bottom"/>
          </w:tcPr>
          <w:p>
            <w:pPr>
              <w:spacing w:after="0"/>
              <w:rPr>
                <w:sz w:val="24"/>
                <w:szCs w:val="24"/>
                <w:color w:val="auto"/>
              </w:rPr>
            </w:pPr>
          </w:p>
        </w:tc>
        <w:tc>
          <w:tcPr>
            <w:tcW w:w="15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P.O. Box 152,</w:t>
            </w:r>
          </w:p>
        </w:tc>
        <w:tc>
          <w:tcPr>
            <w:tcW w:w="186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color w:val="auto"/>
              </w:rPr>
              <w:t>Forest City,</w:t>
            </w: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Iowa</w:t>
            </w:r>
          </w:p>
        </w:tc>
        <w:tc>
          <w:tcPr>
            <w:tcW w:w="1200" w:type="dxa"/>
            <w:vAlign w:val="bottom"/>
          </w:tcPr>
          <w:p>
            <w:pPr>
              <w:spacing w:after="0"/>
              <w:rPr>
                <w:sz w:val="24"/>
                <w:szCs w:val="24"/>
                <w:color w:val="auto"/>
              </w:rPr>
            </w:pPr>
          </w:p>
        </w:tc>
        <w:tc>
          <w:tcPr>
            <w:tcW w:w="4540" w:type="dxa"/>
            <w:vAlign w:val="bottom"/>
            <w:tcBorders>
              <w:bottom w:val="single" w:sz="8" w:color="auto"/>
            </w:tcBorders>
            <w:gridSpan w:val="2"/>
          </w:tcPr>
          <w:p>
            <w:pPr>
              <w:jc w:val="right"/>
              <w:ind w:right="1959"/>
              <w:spacing w:after="0"/>
              <w:rPr>
                <w:sz w:val="20"/>
                <w:szCs w:val="20"/>
                <w:color w:val="auto"/>
              </w:rPr>
            </w:pPr>
            <w:r>
              <w:rPr>
                <w:rFonts w:ascii="Arial" w:cs="Arial" w:eastAsia="Arial" w:hAnsi="Arial"/>
                <w:sz w:val="16"/>
                <w:szCs w:val="16"/>
                <w:color w:val="auto"/>
              </w:rPr>
              <w:t>50436</w:t>
            </w:r>
          </w:p>
        </w:tc>
        <w:tc>
          <w:tcPr>
            <w:tcW w:w="160" w:type="dxa"/>
            <w:vAlign w:val="bottom"/>
          </w:tcPr>
          <w:p>
            <w:pPr>
              <w:spacing w:after="0"/>
              <w:rPr>
                <w:sz w:val="24"/>
                <w:szCs w:val="24"/>
                <w:color w:val="auto"/>
              </w:rPr>
            </w:pPr>
          </w:p>
        </w:tc>
      </w:tr>
      <w:tr>
        <w:trPr>
          <w:trHeight w:val="207"/>
        </w:trPr>
        <w:tc>
          <w:tcPr>
            <w:tcW w:w="500" w:type="dxa"/>
            <w:vAlign w:val="bottom"/>
          </w:tcPr>
          <w:p>
            <w:pPr>
              <w:spacing w:after="0"/>
              <w:rPr>
                <w:sz w:val="17"/>
                <w:szCs w:val="17"/>
                <w:color w:val="auto"/>
              </w:rPr>
            </w:pPr>
          </w:p>
        </w:tc>
        <w:tc>
          <w:tcPr>
            <w:tcW w:w="5700" w:type="dxa"/>
            <w:vAlign w:val="bottom"/>
            <w:gridSpan w:val="5"/>
          </w:tcPr>
          <w:p>
            <w:pPr>
              <w:jc w:val="center"/>
              <w:ind w:right="1099"/>
              <w:spacing w:after="0"/>
              <w:rPr>
                <w:sz w:val="20"/>
                <w:szCs w:val="20"/>
                <w:color w:val="auto"/>
              </w:rPr>
            </w:pPr>
            <w:r>
              <w:rPr>
                <w:rFonts w:ascii="Arial" w:cs="Arial" w:eastAsia="Arial" w:hAnsi="Arial"/>
                <w:sz w:val="16"/>
                <w:szCs w:val="16"/>
                <w:color w:val="auto"/>
              </w:rPr>
              <w:t>(Address of principal executive offices)</w:t>
            </w:r>
          </w:p>
        </w:tc>
        <w:tc>
          <w:tcPr>
            <w:tcW w:w="100" w:type="dxa"/>
            <w:vAlign w:val="bottom"/>
          </w:tcPr>
          <w:p>
            <w:pPr>
              <w:spacing w:after="0"/>
              <w:rPr>
                <w:sz w:val="17"/>
                <w:szCs w:val="17"/>
                <w:color w:val="auto"/>
              </w:rPr>
            </w:pPr>
          </w:p>
        </w:tc>
        <w:tc>
          <w:tcPr>
            <w:tcW w:w="4440" w:type="dxa"/>
            <w:vAlign w:val="bottom"/>
          </w:tcPr>
          <w:p>
            <w:pPr>
              <w:jc w:val="center"/>
              <w:ind w:right="19"/>
              <w:spacing w:after="0"/>
              <w:rPr>
                <w:sz w:val="20"/>
                <w:szCs w:val="20"/>
                <w:color w:val="auto"/>
              </w:rPr>
            </w:pPr>
            <w:r>
              <w:rPr>
                <w:rFonts w:ascii="Arial" w:cs="Arial" w:eastAsia="Arial" w:hAnsi="Arial"/>
                <w:sz w:val="16"/>
                <w:szCs w:val="16"/>
                <w:color w:val="auto"/>
              </w:rPr>
              <w:t>(Zip Code)</w:t>
            </w:r>
          </w:p>
        </w:tc>
        <w:tc>
          <w:tcPr>
            <w:tcW w:w="160" w:type="dxa"/>
            <w:vAlign w:val="bottom"/>
          </w:tcPr>
          <w:p>
            <w:pPr>
              <w:spacing w:after="0"/>
              <w:rPr>
                <w:sz w:val="17"/>
                <w:szCs w:val="17"/>
                <w:color w:val="auto"/>
              </w:rPr>
            </w:pPr>
          </w:p>
        </w:tc>
      </w:tr>
      <w:tr>
        <w:trPr>
          <w:trHeight w:val="283"/>
        </w:trPr>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700" w:type="dxa"/>
            <w:vAlign w:val="bottom"/>
            <w:gridSpan w:val="6"/>
          </w:tcPr>
          <w:p>
            <w:pPr>
              <w:jc w:val="center"/>
              <w:ind w:right="1459"/>
              <w:spacing w:after="0" w:line="184" w:lineRule="exact"/>
              <w:rPr>
                <w:sz w:val="20"/>
                <w:szCs w:val="20"/>
                <w:color w:val="auto"/>
              </w:rPr>
            </w:pPr>
            <w:r>
              <w:rPr>
                <w:rFonts w:ascii="Arial" w:cs="Arial" w:eastAsia="Arial" w:hAnsi="Arial"/>
                <w:sz w:val="16"/>
                <w:szCs w:val="16"/>
                <w:color w:val="auto"/>
              </w:rPr>
              <w:t>Registrant's telephone number, including area code: (641) 585</w:t>
            </w:r>
            <w:r>
              <w:rPr>
                <w:rFonts w:ascii="MS PGothic" w:cs="MS PGothic" w:eastAsia="MS PGothic" w:hAnsi="MS PGothic"/>
                <w:sz w:val="16"/>
                <w:szCs w:val="16"/>
                <w:color w:val="auto"/>
              </w:rPr>
              <w:t>‑</w:t>
            </w:r>
            <w:r>
              <w:rPr>
                <w:rFonts w:ascii="Arial" w:cs="Arial" w:eastAsia="Arial" w:hAnsi="Arial"/>
                <w:sz w:val="16"/>
                <w:szCs w:val="16"/>
                <w:color w:val="auto"/>
              </w:rPr>
              <w:t>3535</w:t>
            </w:r>
          </w:p>
        </w:tc>
        <w:tc>
          <w:tcPr>
            <w:tcW w:w="160" w:type="dxa"/>
            <w:vAlign w:val="bottom"/>
          </w:tcPr>
          <w:p>
            <w:pPr>
              <w:spacing w:after="0"/>
              <w:rPr>
                <w:sz w:val="24"/>
                <w:szCs w:val="24"/>
                <w:color w:val="auto"/>
              </w:rPr>
            </w:pPr>
          </w:p>
        </w:tc>
      </w:tr>
      <w:tr>
        <w:trPr>
          <w:trHeight w:val="445"/>
        </w:trPr>
        <w:tc>
          <w:tcPr>
            <w:tcW w:w="620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13"/>
        </w:trPr>
        <w:tc>
          <w:tcPr>
            <w:tcW w:w="500" w:type="dxa"/>
            <w:vAlign w:val="bottom"/>
            <w:tcBorders>
              <w:left w:val="single" w:sz="8" w:color="auto"/>
              <w:bottom w:val="single" w:sz="8" w:color="auto"/>
            </w:tcBorders>
          </w:tcPr>
          <w:p>
            <w:pPr>
              <w:spacing w:after="0"/>
              <w:rPr>
                <w:sz w:val="18"/>
                <w:szCs w:val="18"/>
                <w:color w:val="auto"/>
              </w:rPr>
            </w:pPr>
          </w:p>
        </w:tc>
        <w:tc>
          <w:tcPr>
            <w:tcW w:w="3400" w:type="dxa"/>
            <w:vAlign w:val="bottom"/>
            <w:tcBorders>
              <w:bottom w:val="single" w:sz="8" w:color="auto"/>
            </w:tcBorders>
            <w:gridSpan w:val="2"/>
          </w:tcPr>
          <w:p>
            <w:pPr>
              <w:jc w:val="center"/>
              <w:ind w:left="139"/>
              <w:spacing w:after="0"/>
              <w:rPr>
                <w:sz w:val="20"/>
                <w:szCs w:val="20"/>
                <w:color w:val="auto"/>
              </w:rPr>
            </w:pPr>
            <w:r>
              <w:rPr>
                <w:rFonts w:ascii="Arial" w:cs="Arial" w:eastAsia="Arial" w:hAnsi="Arial"/>
                <w:sz w:val="16"/>
                <w:szCs w:val="16"/>
                <w:color w:val="auto"/>
              </w:rPr>
              <w:t>Title of each class</w:t>
            </w:r>
          </w:p>
        </w:tc>
        <w:tc>
          <w:tcPr>
            <w:tcW w:w="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Trading Symbol(s)</w:t>
            </w:r>
          </w:p>
        </w:tc>
        <w:tc>
          <w:tcPr>
            <w:tcW w:w="10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Name of each exchange on which registered</w:t>
            </w:r>
          </w:p>
        </w:tc>
        <w:tc>
          <w:tcPr>
            <w:tcW w:w="160" w:type="dxa"/>
            <w:vAlign w:val="bottom"/>
            <w:tcBorders>
              <w:bottom w:val="single" w:sz="8" w:color="auto"/>
              <w:right w:val="single" w:sz="8" w:color="auto"/>
            </w:tcBorders>
          </w:tcPr>
          <w:p>
            <w:pPr>
              <w:spacing w:after="0"/>
              <w:rPr>
                <w:sz w:val="18"/>
                <w:szCs w:val="18"/>
                <w:color w:val="auto"/>
              </w:rPr>
            </w:pPr>
          </w:p>
        </w:tc>
      </w:tr>
      <w:tr>
        <w:trPr>
          <w:trHeight w:val="210"/>
        </w:trPr>
        <w:tc>
          <w:tcPr>
            <w:tcW w:w="500" w:type="dxa"/>
            <w:vAlign w:val="bottom"/>
            <w:tcBorders>
              <w:left w:val="single" w:sz="8" w:color="auto"/>
              <w:bottom w:val="single" w:sz="8" w:color="auto"/>
            </w:tcBorders>
          </w:tcPr>
          <w:p>
            <w:pPr>
              <w:spacing w:after="0"/>
              <w:rPr>
                <w:sz w:val="18"/>
                <w:szCs w:val="18"/>
                <w:color w:val="auto"/>
              </w:rPr>
            </w:pPr>
          </w:p>
        </w:tc>
        <w:tc>
          <w:tcPr>
            <w:tcW w:w="3400" w:type="dxa"/>
            <w:vAlign w:val="bottom"/>
            <w:tcBorders>
              <w:bottom w:val="single" w:sz="8" w:color="auto"/>
            </w:tcBorders>
            <w:gridSpan w:val="2"/>
          </w:tcPr>
          <w:p>
            <w:pPr>
              <w:jc w:val="center"/>
              <w:ind w:left="139"/>
              <w:spacing w:after="0"/>
              <w:rPr>
                <w:sz w:val="20"/>
                <w:szCs w:val="20"/>
                <w:color w:val="auto"/>
              </w:rPr>
            </w:pPr>
            <w:r>
              <w:rPr>
                <w:rFonts w:ascii="Arial" w:cs="Arial" w:eastAsia="Arial" w:hAnsi="Arial"/>
                <w:sz w:val="16"/>
                <w:szCs w:val="16"/>
                <w:color w:val="auto"/>
              </w:rPr>
              <w:t>Common Stock, $0.50 par value per share</w:t>
            </w:r>
          </w:p>
        </w:tc>
        <w:tc>
          <w:tcPr>
            <w:tcW w:w="7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w w:val="99"/>
              </w:rPr>
              <w:t>WGO</w:t>
            </w:r>
          </w:p>
        </w:tc>
        <w:tc>
          <w:tcPr>
            <w:tcW w:w="10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New York Stock Exchange</w:t>
            </w:r>
          </w:p>
        </w:tc>
        <w:tc>
          <w:tcPr>
            <w:tcW w:w="160" w:type="dxa"/>
            <w:vAlign w:val="bottom"/>
            <w:tcBorders>
              <w:bottom w:val="single" w:sz="8" w:color="auto"/>
              <w:right w:val="single" w:sz="8" w:color="auto"/>
            </w:tcBorders>
          </w:tcPr>
          <w:p>
            <w:pPr>
              <w:spacing w:after="0"/>
              <w:rPr>
                <w:sz w:val="18"/>
                <w:szCs w:val="18"/>
                <w:color w:val="auto"/>
              </w:rPr>
            </w:pPr>
          </w:p>
        </w:tc>
      </w:tr>
    </w:tbl>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57" w:lineRule="exact"/>
        <w:rPr>
          <w:sz w:val="24"/>
          <w:szCs w:val="24"/>
          <w:color w:val="auto"/>
        </w:rPr>
      </w:pPr>
    </w:p>
    <w:p>
      <w:pPr>
        <w:ind w:right="2780"/>
        <w:spacing w:after="0" w:line="30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1" w:lineRule="exact"/>
        <w:rPr>
          <w:sz w:val="24"/>
          <w:szCs w:val="24"/>
          <w:color w:val="auto"/>
        </w:rPr>
      </w:pPr>
    </w:p>
    <w:p>
      <w:pPr>
        <w:ind w:right="80"/>
        <w:spacing w:after="0" w:line="212" w:lineRule="exact"/>
        <w:rPr>
          <w:sz w:val="20"/>
          <w:szCs w:val="20"/>
          <w:color w:val="auto"/>
        </w:rPr>
      </w:pPr>
      <w:r>
        <w:rPr>
          <w:rFonts w:ascii="Arial" w:cs="Arial" w:eastAsia="Arial" w:hAnsi="Arial"/>
          <w:sz w:val="16"/>
          <w:szCs w:val="16"/>
          <w:color w:val="auto"/>
        </w:rPr>
        <w:t>I</w:t>
      </w:r>
      <w:r>
        <w:rPr>
          <w:rFonts w:ascii="Arial" w:cs="Arial" w:eastAsia="Arial" w:hAnsi="Arial"/>
          <w:sz w:val="14"/>
          <w:szCs w:val="14"/>
          <w:color w:val="auto"/>
        </w:rPr>
        <w:t>ndicate by check mark whether the registrant (1) has filed all reports required to be filed by Section 13 or 15(d) of the Securities Exchange Act of 1934 during the preceding 12</w:t>
      </w:r>
      <w:r>
        <w:rPr>
          <w:rFonts w:ascii="Arial" w:cs="Arial" w:eastAsia="Arial" w:hAnsi="Arial"/>
          <w:sz w:val="16"/>
          <w:szCs w:val="16"/>
          <w:color w:val="auto"/>
        </w:rPr>
        <w:t xml:space="preserve"> </w:t>
      </w: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4" w:lineRule="exact"/>
        <w:rPr>
          <w:sz w:val="24"/>
          <w:szCs w:val="24"/>
          <w:color w:val="auto"/>
        </w:rPr>
      </w:pPr>
    </w:p>
    <w:p>
      <w:pPr>
        <w:ind w:right="66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4" w:lineRule="exact"/>
        <w:rPr>
          <w:sz w:val="24"/>
          <w:szCs w:val="24"/>
          <w:color w:val="auto"/>
        </w:rPr>
      </w:pPr>
    </w:p>
    <w:p>
      <w:pPr>
        <w:ind w:right="2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p>
      <w:pPr>
        <w:spacing w:after="0" w:line="196" w:lineRule="exact"/>
        <w:tabs>
          <w:tab w:leader="none" w:pos="1840" w:val="left"/>
          <w:tab w:leader="none" w:pos="32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4"/>
          <w:szCs w:val="14"/>
          <w:color w:val="auto"/>
        </w:rPr>
        <w:tab/>
        <w:t xml:space="preserve">Accelerated Filer </w:t>
      </w:r>
      <w:r>
        <w:rPr>
          <w:rFonts w:ascii="MS PGothic" w:cs="MS PGothic" w:eastAsia="MS PGothic" w:hAnsi="MS PGothic"/>
          <w:sz w:val="17"/>
          <w:szCs w:val="17"/>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7"/>
          <w:szCs w:val="17"/>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7"/>
          <w:szCs w:val="17"/>
          <w:color w:val="auto"/>
        </w:rPr>
        <w:t>☐</w:t>
      </w:r>
    </w:p>
    <w:p>
      <w:pPr>
        <w:spacing w:after="0" w:line="180" w:lineRule="exact"/>
        <w:rPr>
          <w:sz w:val="24"/>
          <w:szCs w:val="24"/>
          <w:color w:val="auto"/>
        </w:rPr>
      </w:pPr>
    </w:p>
    <w:p>
      <w:pPr>
        <w:ind w:right="28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4" w:lineRule="exact"/>
        <w:rPr>
          <w:sz w:val="24"/>
          <w:szCs w:val="24"/>
          <w:color w:val="auto"/>
        </w:rPr>
      </w:pPr>
    </w:p>
    <w:p>
      <w:pPr>
        <w:ind w:right="400"/>
        <w:spacing w:after="0" w:line="19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80"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$2,253,260,000 as of February 27, 2021, based upon the closing price of $69.60 as of February 26, 2021 as reported on the 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As of October 15, 2021, 33,460,085 shares of the registrant's common stock, par value $0.50 per share, were outstanding.</w:t>
      </w:r>
    </w:p>
    <w:p>
      <w:pPr>
        <w:spacing w:after="0" w:line="334"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Portions of the definitive Proxy Statement to be filed with the Securities and Exchange Commission within 120 days after the end of the fiscal year covered by this report for the registrant's 2021 Annual Meeting of Shareholders to be held on December 14, 2021 (the "2021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22" w:right="4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2021 Annual Report on Form 10-K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of Contents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60" w:type="dxa"/>
            <w:vAlign w:val="bottom"/>
            <w:gridSpan w:val="8"/>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PART I</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gridSpan w:val="2"/>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Item 1.</w:t>
              </w:r>
            </w:hyperlink>
          </w:p>
        </w:tc>
        <w:tc>
          <w:tcPr>
            <w:tcW w:w="440" w:type="dxa"/>
            <w:vAlign w:val="bottom"/>
            <w:gridSpan w:val="6"/>
          </w:tcPr>
          <w:p>
            <w:pPr>
              <w:spacing w:after="0"/>
              <w:rPr>
                <w:sz w:val="17"/>
                <w:szCs w:val="17"/>
                <w:color w:val="auto"/>
              </w:rPr>
            </w:pPr>
          </w:p>
        </w:tc>
        <w:tc>
          <w:tcPr>
            <w:tcW w:w="10060" w:type="dxa"/>
            <w:vAlign w:val="bottom"/>
            <w:gridSpan w:val="2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Business</w:t>
              </w:r>
            </w:hyperlink>
          </w:p>
        </w:tc>
        <w:tc>
          <w:tcPr>
            <w:tcW w:w="180" w:type="dxa"/>
            <w:vAlign w:val="bottom"/>
            <w:gridSpan w:val="2"/>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20" w:type="dxa"/>
            <w:vAlign w:val="bottom"/>
            <w:tcBorders>
              <w:bottom w:val="single" w:sz="8" w:color="0000FF"/>
            </w:tcBorders>
            <w:gridSpan w:val="6"/>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Item 1A.</w:t>
              </w:r>
            </w:hyperlink>
          </w:p>
        </w:tc>
        <w:tc>
          <w:tcPr>
            <w:tcW w:w="340" w:type="dxa"/>
            <w:vAlign w:val="bottom"/>
            <w:gridSpan w:val="2"/>
          </w:tcPr>
          <w:p>
            <w:pPr>
              <w:spacing w:after="0"/>
              <w:rPr>
                <w:sz w:val="17"/>
                <w:szCs w:val="17"/>
                <w:color w:val="auto"/>
              </w:rPr>
            </w:pPr>
          </w:p>
        </w:tc>
        <w:tc>
          <w:tcPr>
            <w:tcW w:w="900" w:type="dxa"/>
            <w:vAlign w:val="bottom"/>
            <w:tcBorders>
              <w:bottom w:val="single" w:sz="8" w:color="0000FF"/>
            </w:tcBorders>
            <w:gridSpan w:val="4"/>
          </w:tcPr>
          <w:p>
            <w:pPr>
              <w:spacing w:after="0"/>
              <w:rPr>
                <w:rFonts w:ascii="Arial" w:cs="Arial" w:eastAsia="Arial" w:hAnsi="Arial"/>
                <w:sz w:val="16"/>
                <w:szCs w:val="16"/>
                <w:color w:val="0000FF"/>
                <w:w w:val="98"/>
              </w:rPr>
            </w:pPr>
            <w:hyperlink w:anchor="page11">
              <w:r>
                <w:rPr>
                  <w:rFonts w:ascii="Arial" w:cs="Arial" w:eastAsia="Arial" w:hAnsi="Arial"/>
                  <w:sz w:val="16"/>
                  <w:szCs w:val="16"/>
                  <w:color w:val="0000FF"/>
                  <w:w w:val="98"/>
                </w:rPr>
                <w:t>Risk Factors</w:t>
              </w:r>
            </w:hyperlink>
          </w:p>
        </w:tc>
        <w:tc>
          <w:tcPr>
            <w:tcW w:w="9160" w:type="dxa"/>
            <w:vAlign w:val="bottom"/>
            <w:gridSpan w:val="19"/>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11">
              <w:r>
                <w:rPr>
                  <w:rFonts w:ascii="Arial" w:cs="Arial" w:eastAsia="Arial" w:hAnsi="Arial"/>
                  <w:sz w:val="16"/>
                  <w:szCs w:val="16"/>
                  <w:color w:val="0000FF"/>
                  <w:w w:val="89"/>
                </w:rPr>
                <w:t>11</w:t>
              </w:r>
            </w:hyperlink>
          </w:p>
        </w:tc>
      </w:tr>
      <w:tr>
        <w:trPr>
          <w:trHeight w:val="196"/>
        </w:trPr>
        <w:tc>
          <w:tcPr>
            <w:tcW w:w="620" w:type="dxa"/>
            <w:vAlign w:val="bottom"/>
            <w:tcBorders>
              <w:bottom w:val="single" w:sz="8" w:color="0000FF"/>
            </w:tcBorders>
            <w:gridSpan w:val="6"/>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Item 1B.</w:t>
              </w:r>
            </w:hyperlink>
          </w:p>
        </w:tc>
        <w:tc>
          <w:tcPr>
            <w:tcW w:w="340" w:type="dxa"/>
            <w:vAlign w:val="bottom"/>
            <w:gridSpan w:val="2"/>
          </w:tcPr>
          <w:p>
            <w:pPr>
              <w:spacing w:after="0"/>
              <w:rPr>
                <w:sz w:val="17"/>
                <w:szCs w:val="17"/>
                <w:color w:val="auto"/>
              </w:rPr>
            </w:pPr>
          </w:p>
        </w:tc>
        <w:tc>
          <w:tcPr>
            <w:tcW w:w="2020" w:type="dxa"/>
            <w:vAlign w:val="bottom"/>
            <w:tcBorders>
              <w:bottom w:val="single" w:sz="8" w:color="0000FF"/>
            </w:tcBorders>
            <w:gridSpan w:val="11"/>
          </w:tcPr>
          <w:p>
            <w:pPr>
              <w:spacing w:after="0"/>
              <w:rPr>
                <w:rFonts w:ascii="Arial" w:cs="Arial" w:eastAsia="Arial" w:hAnsi="Arial"/>
                <w:sz w:val="16"/>
                <w:szCs w:val="16"/>
                <w:color w:val="0000FF"/>
                <w:w w:val="99"/>
              </w:rPr>
            </w:pPr>
            <w:hyperlink w:anchor="page17">
              <w:r>
                <w:rPr>
                  <w:rFonts w:ascii="Arial" w:cs="Arial" w:eastAsia="Arial" w:hAnsi="Arial"/>
                  <w:sz w:val="16"/>
                  <w:szCs w:val="16"/>
                  <w:color w:val="0000FF"/>
                  <w:w w:val="99"/>
                </w:rPr>
                <w:t>Unresolved Staff Comments</w:t>
              </w:r>
            </w:hyperlink>
          </w:p>
        </w:tc>
        <w:tc>
          <w:tcPr>
            <w:tcW w:w="8040" w:type="dxa"/>
            <w:vAlign w:val="bottom"/>
            <w:gridSpan w:val="12"/>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17</w:t>
              </w:r>
            </w:hyperlink>
          </w:p>
        </w:tc>
      </w:tr>
      <w:tr>
        <w:trPr>
          <w:trHeight w:val="196"/>
        </w:trPr>
        <w:tc>
          <w:tcPr>
            <w:tcW w:w="560" w:type="dxa"/>
            <w:vAlign w:val="bottom"/>
            <w:gridSpan w:val="3"/>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Item 2.</w:t>
              </w:r>
            </w:hyperlink>
          </w:p>
        </w:tc>
        <w:tc>
          <w:tcPr>
            <w:tcW w:w="400" w:type="dxa"/>
            <w:vAlign w:val="bottom"/>
            <w:gridSpan w:val="5"/>
          </w:tcPr>
          <w:p>
            <w:pPr>
              <w:spacing w:after="0"/>
              <w:rPr>
                <w:sz w:val="17"/>
                <w:szCs w:val="17"/>
                <w:color w:val="auto"/>
              </w:rPr>
            </w:pPr>
          </w:p>
        </w:tc>
        <w:tc>
          <w:tcPr>
            <w:tcW w:w="10060" w:type="dxa"/>
            <w:vAlign w:val="bottom"/>
            <w:gridSpan w:val="23"/>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Properties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17</w:t>
              </w:r>
            </w:hyperlink>
          </w:p>
        </w:tc>
      </w:tr>
      <w:tr>
        <w:trPr>
          <w:trHeight w:val="20"/>
        </w:trPr>
        <w:tc>
          <w:tcPr>
            <w:tcW w:w="5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560" w:type="dxa"/>
            <w:vAlign w:val="bottom"/>
            <w:gridSpan w:val="3"/>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Item 3.</w:t>
              </w:r>
            </w:hyperlink>
          </w:p>
        </w:tc>
        <w:tc>
          <w:tcPr>
            <w:tcW w:w="400" w:type="dxa"/>
            <w:vAlign w:val="bottom"/>
            <w:gridSpan w:val="5"/>
          </w:tcPr>
          <w:p>
            <w:pPr>
              <w:spacing w:after="0"/>
              <w:rPr>
                <w:sz w:val="17"/>
                <w:szCs w:val="17"/>
                <w:color w:val="auto"/>
              </w:rPr>
            </w:pPr>
          </w:p>
        </w:tc>
        <w:tc>
          <w:tcPr>
            <w:tcW w:w="10060" w:type="dxa"/>
            <w:vAlign w:val="bottom"/>
            <w:gridSpan w:val="23"/>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Legal Proceedings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8"/>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Item 4.</w:t>
              </w:r>
            </w:hyperlink>
          </w:p>
        </w:tc>
        <w:tc>
          <w:tcPr>
            <w:tcW w:w="10060" w:type="dxa"/>
            <w:vAlign w:val="bottom"/>
            <w:gridSpan w:val="23"/>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Mine Safety Disclosures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3"/>
        </w:trPr>
        <w:tc>
          <w:tcPr>
            <w:tcW w:w="960" w:type="dxa"/>
            <w:vAlign w:val="bottom"/>
            <w:gridSpan w:val="8"/>
          </w:tcPr>
          <w:p>
            <w:pPr>
              <w:spacing w:after="0"/>
              <w:rPr>
                <w:rFonts w:ascii="Arial" w:cs="Arial" w:eastAsia="Arial" w:hAnsi="Arial"/>
                <w:sz w:val="16"/>
                <w:szCs w:val="16"/>
                <w:b w:val="1"/>
                <w:bCs w:val="1"/>
                <w:color w:val="0000FF"/>
              </w:rPr>
            </w:pPr>
            <w:hyperlink w:anchor="page17">
              <w:r>
                <w:rPr>
                  <w:rFonts w:ascii="Arial" w:cs="Arial" w:eastAsia="Arial" w:hAnsi="Arial"/>
                  <w:sz w:val="16"/>
                  <w:szCs w:val="16"/>
                  <w:b w:val="1"/>
                  <w:bCs w:val="1"/>
                  <w:color w:val="0000FF"/>
                </w:rPr>
                <w:t>PART II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18</w:t>
              </w:r>
            </w:hyperlink>
          </w:p>
        </w:tc>
      </w:tr>
      <w:tr>
        <w:trPr>
          <w:trHeight w:val="196"/>
        </w:trPr>
        <w:tc>
          <w:tcPr>
            <w:tcW w:w="560" w:type="dxa"/>
            <w:vAlign w:val="bottom"/>
            <w:tcBorders>
              <w:top w:val="single" w:sz="8" w:color="0000FF"/>
            </w:tcBorders>
            <w:gridSpan w:val="3"/>
          </w:tcPr>
          <w:p>
            <w:pPr>
              <w:spacing w:after="0"/>
              <w:rPr>
                <w:rFonts w:ascii="Arial" w:cs="Arial" w:eastAsia="Arial" w:hAnsi="Arial"/>
                <w:sz w:val="16"/>
                <w:szCs w:val="16"/>
                <w:color w:val="0000FF"/>
              </w:rPr>
            </w:pPr>
            <w:hyperlink w:anchor="page18">
              <w:r>
                <w:rPr>
                  <w:rFonts w:ascii="Arial" w:cs="Arial" w:eastAsia="Arial" w:hAnsi="Arial"/>
                  <w:sz w:val="16"/>
                  <w:szCs w:val="16"/>
                  <w:color w:val="0000FF"/>
                </w:rPr>
                <w:t>Item 5.</w:t>
              </w:r>
            </w:hyperlink>
          </w:p>
        </w:tc>
        <w:tc>
          <w:tcPr>
            <w:tcW w:w="400" w:type="dxa"/>
            <w:vAlign w:val="bottom"/>
            <w:gridSpan w:val="5"/>
          </w:tcPr>
          <w:p>
            <w:pPr>
              <w:spacing w:after="0"/>
              <w:rPr>
                <w:sz w:val="17"/>
                <w:szCs w:val="17"/>
                <w:color w:val="auto"/>
              </w:rPr>
            </w:pPr>
          </w:p>
        </w:tc>
        <w:tc>
          <w:tcPr>
            <w:tcW w:w="10060" w:type="dxa"/>
            <w:vAlign w:val="bottom"/>
            <w:gridSpan w:val="23"/>
          </w:tcPr>
          <w:p>
            <w:pPr>
              <w:spacing w:after="0"/>
              <w:rPr>
                <w:rFonts w:ascii="Arial" w:cs="Arial" w:eastAsia="Arial" w:hAnsi="Arial"/>
                <w:sz w:val="16"/>
                <w:szCs w:val="16"/>
                <w:color w:val="0000FF"/>
              </w:rPr>
            </w:pPr>
            <w:hyperlink w:anchor="page18">
              <w:r>
                <w:rPr>
                  <w:rFonts w:ascii="Arial" w:cs="Arial" w:eastAsia="Arial" w:hAnsi="Arial"/>
                  <w:sz w:val="16"/>
                  <w:szCs w:val="16"/>
                  <w:color w:val="0000FF"/>
                </w:rPr>
                <w:t>Market for the Registrant's Common Equity, Related Shareholder Matters, and Issuer Purchases of Equity Securities</w:t>
              </w:r>
            </w:hyperlink>
          </w:p>
        </w:tc>
        <w:tc>
          <w:tcPr>
            <w:tcW w:w="180" w:type="dxa"/>
            <w:vAlign w:val="bottom"/>
            <w:tcBorders>
              <w:top w:val="single" w:sz="8" w:color="0000FF"/>
            </w:tcBorders>
            <w:gridSpan w:val="2"/>
          </w:tcPr>
          <w:p>
            <w:pPr>
              <w:jc w:val="right"/>
              <w:spacing w:after="0"/>
              <w:rPr>
                <w:rFonts w:ascii="Arial" w:cs="Arial" w:eastAsia="Arial" w:hAnsi="Arial"/>
                <w:sz w:val="16"/>
                <w:szCs w:val="16"/>
                <w:color w:val="0000FF"/>
                <w:w w:val="89"/>
              </w:rPr>
            </w:pPr>
            <w:hyperlink w:anchor="page18">
              <w:r>
                <w:rPr>
                  <w:rFonts w:ascii="Arial" w:cs="Arial" w:eastAsia="Arial" w:hAnsi="Arial"/>
                  <w:sz w:val="16"/>
                  <w:szCs w:val="16"/>
                  <w:color w:val="0000FF"/>
                  <w:w w:val="89"/>
                </w:rPr>
                <w:t>18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8"/>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Item 6.</w:t>
              </w:r>
            </w:hyperlink>
          </w:p>
        </w:tc>
        <w:tc>
          <w:tcPr>
            <w:tcW w:w="10060" w:type="dxa"/>
            <w:vAlign w:val="bottom"/>
            <w:gridSpan w:val="23"/>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[Reserved]</w:t>
              </w:r>
            </w:hyperlink>
          </w:p>
        </w:tc>
        <w:tc>
          <w:tcPr>
            <w:tcW w:w="180" w:type="dxa"/>
            <w:vAlign w:val="bottom"/>
            <w:gridSpan w:val="2"/>
          </w:tcPr>
          <w:p>
            <w:pPr>
              <w:jc w:val="right"/>
              <w:spacing w:after="0"/>
              <w:rPr>
                <w:rFonts w:ascii="Arial" w:cs="Arial" w:eastAsia="Arial" w:hAnsi="Arial"/>
                <w:sz w:val="16"/>
                <w:szCs w:val="16"/>
                <w:color w:val="0000FF"/>
                <w:w w:val="89"/>
              </w:rPr>
            </w:pPr>
            <w:hyperlink w:anchor="page19">
              <w:r>
                <w:rPr>
                  <w:rFonts w:ascii="Arial" w:cs="Arial" w:eastAsia="Arial" w:hAnsi="Arial"/>
                  <w:sz w:val="16"/>
                  <w:szCs w:val="16"/>
                  <w:color w:val="0000FF"/>
                  <w:w w:val="89"/>
                </w:rPr>
                <w:t>20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580" w:type="dxa"/>
            <w:vAlign w:val="bottom"/>
            <w:gridSpan w:val="4"/>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Item 7.</w:t>
              </w:r>
            </w:hyperlink>
          </w:p>
        </w:tc>
        <w:tc>
          <w:tcPr>
            <w:tcW w:w="380" w:type="dxa"/>
            <w:vAlign w:val="bottom"/>
            <w:gridSpan w:val="4"/>
          </w:tcPr>
          <w:p>
            <w:pPr>
              <w:spacing w:after="0"/>
              <w:rPr>
                <w:sz w:val="17"/>
                <w:szCs w:val="17"/>
                <w:color w:val="auto"/>
              </w:rPr>
            </w:pPr>
          </w:p>
        </w:tc>
        <w:tc>
          <w:tcPr>
            <w:tcW w:w="10060" w:type="dxa"/>
            <w:vAlign w:val="bottom"/>
            <w:gridSpan w:val="23"/>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20">
              <w:r>
                <w:rPr>
                  <w:rFonts w:ascii="Arial" w:cs="Arial" w:eastAsia="Arial" w:hAnsi="Arial"/>
                  <w:sz w:val="16"/>
                  <w:szCs w:val="16"/>
                  <w:color w:val="0000FF"/>
                  <w:w w:val="89"/>
                </w:rPr>
                <w:t>20</w:t>
              </w:r>
            </w:hyperlink>
          </w:p>
        </w:tc>
      </w:tr>
      <w:tr>
        <w:trPr>
          <w:trHeight w:val="20"/>
        </w:trPr>
        <w:tc>
          <w:tcPr>
            <w:tcW w:w="5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20" w:type="dxa"/>
            <w:vAlign w:val="bottom"/>
            <w:tcBorders>
              <w:bottom w:val="single" w:sz="8" w:color="0000FF"/>
            </w:tcBorders>
            <w:gridSpan w:val="6"/>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Item 7A.</w:t>
              </w:r>
            </w:hyperlink>
          </w:p>
        </w:tc>
        <w:tc>
          <w:tcPr>
            <w:tcW w:w="340" w:type="dxa"/>
            <w:vAlign w:val="bottom"/>
            <w:gridSpan w:val="2"/>
          </w:tcPr>
          <w:p>
            <w:pPr>
              <w:spacing w:after="0"/>
              <w:rPr>
                <w:sz w:val="17"/>
                <w:szCs w:val="17"/>
                <w:color w:val="auto"/>
              </w:rPr>
            </w:pPr>
          </w:p>
        </w:tc>
        <w:tc>
          <w:tcPr>
            <w:tcW w:w="4240" w:type="dxa"/>
            <w:vAlign w:val="bottom"/>
            <w:tcBorders>
              <w:bottom w:val="single" w:sz="8" w:color="0000FF"/>
            </w:tcBorders>
            <w:gridSpan w:val="16"/>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Quantitative and Qualitative Disclosures About Market Risk</w:t>
              </w:r>
            </w:hyperlink>
          </w:p>
        </w:tc>
        <w:tc>
          <w:tcPr>
            <w:tcW w:w="5820" w:type="dxa"/>
            <w:vAlign w:val="bottom"/>
            <w:gridSpan w:val="7"/>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28</w:t>
              </w:r>
            </w:hyperlink>
          </w:p>
        </w:tc>
      </w:tr>
      <w:tr>
        <w:trPr>
          <w:trHeight w:val="196"/>
        </w:trPr>
        <w:tc>
          <w:tcPr>
            <w:tcW w:w="580" w:type="dxa"/>
            <w:vAlign w:val="bottom"/>
            <w:gridSpan w:val="4"/>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Item 8.</w:t>
              </w:r>
            </w:hyperlink>
          </w:p>
        </w:tc>
        <w:tc>
          <w:tcPr>
            <w:tcW w:w="380" w:type="dxa"/>
            <w:vAlign w:val="bottom"/>
            <w:gridSpan w:val="4"/>
          </w:tcPr>
          <w:p>
            <w:pPr>
              <w:spacing w:after="0"/>
              <w:rPr>
                <w:sz w:val="17"/>
                <w:szCs w:val="17"/>
                <w:color w:val="auto"/>
              </w:rPr>
            </w:pPr>
          </w:p>
        </w:tc>
        <w:tc>
          <w:tcPr>
            <w:tcW w:w="10060" w:type="dxa"/>
            <w:vAlign w:val="bottom"/>
            <w:gridSpan w:val="23"/>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Financial Statements and Supplementary Data</w:t>
              </w:r>
            </w:hyperlink>
          </w:p>
        </w:tc>
        <w:tc>
          <w:tcPr>
            <w:tcW w:w="180" w:type="dxa"/>
            <w:vAlign w:val="bottom"/>
            <w:gridSpan w:val="2"/>
          </w:tcPr>
          <w:p>
            <w:pPr>
              <w:jc w:val="right"/>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29</w:t>
              </w:r>
            </w:hyperlink>
          </w:p>
        </w:tc>
      </w:tr>
      <w:tr>
        <w:trPr>
          <w:trHeight w:val="20"/>
        </w:trPr>
        <w:tc>
          <w:tcPr>
            <w:tcW w:w="5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580" w:type="dxa"/>
            <w:vAlign w:val="bottom"/>
            <w:gridSpan w:val="4"/>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Item 9.</w:t>
              </w:r>
            </w:hyperlink>
          </w:p>
        </w:tc>
        <w:tc>
          <w:tcPr>
            <w:tcW w:w="380" w:type="dxa"/>
            <w:vAlign w:val="bottom"/>
            <w:gridSpan w:val="4"/>
          </w:tcPr>
          <w:p>
            <w:pPr>
              <w:spacing w:after="0"/>
              <w:rPr>
                <w:sz w:val="17"/>
                <w:szCs w:val="17"/>
                <w:color w:val="auto"/>
              </w:rPr>
            </w:pPr>
          </w:p>
        </w:tc>
        <w:tc>
          <w:tcPr>
            <w:tcW w:w="10060" w:type="dxa"/>
            <w:vAlign w:val="bottom"/>
            <w:gridSpan w:val="23"/>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62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20" w:type="dxa"/>
            <w:vAlign w:val="bottom"/>
            <w:gridSpan w:val="6"/>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Item 9A.</w:t>
              </w:r>
            </w:hyperlink>
          </w:p>
        </w:tc>
        <w:tc>
          <w:tcPr>
            <w:tcW w:w="340" w:type="dxa"/>
            <w:vAlign w:val="bottom"/>
            <w:gridSpan w:val="2"/>
          </w:tcPr>
          <w:p>
            <w:pPr>
              <w:spacing w:after="0"/>
              <w:rPr>
                <w:sz w:val="17"/>
                <w:szCs w:val="17"/>
                <w:color w:val="auto"/>
              </w:rPr>
            </w:pPr>
          </w:p>
        </w:tc>
        <w:tc>
          <w:tcPr>
            <w:tcW w:w="10060" w:type="dxa"/>
            <w:vAlign w:val="bottom"/>
            <w:gridSpan w:val="23"/>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Controls and Procedures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62</w:t>
              </w:r>
            </w:hyperlink>
          </w:p>
        </w:tc>
      </w:tr>
      <w:tr>
        <w:trPr>
          <w:trHeight w:val="196"/>
        </w:trPr>
        <w:tc>
          <w:tcPr>
            <w:tcW w:w="620" w:type="dxa"/>
            <w:vAlign w:val="bottom"/>
            <w:tcBorders>
              <w:top w:val="single" w:sz="8" w:color="0000FF"/>
              <w:bottom w:val="single" w:sz="8" w:color="0000FF"/>
            </w:tcBorders>
            <w:gridSpan w:val="6"/>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Item 9B.</w:t>
              </w:r>
            </w:hyperlink>
          </w:p>
        </w:tc>
        <w:tc>
          <w:tcPr>
            <w:tcW w:w="340" w:type="dxa"/>
            <w:vAlign w:val="bottom"/>
            <w:gridSpan w:val="2"/>
          </w:tcPr>
          <w:p>
            <w:pPr>
              <w:spacing w:after="0"/>
              <w:rPr>
                <w:sz w:val="17"/>
                <w:szCs w:val="17"/>
                <w:color w:val="auto"/>
              </w:rPr>
            </w:pPr>
          </w:p>
        </w:tc>
        <w:tc>
          <w:tcPr>
            <w:tcW w:w="126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9"/>
              </w:rPr>
            </w:pPr>
            <w:hyperlink w:anchor="page62">
              <w:r>
                <w:rPr>
                  <w:rFonts w:ascii="Arial" w:cs="Arial" w:eastAsia="Arial" w:hAnsi="Arial"/>
                  <w:sz w:val="16"/>
                  <w:szCs w:val="16"/>
                  <w:color w:val="0000FF"/>
                  <w:w w:val="99"/>
                </w:rPr>
                <w:t>Other Information</w:t>
              </w:r>
            </w:hyperlink>
          </w:p>
        </w:tc>
        <w:tc>
          <w:tcPr>
            <w:tcW w:w="520" w:type="dxa"/>
            <w:vAlign w:val="bottom"/>
            <w:tcBorders>
              <w:top w:val="single" w:sz="8" w:color="0000FF"/>
            </w:tcBorders>
            <w:gridSpan w:val="4"/>
          </w:tcPr>
          <w:p>
            <w:pPr>
              <w:spacing w:after="0"/>
              <w:rPr>
                <w:sz w:val="17"/>
                <w:szCs w:val="17"/>
                <w:color w:val="auto"/>
              </w:rPr>
            </w:pPr>
          </w:p>
        </w:tc>
        <w:tc>
          <w:tcPr>
            <w:tcW w:w="8280" w:type="dxa"/>
            <w:vAlign w:val="bottom"/>
            <w:gridSpan w:val="13"/>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62</w:t>
              </w:r>
            </w:hyperlink>
          </w:p>
        </w:tc>
      </w:tr>
      <w:tr>
        <w:trPr>
          <w:trHeight w:val="196"/>
        </w:trPr>
        <w:tc>
          <w:tcPr>
            <w:tcW w:w="58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62">
              <w:r>
                <w:rPr>
                  <w:rFonts w:ascii="Arial" w:cs="Arial" w:eastAsia="Arial" w:hAnsi="Arial"/>
                  <w:sz w:val="16"/>
                  <w:szCs w:val="16"/>
                  <w:color w:val="0000FF"/>
                  <w:w w:val="99"/>
                </w:rPr>
                <w:t>Item 9C</w:t>
              </w:r>
            </w:hyperlink>
          </w:p>
        </w:tc>
        <w:tc>
          <w:tcPr>
            <w:tcW w:w="380" w:type="dxa"/>
            <w:vAlign w:val="bottom"/>
            <w:gridSpan w:val="4"/>
          </w:tcPr>
          <w:p>
            <w:pPr>
              <w:spacing w:after="0"/>
              <w:rPr>
                <w:sz w:val="17"/>
                <w:szCs w:val="17"/>
                <w:color w:val="auto"/>
              </w:rPr>
            </w:pPr>
          </w:p>
        </w:tc>
        <w:tc>
          <w:tcPr>
            <w:tcW w:w="4860" w:type="dxa"/>
            <w:vAlign w:val="bottom"/>
            <w:tcBorders>
              <w:bottom w:val="single" w:sz="8" w:color="0000FF"/>
            </w:tcBorders>
            <w:gridSpan w:val="17"/>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Disclosure Regarding Foreign Jurisdictions that Prevent Inspections</w:t>
              </w:r>
            </w:hyperlink>
          </w:p>
        </w:tc>
        <w:tc>
          <w:tcPr>
            <w:tcW w:w="5200" w:type="dxa"/>
            <w:vAlign w:val="bottom"/>
            <w:gridSpan w:val="6"/>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62</w:t>
              </w:r>
            </w:hyperlink>
          </w:p>
        </w:tc>
      </w:tr>
      <w:tr>
        <w:trPr>
          <w:trHeight w:val="453"/>
        </w:trPr>
        <w:tc>
          <w:tcPr>
            <w:tcW w:w="620" w:type="dxa"/>
            <w:vAlign w:val="bottom"/>
            <w:tcBorders>
              <w:bottom w:val="single" w:sz="8" w:color="0000FF"/>
            </w:tcBorders>
            <w:gridSpan w:val="6"/>
          </w:tcPr>
          <w:p>
            <w:pPr>
              <w:spacing w:after="0"/>
              <w:rPr>
                <w:rFonts w:ascii="Arial" w:cs="Arial" w:eastAsia="Arial" w:hAnsi="Arial"/>
                <w:sz w:val="16"/>
                <w:szCs w:val="16"/>
                <w:b w:val="1"/>
                <w:bCs w:val="1"/>
                <w:color w:val="0000FF"/>
                <w:w w:val="97"/>
              </w:rPr>
            </w:pPr>
            <w:hyperlink w:anchor="page62">
              <w:r>
                <w:rPr>
                  <w:rFonts w:ascii="Arial" w:cs="Arial" w:eastAsia="Arial" w:hAnsi="Arial"/>
                  <w:sz w:val="16"/>
                  <w:szCs w:val="16"/>
                  <w:b w:val="1"/>
                  <w:bCs w:val="1"/>
                  <w:color w:val="0000FF"/>
                  <w:w w:val="97"/>
                </w:rPr>
                <w:t>PART III</w:t>
              </w:r>
            </w:hyperlink>
          </w:p>
        </w:tc>
        <w:tc>
          <w:tcPr>
            <w:tcW w:w="3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63</w:t>
              </w:r>
            </w:hyperlink>
          </w:p>
        </w:tc>
      </w:tr>
      <w:tr>
        <w:trPr>
          <w:trHeight w:val="196"/>
        </w:trPr>
        <w:tc>
          <w:tcPr>
            <w:tcW w:w="600" w:type="dxa"/>
            <w:vAlign w:val="bottom"/>
            <w:gridSpan w:val="5"/>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Item 10.</w:t>
              </w:r>
            </w:hyperlink>
          </w:p>
        </w:tc>
        <w:tc>
          <w:tcPr>
            <w:tcW w:w="360" w:type="dxa"/>
            <w:vAlign w:val="bottom"/>
            <w:gridSpan w:val="3"/>
          </w:tcPr>
          <w:p>
            <w:pPr>
              <w:spacing w:after="0"/>
              <w:rPr>
                <w:sz w:val="17"/>
                <w:szCs w:val="17"/>
                <w:color w:val="auto"/>
              </w:rPr>
            </w:pPr>
          </w:p>
        </w:tc>
        <w:tc>
          <w:tcPr>
            <w:tcW w:w="10060" w:type="dxa"/>
            <w:vAlign w:val="bottom"/>
            <w:gridSpan w:val="23"/>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Directors, Executive Officers, and Corporate Governance</w:t>
              </w:r>
            </w:hyperlink>
          </w:p>
        </w:tc>
        <w:tc>
          <w:tcPr>
            <w:tcW w:w="180" w:type="dxa"/>
            <w:vAlign w:val="bottom"/>
            <w:gridSpan w:val="2"/>
          </w:tcPr>
          <w:p>
            <w:pPr>
              <w:jc w:val="right"/>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63</w:t>
              </w:r>
            </w:hyperlink>
          </w:p>
        </w:tc>
      </w:tr>
      <w:tr>
        <w:trPr>
          <w:trHeight w:val="196"/>
        </w:trPr>
        <w:tc>
          <w:tcPr>
            <w:tcW w:w="600" w:type="dxa"/>
            <w:vAlign w:val="bottom"/>
            <w:tcBorders>
              <w:top w:val="single" w:sz="8" w:color="0000FF"/>
            </w:tcBorders>
            <w:gridSpan w:val="5"/>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Item 11.</w:t>
              </w:r>
            </w:hyperlink>
          </w:p>
        </w:tc>
        <w:tc>
          <w:tcPr>
            <w:tcW w:w="360" w:type="dxa"/>
            <w:vAlign w:val="bottom"/>
            <w:gridSpan w:val="3"/>
          </w:tcPr>
          <w:p>
            <w:pPr>
              <w:spacing w:after="0"/>
              <w:rPr>
                <w:sz w:val="17"/>
                <w:szCs w:val="17"/>
                <w:color w:val="auto"/>
              </w:rPr>
            </w:pPr>
          </w:p>
        </w:tc>
        <w:tc>
          <w:tcPr>
            <w:tcW w:w="4080" w:type="dxa"/>
            <w:vAlign w:val="bottom"/>
            <w:tcBorders>
              <w:top w:val="single" w:sz="8" w:color="0000FF"/>
            </w:tcBorders>
            <w:gridSpan w:val="15"/>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Executive Compensation</w:t>
              </w:r>
            </w:hyperlink>
          </w:p>
        </w:tc>
        <w:tc>
          <w:tcPr>
            <w:tcW w:w="5980" w:type="dxa"/>
            <w:vAlign w:val="bottom"/>
            <w:gridSpan w:val="8"/>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63</w:t>
              </w:r>
            </w:hyperlink>
          </w:p>
        </w:tc>
      </w:tr>
      <w:tr>
        <w:trPr>
          <w:trHeight w:val="20"/>
        </w:trPr>
        <w:tc>
          <w:tcPr>
            <w:tcW w:w="60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tcBorders>
              <w:bottom w:val="single" w:sz="8" w:color="0000FF"/>
            </w:tcBorders>
            <w:gridSpan w:val="5"/>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Item 12.</w:t>
              </w:r>
            </w:hyperlink>
          </w:p>
        </w:tc>
        <w:tc>
          <w:tcPr>
            <w:tcW w:w="360" w:type="dxa"/>
            <w:vAlign w:val="bottom"/>
            <w:gridSpan w:val="3"/>
          </w:tcPr>
          <w:p>
            <w:pPr>
              <w:spacing w:after="0"/>
              <w:rPr>
                <w:sz w:val="17"/>
                <w:szCs w:val="17"/>
                <w:color w:val="auto"/>
              </w:rPr>
            </w:pPr>
          </w:p>
        </w:tc>
        <w:tc>
          <w:tcPr>
            <w:tcW w:w="7240" w:type="dxa"/>
            <w:vAlign w:val="bottom"/>
            <w:tcBorders>
              <w:bottom w:val="single" w:sz="8" w:color="0000FF"/>
            </w:tcBorders>
            <w:gridSpan w:val="21"/>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Security Ownership of Certain Beneficial Owners and Management and Related Shareholder Matters</w:t>
              </w:r>
            </w:hyperlink>
          </w:p>
        </w:tc>
        <w:tc>
          <w:tcPr>
            <w:tcW w:w="282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63</w:t>
              </w:r>
            </w:hyperlink>
          </w:p>
        </w:tc>
      </w:tr>
      <w:tr>
        <w:trPr>
          <w:trHeight w:val="196"/>
        </w:trPr>
        <w:tc>
          <w:tcPr>
            <w:tcW w:w="600" w:type="dxa"/>
            <w:vAlign w:val="bottom"/>
            <w:tcBorders>
              <w:bottom w:val="single" w:sz="8" w:color="0000FF"/>
            </w:tcBorders>
            <w:gridSpan w:val="5"/>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Item 13.</w:t>
              </w:r>
            </w:hyperlink>
          </w:p>
        </w:tc>
        <w:tc>
          <w:tcPr>
            <w:tcW w:w="360" w:type="dxa"/>
            <w:vAlign w:val="bottom"/>
            <w:gridSpan w:val="3"/>
          </w:tcPr>
          <w:p>
            <w:pPr>
              <w:spacing w:after="0"/>
              <w:rPr>
                <w:sz w:val="17"/>
                <w:szCs w:val="17"/>
                <w:color w:val="auto"/>
              </w:rPr>
            </w:pPr>
          </w:p>
        </w:tc>
        <w:tc>
          <w:tcPr>
            <w:tcW w:w="5420" w:type="dxa"/>
            <w:vAlign w:val="bottom"/>
            <w:tcBorders>
              <w:bottom w:val="single" w:sz="8" w:color="0000FF"/>
            </w:tcBorders>
            <w:gridSpan w:val="18"/>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Certain Relationships and Related Transactions and Director Independence</w:t>
              </w:r>
            </w:hyperlink>
          </w:p>
        </w:tc>
        <w:tc>
          <w:tcPr>
            <w:tcW w:w="4640" w:type="dxa"/>
            <w:vAlign w:val="bottom"/>
            <w:gridSpan w:val="5"/>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63</w:t>
              </w:r>
            </w:hyperlink>
          </w:p>
        </w:tc>
      </w:tr>
      <w:tr>
        <w:trPr>
          <w:trHeight w:val="196"/>
        </w:trPr>
        <w:tc>
          <w:tcPr>
            <w:tcW w:w="600" w:type="dxa"/>
            <w:vAlign w:val="bottom"/>
            <w:gridSpan w:val="5"/>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Item 14.</w:t>
              </w:r>
            </w:hyperlink>
          </w:p>
        </w:tc>
        <w:tc>
          <w:tcPr>
            <w:tcW w:w="360" w:type="dxa"/>
            <w:vAlign w:val="bottom"/>
            <w:gridSpan w:val="3"/>
          </w:tcPr>
          <w:p>
            <w:pPr>
              <w:spacing w:after="0"/>
              <w:rPr>
                <w:sz w:val="17"/>
                <w:szCs w:val="17"/>
                <w:color w:val="auto"/>
              </w:rPr>
            </w:pPr>
          </w:p>
        </w:tc>
        <w:tc>
          <w:tcPr>
            <w:tcW w:w="10060" w:type="dxa"/>
            <w:vAlign w:val="bottom"/>
            <w:gridSpan w:val="23"/>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Principal Accounting Fees and Services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63</w:t>
              </w:r>
            </w:hyperlink>
          </w:p>
        </w:tc>
      </w:tr>
      <w:tr>
        <w:trPr>
          <w:trHeight w:val="20"/>
        </w:trPr>
        <w:tc>
          <w:tcPr>
            <w:tcW w:w="60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40" w:type="dxa"/>
            <w:vAlign w:val="bottom"/>
            <w:tcBorders>
              <w:bottom w:val="single" w:sz="8" w:color="0000FF"/>
            </w:tcBorders>
            <w:gridSpan w:val="7"/>
          </w:tcPr>
          <w:p>
            <w:pPr>
              <w:spacing w:after="0"/>
              <w:rPr>
                <w:rFonts w:ascii="Arial" w:cs="Arial" w:eastAsia="Arial" w:hAnsi="Arial"/>
                <w:sz w:val="16"/>
                <w:szCs w:val="16"/>
                <w:b w:val="1"/>
                <w:bCs w:val="1"/>
                <w:color w:val="0000FF"/>
                <w:w w:val="98"/>
              </w:rPr>
            </w:pPr>
            <w:hyperlink w:anchor="page63">
              <w:r>
                <w:rPr>
                  <w:rFonts w:ascii="Arial" w:cs="Arial" w:eastAsia="Arial" w:hAnsi="Arial"/>
                  <w:sz w:val="16"/>
                  <w:szCs w:val="16"/>
                  <w:b w:val="1"/>
                  <w:bCs w:val="1"/>
                  <w:color w:val="0000FF"/>
                  <w:w w:val="98"/>
                </w:rPr>
                <w:t>PART IV</w:t>
              </w:r>
            </w:hyperlink>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64</w:t>
              </w:r>
            </w:hyperlink>
          </w:p>
        </w:tc>
      </w:tr>
      <w:tr>
        <w:trPr>
          <w:trHeight w:val="196"/>
        </w:trPr>
        <w:tc>
          <w:tcPr>
            <w:tcW w:w="600" w:type="dxa"/>
            <w:vAlign w:val="bottom"/>
            <w:tcBorders>
              <w:bottom w:val="single" w:sz="8" w:color="0000FF"/>
            </w:tcBorders>
            <w:gridSpan w:val="5"/>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Item 15.</w:t>
              </w:r>
            </w:hyperlink>
          </w:p>
        </w:tc>
        <w:tc>
          <w:tcPr>
            <w:tcW w:w="360" w:type="dxa"/>
            <w:vAlign w:val="bottom"/>
            <w:gridSpan w:val="3"/>
          </w:tcPr>
          <w:p>
            <w:pPr>
              <w:spacing w:after="0"/>
              <w:rPr>
                <w:sz w:val="17"/>
                <w:szCs w:val="17"/>
                <w:color w:val="auto"/>
              </w:rPr>
            </w:pPr>
          </w:p>
        </w:tc>
        <w:tc>
          <w:tcPr>
            <w:tcW w:w="3160" w:type="dxa"/>
            <w:vAlign w:val="bottom"/>
            <w:tcBorders>
              <w:bottom w:val="single" w:sz="8" w:color="0000FF"/>
            </w:tcBorders>
            <w:gridSpan w:val="13"/>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Exhibits and Financial Statement Schedules</w:t>
              </w:r>
            </w:hyperlink>
          </w:p>
        </w:tc>
        <w:tc>
          <w:tcPr>
            <w:tcW w:w="6900" w:type="dxa"/>
            <w:vAlign w:val="bottom"/>
            <w:gridSpan w:val="10"/>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64</w:t>
              </w:r>
            </w:hyperlink>
          </w:p>
        </w:tc>
      </w:tr>
      <w:tr>
        <w:trPr>
          <w:trHeight w:val="196"/>
        </w:trPr>
        <w:tc>
          <w:tcPr>
            <w:tcW w:w="600" w:type="dxa"/>
            <w:vAlign w:val="bottom"/>
            <w:tcBorders>
              <w:bottom w:val="single" w:sz="8" w:color="0000FF"/>
            </w:tcBorders>
            <w:gridSpan w:val="5"/>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Item 16.</w:t>
              </w:r>
            </w:hyperlink>
          </w:p>
        </w:tc>
        <w:tc>
          <w:tcPr>
            <w:tcW w:w="360" w:type="dxa"/>
            <w:vAlign w:val="bottom"/>
            <w:gridSpan w:val="3"/>
          </w:tcPr>
          <w:p>
            <w:pPr>
              <w:spacing w:after="0"/>
              <w:rPr>
                <w:sz w:val="17"/>
                <w:szCs w:val="17"/>
                <w:color w:val="auto"/>
              </w:rPr>
            </w:pPr>
          </w:p>
        </w:tc>
        <w:tc>
          <w:tcPr>
            <w:tcW w:w="1500" w:type="dxa"/>
            <w:vAlign w:val="bottom"/>
            <w:tcBorders>
              <w:bottom w:val="single" w:sz="8" w:color="0000FF"/>
            </w:tcBorders>
            <w:gridSpan w:val="8"/>
          </w:tcPr>
          <w:p>
            <w:pPr>
              <w:spacing w:after="0"/>
              <w:rPr>
                <w:rFonts w:ascii="Arial" w:cs="Arial" w:eastAsia="Arial" w:hAnsi="Arial"/>
                <w:sz w:val="16"/>
                <w:szCs w:val="16"/>
                <w:color w:val="0000FF"/>
                <w:w w:val="99"/>
              </w:rPr>
            </w:pPr>
            <w:hyperlink w:anchor="page68">
              <w:r>
                <w:rPr>
                  <w:rFonts w:ascii="Arial" w:cs="Arial" w:eastAsia="Arial" w:hAnsi="Arial"/>
                  <w:sz w:val="16"/>
                  <w:szCs w:val="16"/>
                  <w:color w:val="0000FF"/>
                  <w:w w:val="99"/>
                </w:rPr>
                <w:t>Form 10-K Summary</w:t>
              </w:r>
            </w:hyperlink>
          </w:p>
        </w:tc>
        <w:tc>
          <w:tcPr>
            <w:tcW w:w="8560" w:type="dxa"/>
            <w:vAlign w:val="bottom"/>
            <w:gridSpan w:val="15"/>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68">
              <w:r>
                <w:rPr>
                  <w:rFonts w:ascii="Arial" w:cs="Arial" w:eastAsia="Arial" w:hAnsi="Arial"/>
                  <w:sz w:val="16"/>
                  <w:szCs w:val="16"/>
                  <w:color w:val="0000FF"/>
                  <w:w w:val="89"/>
                </w:rPr>
                <w:t>69</w:t>
              </w:r>
            </w:hyperlink>
          </w:p>
        </w:tc>
      </w:tr>
      <w:tr>
        <w:trPr>
          <w:trHeight w:val="453"/>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23"/>
          </w:tcPr>
          <w:p>
            <w:pPr>
              <w:spacing w:after="0"/>
              <w:rPr>
                <w:rFonts w:ascii="Arial" w:cs="Arial" w:eastAsia="Arial" w:hAnsi="Arial"/>
                <w:sz w:val="16"/>
                <w:szCs w:val="16"/>
                <w:b w:val="1"/>
                <w:bCs w:val="1"/>
                <w:color w:val="0000FF"/>
              </w:rPr>
            </w:pPr>
            <w:hyperlink w:anchor="page69">
              <w:r>
                <w:rPr>
                  <w:rFonts w:ascii="Arial" w:cs="Arial" w:eastAsia="Arial" w:hAnsi="Arial"/>
                  <w:sz w:val="16"/>
                  <w:szCs w:val="16"/>
                  <w:b w:val="1"/>
                  <w:bCs w:val="1"/>
                  <w:color w:val="0000FF"/>
                </w:rPr>
                <w:t>SIGNATURES</w:t>
              </w:r>
            </w:hyperlink>
          </w:p>
        </w:tc>
        <w:tc>
          <w:tcPr>
            <w:tcW w:w="180" w:type="dxa"/>
            <w:vAlign w:val="bottom"/>
            <w:gridSpan w:val="2"/>
          </w:tcPr>
          <w:p>
            <w:pPr>
              <w:jc w:val="right"/>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70</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FORM 10-K</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Report for the Fiscal Year Ended August 28,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268"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 xml:space="preserve">Certain of the matters discussed in this Annual Report on Form 10-K are "forward-looking statements" within the meaning of Section 27A of the Securities Act of 1933, as amended (“Securities Act”), and Section 21E of the Securities Exchange Act of 1934, as amended (“Exchange Act”), which involve risks and uncertainties. With the exception of historical information, the matters discussed in this Annual Report on Form 10-K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Annual Report on Form 10-K for the fiscal year ended August 28, 2021, for a description of important factors that could cause our actual results to differ materially from those contemplated by the forward-looking statements made in this Annual Report on Form 10-K. Among the factors that could cause actual results and outcomes to differ materially from those contained in such forward-looking statements are the following:</w:t>
      </w:r>
    </w:p>
    <w:p>
      <w:pPr>
        <w:spacing w:after="0" w:line="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surrounding the COVID-19 pandemic.</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economic conditions or low levels of economic growth.</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Inadequate inventory and distribution channel management.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warranty claims.</w:t>
      </w:r>
    </w:p>
    <w:p>
      <w:pPr>
        <w:spacing w:after="0" w:line="5" w:lineRule="exact"/>
        <w:rPr>
          <w:rFonts w:ascii="Arial" w:cs="Arial" w:eastAsia="Arial" w:hAnsi="Arial"/>
          <w:sz w:val="16"/>
          <w:szCs w:val="16"/>
          <w:color w:val="auto"/>
        </w:rPr>
      </w:pPr>
    </w:p>
    <w:p>
      <w:pPr>
        <w:ind w:left="660" w:right="28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Impairment of goodwill.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Convertible and Senior Secured Notes, including our ability to satisfy our obligations under these notes.</w:t>
      </w:r>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 We advise you to consult any further disclosures made on related subjects in future quarterly reports on Form 10-Q and current reports on Form 8-K that are filed or furnished with the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33"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terms "Winnebago Industries," "Winnebago," "the Company," "we," "our," and "us" in this Annual Report on Form 10-K, unless the context otherwise requires, refer to Winnebago Industries, Inc. and its wholly-owned subsidiaries.</w:t>
      </w:r>
    </w:p>
    <w:p>
      <w:pPr>
        <w:spacing w:after="0" w:line="22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towable units in Indiana; our motorhome units in Iowa and Indiana; and our marine units in Florida and Indiana.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30"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Fiscal 2021 refers to the fiscal year ended August 28, 2021, fiscal 2020 refers to the fiscal year ended August 29, 2020, and fiscal 2019 refers to the fiscal year ended August 31, 2019. Fiscal 2021 and 2020 include 52 weeks, while fiscal 2019 includes 53 weeks.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internet website, located at www.winnebagoind.com, provides additional information about us. On our website you can obtain, free of charge, this and prior year Annual Reports on Form 10-K, Quarterly Reports on Form 10-Q, Current Reports on Form 8-K, and all other filings with the SEC. Our recent press releases and important information regarding our corporate governance practices are also available on our website. Information contained on our website is not incorporated into this Annual Report on Form 10-K. The SEC also maintains an internet site that contains reports, proxy and information statements, and other information regarding issuers that file electronically with the SEC which can be accessed at http://www.sec.gov.</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13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Our operations are organized into two reportable segments, Towable and Motorhome, based on similarities within their markets, products, operations and distributions.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2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 towable is a non-motorized vehicle that is designed to be towed by automobiles, pickup trucks, SUVs, or vans and is used as temporary living quarters for recreational travel. The Recreation Vehicle Industry Association ("RVIA") classifies towables in four types: conventional travel trailers, fifth wheels, folding camper trailers, and truck campers. We manufacture and sell conventional travel trailers and fifth wheels under the Winnebago and Grand Design brand names, which are defined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Type</w:t>
            </w:r>
          </w:p>
        </w:tc>
        <w:tc>
          <w:tcPr>
            <w:tcW w:w="36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Description</w:t>
            </w:r>
          </w:p>
        </w:tc>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Winnebago product offerings</w:t>
            </w:r>
          </w:p>
        </w:tc>
        <w:tc>
          <w:tcPr>
            <w:tcW w:w="32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Grand Design product offerings</w:t>
            </w:r>
          </w:p>
        </w:tc>
      </w:tr>
      <w:tr>
        <w:trPr>
          <w:trHeight w:val="174"/>
        </w:trPr>
        <w:tc>
          <w:tcPr>
            <w:tcW w:w="124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Travel trailer</w:t>
            </w:r>
          </w:p>
        </w:tc>
        <w:tc>
          <w:tcPr>
            <w:tcW w:w="3680" w:type="dxa"/>
            <w:vAlign w:val="bottom"/>
            <w:shd w:val="clear" w:color="auto" w:fill="CCEEFF"/>
          </w:tcPr>
          <w:p>
            <w:pPr>
              <w:ind w:left="340"/>
              <w:spacing w:after="0" w:line="174" w:lineRule="exact"/>
              <w:rPr>
                <w:sz w:val="20"/>
                <w:szCs w:val="20"/>
                <w:color w:val="auto"/>
              </w:rPr>
            </w:pPr>
            <w:r>
              <w:rPr>
                <w:rFonts w:ascii="Arial" w:cs="Arial" w:eastAsia="Arial" w:hAnsi="Arial"/>
                <w:sz w:val="16"/>
                <w:szCs w:val="16"/>
                <w:color w:val="auto"/>
              </w:rPr>
              <w:t>Towed by means of a hitch attached to the</w:t>
            </w:r>
          </w:p>
        </w:tc>
        <w:tc>
          <w:tcPr>
            <w:tcW w:w="3080" w:type="dxa"/>
            <w:vAlign w:val="bottom"/>
            <w:shd w:val="clear" w:color="auto" w:fill="CCEEFF"/>
          </w:tcPr>
          <w:p>
            <w:pPr>
              <w:ind w:left="80"/>
              <w:spacing w:after="0" w:line="174" w:lineRule="exact"/>
              <w:rPr>
                <w:sz w:val="20"/>
                <w:szCs w:val="20"/>
                <w:color w:val="auto"/>
              </w:rPr>
            </w:pPr>
            <w:r>
              <w:rPr>
                <w:rFonts w:ascii="Arial" w:cs="Arial" w:eastAsia="Arial" w:hAnsi="Arial"/>
                <w:sz w:val="16"/>
                <w:szCs w:val="16"/>
                <w:color w:val="auto"/>
              </w:rPr>
              <w:t>Minnie, Micro Minnie, Hike, and Voyage</w:t>
            </w:r>
          </w:p>
        </w:tc>
        <w:tc>
          <w:tcPr>
            <w:tcW w:w="3240" w:type="dxa"/>
            <w:vAlign w:val="bottom"/>
            <w:shd w:val="clear" w:color="auto" w:fill="CCEEFF"/>
          </w:tcPr>
          <w:p>
            <w:pPr>
              <w:ind w:left="160"/>
              <w:spacing w:after="0" w:line="174" w:lineRule="exact"/>
              <w:rPr>
                <w:sz w:val="20"/>
                <w:szCs w:val="20"/>
                <w:color w:val="auto"/>
              </w:rPr>
            </w:pPr>
            <w:r>
              <w:rPr>
                <w:rFonts w:ascii="Arial" w:cs="Arial" w:eastAsia="Arial" w:hAnsi="Arial"/>
                <w:sz w:val="16"/>
                <w:szCs w:val="16"/>
                <w:color w:val="auto"/>
              </w:rPr>
              <w:t>Transcend, Imagine, and Reflection</w:t>
            </w:r>
          </w:p>
        </w:tc>
      </w:tr>
      <w:tr>
        <w:trPr>
          <w:trHeight w:val="201"/>
        </w:trPr>
        <w:tc>
          <w:tcPr>
            <w:tcW w:w="1240" w:type="dxa"/>
            <w:vAlign w:val="bottom"/>
            <w:shd w:val="clear" w:color="auto" w:fill="CCEEFF"/>
          </w:tcPr>
          <w:p>
            <w:pPr>
              <w:spacing w:after="0"/>
              <w:rPr>
                <w:sz w:val="17"/>
                <w:szCs w:val="17"/>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frame of the vehicle</w:t>
            </w:r>
          </w:p>
        </w:tc>
        <w:tc>
          <w:tcPr>
            <w:tcW w:w="308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r>
      <w:tr>
        <w:trPr>
          <w:trHeight w:val="177"/>
        </w:trPr>
        <w:tc>
          <w:tcPr>
            <w:tcW w:w="1240" w:type="dxa"/>
            <w:vAlign w:val="bottom"/>
          </w:tcPr>
          <w:p>
            <w:pPr>
              <w:ind w:left="20"/>
              <w:spacing w:after="0" w:line="178" w:lineRule="exact"/>
              <w:rPr>
                <w:sz w:val="20"/>
                <w:szCs w:val="20"/>
                <w:color w:val="auto"/>
              </w:rPr>
            </w:pPr>
            <w:r>
              <w:rPr>
                <w:rFonts w:ascii="Arial" w:cs="Arial" w:eastAsia="Arial" w:hAnsi="Arial"/>
                <w:sz w:val="16"/>
                <w:szCs w:val="16"/>
                <w:color w:val="auto"/>
              </w:rPr>
              <w:t>Fifth wheel</w:t>
            </w:r>
          </w:p>
        </w:tc>
        <w:tc>
          <w:tcPr>
            <w:tcW w:w="3680" w:type="dxa"/>
            <w:vAlign w:val="bottom"/>
          </w:tcPr>
          <w:p>
            <w:pPr>
              <w:ind w:left="340"/>
              <w:spacing w:after="0" w:line="178" w:lineRule="exact"/>
              <w:rPr>
                <w:sz w:val="20"/>
                <w:szCs w:val="20"/>
                <w:color w:val="auto"/>
              </w:rPr>
            </w:pPr>
            <w:r>
              <w:rPr>
                <w:rFonts w:ascii="Arial" w:cs="Arial" w:eastAsia="Arial" w:hAnsi="Arial"/>
                <w:sz w:val="16"/>
                <w:szCs w:val="16"/>
                <w:color w:val="auto"/>
              </w:rPr>
              <w:t>Constructed with a raised forward section that</w:t>
            </w:r>
          </w:p>
        </w:tc>
        <w:tc>
          <w:tcPr>
            <w:tcW w:w="3080" w:type="dxa"/>
            <w:vAlign w:val="bottom"/>
          </w:tcPr>
          <w:p>
            <w:pPr>
              <w:ind w:left="80"/>
              <w:spacing w:after="0" w:line="178" w:lineRule="exact"/>
              <w:rPr>
                <w:sz w:val="20"/>
                <w:szCs w:val="20"/>
                <w:color w:val="auto"/>
              </w:rPr>
            </w:pPr>
            <w:r>
              <w:rPr>
                <w:rFonts w:ascii="Arial" w:cs="Arial" w:eastAsia="Arial" w:hAnsi="Arial"/>
                <w:sz w:val="16"/>
                <w:szCs w:val="16"/>
                <w:color w:val="auto"/>
              </w:rPr>
              <w:t>Voyage</w:t>
            </w:r>
          </w:p>
        </w:tc>
        <w:tc>
          <w:tcPr>
            <w:tcW w:w="3240" w:type="dxa"/>
            <w:vAlign w:val="bottom"/>
          </w:tcPr>
          <w:p>
            <w:pPr>
              <w:ind w:left="160"/>
              <w:spacing w:after="0" w:line="178" w:lineRule="exact"/>
              <w:rPr>
                <w:sz w:val="20"/>
                <w:szCs w:val="20"/>
                <w:color w:val="auto"/>
              </w:rPr>
            </w:pPr>
            <w:r>
              <w:rPr>
                <w:rFonts w:ascii="Arial" w:cs="Arial" w:eastAsia="Arial" w:hAnsi="Arial"/>
                <w:sz w:val="16"/>
                <w:szCs w:val="16"/>
                <w:color w:val="auto"/>
              </w:rPr>
              <w:t>Momentum, Reflection, and Solitude</w:t>
            </w:r>
          </w:p>
        </w:tc>
      </w:tr>
      <w:tr>
        <w:trPr>
          <w:trHeight w:val="162"/>
        </w:trPr>
        <w:tc>
          <w:tcPr>
            <w:tcW w:w="1240" w:type="dxa"/>
            <w:vAlign w:val="bottom"/>
          </w:tcPr>
          <w:p>
            <w:pPr>
              <w:spacing w:after="0"/>
              <w:rPr>
                <w:sz w:val="14"/>
                <w:szCs w:val="14"/>
                <w:color w:val="auto"/>
              </w:rPr>
            </w:pPr>
          </w:p>
        </w:tc>
        <w:tc>
          <w:tcPr>
            <w:tcW w:w="3680" w:type="dxa"/>
            <w:vAlign w:val="bottom"/>
          </w:tcPr>
          <w:p>
            <w:pPr>
              <w:ind w:left="340"/>
              <w:spacing w:after="0" w:line="162" w:lineRule="exact"/>
              <w:rPr>
                <w:sz w:val="20"/>
                <w:szCs w:val="20"/>
                <w:color w:val="auto"/>
              </w:rPr>
            </w:pPr>
            <w:r>
              <w:rPr>
                <w:rFonts w:ascii="Arial" w:cs="Arial" w:eastAsia="Arial" w:hAnsi="Arial"/>
                <w:sz w:val="16"/>
                <w:szCs w:val="16"/>
                <w:color w:val="auto"/>
              </w:rPr>
              <w:t>is connected to the vehicle with a special fifth</w:t>
            </w:r>
          </w:p>
        </w:tc>
        <w:tc>
          <w:tcPr>
            <w:tcW w:w="308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95"/>
        </w:trPr>
        <w:tc>
          <w:tcPr>
            <w:tcW w:w="1240" w:type="dxa"/>
            <w:vAlign w:val="bottom"/>
          </w:tcPr>
          <w:p>
            <w:pPr>
              <w:spacing w:after="0"/>
              <w:rPr>
                <w:sz w:val="16"/>
                <w:szCs w:val="16"/>
                <w:color w:val="auto"/>
              </w:rPr>
            </w:pPr>
          </w:p>
        </w:tc>
        <w:tc>
          <w:tcPr>
            <w:tcW w:w="3680" w:type="dxa"/>
            <w:vAlign w:val="bottom"/>
          </w:tcPr>
          <w:p>
            <w:pPr>
              <w:ind w:left="340"/>
              <w:spacing w:after="0"/>
              <w:rPr>
                <w:sz w:val="20"/>
                <w:szCs w:val="20"/>
                <w:color w:val="auto"/>
              </w:rPr>
            </w:pPr>
            <w:r>
              <w:rPr>
                <w:rFonts w:ascii="Arial" w:cs="Arial" w:eastAsia="Arial" w:hAnsi="Arial"/>
                <w:sz w:val="16"/>
                <w:szCs w:val="16"/>
                <w:color w:val="auto"/>
              </w:rPr>
              <w:t>wheel hitch</w:t>
            </w:r>
          </w:p>
        </w:tc>
        <w:tc>
          <w:tcPr>
            <w:tcW w:w="3080" w:type="dxa"/>
            <w:vAlign w:val="bottom"/>
          </w:tcPr>
          <w:p>
            <w:pPr>
              <w:spacing w:after="0"/>
              <w:rPr>
                <w:sz w:val="16"/>
                <w:szCs w:val="16"/>
                <w:color w:val="auto"/>
              </w:rPr>
            </w:pPr>
          </w:p>
        </w:tc>
        <w:tc>
          <w:tcPr>
            <w:tcW w:w="3240" w:type="dxa"/>
            <w:vAlign w:val="bottom"/>
          </w:tcPr>
          <w:p>
            <w:pPr>
              <w:spacing w:after="0"/>
              <w:rPr>
                <w:sz w:val="16"/>
                <w:szCs w:val="16"/>
                <w:color w:val="auto"/>
              </w:rPr>
            </w:pPr>
          </w:p>
        </w:tc>
      </w:tr>
    </w:tbl>
    <w:p>
      <w:pPr>
        <w:spacing w:after="0" w:line="345"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Our travel trailer and fifth wheel towables are sold by dealers in the retail market with manufacturer's suggested retail prices ranging from approximately $30,000 to $137,000, depending on size and model, plus optional equipment and delivery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A motorhome is a self-propelled mobile dwelling used primarily as temporary living quarters during vacation and camping trips, or to support active and mobile lifestyles. The RVIA classifies motorhomes into four types, all of which we manufacture and sell under the Winnebago and Newmar brand names, which are defined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Type</w:t>
            </w:r>
          </w:p>
        </w:tc>
        <w:tc>
          <w:tcPr>
            <w:tcW w:w="38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Description</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Winnebago product offerings</w:t>
            </w: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Newmar product offerings</w:t>
            </w:r>
          </w:p>
        </w:tc>
        <w:tc>
          <w:tcPr>
            <w:tcW w:w="0" w:type="dxa"/>
            <w:vAlign w:val="bottom"/>
          </w:tcPr>
          <w:p>
            <w:pPr>
              <w:spacing w:after="0"/>
              <w:rPr>
                <w:sz w:val="1"/>
                <w:szCs w:val="1"/>
                <w:color w:val="auto"/>
              </w:rPr>
            </w:pPr>
          </w:p>
        </w:tc>
      </w:tr>
      <w:tr>
        <w:trPr>
          <w:trHeight w:val="328"/>
        </w:trPr>
        <w:tc>
          <w:tcPr>
            <w:tcW w:w="1080" w:type="dxa"/>
            <w:vAlign w:val="bottom"/>
            <w:shd w:val="clear" w:color="auto" w:fill="CCEEFF"/>
          </w:tcPr>
          <w:p>
            <w:pPr>
              <w:spacing w:after="0"/>
              <w:rPr>
                <w:sz w:val="24"/>
                <w:szCs w:val="24"/>
                <w:color w:val="auto"/>
              </w:rPr>
            </w:pPr>
          </w:p>
        </w:tc>
        <w:tc>
          <w:tcPr>
            <w:tcW w:w="3820" w:type="dxa"/>
            <w:vAlign w:val="bottom"/>
            <w:shd w:val="clear" w:color="auto" w:fill="CCEEFF"/>
          </w:tcPr>
          <w:p>
            <w:pPr>
              <w:spacing w:after="0"/>
              <w:rPr>
                <w:sz w:val="24"/>
                <w:szCs w:val="24"/>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Gas: Adventurer, Vista, and Sunstar</w:t>
            </w: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Gas: Bay Star and Bay Star Sport</w:t>
            </w:r>
          </w:p>
        </w:tc>
        <w:tc>
          <w:tcPr>
            <w:tcW w:w="0" w:type="dxa"/>
            <w:vAlign w:val="bottom"/>
          </w:tcPr>
          <w:p>
            <w:pPr>
              <w:spacing w:after="0"/>
              <w:rPr>
                <w:sz w:val="1"/>
                <w:szCs w:val="1"/>
                <w:color w:val="auto"/>
              </w:rPr>
            </w:pPr>
          </w:p>
        </w:tc>
      </w:tr>
      <w:tr>
        <w:trPr>
          <w:trHeight w:val="170"/>
        </w:trPr>
        <w:tc>
          <w:tcPr>
            <w:tcW w:w="1080" w:type="dxa"/>
            <w:vAlign w:val="bottom"/>
            <w:shd w:val="clear" w:color="auto" w:fill="CCEEFF"/>
          </w:tcPr>
          <w:p>
            <w:pPr>
              <w:spacing w:after="0"/>
              <w:rPr>
                <w:sz w:val="14"/>
                <w:szCs w:val="14"/>
                <w:color w:val="auto"/>
              </w:rPr>
            </w:pPr>
          </w:p>
        </w:tc>
        <w:tc>
          <w:tcPr>
            <w:tcW w:w="3820" w:type="dxa"/>
            <w:vAlign w:val="bottom"/>
            <w:shd w:val="clear" w:color="auto" w:fill="CCEEFF"/>
          </w:tcPr>
          <w:p>
            <w:pPr>
              <w:ind w:left="500"/>
              <w:spacing w:after="0" w:line="170" w:lineRule="exact"/>
              <w:rPr>
                <w:sz w:val="20"/>
                <w:szCs w:val="20"/>
                <w:color w:val="auto"/>
              </w:rPr>
            </w:pPr>
            <w:r>
              <w:rPr>
                <w:rFonts w:ascii="Arial" w:cs="Arial" w:eastAsia="Arial" w:hAnsi="Arial"/>
                <w:sz w:val="16"/>
                <w:szCs w:val="16"/>
                <w:color w:val="auto"/>
              </w:rPr>
              <w:t>Built on a heavy truck chassis in both diesel</w:t>
            </w:r>
          </w:p>
        </w:tc>
        <w:tc>
          <w:tcPr>
            <w:tcW w:w="316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Class A</w:t>
            </w:r>
          </w:p>
        </w:tc>
        <w:tc>
          <w:tcPr>
            <w:tcW w:w="3820" w:type="dxa"/>
            <w:vAlign w:val="bottom"/>
            <w:shd w:val="clear" w:color="auto" w:fill="CCEEFF"/>
          </w:tcPr>
          <w:p>
            <w:pPr>
              <w:ind w:left="500"/>
              <w:spacing w:after="0" w:line="162" w:lineRule="exact"/>
              <w:rPr>
                <w:sz w:val="20"/>
                <w:szCs w:val="20"/>
                <w:color w:val="auto"/>
              </w:rPr>
            </w:pPr>
            <w:r>
              <w:rPr>
                <w:rFonts w:ascii="Arial" w:cs="Arial" w:eastAsia="Arial" w:hAnsi="Arial"/>
                <w:sz w:val="16"/>
                <w:szCs w:val="16"/>
                <w:color w:val="auto"/>
              </w:rPr>
              <w:t>and gas models with the ability to tow a small</w:t>
            </w:r>
          </w:p>
        </w:tc>
        <w:tc>
          <w:tcPr>
            <w:tcW w:w="3160" w:type="dxa"/>
            <w:vAlign w:val="bottom"/>
            <w:shd w:val="clear" w:color="auto" w:fill="CCEEFF"/>
          </w:tcPr>
          <w:p>
            <w:pPr>
              <w:spacing w:after="0"/>
              <w:rPr>
                <w:sz w:val="14"/>
                <w:szCs w:val="14"/>
                <w:color w:val="auto"/>
              </w:rPr>
            </w:pPr>
          </w:p>
        </w:tc>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Diesel: Canyon Star, King Aire, Dutch Star,</w:t>
            </w:r>
          </w:p>
        </w:tc>
        <w:tc>
          <w:tcPr>
            <w:tcW w:w="0" w:type="dxa"/>
            <w:vAlign w:val="bottom"/>
          </w:tcPr>
          <w:p>
            <w:pPr>
              <w:spacing w:after="0"/>
              <w:rPr>
                <w:sz w:val="1"/>
                <w:szCs w:val="1"/>
                <w:color w:val="auto"/>
              </w:rPr>
            </w:pPr>
          </w:p>
        </w:tc>
      </w:tr>
      <w:tr>
        <w:trPr>
          <w:trHeight w:val="68"/>
        </w:trPr>
        <w:tc>
          <w:tcPr>
            <w:tcW w:w="1080" w:type="dxa"/>
            <w:vAlign w:val="bottom"/>
            <w:shd w:val="clear" w:color="auto" w:fill="CCEEFF"/>
          </w:tcPr>
          <w:p>
            <w:pPr>
              <w:spacing w:after="0"/>
              <w:rPr>
                <w:sz w:val="5"/>
                <w:szCs w:val="5"/>
                <w:color w:val="auto"/>
              </w:rPr>
            </w:pPr>
          </w:p>
        </w:tc>
        <w:tc>
          <w:tcPr>
            <w:tcW w:w="382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vehicle</w:t>
            </w:r>
          </w:p>
        </w:tc>
        <w:tc>
          <w:tcPr>
            <w:tcW w:w="3160" w:type="dxa"/>
            <w:vAlign w:val="bottom"/>
            <w:shd w:val="clear" w:color="auto" w:fill="CCEEFF"/>
          </w:tcPr>
          <w:p>
            <w:pPr>
              <w:spacing w:after="0"/>
              <w:rPr>
                <w:sz w:val="5"/>
                <w:szCs w:val="5"/>
                <w:color w:val="auto"/>
              </w:rPr>
            </w:pPr>
          </w:p>
        </w:tc>
        <w:tc>
          <w:tcPr>
            <w:tcW w:w="3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080" w:type="dxa"/>
            <w:vAlign w:val="bottom"/>
            <w:shd w:val="clear" w:color="auto" w:fill="CCEEFF"/>
          </w:tcPr>
          <w:p>
            <w:pPr>
              <w:spacing w:after="0"/>
              <w:rPr>
                <w:sz w:val="11"/>
                <w:szCs w:val="11"/>
                <w:color w:val="auto"/>
              </w:rPr>
            </w:pPr>
          </w:p>
        </w:tc>
        <w:tc>
          <w:tcPr>
            <w:tcW w:w="3820" w:type="dxa"/>
            <w:vAlign w:val="bottom"/>
            <w:vMerge w:val="continue"/>
            <w:shd w:val="clear" w:color="auto" w:fill="CCEEFF"/>
          </w:tcPr>
          <w:p>
            <w:pPr>
              <w:spacing w:after="0"/>
              <w:rPr>
                <w:sz w:val="11"/>
                <w:szCs w:val="11"/>
                <w:color w:val="auto"/>
              </w:rPr>
            </w:pPr>
          </w:p>
        </w:tc>
        <w:tc>
          <w:tcPr>
            <w:tcW w:w="3160" w:type="dxa"/>
            <w:vAlign w:val="bottom"/>
            <w:vMerge w:val="restart"/>
            <w:shd w:val="clear" w:color="auto" w:fill="CCEEFF"/>
          </w:tcPr>
          <w:p>
            <w:pPr>
              <w:ind w:left="20"/>
              <w:spacing w:after="0" w:line="162" w:lineRule="exact"/>
              <w:rPr>
                <w:sz w:val="20"/>
                <w:szCs w:val="20"/>
                <w:color w:val="auto"/>
              </w:rPr>
            </w:pPr>
            <w:r>
              <w:rPr>
                <w:rFonts w:ascii="Arial" w:cs="Arial" w:eastAsia="Arial" w:hAnsi="Arial"/>
                <w:sz w:val="16"/>
                <w:szCs w:val="16"/>
                <w:color w:val="auto"/>
              </w:rPr>
              <w:t>Diesel: Forza, Journey, and Inspire</w:t>
            </w:r>
          </w:p>
        </w:tc>
        <w:tc>
          <w:tcPr>
            <w:tcW w:w="3180" w:type="dxa"/>
            <w:vAlign w:val="bottom"/>
            <w:vMerge w:val="restart"/>
            <w:shd w:val="clear" w:color="auto" w:fill="CCEEFF"/>
          </w:tcPr>
          <w:p>
            <w:pPr>
              <w:ind w:left="20"/>
              <w:spacing w:after="0" w:line="162" w:lineRule="exact"/>
              <w:rPr>
                <w:sz w:val="20"/>
                <w:szCs w:val="20"/>
                <w:color w:val="auto"/>
              </w:rPr>
            </w:pPr>
            <w:r>
              <w:rPr>
                <w:rFonts w:ascii="Arial" w:cs="Arial" w:eastAsia="Arial" w:hAnsi="Arial"/>
                <w:sz w:val="16"/>
                <w:szCs w:val="16"/>
                <w:color w:val="auto"/>
              </w:rPr>
              <w:t>Essex, Kountry Star, London Aire,</w:t>
            </w:r>
          </w:p>
        </w:tc>
        <w:tc>
          <w:tcPr>
            <w:tcW w:w="0" w:type="dxa"/>
            <w:vAlign w:val="bottom"/>
          </w:tcPr>
          <w:p>
            <w:pPr>
              <w:spacing w:after="0"/>
              <w:rPr>
                <w:sz w:val="1"/>
                <w:szCs w:val="1"/>
                <w:color w:val="auto"/>
              </w:rPr>
            </w:pPr>
          </w:p>
        </w:tc>
      </w:tr>
      <w:tr>
        <w:trPr>
          <w:trHeight w:val="35"/>
        </w:trPr>
        <w:tc>
          <w:tcPr>
            <w:tcW w:w="1080" w:type="dxa"/>
            <w:vAlign w:val="bottom"/>
            <w:shd w:val="clear" w:color="auto" w:fill="CCEEFF"/>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3160" w:type="dxa"/>
            <w:vAlign w:val="bottom"/>
            <w:vMerge w:val="continue"/>
            <w:shd w:val="clear" w:color="auto" w:fill="CCEEFF"/>
          </w:tcPr>
          <w:p>
            <w:pPr>
              <w:spacing w:after="0"/>
              <w:rPr>
                <w:sz w:val="3"/>
                <w:szCs w:val="3"/>
                <w:color w:val="auto"/>
              </w:rPr>
            </w:pPr>
          </w:p>
        </w:tc>
        <w:tc>
          <w:tcPr>
            <w:tcW w:w="318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Mountain Aire, New Aire, and Ventana</w:t>
            </w:r>
          </w:p>
        </w:tc>
        <w:tc>
          <w:tcPr>
            <w:tcW w:w="0" w:type="dxa"/>
            <w:vAlign w:val="bottom"/>
          </w:tcPr>
          <w:p>
            <w:pPr>
              <w:spacing w:after="0"/>
              <w:rPr>
                <w:sz w:val="1"/>
                <w:szCs w:val="1"/>
                <w:color w:val="auto"/>
              </w:rPr>
            </w:pPr>
          </w:p>
        </w:tc>
      </w:tr>
      <w:tr>
        <w:trPr>
          <w:trHeight w:val="114"/>
        </w:trPr>
        <w:tc>
          <w:tcPr>
            <w:tcW w:w="1080" w:type="dxa"/>
            <w:vAlign w:val="bottom"/>
            <w:shd w:val="clear" w:color="auto" w:fill="CCEEFF"/>
          </w:tcPr>
          <w:p>
            <w:pPr>
              <w:spacing w:after="0"/>
              <w:rPr>
                <w:sz w:val="9"/>
                <w:szCs w:val="9"/>
                <w:color w:val="auto"/>
              </w:rPr>
            </w:pPr>
          </w:p>
        </w:tc>
        <w:tc>
          <w:tcPr>
            <w:tcW w:w="3820" w:type="dxa"/>
            <w:vAlign w:val="bottom"/>
            <w:shd w:val="clear" w:color="auto" w:fill="CCEEFF"/>
          </w:tcPr>
          <w:p>
            <w:pPr>
              <w:spacing w:after="0"/>
              <w:rPr>
                <w:sz w:val="9"/>
                <w:szCs w:val="9"/>
                <w:color w:val="auto"/>
              </w:rPr>
            </w:pPr>
          </w:p>
        </w:tc>
        <w:tc>
          <w:tcPr>
            <w:tcW w:w="3160" w:type="dxa"/>
            <w:vAlign w:val="bottom"/>
            <w:shd w:val="clear" w:color="auto" w:fill="CCEEFF"/>
          </w:tcPr>
          <w:p>
            <w:pPr>
              <w:spacing w:after="0"/>
              <w:rPr>
                <w:sz w:val="9"/>
                <w:szCs w:val="9"/>
                <w:color w:val="auto"/>
              </w:rPr>
            </w:pPr>
          </w:p>
        </w:tc>
        <w:tc>
          <w:tcPr>
            <w:tcW w:w="3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Class 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240" w:type="dxa"/>
            <w:vAlign w:val="bottom"/>
            <w:vMerge w:val="restart"/>
          </w:tcPr>
          <w:p>
            <w:pPr>
              <w:spacing w:after="0"/>
              <w:rPr>
                <w:sz w:val="20"/>
                <w:szCs w:val="20"/>
                <w:color w:val="auto"/>
              </w:rPr>
            </w:pPr>
            <w:r>
              <w:rPr>
                <w:rFonts w:ascii="Arial" w:cs="Arial" w:eastAsia="Arial" w:hAnsi="Arial"/>
                <w:sz w:val="16"/>
                <w:szCs w:val="16"/>
                <w:color w:val="auto"/>
              </w:rPr>
              <w:t>Built by adding a taller roof and amenities to</w:t>
            </w:r>
          </w:p>
        </w:tc>
        <w:tc>
          <w:tcPr>
            <w:tcW w:w="3540" w:type="dxa"/>
            <w:vAlign w:val="bottom"/>
          </w:tcPr>
          <w:p>
            <w:pPr>
              <w:ind w:left="100"/>
              <w:spacing w:after="0"/>
              <w:rPr>
                <w:sz w:val="20"/>
                <w:szCs w:val="20"/>
                <w:color w:val="auto"/>
              </w:rPr>
            </w:pPr>
            <w:r>
              <w:rPr>
                <w:rFonts w:ascii="Arial" w:cs="Arial" w:eastAsia="Arial" w:hAnsi="Arial"/>
                <w:sz w:val="16"/>
                <w:szCs w:val="16"/>
                <w:color w:val="auto"/>
              </w:rPr>
              <w:t>Gas: Travato, Solis, and Solis Pocket</w:t>
            </w:r>
          </w:p>
        </w:tc>
        <w:tc>
          <w:tcPr>
            <w:tcW w:w="0" w:type="dxa"/>
            <w:vAlign w:val="bottom"/>
          </w:tcPr>
          <w:p>
            <w:pPr>
              <w:spacing w:after="0"/>
              <w:rPr>
                <w:sz w:val="1"/>
                <w:szCs w:val="1"/>
                <w:color w:val="auto"/>
              </w:rPr>
            </w:pPr>
          </w:p>
        </w:tc>
      </w:tr>
      <w:tr>
        <w:trPr>
          <w:trHeight w:val="48"/>
        </w:trPr>
        <w:tc>
          <w:tcPr>
            <w:tcW w:w="324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Arial" w:cs="Arial" w:eastAsia="Arial" w:hAnsi="Arial"/>
                <w:sz w:val="16"/>
                <w:szCs w:val="16"/>
                <w:color w:val="auto"/>
              </w:rPr>
              <w:t>an existing van, which allows for easy</w:t>
            </w:r>
          </w:p>
        </w:tc>
        <w:tc>
          <w:tcPr>
            <w:tcW w:w="3540" w:type="dxa"/>
            <w:vAlign w:val="bottom"/>
          </w:tcPr>
          <w:p>
            <w:pPr>
              <w:ind w:left="3260"/>
              <w:spacing w:after="0" w:line="162" w:lineRule="exact"/>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Arial" w:cs="Arial" w:eastAsia="Arial" w:hAnsi="Arial"/>
                <w:sz w:val="16"/>
                <w:szCs w:val="16"/>
                <w:color w:val="auto"/>
              </w:rPr>
              <w:t>maneuvering</w:t>
            </w:r>
          </w:p>
        </w:tc>
        <w:tc>
          <w:tcPr>
            <w:tcW w:w="3540" w:type="dxa"/>
            <w:vAlign w:val="bottom"/>
            <w:vMerge w:val="restart"/>
          </w:tcPr>
          <w:p>
            <w:pPr>
              <w:ind w:left="100"/>
              <w:spacing w:after="0"/>
              <w:rPr>
                <w:sz w:val="20"/>
                <w:szCs w:val="20"/>
                <w:color w:val="auto"/>
              </w:rPr>
            </w:pPr>
            <w:r>
              <w:rPr>
                <w:rFonts w:ascii="Arial" w:cs="Arial" w:eastAsia="Arial" w:hAnsi="Arial"/>
                <w:sz w:val="16"/>
                <w:szCs w:val="16"/>
                <w:color w:val="auto"/>
              </w:rPr>
              <w:t>Diesel: Era, Boldt, and Revel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89535</wp:posOffset>
            </wp:positionV>
            <wp:extent cx="713232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720"/>
            <w:col w:w="9660"/>
          </w:cols>
          <w:pgMar w:left="320" w:top="141" w:right="339" w:bottom="1440" w:gutter="0" w:footer="0" w:header="0"/>
          <w:type w:val="continuous"/>
        </w:sect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Class C</w:t>
      </w:r>
    </w:p>
    <w:p>
      <w:pPr>
        <w:spacing w:after="0" w:line="200" w:lineRule="exact"/>
        <w:rPr>
          <w:sz w:val="20"/>
          <w:szCs w:val="20"/>
          <w:color w:val="auto"/>
        </w:rPr>
      </w:pPr>
    </w:p>
    <w:p>
      <w:pPr>
        <w:spacing w:after="0" w:line="305" w:lineRule="exact"/>
        <w:rPr>
          <w:sz w:val="20"/>
          <w:szCs w:val="20"/>
          <w:color w:val="auto"/>
        </w:rPr>
      </w:pPr>
    </w:p>
    <w:p>
      <w:pPr>
        <w:ind w:left="20"/>
        <w:spacing w:after="0" w:line="232" w:lineRule="auto"/>
        <w:rPr>
          <w:sz w:val="20"/>
          <w:szCs w:val="20"/>
          <w:color w:val="auto"/>
        </w:rPr>
      </w:pPr>
      <w:r>
        <w:rPr>
          <w:rFonts w:ascii="Arial" w:cs="Arial" w:eastAsia="Arial" w:hAnsi="Arial"/>
          <w:sz w:val="16"/>
          <w:szCs w:val="16"/>
          <w:color w:val="auto"/>
        </w:rPr>
        <w:t>Accessibility Enhanced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Built on a medium truck chassis in both diesel and gas models with similar features and amenities to Class A models</w:t>
      </w:r>
    </w:p>
    <w:p>
      <w:pPr>
        <w:spacing w:after="0" w:line="252" w:lineRule="exact"/>
        <w:rPr>
          <w:sz w:val="20"/>
          <w:szCs w:val="20"/>
          <w:color w:val="auto"/>
        </w:rPr>
      </w:pPr>
    </w:p>
    <w:p>
      <w:pPr>
        <w:jc w:val="both"/>
        <w:ind w:right="40"/>
        <w:spacing w:after="0" w:line="225" w:lineRule="auto"/>
        <w:rPr>
          <w:sz w:val="20"/>
          <w:szCs w:val="20"/>
          <w:color w:val="auto"/>
        </w:rPr>
      </w:pPr>
      <w:r>
        <w:rPr>
          <w:rFonts w:ascii="Arial" w:cs="Arial" w:eastAsia="Arial" w:hAnsi="Arial"/>
          <w:sz w:val="16"/>
          <w:szCs w:val="16"/>
          <w:color w:val="auto"/>
        </w:rPr>
        <w:t>Class A vehicle with a wheelchair lift to allow individuals with physical disabilities access to the motorhome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Gas: Ekko, Spirit, and Minnie Winnie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Diesel: View and Navion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Gas: Adventurer AE and Roam AE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Diesel: Inspire AE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Diesel: Super Star and Supreme Aire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371" w:lineRule="exact"/>
        <w:rPr>
          <w:sz w:val="20"/>
          <w:szCs w:val="20"/>
          <w:color w:val="auto"/>
        </w:rPr>
      </w:pPr>
    </w:p>
    <w:p>
      <w:pPr>
        <w:sectPr>
          <w:pgSz w:w="11900" w:h="16838" w:orient="portrait"/>
          <w:cols w:equalWidth="0" w:num="4">
            <w:col w:w="900" w:space="680"/>
            <w:col w:w="3280" w:space="60"/>
            <w:col w:w="2620" w:space="540"/>
            <w:col w:w="3160"/>
          </w:cols>
          <w:pgMar w:left="320" w:top="141" w:right="339" w:bottom="1440" w:gutter="0" w:footer="0" w:header="0"/>
          <w:type w:val="continuous"/>
        </w:sectPr>
      </w:pPr>
    </w:p>
    <w:p>
      <w:pPr>
        <w:spacing w:after="0" w:line="17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Class A, B and C motorhomes are sold by dealers in the retail market with manufacturer's suggested retail prices ranging from approximately $96,000 to $1,400,000, depending on size and model, plus optional equipment and delivery charges. Our motorhomes range in length from 18 to 45 feet.</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Motorhome parts and service activities represent revenues generated by service work we perform for retail customers at our Forest City, Iowa and Nappanee, Indiana facilities as well as revenues from the sale of unit parts. Our competitive strategy is to provide proprietary manufactured parts through our dealer network, which we believe increases customer satisfaction and the value of our motorhomes.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29"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We manufacture and sell premium quality boats under our Chris-Craft and Barletta brands in the recreational powerboat industry through an established network of independent authorized dealers. Chris-Craft, based in Sarasota, Florida, has a number of product offerings under the Launch and Launch GT Series, Calypso Series and Catalina Series which are sold through our global dealer network. Barletta Boat Company, LLC and Three Limes, LLC (collectively, "Barletta"), based in Bristol, Indiana has product offerings under the L-Class, Corsa, and C-Class series. We acquired Barletta on August 31, 2021. Refer to Note 1 to the Notes to Consolidated Financial Statements, included in Item 8 of Part II in this Annual Report on Form 10-K for further detail regarding the acquisition.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Winnebago Specialty Vehicles</w:t>
      </w:r>
    </w:p>
    <w:p>
      <w:pPr>
        <w:spacing w:after="0" w:line="12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We also manufacture other specialty commercial vehicles custom designed for the buyer's specific needs and requirements, such as law enforcement command centers, mobile medical clinics, and mobile office space. These specialty commercial vehicles are manufactured in Forest City, Iowa and sold through our dealer network. In addition, we also provide commercial vehicles as bare shells to third-party upfitters for conversion at their facilities.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133"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We generally produce towables and motorhomes made to order for dealers. We have some ability to increase our capacity by scheduling overtime and/or hiring additional production employees or to decrease our capacity through the use of shortened work weeks and/or reducing head count. We have long been known as an industry leader in innovation as each year we introduce new or redesigned products. These changes generally include new floor plans, features, functionality, and sizes as well as design and decor modifications. Most of our raw materials such as steel, aluminum, fiberglass, and wood products are obtainable from numerous sources.</w:t>
      </w:r>
    </w:p>
    <w:p>
      <w:pPr>
        <w:spacing w:after="0" w:line="230"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Our towables are produced at two assembly campuses located in Middlebury, Indiana. The majority of components are comprised of frames, appliances, and furniture, and are purchased from multiple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Our motorhomes are produced in the states of Iowa and Indiana at five different campuses. Our motorhome business utilizes vertically integrated supply streams, with the principal exceptions being chassis, engines, generators, and appliances that we purchase from reputable manufacturers. Certain parts, especially motorhome chassis, are available from a small group of suppliers.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3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strive to balance timely order fulfillment to our dealers with the lead times suppliers require to efficiently source materials and manage costs. Production facility constraints at peak periods also lead to fluctuations in backlog orders which we manage closely. A more detailed description of our Motorhome and Towable order backlog is included in Item 7 of Part II in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133"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Foreign sales were 10% or less of net revenues during each of the past three fiscal years.</w:t>
      </w:r>
    </w:p>
    <w:p>
      <w:pPr>
        <w:spacing w:after="0" w:line="1"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As of August 28, 2021, our RV and marine dealer network in the U.S. and Canada included 641 physical dealer locations, many of which carry more than one of our brands. None of our dealer organizations accounted for more than 10% of our net revenues for Fiscal 2021, 2020, and 2019.</w:t>
      </w:r>
    </w:p>
    <w:p>
      <w:pPr>
        <w:spacing w:after="0" w:line="222" w:lineRule="exact"/>
        <w:rPr>
          <w:sz w:val="20"/>
          <w:szCs w:val="20"/>
          <w:color w:val="auto"/>
        </w:rPr>
      </w:pPr>
    </w:p>
    <w:p>
      <w:pPr>
        <w:ind w:right="500"/>
        <w:spacing w:after="0" w:line="251" w:lineRule="auto"/>
        <w:rPr>
          <w:sz w:val="20"/>
          <w:szCs w:val="20"/>
          <w:color w:val="auto"/>
        </w:rPr>
      </w:pPr>
      <w:r>
        <w:rPr>
          <w:rFonts w:ascii="Arial" w:cs="Arial" w:eastAsia="Arial" w:hAnsi="Arial"/>
          <w:sz w:val="16"/>
          <w:szCs w:val="16"/>
          <w:color w:val="auto"/>
        </w:rPr>
        <w:t>We have sales and service agreements with most dealers which are subject to annual review. Many of the dealers are also engaged in other areas of business, including the sale of automobiles, trailers, or boats, and most dealers carry one or more competitive lines of RVs. We continue to place high emphasis on the capability of our dealers to provide complete service for our products. Dealers are obligated to provide full service for owners of our products or, in lieu thereof, to secure such service from other authorized providers.</w:t>
      </w:r>
    </w:p>
    <w:p>
      <w:pPr>
        <w:spacing w:after="0" w:line="229"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We advertise and promote our products through national trade magazines, product brochures, the Go RVing national advertising campaign sponsored by RVIA, our websites, social media, direct-mail advertising campaigns, various national promotional opportunities, and on a local basis through trade shows, television, radio, and newspapers, primarily in connection with area dealers.</w:t>
      </w:r>
    </w:p>
    <w:p>
      <w:pPr>
        <w:spacing w:after="0" w:line="22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Sales to dealers are made primarily on cash terms. Most dealers are financed on a "floorplan" basis under which a bank or finance company lends the dealer all, or substantially all, of the purchase price, collateralized by a security interest in the merchandise purchased. As is customary in the industries we serve,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an RV unit is financed and up to 24 months after a marine unit is financed, in the event of default by the dealer on the agreement to pay the lending institution and repossession of the unit(s) by the lending institution, we will repurchase the financed merchandise from the lender at the amount then due, which is often less than dealer invoice. Our maximum exposure for repurchases can vary significantly, depending upon the level of dealer inventory, general economic conditions, demand for our products, dealer location, and access to and the cost of financing. See Note 12 to the Notes to Consolidated Financial Statements, included in Item 8 of Part II in this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3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RV and marine markets are highly competitive with many other manufacturers selling products which compete directly with our products. Some of our competitors are much larger than us, most notably in the towable RV market, which may provide these competitors additional purchasing power. The competition in our industries is based upon design, price, quality, features, and service of the products. We believe our principal competitive advantages are our brand strength, product differentiation, product quality, and our service after the sale. We also believe that our products have historically commanded a price premium as a result of these competitive advantages.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3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primary use of RVs and marine products for leisure travel and outdoor recreation has historically led to a peak retail selling season concentrated in the spring and summer months and lower sales during fall and winter months. Our sales are generally influenced by this pattern in retail sales, but sales can also be impacted by the level of dealer inventory. As a result, our RV sales are historically lowest during our second fiscal quarter, which ends in February.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Regulations</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are subject to a variety of federal, state, local, and, to a limited extent, international laws and regulations, including the federal Motor Vehicle Act ("MVA"), under which the National Highway Traffic Safety Administration ("NHTSA") may require manufacturers to recall RVs that contain safety-related defects, and numerous state consumer protection laws and regulations relating to the operation of motor vehicles, including so-called "Lemon Laws." The Boat Safety Act of 1971 has similar safety-related recall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requirements for marine units. In addition, marine units sold in the U.S. and Europe must meet the certification standards of the U.S. Coast Guard and the European Community, respectively.</w:t>
      </w:r>
    </w:p>
    <w:p>
      <w:pPr>
        <w:spacing w:after="0" w:line="222"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are also subject to regulations established by the Occupational Safety and Health Administration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229"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labeling, and disposal of hazardous materials and wastes, and noise pollution. We believe that we are currently in compliance with applicable environmental laws and regulations in all material aspects.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133"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We have several domestic and foreign trademark registrations and pending applications associated with our products which include: Winnebago, 24 W 7 (logo), +Lounger, Adventurer, Affinity, Airlie, Aspect, Barletta, Barletta Cabrio, Barletta Lusso, Barletta Reserve, B (logo), Bay Star, Bay Star Sport, Benchmark, Brave, Boldt, Bound by the W, Cambria, Canyon Star, CC (logo), Chris Craft, Chris-Craft (logo), Comfort Drive, Comfort Drive Steering (logo), Commander, Corsair, Cottesloe, Country Coach, Destination, DoggieDockView, Dutch Star, Dynomax, Eco-Hot, Ekko, Ellipse, eMLU, Era, Essex, Forza, Fresco, Fuse, Glide &amp; Dine, GoWinnebago, Grand Design, Grand Design Recreational Vehicles, Grand Design RV, Horizon, Imagine, InLounge, Inspire, Instinct, Intable, Intent, Intrigue, Itasca, Itasca (logo), Journey, King Aire, Kountry Aire (logo), Kountry Star, Lancer, Latitude, London Aire, Maxum Chassis, Maxum II, Micro Minnie, Minnie, Minnie Drop, Minnie Winnie, MLU, Momentum, Mountain Aire, Navion, New Aire, Newmar, Outlook, Paseo, Porto, Pure3 Energy Management System, Reflection, Rest Easy, Revel, Roamer, Scorpion, Silhouette, Sightseer, Slidetoon, SOLIS, Solitude, Spirit, Star Foundation, Star Foundation (logo), Suncruiser, Sunova, Sunstar, Supershell, Superstar, Supreme Aire, The Most Recognized Name in Motorhomes, Thermo-Panel, Transcend, Transcend Xplor, Travato, Trend, True Trax, Ventana, Ventana LE, Via, View, V.I.P. Technology, Vista, Vita, Viva!, Voyage, W, Flying W (logo), Winnebago (logo), Winnebago Ind (logo), Winnebago Connect (logo), Winnebago Minnie, Winnebago Touring Coach, Winnebago Towables (logo), WinnebagoLife, WinnebagoLife (logo), Winnie Drop, WIT Club, Yuma, and Design of motor home front end (trade dress).</w:t>
      </w:r>
    </w:p>
    <w:p>
      <w:pPr>
        <w:spacing w:after="0" w:line="23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believe that our trademarks and trade names are significant assets to our business, and we have in the past and will in the future vigorously protect them against infringement by third parties. We are not dependent upon any patents or technology licenses of others for the conduct of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w:t>
      </w:r>
    </w:p>
    <w:p>
      <w:pPr>
        <w:spacing w:after="0" w:line="13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Employees are our greatest strength and we are committed to providing a safe, inclusive, high-performance culture where our people thrive. We strive to recruit, develop, engage and protect our workforce. The following are key human capital measures and objectives that the Company currently focuses 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Well-being and Safety</w:t>
      </w:r>
    </w:p>
    <w:p>
      <w:pPr>
        <w:spacing w:after="0" w:line="2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are committed to designing, operating, and maintaining safe and controlled working conditions, including a "zero-harm" culture for all employees. We have implemented actions to build an increasingly risk-informed perspective within our culture to reduce the risk of injuries and illness. All sites have established a baseline risk control score with the goal to achieve at least 95 percent sustainable level control within the next few years. Between Fiscal 2020 and Fiscal 2021, we reduced the number of days away, restricted or transferred ("DART") due to a work-related injury or illness by 10% and remained stable on our total recordable incidence rate ("TRIR"). Our experience and continuing focus on workplace safety enabled us to preserve business continuity, and maintain our commitment to keeping our employees and visitors safe, during the COVID-19 pandemic. With the mental, emotional, and physical well-being of our employees as a key focus, we shared resources for employees to manage remote work and balance parental and other family responsibilities.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Commitment to Diversity and Inclusion</w:t>
      </w:r>
    </w:p>
    <w:p>
      <w:pPr>
        <w:spacing w:after="0" w:line="2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accelerated our journey to improve diversity, equity, and inclusion ("DEI") by living our core values and building a culture that embraces our employees background and diverse skills, thoughts, and perspectives. As of August 28, 2021, 23% of our workforce was female and 77% of our workforce was male. We created a new DEI strategic framework which included a revised DEI road map and objectives, revised Code of Conduct and human rights policy, a new Supplier Code of Conduct, expanded partnerships with nonprofit organizations led by and for communities of color and women, hired a new Director of Diversity, Equity &amp; Inclusion, and engaged in employee focus groups and inclusion surveys. In addition, our Chief Executive Officer represents us as one of 1300+ CEOs to sign the CEO Action for Diversity and Inclusion commitment.</w:t>
      </w:r>
    </w:p>
    <w:p>
      <w:pPr>
        <w:spacing w:after="0" w:line="23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recognize the importance of having diverse perspectives on our Board of Directors and aspire to promote diversity as we build and refresh our Board of Directors. Our DEI framework includes Board of Directors and leadership development. As of August 28, 2021, women represented 27%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believe our company and our brands should reflect the diversity of outdoor enthusiasts. We also believe we thrive and are more successful when we empower, value, and respect our employees and our communities. We are committed to continuing to build a stronger, more inclusive culture and workplace.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Leadership and Culture Development</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believe our future success depends on our people, and attracting, engaging, retaining and developing diverse talent is a key priority. We strive to grow and develop all of our teams and bolster our talent pipeline. Our Code of Conduct and our human rights policy include shared values and guides relationships with our people and our stakeholders. To build and attract the next generation of leaders, we have built external partnerships to introduce high school and first-generation college students to potential career opportunities in the RV and marine industries. We also collaborate with regional workforce development partners to connect job seekers with on-the-job training and leadership development.</w:t>
      </w:r>
    </w:p>
    <w:p>
      <w:pPr>
        <w:spacing w:after="0" w:line="23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Annually we have our team members respond to an engagement survey that evaluates our employee's thoughts about their experience working at our company. Responses are reviewed by team leaders and used to help build specific action plans to continually improve our employee engagement, satisfaction, and retention. We engage employees through community volunteerism and team-building, and we are always striving to improve our employee experience, develop and grow our teams, and create a culture of inclusion and belonging.</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of August 28, 2021, we employed approximately 6,532 persons, of which 21% and 79% were non-production and production workers, respectively. In addition, 14% and 86% were salaried and hourly employees, respectively. None of our employees are covered under a collective bargaining agreement. We believe our relations with our employees are good. The employee metrics disclosed herein do not include Barletta, as the business was acquired on August 31,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220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8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9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10400" w:type="dxa"/>
            <w:vAlign w:val="bottom"/>
            <w:gridSpan w:val="3"/>
          </w:tcPr>
          <w:p>
            <w:pPr>
              <w:spacing w:after="0"/>
              <w:rPr>
                <w:sz w:val="20"/>
                <w:szCs w:val="20"/>
                <w:color w:val="auto"/>
              </w:rPr>
            </w:pPr>
            <w:r>
              <w:rPr>
                <w:rFonts w:ascii="Arial" w:cs="Arial" w:eastAsia="Arial" w:hAnsi="Arial"/>
                <w:sz w:val="16"/>
                <w:szCs w:val="16"/>
                <w:b w:val="1"/>
                <w:bCs w:val="1"/>
                <w:color w:val="auto"/>
              </w:rPr>
              <w:t>Information about our Executive Officers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82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Office (Year First Elected an Officer)</w:t>
            </w: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Age</w:t>
            </w:r>
          </w:p>
        </w:tc>
        <w:tc>
          <w:tcPr>
            <w:tcW w:w="0" w:type="dxa"/>
            <w:vAlign w:val="bottom"/>
          </w:tcPr>
          <w:p>
            <w:pPr>
              <w:spacing w:after="0"/>
              <w:rPr>
                <w:sz w:val="1"/>
                <w:szCs w:val="1"/>
                <w:color w:val="auto"/>
              </w:rPr>
            </w:pPr>
          </w:p>
        </w:tc>
      </w:tr>
      <w:tr>
        <w:trPr>
          <w:trHeight w:val="213"/>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Michael J. Happe</w:t>
            </w:r>
          </w:p>
        </w:tc>
        <w:tc>
          <w:tcPr>
            <w:tcW w:w="82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President and Chief Executive Officer (2016)</w:t>
            </w:r>
          </w:p>
        </w:tc>
        <w:tc>
          <w:tcPr>
            <w:tcW w:w="7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Ashis N. Bhattacharya</w:t>
            </w:r>
          </w:p>
        </w:tc>
        <w:tc>
          <w:tcPr>
            <w:tcW w:w="8200" w:type="dxa"/>
            <w:vAlign w:val="bottom"/>
          </w:tcPr>
          <w:p>
            <w:pPr>
              <w:ind w:left="580"/>
              <w:spacing w:after="0"/>
              <w:rPr>
                <w:sz w:val="20"/>
                <w:szCs w:val="20"/>
                <w:color w:val="auto"/>
              </w:rPr>
            </w:pPr>
            <w:r>
              <w:rPr>
                <w:rFonts w:ascii="Arial" w:cs="Arial" w:eastAsia="Arial" w:hAnsi="Arial"/>
                <w:sz w:val="16"/>
                <w:szCs w:val="16"/>
                <w:color w:val="auto"/>
              </w:rPr>
              <w:t>Senior Vice President, Business Development, Advanced Technology and Enterprise Marketing (2016)</w:t>
            </w: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0"/>
        </w:trPr>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Stacy L. Bogart</w:t>
            </w:r>
          </w:p>
        </w:tc>
        <w:tc>
          <w:tcPr>
            <w:tcW w:w="8200" w:type="dxa"/>
            <w:vAlign w:val="bottom"/>
            <w:shd w:val="clear" w:color="auto" w:fill="CCEEFF"/>
          </w:tcPr>
          <w:p>
            <w:pPr>
              <w:ind w:left="580"/>
              <w:spacing w:after="0" w:line="181" w:lineRule="exact"/>
              <w:rPr>
                <w:sz w:val="20"/>
                <w:szCs w:val="20"/>
                <w:color w:val="auto"/>
              </w:rPr>
            </w:pPr>
            <w:r>
              <w:rPr>
                <w:rFonts w:ascii="Arial" w:cs="Arial" w:eastAsia="Arial" w:hAnsi="Arial"/>
                <w:sz w:val="16"/>
                <w:szCs w:val="16"/>
                <w:color w:val="auto"/>
              </w:rPr>
              <w:t>Senior Vice President, General Counsel, Secretary and Corporate Responsibility; President, Winnebago</w:t>
            </w:r>
          </w:p>
        </w:tc>
        <w:tc>
          <w:tcPr>
            <w:tcW w:w="740" w:type="dxa"/>
            <w:vAlign w:val="bottom"/>
            <w:vMerge w:val="restart"/>
            <w:shd w:val="clear" w:color="auto" w:fill="CCEEFF"/>
          </w:tcPr>
          <w:p>
            <w:pPr>
              <w:jc w:val="center"/>
              <w:ind w:right="3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14"/>
        </w:trPr>
        <w:tc>
          <w:tcPr>
            <w:tcW w:w="2200" w:type="dxa"/>
            <w:vAlign w:val="bottom"/>
            <w:gridSpan w:val="2"/>
            <w:vMerge w:val="continue"/>
            <w:shd w:val="clear" w:color="auto" w:fill="CCEEFF"/>
          </w:tcPr>
          <w:p>
            <w:pPr>
              <w:spacing w:after="0"/>
              <w:rPr>
                <w:sz w:val="9"/>
                <w:szCs w:val="9"/>
                <w:color w:val="auto"/>
              </w:rPr>
            </w:pPr>
          </w:p>
        </w:tc>
        <w:tc>
          <w:tcPr>
            <w:tcW w:w="820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Industries Foundation (2018)</w:t>
            </w: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200" w:type="dxa"/>
            <w:vAlign w:val="bottom"/>
            <w:vMerge w:val="continue"/>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Huw S. Bower</w:t>
            </w:r>
          </w:p>
        </w:tc>
        <w:tc>
          <w:tcPr>
            <w:tcW w:w="8200" w:type="dxa"/>
            <w:vAlign w:val="bottom"/>
          </w:tcPr>
          <w:p>
            <w:pPr>
              <w:ind w:left="580"/>
              <w:spacing w:after="0"/>
              <w:rPr>
                <w:sz w:val="20"/>
                <w:szCs w:val="20"/>
                <w:color w:val="auto"/>
              </w:rPr>
            </w:pPr>
            <w:r>
              <w:rPr>
                <w:rFonts w:ascii="Arial" w:cs="Arial" w:eastAsia="Arial" w:hAnsi="Arial"/>
                <w:sz w:val="16"/>
                <w:szCs w:val="16"/>
                <w:color w:val="auto"/>
              </w:rPr>
              <w:t>President, Winnebago Outdoors (2020)</w:t>
            </w: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Donald J. Clark</w:t>
            </w:r>
          </w:p>
        </w:tc>
        <w:tc>
          <w:tcPr>
            <w:tcW w:w="82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President of Grand Design RV (2016)</w:t>
            </w:r>
          </w:p>
        </w:tc>
        <w:tc>
          <w:tcPr>
            <w:tcW w:w="7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Brian D. Hazelton</w:t>
            </w:r>
          </w:p>
        </w:tc>
        <w:tc>
          <w:tcPr>
            <w:tcW w:w="8200" w:type="dxa"/>
            <w:vAlign w:val="bottom"/>
          </w:tcPr>
          <w:p>
            <w:pPr>
              <w:ind w:left="580"/>
              <w:spacing w:after="0"/>
              <w:rPr>
                <w:sz w:val="20"/>
                <w:szCs w:val="20"/>
                <w:color w:val="auto"/>
              </w:rPr>
            </w:pPr>
            <w:r>
              <w:rPr>
                <w:rFonts w:ascii="Arial" w:cs="Arial" w:eastAsia="Arial" w:hAnsi="Arial"/>
                <w:sz w:val="16"/>
                <w:szCs w:val="16"/>
                <w:color w:val="auto"/>
              </w:rPr>
              <w:t>President of Newmar Corporation (2021)</w:t>
            </w: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Bryan L. Hughes</w:t>
            </w:r>
          </w:p>
        </w:tc>
        <w:tc>
          <w:tcPr>
            <w:tcW w:w="82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Chief Financial Officer; Senior Vice President, Finance, IT and Strategic Planning (2017)</w:t>
            </w:r>
          </w:p>
        </w:tc>
        <w:tc>
          <w:tcPr>
            <w:tcW w:w="7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Christopher D. West</w:t>
            </w:r>
          </w:p>
        </w:tc>
        <w:tc>
          <w:tcPr>
            <w:tcW w:w="8200" w:type="dxa"/>
            <w:vAlign w:val="bottom"/>
          </w:tcPr>
          <w:p>
            <w:pPr>
              <w:ind w:left="580"/>
              <w:spacing w:after="0"/>
              <w:rPr>
                <w:sz w:val="20"/>
                <w:szCs w:val="20"/>
                <w:color w:val="auto"/>
              </w:rPr>
            </w:pPr>
            <w:r>
              <w:rPr>
                <w:rFonts w:ascii="Arial" w:cs="Arial" w:eastAsia="Arial" w:hAnsi="Arial"/>
                <w:sz w:val="16"/>
                <w:szCs w:val="16"/>
                <w:color w:val="auto"/>
              </w:rPr>
              <w:t>Senior Vice President, Enterprise Operations (2016)</w:t>
            </w:r>
          </w:p>
        </w:tc>
        <w:tc>
          <w:tcPr>
            <w:tcW w:w="740" w:type="dxa"/>
            <w:vAlign w:val="bottom"/>
          </w:tcPr>
          <w:p>
            <w:pPr>
              <w:jc w:val="center"/>
              <w:ind w:right="3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Bret A. Woodson</w:t>
            </w:r>
          </w:p>
        </w:tc>
        <w:tc>
          <w:tcPr>
            <w:tcW w:w="82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Senior Vice President, Human Resources and Corporate Relations (2015)</w:t>
            </w:r>
          </w:p>
        </w:tc>
        <w:tc>
          <w:tcPr>
            <w:tcW w:w="7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Officers are elected annually by the Board of Directors and hold office until their successors are chosen and qualify or until their death or resignation. There are no family relationships between or among any of the Executive Officers or Directors of the Company.</w:t>
      </w:r>
    </w:p>
    <w:p>
      <w:pPr>
        <w:spacing w:after="0" w:line="222"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Mr. Happe joined Winnebago Industries in January 2016 as President and Chief Executive Officer. Prior to joining Winnebago, he had been employed by The Toro Company, a provider of outdoor maintenance and beautification products, from 1997 to 2016. He served as Executive Officer and Group Vice President of Toro's Residential and Contractor businesses from March 2012 to December 2015. From August 2010 to March 2012, he served as Vice President, Residential and Landscape Contractor Businesses. Prior to that, he held a series of senior leadership positions throughout his career across a variety of Toro's domestic and international divisions.</w:t>
      </w:r>
    </w:p>
    <w:p>
      <w:pPr>
        <w:spacing w:after="0" w:line="230"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Mr. Bhattacharya joined Winnebago Industries in June 2016 as Vice President, Strategic Planning and Development. He became Vice President, Business Development, Specialty Vehicles, and Advanced Technology in 2019 and Senior Vice President, Business Development, Advanced Technology, and Enterprise Marketing in September 2020. Prior to joining Winnebago, Mr. Bhattacharya served at Honeywell International, Inc., a software industrial company, as Vice President, Strategy, Alliances &amp; Internet of Things for the Sensing and Productivity Solutions division from 2010 to 2016. Prior to that, he was employed with Moog, Motorola, and Bain &amp; Company in a variety of roles.</w:t>
      </w:r>
    </w:p>
    <w:p>
      <w:pPr>
        <w:spacing w:after="0" w:line="23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Ms. Bogart joined Winnebago Industries in January 2018 as Vice President, General Counsel and Secretary and was appointed Senior Vice President, General Counsel, Secretary and Corporate Responsibility and President, Winnebago Industries Foundation in October 2020. Prior to joining Winnebago Industries, Ms. Bogart was Senior Vice President, General Counsel and Compliance Officer, Corporate Secretary at Polaris Industries Inc., a manufacturer and marketer of powersports products, where she joined in November 2009. Previously, Ms. Bogart was General Counsel of Liberty Diversified International; Assistant General Counsel and Assistant Secretary at The Toro Company; and a Senior Attorney for Honeywell International, Inc.</w:t>
      </w:r>
    </w:p>
    <w:p>
      <w:pPr>
        <w:spacing w:after="0" w:line="23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Mr. Bower joined Winnebago Industries in October 2020 as President, Winnebago Outdoors. Prior to joining Winnebago Industries, he was President of the Boat Group at Brunswick Corporation, a developer and manufacturer of marine/boating products, from April 2016 to September 2020. Mr. Bower has over 15 years of general management, brand leadership and executive experience in the marine industry.</w:t>
      </w:r>
    </w:p>
    <w:p>
      <w:pPr>
        <w:spacing w:after="0" w:line="22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Mr. Clark, President of Grand Design RV, became an officer of Winnebago Industries in November 2016 in accordance with the terms of the Grand Design acquisition. He co-founded Grand Design RV, LLC in 2012 and built the team at Grand Design RV. Mr. Clark has over 30 years of successful RV industry experience.</w:t>
      </w:r>
    </w:p>
    <w:p>
      <w:pPr>
        <w:spacing w:after="0" w:line="22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Mr. Hazelton joined Winnebago Industries in August 2016 as Vice President and General Manager, Winnebago Motorhome Business. He became Senior Vice President, Winnebago-brand RV in September 2020 and was appointed President of Newmar Corporation in August 2021. He previously was CEO of Schwing America, Inc., a manufacturer of concrete pumps and truck mixers, from 2009 to 2016. Prior to his employment with Schwing, he worked for Terex Corporation and Detroit Diesel Corporation in various executive roles.</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Mr. Hughes joined Winnebago Industries as Vice President, Chief Financial Officer of the Company in May 2017 and was appointed Senior Vice President, Finance, IT, and Strategic Planning and Chief Financial Officer in October 2020. Mr. Hughes joined Winnebago Industries from Ecolab, Inc., a water technologies and services company, where he served as Senior Vice President and Corporate Controller from 2014 to 2017, as Vice President of Finance from 2008 to 2014 and in various management positions from 1996 to 2008. Prior to his employment with Ecolab, Inc., he worked for Ernst &amp; Young, a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Mr. West joined Winnebago Industries in September 2016 as Vice President, Operations and was appointed Senior Vice President, Enterprise Operations in October 2020. He previously was Vice President of Global Supply Chain for Joy Global, a worldwide mining equipment manufacturer, from 2014 to 2016, and Operations Director from 2012 to 2014. Mr. West served as Director of Manufacturing for AGCO Corporation, an agricultural equipment manufacturer, from 2008 to 2012 and as Director of Operations and in other management positions for the Nordam Group, a manufacturer of aircraft interiors, from 1999 to 2009.</w:t>
      </w:r>
    </w:p>
    <w:p>
      <w:pPr>
        <w:spacing w:after="0" w:line="200" w:lineRule="exact"/>
        <w:rPr>
          <w:sz w:val="20"/>
          <w:szCs w:val="20"/>
          <w:color w:val="auto"/>
        </w:rPr>
      </w:pPr>
    </w:p>
    <w:p>
      <w:pPr>
        <w:spacing w:after="0" w:line="22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Mr. Woodson joined Winnebago Industries in January 2015 as Vice President, Administration and was appointed Senior Vice President, Human Resources and Corporate Relations in October 2020. Prior to joining Winnebago, Mr. Woodson was Vice President of Human Resources at Corbion N.V., a food and biochemicals company, from 2007 to 2014 and Director, Human Resources at Sara Lee Corporation from 1999 to 2007. Mr. Woodson has over 25 years of business and human resources experience.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Described below are certain risks that we believe apply to our business and the industry in which we operate. The following risk factors should be considered carefully in addition to the other information contained in this Annual Report on Form 10-K. The risks and uncertainties highlighted represent the most significant risk factors that we believe may adversely affect our business, financial condition, results of operations, cash flows, liquidity or access to sources of financing, and, consequently, the market value of our common stock. The risks and uncertainties discussed in this report are not exclusive and other risk factors that we may consider immaterial or do not anticipate may emerge as significant risks and uncertainties.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Risks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COVID-19 pandemic has had and may still have a material impact on our business, financial condition, results of operations and cash flows.</w:t>
      </w:r>
    </w:p>
    <w:p>
      <w:pPr>
        <w:spacing w:after="0" w:line="120" w:lineRule="exact"/>
        <w:rPr>
          <w:sz w:val="20"/>
          <w:szCs w:val="20"/>
          <w:color w:val="auto"/>
        </w:rPr>
      </w:pPr>
    </w:p>
    <w:p>
      <w:pPr>
        <w:ind w:right="440"/>
        <w:spacing w:after="0" w:line="228" w:lineRule="auto"/>
        <w:rPr>
          <w:sz w:val="20"/>
          <w:szCs w:val="20"/>
          <w:color w:val="auto"/>
        </w:rPr>
      </w:pPr>
      <w:r>
        <w:rPr>
          <w:rFonts w:ascii="Arial" w:cs="Arial" w:eastAsia="Arial" w:hAnsi="Arial"/>
          <w:sz w:val="16"/>
          <w:szCs w:val="16"/>
          <w:color w:val="auto"/>
        </w:rPr>
        <w:t>Our business, operations, and financial results has been, and may continue to be, impacted by the COVID-19 pandemic. The impact on our operations include, but are not limited to:</w:t>
      </w:r>
    </w:p>
    <w:p>
      <w:pPr>
        <w:spacing w:after="0" w:line="1" w:lineRule="exact"/>
        <w:rPr>
          <w:sz w:val="20"/>
          <w:szCs w:val="20"/>
          <w:color w:val="auto"/>
        </w:rPr>
      </w:pPr>
    </w:p>
    <w:p>
      <w:pPr>
        <w:ind w:left="660" w:right="100" w:hanging="328"/>
        <w:spacing w:after="0" w:line="22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212529"/>
        </w:rPr>
        <w:t>The COVID-19 pandemic is adversely affecting, and is expected to continue to adversely affect, certain elements of our business (including certain elements of our operations, supply chains and distribution systems), including required, preventive and precautionary measures that we, our communities and governments are taking. These measures may also impact our ability to meet production demands or requests depending on employee attendance or ability to continue to work.</w:t>
      </w:r>
    </w:p>
    <w:p>
      <w:pPr>
        <w:spacing w:after="0" w:line="2" w:lineRule="exact"/>
        <w:rPr>
          <w:rFonts w:ascii="Arial" w:cs="Arial" w:eastAsia="Arial" w:hAnsi="Arial"/>
          <w:sz w:val="16"/>
          <w:szCs w:val="16"/>
          <w:color w:val="auto"/>
        </w:rPr>
      </w:pPr>
    </w:p>
    <w:p>
      <w:pPr>
        <w:ind w:left="660" w:right="80" w:hanging="328"/>
        <w:spacing w:after="0" w:line="22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212529"/>
        </w:rPr>
        <w:t>If the COVID-19 pandemic continues and economic conditions worsen, we expect to experience additional adverse impacts on our operational and commercial activities, customer orders and our collections of accounts receivable, which may be material. The impact on future operational and commercial activities, customer orders, and collections remains uncertain even if economic conditions begin to improve.</w:t>
      </w:r>
    </w:p>
    <w:p>
      <w:pPr>
        <w:spacing w:after="0" w:line="2" w:lineRule="exact"/>
        <w:rPr>
          <w:rFonts w:ascii="Arial" w:cs="Arial" w:eastAsia="Arial" w:hAnsi="Arial"/>
          <w:sz w:val="16"/>
          <w:szCs w:val="16"/>
          <w:color w:val="auto"/>
        </w:rPr>
      </w:pPr>
    </w:p>
    <w:p>
      <w:pPr>
        <w:ind w:left="660" w:right="120" w:hanging="328"/>
        <w:spacing w:after="0" w:line="22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212529"/>
        </w:rPr>
        <w:t>We experienced certain supply shortages as a result of the pandemic. Should disruptions or our failure to effectively respond to them occur, it may increase product or distribution costs or cause delays in delivering or an inability to deliver products to our customers.</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212529"/>
        </w:rPr>
        <w:t>The ultimate impact of these disruptions also depends on events beyond our knowledge or control, including the duration and severity of the COVID-19 pandemic and actions taken by parties other than us to respond to them. The foregoing and other impacts of the COVID-19 pandemic could have the effect of heightening many of the other risks described in this Annual Report, and any of these impacts could materially adversely affect our business, financial condition,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may be sensitive to economic conditions, including those that impact consumer spending.</w:t>
      </w:r>
    </w:p>
    <w:p>
      <w:pPr>
        <w:spacing w:after="0" w:line="133"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Companies within the RV and marine industries are subject to volatility in operating results due primarily to general economic conditions because the purchase of a RV or marine product is often viewed as a consumer discretionary purchase. Demand for discretionary goods in general can fluctuate with recessionary conditions, slow or negative economic growth rates, negative consumer confidence, reduced consumer spending levels resulting from tax increases or other factors, prolonged high unemployment rates, higher commodity and component costs, fuel prices, inflationary or deflationary pressures, reduced credit availability or unfavorable credit terms for dealers and end-user customers, higher short-term interest rates, and general economic and political conditions and expectations. Specific factors affecting the RV and marine industries include:</w:t>
      </w:r>
    </w:p>
    <w:p>
      <w:pPr>
        <w:spacing w:after="0" w:line="232"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5" w:lineRule="exact"/>
        <w:rPr>
          <w:rFonts w:ascii="Arial" w:cs="Arial" w:eastAsia="Arial" w:hAnsi="Arial"/>
          <w:sz w:val="16"/>
          <w:szCs w:val="16"/>
          <w:color w:val="auto"/>
        </w:rPr>
      </w:pPr>
    </w:p>
    <w:p>
      <w:pPr>
        <w:ind w:left="660" w:right="24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adverse impact on margins due to increases in raw material costs, which we are unable to pass on to customers without negatively affecting sales.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market deterioration and volatility may restrict the ability of our dealers and retail customers to finance the purchase of our products.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business is affected by the availability and terms of the financing to dealers. Generally, RV and marine dealers finance their purchases of inventory with financing provided by lending institutions. One financial flooring institution held 30.5% of our total financed dealer inventory dollars that were outstanding at August 28, 2021. In the event that this lending institution limits or discontinues dealer financing, we could experience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business is also affected by the availability and terms of financing to retail purchasers. Retail buyers purchasing one of our products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Risks</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If we are unable to continue to enhance existing products and develop and market new or enhanced products that respond to customer needs and preferences, we may experience a decrease in demand for our products and our business could suffer.</w:t>
      </w:r>
    </w:p>
    <w:p>
      <w:pPr>
        <w:spacing w:after="0" w:line="68" w:lineRule="exact"/>
        <w:rPr>
          <w:sz w:val="20"/>
          <w:szCs w:val="20"/>
          <w:color w:val="auto"/>
        </w:rPr>
      </w:pPr>
    </w:p>
    <w:p>
      <w:pPr>
        <w:jc w:val="both"/>
        <w:ind w:right="120"/>
        <w:spacing w:after="0" w:line="246" w:lineRule="auto"/>
        <w:rPr>
          <w:sz w:val="20"/>
          <w:szCs w:val="20"/>
          <w:color w:val="auto"/>
        </w:rPr>
      </w:pPr>
      <w:r>
        <w:rPr>
          <w:rFonts w:ascii="Arial" w:cs="Arial" w:eastAsia="Arial" w:hAnsi="Arial"/>
          <w:sz w:val="16"/>
          <w:szCs w:val="16"/>
          <w:color w:val="auto"/>
        </w:rPr>
        <w:t>One of our growth strategies is to develop innovative, customer-valued products to generate revenue growth.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w:t>
      </w:r>
    </w:p>
    <w:p>
      <w:pPr>
        <w:spacing w:after="0" w:line="1"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If we are unable to properly forecast future demand of our products, our production levels may not meet demands, which could negatively impact our operating results.</w:t>
      </w:r>
    </w:p>
    <w:p>
      <w:pPr>
        <w:spacing w:after="0" w:line="6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Our ability to manage our inventory levels to meet our customers' demand for our products is important for our business. For example, certain dealers are focused on the rental market which spikes over the summer vacation period while other dealers are focused on direct sales to the consumer at various price points. Our production levels and inventory management are based on demand estimates six to twelve months forward taking into account supply lead times, production capacity, timing of shipments, and dealer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The industries in which we operate is highly competitive. Failure to compete effectively against competitors could negatively impact our business and operating results.</w:t>
      </w:r>
    </w:p>
    <w:p>
      <w:pPr>
        <w:spacing w:after="0" w:line="68"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The markets for RVs and marine products are very competitive. Competitive factors in the industries include price, design, value, quality, service, brand awareness, and reputation. There can be no assurance that existing or new competitors will not develop products that are superior to our products or that achieve better consumer acceptance, thereby adversely affecting our market share, sales volume, and profit margins. Some of our competitors are much larger than we are, and this size advantage provides these competitors with more financial resources and access to capital, additional purchasing power, and greater leverage with the dealer networks.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These competitive pressures may have a material adverse effect on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is both cyclical and seasonal and is subject to fluctuations in sales and net income.</w:t>
      </w:r>
    </w:p>
    <w:p>
      <w:pPr>
        <w:spacing w:after="0" w:line="25"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The RV and marine industries have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22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RV and marine industries generally declines over the winter season, while sales are generally highest during the spring and summer months. Also, unusually severe weather conditions in some markets may impact demand.</w:t>
      </w:r>
    </w:p>
    <w:p>
      <w:pPr>
        <w:spacing w:after="0" w:line="208"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b w:val="1"/>
          <w:bCs w:val="1"/>
          <w:color w:val="auto"/>
        </w:rPr>
        <w:t>If we are obligated to repurchase a substantially larger number of our products in the future than estimated due to dealer default, these purchases could result in adverse effects on our results of operations, financial condition, and cash flows.</w:t>
      </w:r>
    </w:p>
    <w:p>
      <w:pPr>
        <w:spacing w:after="0" w:line="68"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In accordance with customary practice in our industries,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24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number of units in the future than we estimate, this would increase our costs and could have a material adverse effect on our results of operations, financial condition, and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Risks</w:t>
      </w:r>
    </w:p>
    <w:p>
      <w:pPr>
        <w:spacing w:after="0" w:line="113"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b w:val="1"/>
          <w:bCs w:val="1"/>
          <w:color w:val="auto"/>
        </w:rPr>
        <w:t>Our operations are primarily centered in northern IA and northern IN. Any disruption at these sites could adversely affect our business and operating results.</w:t>
      </w:r>
    </w:p>
    <w:p>
      <w:pPr>
        <w:spacing w:after="0" w:line="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currently manufacture most of our products in northern IA and northern IN. These facilities may be affected by natural or man-made disasters and other external events. In the event that one of our manufacturing facilities was affected by a disaster or other event, we could be forced to shift production to one of our other manufacturing facilities or to cease operations.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could impair our ability to meet the demands of our customers, and our customers may cancel orders or purchase products from our competitors, which could adversely affect our business and operating results.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Unanticipated changes to our distribution channel customers' inventory levels could negatively impact our operating results.</w:t>
      </w:r>
    </w:p>
    <w:p>
      <w:pPr>
        <w:spacing w:after="0" w:line="133"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We sell many of our products through distribution channels and are subject to risks relating to their inventory management decisions and operational and sourcing practices. Our distribution channel customers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distribution channel customers are higher than they desire, they may postpone product purchases from us, which could cause our sales to be lower than the end-user demand for our products and negatively impact our inventory management and working capital goals as well as our operating results.</w:t>
      </w:r>
    </w:p>
    <w:p>
      <w:pPr>
        <w:spacing w:after="0" w:line="212"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b w:val="1"/>
          <w:bCs w:val="1"/>
          <w:color w:val="auto"/>
        </w:rPr>
        <w:t>For some of the components used in production, we depend on a small group of suppliers and the loss of any of these suppliers could affect our ability to obtain components timely or at competitive prices, which would decrease our results of operations, financial condition, and cash flows.</w:t>
      </w:r>
    </w:p>
    <w:p>
      <w:pPr>
        <w:spacing w:after="0" w:line="6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Most of our RV and marine components are readily available from numerous sources. However, a few of our components are produced by a small group of suppliers. In the case of motorhome chassis, Mercedes-Benz (USA and Canada), Stellantis N.V., Freightliner Trucks and Ford Motor Company are our major suppliers. Our relationship with our chassis suppliers is similar to our other supplier relationships in that no specific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which could mean our larger competitors could receive more chassis in a time of scarcity. Sales of motorhomes rely on chassis supply and are affected by shortages from time to time. Decisions by our suppliers to decrease production, production delays or work stoppages by the employees of such suppliers, or price increases could have a material adverse effect on our ability to produce motorhomes and ultimately, on our results of operations, financial condition, and cash flows. In Fiscal 2021, one of our suppliers individually accounted for approximately 12% of our consolidated raw material purchases.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Increases in raw material, commodity, and transportation costs and shortages of certain raw materials could negatively impact our business.</w:t>
      </w:r>
    </w:p>
    <w:p>
      <w:pPr>
        <w:spacing w:after="0" w:line="13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purchase raw materials such as steel, aluminum, and other commodities, and components, such as chassis, refrigerators, and televisions, for use in our products. In addition, we are a purchaser of components and parts containing various commodities, including steel, aluminum, copper, lead, rubber, lumber, and others that are integrated into our end products. Our profitability is affected by significant fluctuations in the prices of the raw materials and the components and parts we use in our products. Additionally, there continues to be uncertainty with respect to the implementation of current trade regulations, future trade regulations and existing international trade agreements, which could continue to increase our cost of goods sold, both directly and as a result of price increases implemented by domestic suppliers, which we may not be able to pass on to our customers. The impact from these tariffs could also result in decreased demand for our products. All of these could materially and adversely affect our results of operations and financial condition.</w:t>
      </w:r>
    </w:p>
    <w:p>
      <w:pPr>
        <w:spacing w:after="0" w:line="23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We have experienced, and continue to experience, disruption in our supply chain due to the reduced availability of certain raw materials used in the manufacturing of our products, including chassis which depend on semiconductor chips. The constraints have limited our ability to increase production to meet demand in the current fiscal year. While we continue to manage through these shortages and delays, if we cannot successfully manage these disruptions and/or these shortages and delays worsen, we may be unable to fulfill orders and deliver our products to our customers in a timely manner. This could materially and adversely affect our results of operations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effectively manage strategic acquisitions and alliances, joint ventures, or partnerships could have a negative impact on our business.</w:t>
      </w:r>
    </w:p>
    <w:p>
      <w:pPr>
        <w:spacing w:after="0" w:line="133"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One of our growth strategies is to drive growth through targeted acquisitions and alliances, stronger customer relations, and new joint ventures and partnerships that contribute profitable growth while supplementing our existing brands and product portfolio. Our ability to grow through acquisitions depends,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234"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Diversion of management’s attention;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 to our existing operations and plans;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Inability to effectively manage our expanded operations;</w:t>
      </w:r>
    </w:p>
    <w:p>
      <w:pPr>
        <w:spacing w:after="0" w:line="5" w:lineRule="exact"/>
        <w:rPr>
          <w:rFonts w:ascii="Arial" w:cs="Arial" w:eastAsia="Arial" w:hAnsi="Arial"/>
          <w:sz w:val="16"/>
          <w:szCs w:val="16"/>
          <w:color w:val="auto"/>
        </w:rPr>
      </w:pPr>
    </w:p>
    <w:p>
      <w:pPr>
        <w:ind w:left="660" w:right="300" w:hanging="328"/>
        <w:spacing w:after="0" w:line="24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Inability to successfully integrate or develop a distribution channel for acquired product lines;</w:t>
      </w:r>
    </w:p>
    <w:p>
      <w:pPr>
        <w:spacing w:after="0" w:line="5" w:lineRule="exact"/>
        <w:rPr>
          <w:rFonts w:ascii="Arial" w:cs="Arial" w:eastAsia="Arial" w:hAnsi="Arial"/>
          <w:sz w:val="16"/>
          <w:szCs w:val="16"/>
          <w:color w:val="auto"/>
        </w:rPr>
      </w:pPr>
    </w:p>
    <w:p>
      <w:pPr>
        <w:ind w:left="660" w:right="40" w:hanging="328"/>
        <w:spacing w:after="0" w:line="24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Potential loss of key employees, customers, distributors, or dealers of the acquired businesses or adverse effects on existing business relationships with suppliers, customers, distributors, and dealers;</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Adverse impact on overall profitability, if our expanded operations do not achieve the financial results projected in our valuation model;</w:t>
      </w:r>
    </w:p>
    <w:p>
      <w:pPr>
        <w:spacing w:after="0" w:line="5" w:lineRule="exact"/>
        <w:rPr>
          <w:rFonts w:ascii="Arial" w:cs="Arial" w:eastAsia="Arial" w:hAnsi="Arial"/>
          <w:sz w:val="16"/>
          <w:szCs w:val="16"/>
          <w:color w:val="auto"/>
        </w:rPr>
      </w:pPr>
    </w:p>
    <w:p>
      <w:pPr>
        <w:ind w:left="660" w:right="240" w:hanging="328"/>
        <w:spacing w:after="0" w:line="24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ind w:left="660" w:right="80" w:hanging="328"/>
        <w:spacing w:after="0" w:line="26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Incorrect estimates made in the accounting for acquisitions, occurrence of non-recurring charges, and write-off of significant amounts of goodwill or other assets that could adversely affect our operating results.</w:t>
      </w:r>
    </w:p>
    <w:p>
      <w:pPr>
        <w:spacing w:after="0" w:line="20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auto"/>
        </w:rPr>
        <w:t>If we fail to identify, attract, and retain appropriately qualified employees, including employees in key positions, our operations and profitability may be harmed. Changes in market compensation rates may adversely affect our profitability.</w:t>
      </w:r>
    </w:p>
    <w:p>
      <w:pPr>
        <w:spacing w:after="0" w:line="6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in our manufacturing markets is intense and supply is limited. Since we operate in a competitive labor market, there is a risk that market increases in compensation could have an adverse effect on our business.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Significant product repair and/or replacement costs due to product warranty claims and product recalls could have a material adverse impact on our results of operations, financial condition, and cash flows.</w:t>
      </w:r>
    </w:p>
    <w:p>
      <w:pPr>
        <w:spacing w:after="0" w:line="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 Legal and Regulatory Risks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color w:val="auto"/>
        </w:rPr>
        <w:t>We may be subject to information technology system failures, network disruptions, and breaches in data security that could adversely affect our business. Failure to prevent or effectively respond to a breach or system failure could expose our customers', clients', or suppliers' confidential information, and expose us to substantial costs and reputational damage as well as litigation and enforcement actions. In addition, the benefits of our new enterprise resource planning system that is being implemented in the Winnebago Motorhome business may not be realized, or we may incur unanticipated costs or delays, which may result in decreased sales, increased overhead costs, excess or obsolete inventory, and product shortages, causing our business, reputation, financial condition, and operating results to suffer.</w:t>
      </w:r>
    </w:p>
    <w:p>
      <w:pPr>
        <w:spacing w:after="0" w:line="94"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report and audit our operational results. Additionally, we rely upon information systems in our sales, marketing, human resources, and communication efforts. Due to our reliance on our information systems, our business processes may be negatively impacted in the event of substantial disruption of service. Further, we have security systems in place with the intent of maintaining the physical security of our facilities and protecting our customers', clients', and suppliers' confidential information and information related to identifiable individuals against unauthorized access through our information systems or by other electronic transmission or through the misdirection, theft, or loss of physical media. Misuse, leakage, falsification, or breach of security of information could result in a violation of privacy laws and damage our reputation which could, in turn, have a negative impact on our results. Because the technologies used to obtain unauthorized access are constantly changing and becoming increasingly more sophisticated and often are not recognized until launched against a target, we may be unable to anticipate these techniques or implement sufficient preventative measures. If unauthorized parties gain physical access to one of our facilities or electronic access to our information systems or such information is misdirected, lost, or stolen during transmission or transport, any theft or misuse of such information could result in, among other things, unfavorable publicity, governmental inquiry and oversight, difficulty in marketing our services, allegations by our customers and clients that we have not performed our contractual obligations, litigation by affected parties, and possible financial obligations for damages related to the theft or misuse of such information, any of which could have a material adverse effect on our business.</w:t>
      </w:r>
    </w:p>
    <w:p>
      <w:pPr>
        <w:spacing w:after="0" w:line="23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In addition to our general reliance on information systems, we began implementation of a new enterprise resource planning system for the Winnebago Motorhome business at the end of Fiscal 2015. Though we perform planning and testing to reduce risks associated with such a complex, business-wide systems change, failure to meet requirements of the business could disrupt our operations and harm our reputation, which may result in decreased sales, increased overhead costs, excess or obsolete inventory, and product shortages, causing our business, reputation, financial condition, and operating results to suffer.</w:t>
      </w:r>
    </w:p>
    <w:p>
      <w:pPr>
        <w:spacing w:after="0" w:line="21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Our continued success is dependent on positive perceptions of our brands which, if impaired, could adversely affect our results of operations or financial condition. In addition, if the frequency and size of product liability and other claims against us increase, our reputation and business may be harmed.</w:t>
      </w:r>
    </w:p>
    <w:p>
      <w:pPr>
        <w:spacing w:after="0" w:line="83" w:lineRule="exact"/>
        <w:rPr>
          <w:sz w:val="20"/>
          <w:szCs w:val="20"/>
          <w:color w:val="auto"/>
        </w:rPr>
      </w:pPr>
    </w:p>
    <w:p>
      <w:pPr>
        <w:jc w:val="both"/>
        <w:ind w:right="420"/>
        <w:spacing w:after="0" w:line="251" w:lineRule="auto"/>
        <w:rPr>
          <w:sz w:val="20"/>
          <w:szCs w:val="20"/>
          <w:color w:val="auto"/>
        </w:rPr>
      </w:pPr>
      <w:r>
        <w:rPr>
          <w:rFonts w:ascii="Arial" w:cs="Arial" w:eastAsia="Arial" w:hAnsi="Arial"/>
          <w:sz w:val="16"/>
          <w:szCs w:val="16"/>
          <w:color w:val="auto"/>
        </w:rPr>
        <w:t>We believe that one of the strengths of our business is our brands, which are widely known around the world. We vigorously defend our brands and our other intellectual property rights against third parties on a global basis. We have, from time to time, had to bring claims against third parties to protect or prevent unauthorized use of our brand. If we are unable to protect and defend our brands or other intellectual property, it could have a material adverse effect on our results of operations or financial condition.</w:t>
      </w:r>
    </w:p>
    <w:p>
      <w:pPr>
        <w:spacing w:after="0" w:line="22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are also subject, in the ordinary course of business, to litigation including a variety of warranty, "Lemon Law," and product liability claims typical in the RV and marine industries. Although we have an insurance policy with a $50.0 million limit covering product liability, we are self-insured for the first $1.0 million of product liability claims on a per occurrence basis, with a $2.0 million aggregate per policy year.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We are subject to certain government regulations that could have a material adverse impact on our business, including changing climate-related regulations that may require us to incur additional costs in order to be in compliance.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numerous federal, state, and local regulations and the following summarizes some, but not all, of the laws and regulations that apply to us.</w:t>
      </w:r>
    </w:p>
    <w:p>
      <w:pPr>
        <w:spacing w:after="0" w:line="24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Federal Motor Vehicle Safety Standards govern the design, manufacture and sale of our RV products, which standards are promulgated by the NHTSA. NHTSA requires manufacturers to recall and repair vehicles which are non-compliant with a Federal Motor Vehicle Safety Standard or contain safety defects. In addition, the U.S. Coast Guard maintains certification standards for the manufacture of our marine products, and the safety of recreational boats in the U.S. is subject to federal regulation under the Boat Safety Act of 1971, which requires boat manufacturers to recall products for replacement of parts or components that have demonstrated defects affecting safety. Any major recalls of our products, voluntary or involuntary, could have a material adverse effect on our results of operations, financial condition, and cash flows. While we believe we are in compliance with the foregoing laws and regulations as they currently exist, amendments to any of these regulations or the implementation of new regulations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could significantly increase the cost of testing, manufacturing, purchasing, operating, or selling our products and could have a material adverse effect on our results of operations, financial condition, and cash flows. In addition, our failure to comply with present or future regulations could result in federal fines being imposed on us, potential civil and criminal liability, suspension of sales or production, or cessation of operations.</w:t>
      </w:r>
    </w:p>
    <w:p>
      <w:pPr>
        <w:spacing w:after="0" w:line="228"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motorhomes that may be operated in certain jurisdictions or on certain roadways. Certain jurisdictions also prohibit the sale of vehicles exceeding length restrictions.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Failure to comply with the New York Stock Exchange and SEC laws or regulations could also have an adverse impact on our business. Additionally, amendments to these regulations and the implementation of new regulations could increase the cost of our operations and therefore could have an adverse impact on our business.</w:t>
      </w:r>
    </w:p>
    <w:p>
      <w:pPr>
        <w:spacing w:after="0" w:line="228"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We are subject to income and other tax laws and regulations in the U.S. and various foreign jurisdictions. In addition, we could be impacted by adjustments proposed by taxing authorities in connection with examinations, depending on their timing, nature and scope. Increases in tax rates, changes in tax laws or unfavorable resolution of tax matters could have a material impact on our financial results.</w:t>
      </w:r>
    </w:p>
    <w:p>
      <w:pPr>
        <w:spacing w:after="0" w:line="22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greenhouse gases ("GHG"), and hazardous waste generation and disposal that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 In addition,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Climate change regulation combined with public sentiment could result in reduced demand for our products, higher fuel prices, or carbon taxes, all of which could materially adversely affect our business. Due to uncertainty in the regulatory and legislative processes, as well as the scope of such requirements and initiatives, we cannot currently determine the effect such legislation and regulation may have on our products and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impairment in the carrying value of goodwill and trade names could negatively impact our consolidated results of operations.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Goodwill and indefinite-lived intangible assets, such as our trade names, are recorded at fair value at the time of acquisition and are not amortized but are reviewed for impairment at least annually or more frequently if impairment indicators arise. Our determination of whether goodwill impairment has occurred is based on a comparison of each of our reporting units’ fair value with its carrying value. Significant and unanticipated changes in circumstances, such as significant and long-term adverse changes in business climate, unanticipated competition, and/or changes in technology or markets, could require a provision for impairment in a future period that could negatively impact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terms of our notes and other debt instruments could adversely affect our operating flexibility and pose risks of default.</w:t>
      </w:r>
    </w:p>
    <w:p>
      <w:pPr>
        <w:spacing w:after="0" w:line="13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We incurred substantial indebtedness to finance the acquisitions of Grand Design and Newmar Corporation ("Newmar"). Our asset based revolving credit facility ("ABL Credit Facility") and Senior Secured Notes (as described in Note 9 to the Notes to Consolidated Financial Statements, included in Item 8 of Part II in this Annual Report on Form 10-K) are secured by substantially all of our assets, including cash, inventory, accounts receivable, and certain machinery and equipment. We also issued unsecured Convertible Notes (as described in Note 9 to the Notes to Consolidated Financial Statements, included in Item 8 of Part II in this Annual Report on Form 10-K) to finance the acquisition of Newmar. If a default of payment occurs, the lenders in our ABL Credit Facility or holders of our Senior Secured and Convertible Notes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spacing w:after="0" w:line="23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Borrowing availability under the ABL Credit Facility is limited to the lesser of the facility total and the calculated borrowing base, which is based on stipulated loan percentages applied to our eligible trade accounts receivable and eligible inventories. Should the borrowing base decline, our ability to borrow to fund future operations and business transactions could be limited.</w:t>
      </w:r>
    </w:p>
    <w:p>
      <w:pPr>
        <w:spacing w:after="0" w:line="22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addition, the Senior Secured Notes contain certain occurrence-based covenants that could restrict our ability to undertake certain types of transactions. If we enter into a transaction that falls under the occurrence-based covenants, we will calculate the ratios and covenant buckets we have available to us to ensure we are in compliance. Likewise, the indenture related to the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Convertible Notes issued to help finance the acquisition of Newmar includes certain limited covenants that could impact our ability to operate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addition, our indebtedness could:</w:t>
      </w:r>
    </w:p>
    <w:p>
      <w:pPr>
        <w:spacing w:after="0" w:line="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 us more vulnerable to general adverse economic, regulatory, and industry conditions;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 our flexibility in planning for, or reacting to, changes and opportunities in the markets in which we compete;</w:t>
      </w:r>
    </w:p>
    <w:p>
      <w:pPr>
        <w:spacing w:after="0" w:line="5" w:lineRule="exact"/>
        <w:rPr>
          <w:rFonts w:ascii="Arial" w:cs="Arial" w:eastAsia="Arial" w:hAnsi="Arial"/>
          <w:sz w:val="16"/>
          <w:szCs w:val="16"/>
          <w:color w:val="auto"/>
        </w:rPr>
      </w:pPr>
    </w:p>
    <w:p>
      <w:pPr>
        <w:ind w:left="660" w:right="80" w:hanging="328"/>
        <w:spacing w:after="0" w:line="24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or could require us to dedicate a substantial portion of our cash flow to service our debt; and</w:t>
      </w: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 us from making strategic acquisitions or exploiting other business opportunities.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principal facilities used in our operations are in the following locations: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 Segment</w:t>
      </w:r>
    </w:p>
    <w:p>
      <w:pPr>
        <w:spacing w:after="0" w:line="129"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Owned corporate offices are located in Forest City, Iowa and Nappanee, Indiana. We also own manufacturing facilities in Charles City, Iowa; Forest City, Iowa; Lake Mills, Iowa; Waverly, Iowa; and Nappanee, Indiana. We own a warehouse, maintenance, and service center in Forest City, Iowa, and lease a service center in Nappanee, Indiana.</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 Segment</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 leased corporate office is located in Middlebury, Indiana. One owned corporate office and manufacturing facility is located in Middlebury, Indiana. We lease manufacturing, warehouse, maintenance, and service center facilities located in Bristol, Indiana; Elkhart, Indiana; Middlebury, Indiana; and White Pigeon, Michigan.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Corporate/All Other Segment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 leased corporate office is located in Eden Prairie, Minnesota, and one owned manufacturing facility for specialty vehicles is located in Forest City, Iowa.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One owned corporate office, manufacturing, warehouse, maintenance, and service center facility is located in Sarasota, Florida.</w:t>
      </w:r>
    </w:p>
    <w:p>
      <w:pPr>
        <w:spacing w:after="0" w:line="24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Most of our buildings are of steel or steel and concrete construction and are protected from fire with high-pressure sprinkler systems, dust collector systems, automatic fire doors, and alarm systems. All facilities are in good operating condition, suitable for their respective uses and adequate for current needs.</w:t>
      </w:r>
    </w:p>
    <w:p>
      <w:pPr>
        <w:spacing w:after="0" w:line="22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Under our Senior Secured Notes and ABL Credit Facility, we have encumbered substantially all of our real property for the benefit of the lenders under our credit facilities. For additional information, see Note 9 of the Notes to Consolidated Financial Statements, included in Item 8 of Part II in this Annual Report on Form 10-K. Also see Note 10 of the Notes to Consolidated Financial Statements included in Item 8 of Part II in this Annual Report on Form 10-K for more information regarding our leased facilities.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6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For a description of our legal proceedings, see Note 12 of the Notes to Consolidated Financial Statements, included in Item 8 of Part II in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the Registrant's Common Equity, Related Shareholder Matters, and Issuer Purchases of Equity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33"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Our common stock is listed on the New York Stock Exchange under the ticker symbol of WGO. As of October 15, 2021, there were 2,191 shareholders of record.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August 18, 2021, our Board of Directors declared a quarterly cash dividend of $0.18 per share, totaling $6.0 million paid on September 29, 2021 to common shareholders on record at the close of business on September 15, 2021. Dividends are generally declared each quarter, and the Board of Directors currently intends to continue to pay quarterly cash dividends; however, declaration of future dividends, if any, will be based on several factors including our financial performance, outlook, and liquidity.</w:t>
      </w:r>
    </w:p>
    <w:p>
      <w:pPr>
        <w:spacing w:after="0" w:line="22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Our outstanding notes, as further described in Note 9 to the Notes to Consolidated Financial Statements, included in Item 8 of Part II in this Annual Report on Form 10-K, contains restrictions that may limit our ability to pay dividends.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ABL Credit Facility contains restrictions that may limit our ability to make distributions or payments with respect to purchases of our common stock without consent from the lenders, except for limited purchases of our common stock from employees, in the event of a significant reduction in our EBITDA or in the event of a significant borrowing on our ABL Credit Facility. Our Senior Secured Notes also contain covenants that may limit our ability to make distributions or payments with respect to purchases of our common stock. See additional information on our ABL Credit Facility in Note 9 to the Notes to Consolidated Financial Statements, included in Item 8 of Part II in this Annual Report on Form 10-K.</w:t>
      </w:r>
    </w:p>
    <w:p>
      <w:pPr>
        <w:spacing w:after="0" w:line="230"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On October 18, 2017, our Board of Directors authorized a share repurchase program in the amount of $70.0 million with no time restriction on the authorization. During Fiscal 2021, we repurchased 708,000 shares of our common stock at a cost of $45.4 million under this authorization, and 39,000 shares at a cost of $2.2 million to satisfy tax obligations on employee equity awards as they vest. We continually evaluate if share repurchases reflect a prudent use of our capital and, subject to compliance with our ABL Credit Facility and outstanding Senior Secured Notes, we may purchase shares in the future. As of August 28, 2021, we have $23.4 million remaining on our Board of Directors approved repurchase authorization.</w:t>
      </w:r>
    </w:p>
    <w:p>
      <w:pPr>
        <w:spacing w:after="0" w:line="230"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On October 13, 2021, our Board of Directors authorized a new share repurchase program in the amount of $200.0 million with no time restriction on the authorization, which took effect immediately and replaced the prior program.</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fourth quarter of Fiscal 2021 are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4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Average Price</w:t>
            </w:r>
          </w:p>
        </w:tc>
        <w:tc>
          <w:tcPr>
            <w:tcW w:w="2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 Purchased as</w:t>
            </w:r>
          </w:p>
        </w:tc>
        <w:tc>
          <w:tcPr>
            <w:tcW w:w="120" w:type="dxa"/>
            <w:vAlign w:val="bottom"/>
          </w:tcPr>
          <w:p>
            <w:pPr>
              <w:spacing w:after="0"/>
              <w:rPr>
                <w:sz w:val="16"/>
                <w:szCs w:val="16"/>
                <w:color w:val="auto"/>
              </w:rPr>
            </w:pPr>
          </w:p>
        </w:tc>
        <w:tc>
          <w:tcPr>
            <w:tcW w:w="2640" w:type="dxa"/>
            <w:vAlign w:val="bottom"/>
          </w:tcPr>
          <w:p>
            <w:pPr>
              <w:jc w:val="right"/>
              <w:ind w:right="2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8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7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Purchased</w:t>
            </w:r>
            <w:r>
              <w:rPr>
                <w:rFonts w:ascii="Arial" w:cs="Arial" w:eastAsia="Arial" w:hAnsi="Arial"/>
                <w:sz w:val="21"/>
                <w:szCs w:val="21"/>
                <w:b w:val="1"/>
                <w:bCs w:val="1"/>
                <w:color w:val="auto"/>
                <w:w w:val="97"/>
                <w:vertAlign w:val="superscript"/>
              </w:rPr>
              <w:t>(2)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880" w:type="dxa"/>
            <w:vAlign w:val="bottom"/>
            <w:tcBorders>
              <w:bottom w:val="single" w:sz="8" w:color="auto"/>
            </w:tcBorders>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(2)</w:t>
            </w: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59"/>
              <w:spacing w:after="0" w:line="216" w:lineRule="exact"/>
              <w:rPr>
                <w:sz w:val="20"/>
                <w:szCs w:val="20"/>
                <w:color w:val="auto"/>
              </w:rPr>
            </w:pPr>
            <w:r>
              <w:rPr>
                <w:rFonts w:ascii="Arial" w:cs="Arial" w:eastAsia="Arial" w:hAnsi="Arial"/>
                <w:sz w:val="16"/>
                <w:szCs w:val="16"/>
                <w:b w:val="1"/>
                <w:bCs w:val="1"/>
                <w:color w:val="auto"/>
                <w:w w:val="97"/>
              </w:rPr>
              <w:t>Under the Plans or Programs</w:t>
            </w:r>
            <w:r>
              <w:rPr>
                <w:rFonts w:ascii="Arial" w:cs="Arial" w:eastAsia="Arial" w:hAnsi="Arial"/>
                <w:sz w:val="21"/>
                <w:szCs w:val="21"/>
                <w:b w:val="1"/>
                <w:bCs w:val="1"/>
                <w:color w:val="auto"/>
                <w:w w:val="97"/>
                <w:vertAlign w:val="superscript"/>
              </w:rPr>
              <w:t>(2)(3)</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05/30/21 - 07/03/21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71.34</w:t>
            </w:r>
          </w:p>
        </w:tc>
        <w:tc>
          <w:tcPr>
            <w:tcW w:w="2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58,761,000</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07/04/21 - 07/31/21</w:t>
            </w:r>
          </w:p>
        </w:tc>
        <w:tc>
          <w:tcPr>
            <w:tcW w:w="1560" w:type="dxa"/>
            <w:vAlign w:val="bottom"/>
          </w:tcPr>
          <w:p>
            <w:pPr>
              <w:jc w:val="right"/>
              <w:spacing w:after="0"/>
              <w:rPr>
                <w:sz w:val="20"/>
                <w:szCs w:val="20"/>
                <w:color w:val="auto"/>
              </w:rPr>
            </w:pPr>
            <w:r>
              <w:rPr>
                <w:rFonts w:ascii="Arial" w:cs="Arial" w:eastAsia="Arial" w:hAnsi="Arial"/>
                <w:sz w:val="16"/>
                <w:szCs w:val="16"/>
                <w:color w:val="auto"/>
              </w:rPr>
              <w:t>344,360</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69.69</w:t>
            </w:r>
          </w:p>
        </w:tc>
        <w:tc>
          <w:tcPr>
            <w:tcW w:w="2760" w:type="dxa"/>
            <w:vAlign w:val="bottom"/>
          </w:tcPr>
          <w:p>
            <w:pPr>
              <w:jc w:val="right"/>
              <w:spacing w:after="0"/>
              <w:rPr>
                <w:sz w:val="20"/>
                <w:szCs w:val="20"/>
                <w:color w:val="auto"/>
              </w:rPr>
            </w:pPr>
            <w:r>
              <w:rPr>
                <w:rFonts w:ascii="Arial" w:cs="Arial" w:eastAsia="Arial" w:hAnsi="Arial"/>
                <w:sz w:val="16"/>
                <w:szCs w:val="16"/>
                <w:color w:val="auto"/>
              </w:rPr>
              <w:t>344,360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2640" w:type="dxa"/>
            <w:vAlign w:val="bottom"/>
          </w:tcPr>
          <w:p>
            <w:pPr>
              <w:jc w:val="right"/>
              <w:spacing w:after="0"/>
              <w:rPr>
                <w:sz w:val="20"/>
                <w:szCs w:val="20"/>
                <w:color w:val="auto"/>
              </w:rPr>
            </w:pPr>
            <w:r>
              <w:rPr>
                <w:rFonts w:ascii="Arial" w:cs="Arial" w:eastAsia="Arial" w:hAnsi="Arial"/>
                <w:sz w:val="16"/>
                <w:szCs w:val="16"/>
                <w:color w:val="auto"/>
              </w:rPr>
              <w:t>34,761,000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08/01/21 - 08/28/21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159,701</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71.38</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159,701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23,361,000</w:t>
            </w:r>
          </w:p>
        </w:tc>
        <w:tc>
          <w:tcPr>
            <w:tcW w:w="0" w:type="dxa"/>
            <w:vAlign w:val="bottom"/>
          </w:tcPr>
          <w:p>
            <w:pPr>
              <w:spacing w:after="0"/>
              <w:rPr>
                <w:sz w:val="1"/>
                <w:szCs w:val="1"/>
                <w:color w:val="auto"/>
              </w:rPr>
            </w:pPr>
          </w:p>
        </w:tc>
      </w:tr>
      <w:tr>
        <w:trPr>
          <w:trHeight w:val="212"/>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505,042</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70.23</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504,061</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23,361,000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00" w:hanging="292"/>
        <w:spacing w:after="0"/>
        <w:tabs>
          <w:tab w:leader="none" w:pos="30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above table are shown in whole numbers.</w:t>
      </w:r>
    </w:p>
    <w:p>
      <w:pPr>
        <w:ind w:left="260" w:right="140" w:hanging="252"/>
        <w:spacing w:after="0" w:line="193" w:lineRule="auto"/>
        <w:tabs>
          <w:tab w:leader="none" w:pos="305"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right="480" w:hanging="252"/>
        <w:spacing w:after="0" w:line="199" w:lineRule="auto"/>
        <w:tabs>
          <w:tab w:leader="none" w:pos="263"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Pursuant to a $70.0 million share repurchase program authorized by our Board of Directors on October 18, 2017. There is no time restriction on the authorization. As described above, this repurchase program was replaced by a new share repurchase program on October 13,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25"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Inc., and Brunswick Corporation were selected by us as they also manufacture recreation products. It is assumed in the graph that $100 was invested in our common stock, in the Standard</w:t>
      </w:r>
    </w:p>
    <w:p>
      <w:pPr>
        <w:spacing w:after="0" w:line="1" w:lineRule="exact"/>
        <w:rPr>
          <w:sz w:val="20"/>
          <w:szCs w:val="20"/>
          <w:color w:val="auto"/>
        </w:rPr>
      </w:pPr>
    </w:p>
    <w:p>
      <w:pPr>
        <w:ind w:right="100" w:firstLine="8"/>
        <w:spacing w:after="0" w:line="253" w:lineRule="auto"/>
        <w:tabs>
          <w:tab w:leader="none" w:pos="153" w:val="left"/>
        </w:tabs>
        <w:numPr>
          <w:ilvl w:val="0"/>
          <w:numId w:val="9"/>
        </w:numPr>
        <w:rPr>
          <w:rFonts w:ascii="Arial" w:cs="Arial" w:eastAsia="Arial" w:hAnsi="Arial"/>
          <w:sz w:val="16"/>
          <w:szCs w:val="16"/>
          <w:color w:val="auto"/>
        </w:rPr>
      </w:pPr>
      <w:r>
        <w:rPr>
          <w:rFonts w:ascii="Arial" w:cs="Arial" w:eastAsia="Arial" w:hAnsi="Arial"/>
          <w:sz w:val="16"/>
          <w:szCs w:val="16"/>
          <w:color w:val="auto"/>
        </w:rPr>
        <w:t>Poor's 500 Index and in the stocks of the peer group companies on August 27, 2016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966460" cy="3694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646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Base Period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Company/Index</w:t>
            </w:r>
          </w:p>
        </w:tc>
        <w:tc>
          <w:tcPr>
            <w:tcW w:w="12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August 27,</w:t>
            </w:r>
          </w:p>
        </w:tc>
        <w:tc>
          <w:tcPr>
            <w:tcW w:w="120" w:type="dxa"/>
            <w:vAlign w:val="bottom"/>
          </w:tcPr>
          <w:p>
            <w:pPr>
              <w:spacing w:after="0"/>
              <w:rPr>
                <w:sz w:val="14"/>
                <w:szCs w:val="14"/>
                <w:color w:val="auto"/>
              </w:rPr>
            </w:pPr>
          </w:p>
        </w:tc>
        <w:tc>
          <w:tcPr>
            <w:tcW w:w="1380" w:type="dxa"/>
            <w:vAlign w:val="bottom"/>
            <w:gridSpan w:val="2"/>
          </w:tcPr>
          <w:p>
            <w:pPr>
              <w:ind w:left="220"/>
              <w:spacing w:after="0" w:line="161" w:lineRule="exact"/>
              <w:rPr>
                <w:sz w:val="20"/>
                <w:szCs w:val="20"/>
                <w:color w:val="auto"/>
              </w:rPr>
            </w:pPr>
            <w:r>
              <w:rPr>
                <w:rFonts w:ascii="Arial" w:cs="Arial" w:eastAsia="Arial" w:hAnsi="Arial"/>
                <w:sz w:val="16"/>
                <w:szCs w:val="16"/>
                <w:b w:val="1"/>
                <w:bCs w:val="1"/>
                <w:color w:val="auto"/>
              </w:rPr>
              <w:t>August 26,</w:t>
            </w:r>
          </w:p>
        </w:tc>
        <w:tc>
          <w:tcPr>
            <w:tcW w:w="1400" w:type="dxa"/>
            <w:vAlign w:val="bottom"/>
            <w:gridSpan w:val="2"/>
          </w:tcPr>
          <w:p>
            <w:pPr>
              <w:ind w:left="240"/>
              <w:spacing w:after="0" w:line="161" w:lineRule="exact"/>
              <w:rPr>
                <w:sz w:val="20"/>
                <w:szCs w:val="20"/>
                <w:color w:val="auto"/>
              </w:rPr>
            </w:pPr>
            <w:r>
              <w:rPr>
                <w:rFonts w:ascii="Arial" w:cs="Arial" w:eastAsia="Arial" w:hAnsi="Arial"/>
                <w:sz w:val="16"/>
                <w:szCs w:val="16"/>
                <w:b w:val="1"/>
                <w:bCs w:val="1"/>
                <w:color w:val="auto"/>
              </w:rPr>
              <w:t>August 25,</w:t>
            </w:r>
          </w:p>
        </w:tc>
        <w:tc>
          <w:tcPr>
            <w:tcW w:w="1380" w:type="dxa"/>
            <w:vAlign w:val="bottom"/>
            <w:gridSpan w:val="2"/>
          </w:tcPr>
          <w:p>
            <w:pPr>
              <w:ind w:left="220"/>
              <w:spacing w:after="0" w:line="161" w:lineRule="exact"/>
              <w:rPr>
                <w:sz w:val="20"/>
                <w:szCs w:val="20"/>
                <w:color w:val="auto"/>
              </w:rPr>
            </w:pPr>
            <w:r>
              <w:rPr>
                <w:rFonts w:ascii="Arial" w:cs="Arial" w:eastAsia="Arial" w:hAnsi="Arial"/>
                <w:sz w:val="16"/>
                <w:szCs w:val="16"/>
                <w:b w:val="1"/>
                <w:bCs w:val="1"/>
                <w:color w:val="auto"/>
              </w:rPr>
              <w:t>August 31,</w:t>
            </w:r>
          </w:p>
        </w:tc>
        <w:tc>
          <w:tcPr>
            <w:tcW w:w="1400" w:type="dxa"/>
            <w:vAlign w:val="bottom"/>
            <w:gridSpan w:val="2"/>
          </w:tcPr>
          <w:p>
            <w:pPr>
              <w:ind w:left="240"/>
              <w:spacing w:after="0" w:line="161" w:lineRule="exact"/>
              <w:rPr>
                <w:sz w:val="20"/>
                <w:szCs w:val="20"/>
                <w:color w:val="auto"/>
              </w:rPr>
            </w:pPr>
            <w:r>
              <w:rPr>
                <w:rFonts w:ascii="Arial" w:cs="Arial" w:eastAsia="Arial" w:hAnsi="Arial"/>
                <w:sz w:val="16"/>
                <w:szCs w:val="16"/>
                <w:b w:val="1"/>
                <w:bCs w:val="1"/>
                <w:color w:val="auto"/>
              </w:rPr>
              <w:t>August 29,</w:t>
            </w:r>
          </w:p>
        </w:tc>
        <w:tc>
          <w:tcPr>
            <w:tcW w:w="1280" w:type="dxa"/>
            <w:vAlign w:val="bottom"/>
          </w:tcPr>
          <w:p>
            <w:pPr>
              <w:jc w:val="right"/>
              <w:ind w:right="139"/>
              <w:spacing w:after="0" w:line="161" w:lineRule="exact"/>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5"/>
        </w:trPr>
        <w:tc>
          <w:tcPr>
            <w:tcW w:w="298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Winnebago Industries, Inc.</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322.52</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126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114.99</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137.92</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143.35</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175.16</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228.55</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Peer Group</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180.18</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Zacks Investment Research,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8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five sections:</w:t>
      </w:r>
    </w:p>
    <w:p>
      <w:pPr>
        <w:spacing w:after="0" w:line="229"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Overview</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Results of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Analysis of Financial Condition, Liquidity, and Capital Resources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Critical Accounting Policies and Estimates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New Accounting Pronouncements</w:t>
      </w:r>
    </w:p>
    <w:p>
      <w:pPr>
        <w:spacing w:after="0" w:line="24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8 of Part II in this Annual Report on Form 10-K.</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year-over-year comparisons in this Management's Discussion and Analysis of Financial Condition and Results of Operations are as of and for the fiscal years ended August 28, 2021 and August 29, 2020, unless stated otherwise. The discussion of Fiscal 2019 results and related year-over-year comparisons as of and for the fiscal years ended August 29, 2020 and August 31, 2019 are found in Item 7 of Part II of our Form 10-K for the fiscal year ended August 29,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motorhome units in Iowa and Indiana; our towable units in Indiana; and our marine units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Barletta</w:t>
      </w:r>
    </w:p>
    <w:p>
      <w:pPr>
        <w:spacing w:after="0" w:line="13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At the beginning of Fiscal 2022, we completed our acquisition of all the equity interests of Barletta Boat Company, LLC and Three Limes, LLC (collectively, "Barletta") for $255.0 million funded with $230.0 million cash on hand and $25.0 million in common stock issued to the sellers. For further discussion regarding the acquisition, refer to Note 1 to the Notes to Consolidated Financial Statements, included in Item 8 of Part II in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120" w:lineRule="exact"/>
        <w:rPr>
          <w:sz w:val="20"/>
          <w:szCs w:val="20"/>
          <w:color w:val="auto"/>
        </w:rPr>
      </w:pPr>
    </w:p>
    <w:p>
      <w:pPr>
        <w:ind w:right="300"/>
        <w:spacing w:after="0" w:line="232" w:lineRule="auto"/>
        <w:rPr>
          <w:sz w:val="20"/>
          <w:szCs w:val="20"/>
          <w:color w:val="auto"/>
        </w:rPr>
      </w:pPr>
      <w:r>
        <w:rPr>
          <w:rFonts w:ascii="Arial" w:cs="Arial" w:eastAsia="Arial" w:hAnsi="Arial"/>
          <w:sz w:val="16"/>
          <w:szCs w:val="16"/>
          <w:color w:val="212529"/>
        </w:rPr>
        <w:t>We continue to monitor guidance from international and domestic authorities, including federal, state and local public health authorities, regarding the COVID-19 pandemic and may take additional actions based on their requirements and recommendations. In these circumstances, there may be developments outside our control requiring us to adjust our operating plan. Overall, t</w:t>
      </w:r>
      <w:r>
        <w:rPr>
          <w:rFonts w:ascii="Arial" w:cs="Arial" w:eastAsia="Arial" w:hAnsi="Arial"/>
          <w:sz w:val="16"/>
          <w:szCs w:val="16"/>
          <w:color w:val="000000"/>
        </w:rPr>
        <w:t>here has been strong retail demand by consumers of RVs as a safe</w:t>
      </w:r>
      <w:r>
        <w:rPr>
          <w:rFonts w:ascii="Arial" w:cs="Arial" w:eastAsia="Arial" w:hAnsi="Arial"/>
          <w:sz w:val="16"/>
          <w:szCs w:val="16"/>
          <w:color w:val="212529"/>
        </w:rPr>
        <w:t xml:space="preserve"> </w:t>
      </w:r>
      <w:r>
        <w:rPr>
          <w:rFonts w:ascii="Arial" w:cs="Arial" w:eastAsia="Arial" w:hAnsi="Arial"/>
          <w:sz w:val="16"/>
          <w:szCs w:val="16"/>
          <w:color w:val="000000"/>
        </w:rPr>
        <w:t xml:space="preserve">travel option, and of marine products as a safe way to experience the outdoors, during the COVID-19 pandemic. Our production has experienced certain supply shortages, and if supply shortages continue or there are additional disruptions in our supply chain, it could materially and adversely impact our operating results and financial condition. Despite certain supply shortages, we continue to actively manage through these temporary supply chain disruptions. Refer to the COVID-19 related risk factor disclosed in </w:t>
      </w:r>
      <w:r>
        <w:rPr>
          <w:rFonts w:ascii="Arial" w:cs="Arial" w:eastAsia="Arial" w:hAnsi="Arial"/>
          <w:sz w:val="16"/>
          <w:szCs w:val="16"/>
          <w:color w:val="212529"/>
        </w:rPr>
        <w:t>Item 1A of Part II in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33"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Included in "Results of Operations - Fiscal 2021 Compared to Fiscal 2020" is a reconciliation of EBITDA and Adjusted EBITDA from net income, the nearest GAAP measure. We have included these non-GAAP performance measures as a comparable measure to illustrate the effect of non-recurring transactions that occurred during the reported periods and to improve comparability of our</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costs, restructuring expenses, gain or loss on sale of property and equipment, and non-operating (income) loss.</w:t>
      </w:r>
    </w:p>
    <w:p>
      <w:pPr>
        <w:spacing w:after="0" w:line="22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used by management in its assessments of performance and in forecasting; (d) to evaluate potential acquisitions; and (e) to ensure compliance with covenants and restricted activities under the terms of our ABL Credit Facility and outstanding notes, as further described in Note 9 to the Notes to Consolidated Financial Statements, included in Item 8 of Part II in this Annual Report on Form 10-K. We believe these non-GAAP financial measures are frequently used by securities analysts, investors and other interested parties to evaluate companies in the industry.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3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operations are organized under two reportable segments, Towable and Motorhome, based on similarities within their markets, products, operations, and distribution.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560" w:hanging="228"/>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Wholesale unit shipments - RV product delivered to the dealers, which is reported monthly by the Recreation Vehicle Industry Association ("RVIA").</w:t>
      </w:r>
    </w:p>
    <w:p>
      <w:pPr>
        <w:spacing w:after="0" w:line="5" w:lineRule="exact"/>
        <w:rPr>
          <w:rFonts w:ascii="Arial" w:cs="Arial" w:eastAsia="Arial" w:hAnsi="Arial"/>
          <w:sz w:val="16"/>
          <w:szCs w:val="16"/>
          <w:color w:val="auto"/>
        </w:rPr>
      </w:pPr>
    </w:p>
    <w:p>
      <w:pPr>
        <w:ind w:left="560" w:hanging="228"/>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Retail unit registrations - Consumer purchases of RVs from dealers, which is reported monthly by Stat Surveys.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these key statistics for the rolling 12 months through August as of 2021 and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US and Canada Industry</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8"/>
        </w:trPr>
        <w:tc>
          <w:tcPr>
            <w:tcW w:w="1500" w:type="dxa"/>
            <w:vAlign w:val="bottom"/>
          </w:tcPr>
          <w:p>
            <w:pPr>
              <w:spacing w:after="0"/>
              <w:rPr>
                <w:sz w:val="18"/>
                <w:szCs w:val="18"/>
                <w:color w:val="auto"/>
              </w:rPr>
            </w:pPr>
          </w:p>
        </w:tc>
        <w:tc>
          <w:tcPr>
            <w:tcW w:w="3780" w:type="dxa"/>
            <w:vAlign w:val="bottom"/>
            <w:gridSpan w:val="8"/>
          </w:tcPr>
          <w:p>
            <w:pPr>
              <w:jc w:val="center"/>
              <w:ind w:left="899"/>
              <w:spacing w:after="0"/>
              <w:rPr>
                <w:sz w:val="20"/>
                <w:szCs w:val="20"/>
                <w:color w:val="auto"/>
              </w:rPr>
            </w:pPr>
            <w:r>
              <w:rPr>
                <w:rFonts w:ascii="Arial" w:cs="Arial" w:eastAsia="Arial" w:hAnsi="Arial"/>
                <w:sz w:val="16"/>
                <w:szCs w:val="16"/>
                <w:b w:val="1"/>
                <w:bCs w:val="1"/>
                <w:color w:val="auto"/>
              </w:rPr>
              <w:t>Wholesale Unit Shipments per RVIA</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9"/>
          </w:tcPr>
          <w:p>
            <w:pPr>
              <w:jc w:val="center"/>
              <w:spacing w:after="0"/>
              <w:rPr>
                <w:sz w:val="20"/>
                <w:szCs w:val="20"/>
                <w:color w:val="auto"/>
              </w:rPr>
            </w:pPr>
            <w:r>
              <w:rPr>
                <w:rFonts w:ascii="Arial" w:cs="Arial" w:eastAsia="Arial" w:hAnsi="Arial"/>
                <w:sz w:val="16"/>
                <w:szCs w:val="16"/>
                <w:b w:val="1"/>
                <w:bCs w:val="1"/>
                <w:color w:val="auto"/>
              </w:rPr>
              <w:t>Retail Unit Registrations per Stat Surveys</w:t>
            </w:r>
          </w:p>
        </w:tc>
      </w:tr>
      <w:tr>
        <w:trPr>
          <w:trHeight w:val="218"/>
        </w:trPr>
        <w:tc>
          <w:tcPr>
            <w:tcW w:w="15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6"/>
                <w:szCs w:val="16"/>
                <w:b w:val="1"/>
                <w:bCs w:val="1"/>
                <w:color w:val="auto"/>
              </w:rPr>
              <w:t>Rolling 12 Months through August</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6"/>
                <w:szCs w:val="16"/>
                <w:b w:val="1"/>
                <w:bCs w:val="1"/>
                <w:color w:val="auto"/>
              </w:rPr>
              <w:t>Rolling 12 Months through August</w:t>
            </w:r>
          </w:p>
        </w:tc>
        <w:tc>
          <w:tcPr>
            <w:tcW w:w="1020" w:type="dxa"/>
            <w:vAlign w:val="bottom"/>
            <w:tcBorders>
              <w:bottom w:val="single" w:sz="8" w:color="auto"/>
            </w:tcBorders>
          </w:tcPr>
          <w:p>
            <w:pPr>
              <w:spacing w:after="0"/>
              <w:rPr>
                <w:sz w:val="18"/>
                <w:szCs w:val="18"/>
                <w:color w:val="auto"/>
              </w:rPr>
            </w:pPr>
          </w:p>
        </w:tc>
      </w:tr>
      <w:tr>
        <w:trPr>
          <w:trHeight w:val="212"/>
        </w:trPr>
        <w:tc>
          <w:tcPr>
            <w:tcW w:w="1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15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Towable</w:t>
            </w:r>
            <w:r>
              <w:rPr>
                <w:rFonts w:ascii="Arial" w:cs="Arial" w:eastAsia="Arial" w:hAnsi="Arial"/>
                <w:sz w:val="21"/>
                <w:szCs w:val="21"/>
                <w:b w:val="1"/>
                <w:bCs w:val="1"/>
                <w:color w:val="auto"/>
                <w:vertAlign w:val="superscript"/>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503,516</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338,602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48.7 %</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514,769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415,827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23.8 %</w:t>
            </w:r>
          </w:p>
        </w:tc>
      </w:tr>
      <w:tr>
        <w:trPr>
          <w:trHeight w:val="216"/>
        </w:trPr>
        <w:tc>
          <w:tcPr>
            <w:tcW w:w="15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Motorhome</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54,001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38,680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39.6 %</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49,722</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12.7 %</w:t>
            </w:r>
          </w:p>
        </w:tc>
      </w:tr>
      <w:tr>
        <w:trPr>
          <w:trHeight w:val="230"/>
        </w:trPr>
        <w:tc>
          <w:tcPr>
            <w:tcW w:w="1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Combined</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557,517</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377,282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570,810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465,549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22.6 %</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2"/>
          <w:szCs w:val="12"/>
          <w:color w:val="auto"/>
        </w:rPr>
        <w:t>Towable: Fifth wheel and travel trailer products.</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2"/>
          <w:szCs w:val="12"/>
          <w:color w:val="auto"/>
        </w:rPr>
        <w:t>Motorhome: Class A, B and C products.</w:t>
      </w:r>
    </w:p>
    <w:p>
      <w:pPr>
        <w:spacing w:after="0" w:line="217"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Wholesale unit shipments have experienced growth (after the initial industry-wide shutdown of RV manufacturing for a six-week period beginning the last week of March 2020) due to high levels of end consumer demand and extremely low levels of dealer inventories, most notably in the towables segment, as consumers considered RVs a safe travel option during the COVID-19 pandemic. The rolling twelve months retail information for 2021 and 2020 illustrates that retail sales remain at healthy levels relative to the industry's historical retail levels. We believe retail demand is the key driver to continued growth in the industry.</w:t>
      </w:r>
    </w:p>
    <w:p>
      <w:pPr>
        <w:spacing w:after="0" w:line="24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most recent RVIA wholesale shipment forecasts for calendar year 2022, as noted in the table below, indicate that industry shipments are expected to experience growth in 2022. The retail activity is anticipated to remain at healthy levels and wholesale shipments are expected to increase further associated with dealers rebuilding their inventories and the supply chain increasing capacity to serve the growth of the RV industry.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4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rPr>
              <w:t>Calendar Year</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Wholesale Unit Shipment Forecast per RVIA</w:t>
            </w:r>
            <w:r>
              <w:rPr>
                <w:rFonts w:ascii="Arial" w:cs="Arial" w:eastAsia="Arial" w:hAnsi="Arial"/>
                <w:sz w:val="21"/>
                <w:szCs w:val="21"/>
                <w:b w:val="1"/>
                <w:bCs w:val="1"/>
                <w:color w:val="auto"/>
                <w:vertAlign w:val="superscript"/>
              </w:rPr>
              <w:t>(1)</w:t>
            </w:r>
          </w:p>
        </w:tc>
        <w:tc>
          <w:tcPr>
            <w:tcW w:w="1180" w:type="dxa"/>
            <w:vAlign w:val="bottom"/>
          </w:tcPr>
          <w:p>
            <w:pPr>
              <w:jc w:val="right"/>
              <w:ind w:right="339"/>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0" w:type="dxa"/>
            <w:vAlign w:val="bottom"/>
          </w:tcPr>
          <w:p>
            <w:pPr>
              <w:jc w:val="right"/>
              <w:ind w:right="339"/>
              <w:spacing w:after="0" w:line="158"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Unit Change</w:t>
            </w: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6240" w:type="dxa"/>
            <w:vAlign w:val="bottom"/>
            <w:vMerge w:val="continue"/>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Forecast</w:t>
            </w:r>
          </w:p>
        </w:tc>
        <w:tc>
          <w:tcPr>
            <w:tcW w:w="1300" w:type="dxa"/>
            <w:vAlign w:val="bottom"/>
            <w:gridSpan w:val="2"/>
          </w:tcPr>
          <w:p>
            <w:pPr>
              <w:ind w:left="260"/>
              <w:spacing w:after="0"/>
              <w:rPr>
                <w:sz w:val="20"/>
                <w:szCs w:val="20"/>
                <w:color w:val="auto"/>
              </w:rPr>
            </w:pPr>
            <w:r>
              <w:rPr>
                <w:rFonts w:ascii="Arial" w:cs="Arial" w:eastAsia="Arial" w:hAnsi="Arial"/>
                <w:sz w:val="16"/>
                <w:szCs w:val="16"/>
                <w:b w:val="1"/>
                <w:bCs w:val="1"/>
                <w:color w:val="auto"/>
              </w:rPr>
              <w:t>Forecast</w:t>
            </w:r>
          </w:p>
        </w:tc>
        <w:tc>
          <w:tcPr>
            <w:tcW w:w="118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Aggressive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614,100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587,400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26,700</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Most likely</w:t>
            </w:r>
          </w:p>
        </w:tc>
        <w:tc>
          <w:tcPr>
            <w:tcW w:w="1180" w:type="dxa"/>
            <w:vAlign w:val="bottom"/>
          </w:tcPr>
          <w:p>
            <w:pPr>
              <w:jc w:val="right"/>
              <w:spacing w:after="0"/>
              <w:rPr>
                <w:sz w:val="20"/>
                <w:szCs w:val="20"/>
                <w:color w:val="auto"/>
              </w:rPr>
            </w:pPr>
            <w:r>
              <w:rPr>
                <w:rFonts w:ascii="Arial" w:cs="Arial" w:eastAsia="Arial" w:hAnsi="Arial"/>
                <w:sz w:val="16"/>
                <w:szCs w:val="16"/>
                <w:color w:val="auto"/>
              </w:rPr>
              <w:t>600,200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577,200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Conservative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586,300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Prepared by ITR Economics for RVIA and reported in the Roadsigns RV Fall 2021 Industry Forecast Issue.</w:t>
      </w:r>
    </w:p>
    <w:p>
      <w:pPr>
        <w:spacing w:after="0" w:line="230"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The RV industry continues to experience supply shortages and shipping delays of raw material components. While we continue to manage through these supply disruptions, they have impacted our ability to increase production to meet existing demand in the current fiscal year. If these shortages and delays worsen, we could experience a negative impact on our sales and earnings in the future.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Share</w:t>
      </w:r>
    </w:p>
    <w:p>
      <w:pPr>
        <w:spacing w:after="0" w:line="13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Market share is calculated by taking our brands total unit sales divided by the total units sold in the motorized and travel trailer and fifth wheel markets. The data is used to analyze growth and profitability of our products and brands year over year. This data is subject to adjustment and is continuously updated.</w:t>
      </w:r>
    </w:p>
    <w:tbl>
      <w:tblPr>
        <w:tblLayout w:type="fixed"/>
        <w:tblInd w:w="0" w:type="dxa"/>
        <w:tblCellMar>
          <w:top w:w="0" w:type="dxa"/>
          <w:left w:w="0" w:type="dxa"/>
          <w:bottom w:w="0" w:type="dxa"/>
          <w:right w:w="0" w:type="dxa"/>
        </w:tblCellMar>
      </w:tblPr>
      <w:tr>
        <w:trPr>
          <w:trHeight w:val="172"/>
        </w:trPr>
        <w:tc>
          <w:tcPr>
            <w:tcW w:w="4480" w:type="dxa"/>
            <w:vAlign w:val="bottom"/>
          </w:tcPr>
          <w:p>
            <w:pPr>
              <w:spacing w:after="0"/>
              <w:rPr>
                <w:sz w:val="14"/>
                <w:szCs w:val="14"/>
                <w:color w:val="auto"/>
              </w:rPr>
            </w:pPr>
          </w:p>
        </w:tc>
        <w:tc>
          <w:tcPr>
            <w:tcW w:w="2720" w:type="dxa"/>
            <w:vAlign w:val="bottom"/>
            <w:gridSpan w:val="5"/>
          </w:tcPr>
          <w:p>
            <w:pPr>
              <w:jc w:val="center"/>
              <w:ind w:right="100"/>
              <w:spacing w:after="0" w:line="172" w:lineRule="exact"/>
              <w:rPr>
                <w:sz w:val="20"/>
                <w:szCs w:val="20"/>
                <w:color w:val="auto"/>
              </w:rPr>
            </w:pPr>
            <w:r>
              <w:rPr>
                <w:rFonts w:ascii="Arial" w:cs="Arial" w:eastAsia="Arial" w:hAnsi="Arial"/>
                <w:sz w:val="16"/>
                <w:szCs w:val="16"/>
                <w:b w:val="1"/>
                <w:bCs w:val="1"/>
                <w:color w:val="auto"/>
              </w:rPr>
              <w:t>Rolling 12 Months through</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Calendar Year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August</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US and Canada</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line="211" w:lineRule="exact"/>
              <w:rPr>
                <w:sz w:val="20"/>
                <w:szCs w:val="20"/>
                <w:color w:val="auto"/>
              </w:rPr>
            </w:pPr>
            <w:r>
              <w:rPr>
                <w:rFonts w:ascii="Arial" w:cs="Arial" w:eastAsia="Arial" w:hAnsi="Arial"/>
                <w:sz w:val="16"/>
                <w:szCs w:val="16"/>
                <w:b w:val="1"/>
                <w:bCs w:val="1"/>
                <w:color w:val="auto"/>
              </w:rPr>
              <w:t>2020</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299"/>
              <w:spacing w:after="0" w:line="211"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 and fifth wheels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Motorhome A, B, C</w:t>
            </w:r>
          </w:p>
        </w:tc>
        <w:tc>
          <w:tcPr>
            <w:tcW w:w="1260" w:type="dxa"/>
            <w:vAlign w:val="bottom"/>
          </w:tcPr>
          <w:p>
            <w:pPr>
              <w:jc w:val="right"/>
              <w:spacing w:after="0"/>
              <w:rPr>
                <w:sz w:val="20"/>
                <w:szCs w:val="20"/>
                <w:color w:val="auto"/>
              </w:rPr>
            </w:pPr>
            <w:r>
              <w:rPr>
                <w:rFonts w:ascii="Arial" w:cs="Arial" w:eastAsia="Arial" w:hAnsi="Arial"/>
                <w:sz w:val="16"/>
                <w:szCs w:val="16"/>
                <w:color w:val="auto"/>
              </w:rPr>
              <w:t>19.9 %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16.1 %</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market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2"/>
          <w:szCs w:val="12"/>
          <w:color w:val="auto"/>
        </w:rPr>
        <w:t>Includes retail unit market share for Newmar since its acquisition on November 8, 2019.</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Fiscal 2021 Compared to Fiscal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3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28, 2021 compared to the fiscal year ended August 29, 2020:</w:t>
      </w:r>
    </w:p>
    <w:tbl>
      <w:tblPr>
        <w:tblLayout w:type="fixed"/>
        <w:tblInd w:w="0" w:type="dxa"/>
        <w:tblCellMar>
          <w:top w:w="0" w:type="dxa"/>
          <w:left w:w="0" w:type="dxa"/>
          <w:bottom w:w="0" w:type="dxa"/>
          <w:right w:w="0" w:type="dxa"/>
        </w:tblCellMar>
      </w:tblPr>
      <w:tr>
        <w:trPr>
          <w:trHeight w:val="158"/>
        </w:trPr>
        <w:tc>
          <w:tcPr>
            <w:tcW w:w="2960" w:type="dxa"/>
            <w:vAlign w:val="bottom"/>
          </w:tcPr>
          <w:p>
            <w:pPr>
              <w:ind w:left="20"/>
              <w:spacing w:after="0" w:line="158" w:lineRule="exact"/>
              <w:rPr>
                <w:sz w:val="20"/>
                <w:szCs w:val="20"/>
                <w:color w:val="auto"/>
              </w:rPr>
            </w:pPr>
            <w:r>
              <w:rPr>
                <w:rFonts w:ascii="Arial" w:cs="Arial" w:eastAsia="Arial" w:hAnsi="Arial"/>
                <w:sz w:val="14"/>
                <w:szCs w:val="14"/>
                <w:color w:val="auto"/>
              </w:rPr>
              <w:t>(in thousands, except percent and per share</w:t>
            </w:r>
          </w:p>
        </w:tc>
        <w:tc>
          <w:tcPr>
            <w:tcW w:w="320" w:type="dxa"/>
            <w:vAlign w:val="bottom"/>
          </w:tcPr>
          <w:p>
            <w:pPr>
              <w:spacing w:after="0"/>
              <w:rPr>
                <w:sz w:val="13"/>
                <w:szCs w:val="13"/>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00" w:type="dxa"/>
            <w:vAlign w:val="bottom"/>
          </w:tcPr>
          <w:p>
            <w:pPr>
              <w:spacing w:after="0"/>
              <w:rPr>
                <w:sz w:val="13"/>
                <w:szCs w:val="13"/>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1"/>
        </w:trPr>
        <w:tc>
          <w:tcPr>
            <w:tcW w:w="2960" w:type="dxa"/>
            <w:vAlign w:val="bottom"/>
          </w:tcPr>
          <w:p>
            <w:pPr>
              <w:ind w:left="20"/>
              <w:spacing w:after="0"/>
              <w:rPr>
                <w:sz w:val="20"/>
                <w:szCs w:val="20"/>
                <w:color w:val="auto"/>
              </w:rPr>
            </w:pPr>
            <w:r>
              <w:rPr>
                <w:rFonts w:ascii="Arial" w:cs="Arial" w:eastAsia="Arial" w:hAnsi="Arial"/>
                <w:sz w:val="14"/>
                <w:szCs w:val="14"/>
                <w:color w:val="auto"/>
              </w:rPr>
              <w:t>data)</w:t>
            </w: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3,629,847</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2,355,533</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1,274,314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54.1 %</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2,979,484</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82.1 %</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2,042,605</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936,879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45.9 %</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650,363</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312,928</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337,435</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107.8 %</w:t>
            </w:r>
          </w:p>
        </w:tc>
        <w:tc>
          <w:tcPr>
            <w:tcW w:w="0" w:type="dxa"/>
            <w:vAlign w:val="bottom"/>
          </w:tcPr>
          <w:p>
            <w:pPr>
              <w:spacing w:after="0"/>
              <w:rPr>
                <w:sz w:val="1"/>
                <w:szCs w:val="1"/>
                <w:color w:val="auto"/>
              </w:rPr>
            </w:pPr>
          </w:p>
        </w:tc>
      </w:tr>
      <w:tr>
        <w:trPr>
          <w:trHeight w:val="157"/>
        </w:trPr>
        <w:tc>
          <w:tcPr>
            <w:tcW w:w="296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6"/>
                <w:szCs w:val="16"/>
                <w:color w:val="auto"/>
              </w:rPr>
              <w:t>expenses ("SG&amp;A")</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228,581</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177,061</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51,520</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29.1 %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(7,743)</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242,942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199,165</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43,777</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22.0 %</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407,421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113,763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293,658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258.1 %</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40,365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37,461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367,450</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77,276</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290,174</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375.5 %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85,579</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15,834</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69,745</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440.5 %</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281,871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61,442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220,429</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358.8 %</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350.0 %</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Fiscal 2020 results were negatively impacted by the unprecedented series of events related to the COVID-19 pandemic, which included the suspension of the Company's manufacturing operations as well as disruptions across our dealer network, supply chain and end consumers during most of the third quarter.</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Net revenues increased primarily due to organic unit sales growth, the annualized impact from our Newmar acquisition, which took place in the first quarter of Fiscal 2020, price increases and lower discounts and allowances, partially offset by unfavorable segment mix.</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Gross profit as a percentage of revenue increased primarily due to improved leverage as a result of higher revenues, price increases, lower discounts and allowances, and favorable segment mix.</w:t>
      </w:r>
    </w:p>
    <w:p>
      <w:pPr>
        <w:spacing w:after="0" w:line="222" w:lineRule="exact"/>
        <w:rPr>
          <w:sz w:val="20"/>
          <w:szCs w:val="20"/>
          <w:color w:val="auto"/>
        </w:rPr>
      </w:pPr>
    </w:p>
    <w:p>
      <w:pPr>
        <w:ind w:right="620"/>
        <w:spacing w:after="0" w:line="253" w:lineRule="auto"/>
        <w:rPr>
          <w:sz w:val="20"/>
          <w:szCs w:val="20"/>
          <w:color w:val="auto"/>
        </w:rPr>
      </w:pPr>
      <w:r>
        <w:rPr>
          <w:rFonts w:ascii="Arial" w:cs="Arial" w:eastAsia="Arial" w:hAnsi="Arial"/>
          <w:sz w:val="16"/>
          <w:szCs w:val="16"/>
          <w:color w:val="auto"/>
        </w:rPr>
        <w:t>Operating expenses increased primarily due to an increase in enterprise-wide variable compensation, higher selling costs and a full year of Newmar operating costs, partially offset by a decrease in acquisition-related costs compared to the prior year, a gain on sales of assets and lower Newmar amortization expense in the current year.</w:t>
      </w:r>
    </w:p>
    <w:p>
      <w:pPr>
        <w:spacing w:after="0" w:line="22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Interest expense increased primarily due to a higher interest rate on the refinancing of our Term Loan in the fourth quarter of Fiscal 2020 (as described in Note 9 to the Notes to Consolidated Financial Statements, included in Item 8 of Part II in this Annual Report on Form 10-K).</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effective tax rate increased to 23.3% in Fiscal 2021 compared to 20.5% in Fiscal 2020 primarily due to relatively consistent year-over-year tax credits on higher pretax income in Fiscal 2021.</w:t>
      </w:r>
    </w:p>
    <w:p>
      <w:pPr>
        <w:spacing w:after="0" w:line="22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Net income and diluted earnings per share increased primarily due to leverage from higher revenues, partially offset by higher operating expenses and a higher effective tax rate.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Fiscal 2021 and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61,442</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40,365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37,461</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15,834</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15,997</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w:t>
            </w:r>
          </w:p>
        </w:tc>
      </w:tr>
      <w:tr>
        <w:trPr>
          <w:trHeight w:val="210"/>
        </w:trPr>
        <w:tc>
          <w:tcPr>
            <w:tcW w:w="7640" w:type="dxa"/>
            <w:vAlign w:val="bottom"/>
          </w:tcPr>
          <w:p>
            <w:pPr>
              <w:ind w:left="140"/>
              <w:spacing w:after="0"/>
              <w:rPr>
                <w:sz w:val="20"/>
                <w:szCs w:val="20"/>
                <w:color w:val="auto"/>
              </w:rPr>
            </w:pPr>
            <w:r>
              <w:rPr>
                <w:rFonts w:ascii="Arial" w:cs="Arial" w:eastAsia="Arial" w:hAnsi="Arial"/>
                <w:sz w:val="16"/>
                <w:szCs w:val="16"/>
                <w:color w:val="auto"/>
              </w:rPr>
              <w:t>EBITDA</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440,377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152,838</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9,761</w:t>
            </w:r>
          </w:p>
        </w:tc>
      </w:tr>
      <w:tr>
        <w:trPr>
          <w:trHeight w:val="219"/>
        </w:trPr>
        <w:tc>
          <w:tcPr>
            <w:tcW w:w="76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b w:val="1"/>
                <w:bCs w:val="1"/>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r>
      <w:tr>
        <w:trPr>
          <w:trHeight w:val="212"/>
        </w:trPr>
        <w:tc>
          <w:tcPr>
            <w:tcW w:w="764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436,067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168,075</w:t>
            </w:r>
          </w:p>
        </w:tc>
      </w:tr>
      <w:tr>
        <w:trPr>
          <w:trHeight w:val="21"/>
        </w:trPr>
        <w:tc>
          <w:tcPr>
            <w:tcW w:w="7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Balance excludes depreciation expense classified as restructuring as the balance is already included in the EBITDA calculation.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97"/>
        </w:trPr>
        <w:tc>
          <w:tcPr>
            <w:tcW w:w="3160" w:type="dxa"/>
            <w:vAlign w:val="bottom"/>
          </w:tcPr>
          <w:p>
            <w:pPr>
              <w:spacing w:after="0"/>
              <w:rPr>
                <w:sz w:val="20"/>
                <w:szCs w:val="20"/>
                <w:color w:val="auto"/>
              </w:rPr>
            </w:pPr>
            <w:r>
              <w:rPr>
                <w:rFonts w:ascii="Arial" w:cs="Arial" w:eastAsia="Arial" w:hAnsi="Arial"/>
                <w:sz w:val="16"/>
                <w:szCs w:val="16"/>
                <w:i w:val="1"/>
                <w:iCs w:val="1"/>
                <w:color w:val="auto"/>
              </w:rPr>
              <w:t>Towable</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7"/>
        </w:trPr>
        <w:tc>
          <w:tcPr>
            <w:tcW w:w="7440" w:type="dxa"/>
            <w:vAlign w:val="bottom"/>
            <w:gridSpan w:val="8"/>
          </w:tcPr>
          <w:p>
            <w:pPr>
              <w:spacing w:after="0"/>
              <w:rPr>
                <w:sz w:val="20"/>
                <w:szCs w:val="20"/>
                <w:color w:val="auto"/>
              </w:rPr>
            </w:pPr>
            <w:r>
              <w:rPr>
                <w:rFonts w:ascii="Arial" w:cs="Arial" w:eastAsia="Arial" w:hAnsi="Arial"/>
                <w:sz w:val="16"/>
                <w:szCs w:val="16"/>
                <w:color w:val="auto"/>
              </w:rPr>
              <w:t>The following is an analysis of key changes in our Towable segment for Fiscal 2021 and 2020:</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ASP and units)</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 Change</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2,009,959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1,227,567</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782,392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63.7 %</w:t>
            </w: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289,007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148,276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140,731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94.9 %</w:t>
            </w:r>
          </w:p>
        </w:tc>
      </w:tr>
      <w:tr>
        <w:trPr>
          <w:trHeight w:val="219"/>
        </w:trPr>
        <w:tc>
          <w:tcPr>
            <w:tcW w:w="3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8"/>
        </w:trPr>
        <w:tc>
          <w:tcPr>
            <w:tcW w:w="316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33,271</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32,607</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380"/>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380" w:type="dxa"/>
            <w:vAlign w:val="bottom"/>
          </w:tcPr>
          <w:p>
            <w:pPr>
              <w:spacing w:after="0"/>
              <w:rPr>
                <w:sz w:val="24"/>
                <w:szCs w:val="24"/>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4"/>
                <w:szCs w:val="24"/>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Unit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23,184</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72.3 %</w:t>
            </w:r>
          </w:p>
        </w:tc>
      </w:tr>
      <w:tr>
        <w:trPr>
          <w:trHeight w:val="21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20,163</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14,706</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37.1 %</w:t>
            </w:r>
          </w:p>
        </w:tc>
      </w:tr>
      <w:tr>
        <w:trPr>
          <w:trHeight w:val="233"/>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w:t>
            </w: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60,106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37,890</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58.6 %</w:t>
            </w:r>
          </w:p>
        </w:tc>
      </w:tr>
      <w:tr>
        <w:trPr>
          <w:trHeight w:val="20"/>
        </w:trPr>
        <w:tc>
          <w:tcPr>
            <w:tcW w:w="31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76"/>
        </w:trPr>
        <w:tc>
          <w:tcPr>
            <w:tcW w:w="3160" w:type="dxa"/>
            <w:vAlign w:val="bottom"/>
          </w:tcPr>
          <w:p>
            <w:pPr>
              <w:spacing w:after="0"/>
              <w:rPr>
                <w:sz w:val="24"/>
                <w:szCs w:val="24"/>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316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Units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46,590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24,903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21,687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87.1 %</w:t>
            </w:r>
          </w:p>
        </w:tc>
      </w:tr>
      <w:tr>
        <w:trPr>
          <w:trHeight w:val="219"/>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1,704,393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747,925</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956,468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127.9 %</w:t>
            </w: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bl>
    <w:p>
      <w:pPr>
        <w:spacing w:after="0" w:line="60"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300" w:hanging="292"/>
        <w:spacing w:after="0" w:line="189" w:lineRule="auto"/>
        <w:tabs>
          <w:tab w:leader="none" w:pos="300" w:val="left"/>
        </w:tabs>
        <w:numPr>
          <w:ilvl w:val="0"/>
          <w:numId w:val="17"/>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right="160" w:hanging="252"/>
        <w:spacing w:after="0" w:line="199" w:lineRule="auto"/>
        <w:tabs>
          <w:tab w:leader="none" w:pos="305" w:val="left"/>
        </w:tabs>
        <w:numPr>
          <w:ilvl w:val="0"/>
          <w:numId w:val="18"/>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can be cancelled or postponed at the option of the dealer at any time without penalty; therefore, backlog may not necessarily be an accurate measure of future sales.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in Fiscal 2021 compared to Fiscal 2020 primarily due to increased unit sales and pricing.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ASP increased in Fiscal 2021 compared to Fiscal 2020 due to pricing actions taken during Fiscal 2021, partially offset by unfavorable product mix.</w:t>
      </w:r>
    </w:p>
    <w:p>
      <w:pPr>
        <w:spacing w:after="0" w:line="2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Adjusted EBITDA increased in Fiscal 2021 compared to Fiscal 2020 primarily due to operating leverage on an increase in unit sales, partially offset by higher operating expenses and higher variable compensation expense.</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Unit deliveries increased in Fiscal 2021 compared to Fiscal 2020 representing an increase in organic volume growth. Our Towable segment market share increased from 10.0% to 11.7% when comparing retail registrations during the twelve-month trailing periods ended August 2020 and August 2021.</w:t>
      </w:r>
    </w:p>
    <w:p>
      <w:pPr>
        <w:spacing w:after="0" w:line="222"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We have seen an increase in the volumes and dollar value of backlog as of August 28, 2021 compared to August 29, 2020 as a result of continued strong retail demand, as well as an increase in demand for our products reflected in our increase in market share.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Fiscal 2021 and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ASP and units)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 Change</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1,539,084</w:t>
            </w:r>
          </w:p>
        </w:tc>
        <w:tc>
          <w:tcPr>
            <w:tcW w:w="15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1,056,794</w:t>
            </w:r>
          </w:p>
        </w:tc>
        <w:tc>
          <w:tcPr>
            <w:tcW w:w="15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482,290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45.6 %</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169,205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32,949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136,256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413.5 %</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34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138,999</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130,098</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8,901</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367"/>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5,431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49.8 %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3,351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41.3 %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62.1 %</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13"/>
        </w:trPr>
        <w:tc>
          <w:tcPr>
            <w:tcW w:w="3460" w:type="dxa"/>
            <w:vAlign w:val="bottom"/>
          </w:tcPr>
          <w:p>
            <w:pPr>
              <w:ind w:left="140"/>
              <w:spacing w:after="0"/>
              <w:rPr>
                <w:sz w:val="20"/>
                <w:szCs w:val="20"/>
                <w:color w:val="auto"/>
              </w:rPr>
            </w:pPr>
            <w:r>
              <w:rPr>
                <w:rFonts w:ascii="Arial" w:cs="Arial" w:eastAsia="Arial" w:hAnsi="Arial"/>
                <w:sz w:val="16"/>
                <w:szCs w:val="16"/>
                <w:color w:val="auto"/>
              </w:rPr>
              <w:t>Total Motorhome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10,909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8,105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34.6 %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August 28,</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29,</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18,254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8,463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9,791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115.7 %</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2,303,504</w:t>
            </w:r>
          </w:p>
        </w:tc>
        <w:tc>
          <w:tcPr>
            <w:tcW w:w="15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1,051,415</w:t>
            </w:r>
          </w:p>
        </w:tc>
        <w:tc>
          <w:tcPr>
            <w:tcW w:w="15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1,252,089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119.1 %</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300" w:hanging="292"/>
        <w:spacing w:after="0" w:line="187" w:lineRule="auto"/>
        <w:tabs>
          <w:tab w:leader="none" w:pos="300" w:val="left"/>
        </w:tabs>
        <w:numPr>
          <w:ilvl w:val="0"/>
          <w:numId w:val="19"/>
        </w:numPr>
        <w:rPr>
          <w:rFonts w:ascii="Arial" w:cs="Arial" w:eastAsia="Arial" w:hAnsi="Arial"/>
          <w:sz w:val="18"/>
          <w:szCs w:val="18"/>
          <w:color w:val="auto"/>
          <w:vertAlign w:val="superscript"/>
        </w:rPr>
      </w:pPr>
      <w:r>
        <w:rPr>
          <w:rFonts w:ascii="Arial" w:cs="Arial" w:eastAsia="Arial" w:hAnsi="Arial"/>
          <w:sz w:val="12"/>
          <w:szCs w:val="12"/>
          <w:color w:val="auto"/>
        </w:rPr>
        <w:t>Percentages may not add due to rounding differences.</w:t>
      </w:r>
    </w:p>
    <w:p>
      <w:pPr>
        <w:ind w:left="260" w:right="160" w:hanging="252"/>
        <w:spacing w:after="0" w:line="199" w:lineRule="auto"/>
        <w:tabs>
          <w:tab w:leader="none" w:pos="305"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can be cancelled or postponed at the option of the dealer at any time without penalty; therefore, backlog may not necessarily be an accurate measure of future sales.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in Fiscal 2021 compared to Fiscal 2020 primarily due to unit sales growth and pricing, including lower allowances.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Average selling price increased in Fiscal 2021 compared to Fiscal 2020 primarily due to price increases, partially offset by unfavorable product mix.</w:t>
      </w:r>
    </w:p>
    <w:p>
      <w:pPr>
        <w:spacing w:after="0" w:line="24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Adjusted EBITDA increased in Fiscal 2021 compared to Fiscal 2020 primarily due to improved operating leverage on higher revenue as well as increased pricing and lower allowances, partially offset by investments in the business and higher variable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Unit deliveries increased in Fiscal 2021 compared to Fiscal 2020 representing an increase in organic volume growth. Our Motorhome segment market share decreased slightly, from 20.3% to 19.9%, when comparing retail registrations during the twelve-month trailing periods ended August 2020 and August 2021.</w:t>
      </w:r>
    </w:p>
    <w:p>
      <w:pPr>
        <w:spacing w:after="0" w:line="22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have seen an increase in the volume and dollar value of backlog as of August 28, 2021 compared to August 29, 2020 primarily due to continued strong retail demand due to the perceived safety of RV travel and reduction in commercial air travel and cruises. These have resulted in historically low dealer inventory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total operations for Fiscal 2021 and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46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237,279</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Pr>
          <w:p>
            <w:pPr>
              <w:jc w:val="center"/>
              <w:ind w:left="599"/>
              <w:spacing w:after="0"/>
              <w:rPr>
                <w:sz w:val="20"/>
                <w:szCs w:val="20"/>
                <w:color w:val="auto"/>
              </w:rPr>
            </w:pPr>
            <w:r>
              <w:rPr>
                <w:rFonts w:ascii="Arial" w:cs="Arial" w:eastAsia="Arial" w:hAnsi="Arial"/>
                <w:sz w:val="16"/>
                <w:szCs w:val="16"/>
                <w:color w:val="auto"/>
              </w:rPr>
              <w:t>270,434</w:t>
            </w: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rPr>
              <w:t>(293,076)</w:t>
            </w:r>
          </w:p>
        </w:tc>
      </w:tr>
      <w:tr>
        <w:trPr>
          <w:trHeight w:val="213"/>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activities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(62,282)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rPr>
              <w:t>277,786</w:t>
            </w:r>
          </w:p>
        </w:tc>
      </w:tr>
      <w:tr>
        <w:trPr>
          <w:trHeight w:val="237"/>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increase in cash and cash equivalents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center"/>
              <w:ind w:left="599"/>
              <w:spacing w:after="0"/>
              <w:rPr>
                <w:sz w:val="20"/>
                <w:szCs w:val="20"/>
                <w:color w:val="auto"/>
              </w:rPr>
            </w:pPr>
            <w:r>
              <w:rPr>
                <w:rFonts w:ascii="Arial" w:cs="Arial" w:eastAsia="Arial" w:hAnsi="Arial"/>
                <w:sz w:val="16"/>
                <w:szCs w:val="16"/>
                <w:color w:val="auto"/>
              </w:rPr>
              <w:t>255,144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2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Cash provided by operating activities decreased in Fiscal 2021 compared to Fiscal 2020 due to investments in working capital to support current year revenue growth, including higher inventory to support customer demand and manage supply chain constraints, and timing of accounts receivable/collections and payments on accounts payable, partially offset by higher profitability and higher enterprise-wide variable compensation in Fiscal 2021.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9"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Cash used in investing activities decreased in Fiscal 2021 compared to Fiscal 2020 primarily due to the use of cash in Fiscal 2020 to acquire Newmar, partially offset by proceeds received from the sale of property in Junction City, Oregon.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Cash was used by financing activities in Fiscal 2021 compared to cash being provided by financing activities in Fiscal 2020 primarily due to increased share repurchases in Fiscal 2021 compared to cash received from the issuance of the Convertible Notes to finance the Newmar acquisition in Fiscal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and Capital</w:t>
      </w:r>
    </w:p>
    <w:p>
      <w:pPr>
        <w:spacing w:after="0" w:line="133"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During the first quarter of Fiscal 2020, we issued the Convertible Notes, which were used to partially fund the Newmar acquisition. Refer to Note 9 to the Notes to Consolidated Financial Statements, included in Item 8 of Part II in this Annual Report on Form 10-K for additional details.</w:t>
      </w:r>
    </w:p>
    <w:p>
      <w:pPr>
        <w:spacing w:after="0" w:line="222"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As of July 8, 2020, we closed our private offering (the "Senior Secured Notes Offering") of $300.0 million in aggregate principal amount of 6.25% Senior Secured Notes due 2028 (the "Senior Secured Notes"). The proceeds from the Senior Secured Notes were used to repay the remaining debt on the Term Loan and for general corporate purposes. Refer to Note 9 to the Notes to Consolidated Financial Statements, included in Item 8 of Part II in this Annual Report on Form 10-K for additional details.</w:t>
      </w:r>
    </w:p>
    <w:p>
      <w:pPr>
        <w:spacing w:after="0" w:line="229"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maintain a $192.5 million ABL Credit Facility with a maturity date of October 22, 2024 subject to certain factors which may accelerate the maturity date. As of August 28, 2021, we had $434.6 million in cash and cash equivalents and no borrowings against the ABL Credit Facility. We continue to evaluate the financial stability of the counterparties and counterparty risk for the Convertible Notes, the Senior Secured Notes, and the ABL Credit Facility.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Our cash and cash equivalent balances consist of high quality, short-term money market instruments.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Financial Measures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as of August 28, 2021 and August 29, 2020 was $651.6 million and $413.2 million,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13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anticipate capital expenditures in Fiscal 2022 of approximately $80.0 million to $90.0 million. We will continue to support organic growth through capacity expansion in our facilities and make capital improvements as necessary. We believe cash on hand, funds generated from operations, and the borrowing capacity available under our ABL Credit Facility and other debt instruments will be sufficient to support our capital expenditures.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 and Dividends</w:t>
      </w:r>
    </w:p>
    <w:p>
      <w:pPr>
        <w:spacing w:after="0" w:line="133"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reasonable liquidity, maintain a leverage ratio that reflects a prudent capital structure in light of the cyclical industries we compete in, and then return excess cash over time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to shareholders through dividends and share repurchases. Refer to Item 5 of Part 1 of this Annual Report on Form 10-K for discussion about our share repurchase program and dividend declared on August 18,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cash requirements within the next twelve months include accounts payable, accrued expenses, purchase commitments and other current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Our cash requirements greater than twelve months from various contractual obligations and commitments include: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Obligations and Interest Payments</w:t>
      </w:r>
    </w:p>
    <w:p>
      <w:pPr>
        <w:spacing w:after="0" w:line="116"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Refer to Note 9 in the Notes to Consolidated Financial Statements, included in Item 8 of Part II in this Annual Report on Form 10-K for further detail of our debt and the timing of expected future principal and interest payments. Interest payments are based on fixed interest rates for the Senior Secured Notes and Convertible Notes.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and Finance Leases</w:t>
      </w:r>
    </w:p>
    <w:p>
      <w:pPr>
        <w:spacing w:after="0" w:line="116"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Refer to Note 10 in the Notes to Consolidated Financial Statements, included in Item 8 of Part II in this Annual Report on Form 10-K for further detail of our lease obligations and the timing of expected future payments.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Compensation Obligations</w:t>
      </w:r>
    </w:p>
    <w:p>
      <w:pPr>
        <w:spacing w:after="0" w:line="116"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Refer to Note 11 in the Notes to Consolidated Financial Statements, included in Item 8 of Part II in this Annual Report on Form 10-K for further detail of our deferred compensation plans. We expect to pay $2.8 million in the next 12 months and $9.6 million beyond 12 months.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Contracted Services</w:t>
      </w:r>
    </w:p>
    <w:p>
      <w:pPr>
        <w:spacing w:after="0" w:line="116" w:lineRule="exact"/>
        <w:rPr>
          <w:sz w:val="20"/>
          <w:szCs w:val="20"/>
          <w:color w:val="auto"/>
        </w:rPr>
      </w:pPr>
    </w:p>
    <w:p>
      <w:pPr>
        <w:ind w:right="320"/>
        <w:spacing w:after="0" w:line="242" w:lineRule="auto"/>
        <w:rPr>
          <w:sz w:val="20"/>
          <w:szCs w:val="20"/>
          <w:color w:val="auto"/>
        </w:rPr>
      </w:pPr>
      <w:r>
        <w:rPr>
          <w:rFonts w:ascii="Arial" w:cs="Arial" w:eastAsia="Arial" w:hAnsi="Arial"/>
          <w:sz w:val="16"/>
          <w:szCs w:val="16"/>
          <w:color w:val="auto"/>
        </w:rPr>
        <w:t>Contracted services include agreements with third-party service providers for software, payroll services, equipment maintenance services, and audits for periods up to Fiscal 2025. We expect to pay $7.1 million beyond 12 months.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Repurchase Obligations</w:t>
      </w:r>
    </w:p>
    <w:p>
      <w:pPr>
        <w:spacing w:after="0" w:line="116"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Refer to Note 12 in the Notes to Consolidated Financial Statements, included in Item 8 of Part II in this Annual Report on Form 10-K for further detail of our contingent repurchase commitment and estimated obligation, most of which we expect to expire within one year.</w:t>
      </w:r>
    </w:p>
    <w:p>
      <w:pPr>
        <w:spacing w:after="0" w:line="223"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We expect to satisfy our short-term and long-term obligations through a combination of cash on hand, funds generated from operations, and the borrowing capacity available under our ABL Credit Facility and other debt instruments.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consolidated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believed to be relevant at the time our consolidated financial statements are prepared. Because future events and their effects cannot be determined with certainty, actual results could differ from our assumptions and estimates, and such differences could be material.</w:t>
      </w:r>
    </w:p>
    <w:p>
      <w:pPr>
        <w:spacing w:after="0" w:line="230"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Our significant accounting policies are discussed in Note 1 of the Notes to Consolidated Financial Statements, included in Item 8 of Part II in this Annual Report on Form 10-K. We believe that the following accounting policies and estimates are the most critical to aid in fully understanding and evaluating our reported financial results. These estimates require our most difficult, subjective, or complex judgments because they relate to matters that are inherently uncertain. We have reviewed these critical accounting policies and estimates and related disclosures with the Audit Committee of our Board of Directors.</w:t>
      </w:r>
    </w:p>
    <w:p>
      <w:pPr>
        <w:spacing w:after="0" w:line="22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have not made any material changes during the past three fiscal years, nor do we believe there is a reasonable likelihood of a material future change to the accounting methodologies for the areas described below.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Business Combinations</w:t>
      </w:r>
    </w:p>
    <w:p>
      <w:pPr>
        <w:spacing w:after="0" w:line="1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account for business combinations under the acquisition method of accounting. This method requires the recording of acquired assets, including separately identifiable intangible assets, and assumed liabilities at their acquisition date fair values. The excess of the purchase price over the fair value of assets acquired and liabilities assumed is recorded as goodwill. Determining the fair value of assets acquired and liabilities assumed requires management’s judgment and often involves the use of significant estimates and assumptions, including assumptions with respect to future cash flows, discount rates, royalty rates and asset lives, among other items.</w:t>
      </w:r>
    </w:p>
    <w:p>
      <w:pPr>
        <w:spacing w:after="0" w:line="2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used the income approach to value certain intangible assets. Under the income approach, an intangible asset’s fair value is equal to the present value of future economic benefits to be derived from ownership of the asset. We used the income approach</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known as the relief from royalty method to value the fair value of the trade names. The relief from royalty method is based on the hypothetical royalty stream that would be received if we were to license the trade name and was based on expected revenues. The fair value of the dealer network was estimated using an income approach known as the cost to recreate/cost savings method. This method uses the replacement of the asset as an indicator of the fair value of the asset. The determination of the fair value of other assets acquired and liabilities assumed involves assessing factors such as the expected future cash flows associated with individual assets and liabilities and appropriate discount rates at the date of the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Indefinite-lived Intangible Assets</w:t>
      </w:r>
    </w:p>
    <w:p>
      <w:pPr>
        <w:spacing w:after="0" w:line="1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test goodwill and indefinite-lived intangible assets (trade names) for impairment at least annually in the fourth quarter and more frequently if events or circumstances occur that would indicate a reduction in fair value. Our test of impairment begins by either performing a qualitative evaluation or a quantitative test:</w:t>
      </w:r>
    </w:p>
    <w:p>
      <w:pPr>
        <w:spacing w:after="0" w:line="228" w:lineRule="exact"/>
        <w:rPr>
          <w:sz w:val="20"/>
          <w:szCs w:val="20"/>
          <w:color w:val="auto"/>
        </w:rPr>
      </w:pPr>
    </w:p>
    <w:p>
      <w:pPr>
        <w:ind w:left="660" w:right="20" w:hanging="328"/>
        <w:spacing w:after="0" w:line="25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Qualitative evaluation - Performed to determine whether it is more likely than not that the carrying value of goodwill or the trade name exceeds the fair value of the asset. During our qualitative assessment, we make significant estimates, assumptions, and judgments, including, but not limited to, the macroeconomic conditions, industry and market conditions, cost factors, overall financial performance of the Company and the reporting units, changes in our share price, and relevant company-specific events. If we determine that it is more likely than not that the carrying value of goodwill exceeds the fair value of goodwill, we perform the quantitative test to determine the amount of the impairment.</w:t>
      </w:r>
    </w:p>
    <w:p>
      <w:pPr>
        <w:spacing w:after="0" w:line="229" w:lineRule="exact"/>
        <w:rPr>
          <w:rFonts w:ascii="Arial" w:cs="Arial" w:eastAsia="Arial" w:hAnsi="Arial"/>
          <w:sz w:val="16"/>
          <w:szCs w:val="16"/>
          <w:color w:val="auto"/>
        </w:rPr>
      </w:pPr>
    </w:p>
    <w:p>
      <w:pPr>
        <w:ind w:left="660" w:right="60" w:hanging="328"/>
        <w:spacing w:after="0" w:line="24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Quantitative test - Used to calculate the fair value of goodwill or the trade name. If the carrying value of goodwill or the trade name exceeds the fair value of the asset, the impairment is calculated as the difference between the carrying value and fair value. Our goodwill fair value model uses a blend of the income (discounted future cash flow) and market (guideline public company) approaches, which includes the use of significant unobservable inputs (Level 3 inputs). Our trade name fair value model uses the income (relief-from-royalty) approach, which includes the use of significant unobservable inputs (Level 3 inputs). During these valuations, we make significant estimates, assumptions, and judgments, including, current and projected future levels of income based on management’s plans, business trends, market and economic conditions, and market-participant considerations.</w:t>
      </w:r>
    </w:p>
    <w:p>
      <w:pPr>
        <w:spacing w:after="0" w:line="23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Actual results may differ from assumed and estimated amounts. As of August 28, 2021, our goodwill balance includes $244.7 million related to our Towable segment, $73.1 million related to our Motorhome segment from our Newmar acquisition, and $30.2 million related to our Corporate/All Other operating segment from our Chris-Craft acquisition, and our indefinite-lived intangible asset balance is $275.3 million. No impairments were recorded in Fiscal 2021, 2020, and 2019.</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12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We provide certain service and warranty on our products. Estimated costs related to product warranty are accrued at the time of sale and are based upon past warranty claims and unit sales history. Estimates are adjusted as needed to reflect actual costs incurred as information becomes available.</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warranty liability as of August 28, 2021 would not have a material effect on our net income.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For a summary of new applicable accounting pronouncements, see Note 1 to the Notes to Consolidated Financial Statements, included in Item 8 of Part II in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68"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33"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As of August 28, 2021, we have no interest rate swaps outstanding and the Term Loan, that had been subject to variable interest rates, was repaid in the fourth quarter of Fiscal 2020 using the proceeds from the Senior Secured Notes. The ABL Credit Facility is our only floating rate debt instrument which remains undrawn as of August 28,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67" w:lineRule="exact"/>
        <w:rPr>
          <w:sz w:val="20"/>
          <w:szCs w:val="20"/>
          <w:color w:val="auto"/>
        </w:rPr>
      </w:pPr>
    </w:p>
    <w:p>
      <w:pPr>
        <w:ind w:left="660" w:right="380" w:hanging="328"/>
        <w:spacing w:after="0" w:line="260"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41" w:lineRule="exact"/>
        <w:rPr>
          <w:rFonts w:ascii="Arial" w:cs="Arial" w:eastAsia="Arial" w:hAnsi="Arial"/>
          <w:sz w:val="16"/>
          <w:szCs w:val="16"/>
          <w:color w:val="auto"/>
        </w:rPr>
      </w:pPr>
    </w:p>
    <w:p>
      <w:pPr>
        <w:ind w:left="660" w:right="640" w:hanging="328"/>
        <w:spacing w:after="0" w:line="25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47" w:lineRule="exact"/>
        <w:rPr>
          <w:rFonts w:ascii="Arial" w:cs="Arial" w:eastAsia="Arial" w:hAnsi="Arial"/>
          <w:sz w:val="16"/>
          <w:szCs w:val="16"/>
          <w:color w:val="auto"/>
        </w:rPr>
      </w:pPr>
    </w:p>
    <w:p>
      <w:pPr>
        <w:ind w:left="660" w:right="80" w:hanging="328"/>
        <w:spacing w:after="0" w:line="260"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of the Company,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47" w:lineRule="exact"/>
        <w:rPr>
          <w:sz w:val="20"/>
          <w:szCs w:val="20"/>
          <w:color w:val="auto"/>
        </w:rPr>
      </w:pPr>
    </w:p>
    <w:p>
      <w:pPr>
        <w:ind w:right="68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Based on its assessment, management has concluded that the Company's internal control over financial reporting was effective as of August 28, 2021.</w:t>
      </w:r>
    </w:p>
    <w:p>
      <w:pPr>
        <w:spacing w:after="0" w:line="16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Michael J. Happe</w:t>
            </w:r>
          </w:p>
        </w:tc>
        <w:tc>
          <w:tcPr>
            <w:tcW w:w="1480" w:type="dxa"/>
            <w:vAlign w:val="bottom"/>
          </w:tcPr>
          <w:p>
            <w:pPr>
              <w:spacing w:after="0"/>
              <w:rPr>
                <w:sz w:val="18"/>
                <w:szCs w:val="18"/>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0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Michael J. Happe</w:t>
            </w:r>
          </w:p>
        </w:tc>
        <w:tc>
          <w:tcPr>
            <w:tcW w:w="498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President, Chief Executive Officer</w:t>
            </w:r>
          </w:p>
        </w:tc>
        <w:tc>
          <w:tcPr>
            <w:tcW w:w="4980" w:type="dxa"/>
            <w:vAlign w:val="bottom"/>
          </w:tcPr>
          <w:p>
            <w:pPr>
              <w:ind w:left="20"/>
              <w:spacing w:after="0"/>
              <w:rPr>
                <w:sz w:val="20"/>
                <w:szCs w:val="20"/>
                <w:color w:val="auto"/>
              </w:rPr>
            </w:pPr>
            <w:r>
              <w:rPr>
                <w:rFonts w:ascii="Arial" w:cs="Arial" w:eastAsia="Arial" w:hAnsi="Arial"/>
                <w:sz w:val="16"/>
                <w:szCs w:val="16"/>
                <w:color w:val="auto"/>
              </w:rPr>
              <w:t>Senior Vice President, Chief Financial Officer</w:t>
            </w:r>
          </w:p>
        </w:tc>
      </w:tr>
      <w:tr>
        <w:trPr>
          <w:trHeight w:val="432"/>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October 20, 2021</w:t>
            </w:r>
          </w:p>
        </w:tc>
        <w:tc>
          <w:tcPr>
            <w:tcW w:w="4980" w:type="dxa"/>
            <w:vAlign w:val="bottom"/>
          </w:tcPr>
          <w:p>
            <w:pPr>
              <w:ind w:left="20"/>
              <w:spacing w:after="0"/>
              <w:rPr>
                <w:sz w:val="20"/>
                <w:szCs w:val="20"/>
                <w:color w:val="auto"/>
              </w:rPr>
            </w:pPr>
            <w:r>
              <w:rPr>
                <w:rFonts w:ascii="Arial" w:cs="Arial" w:eastAsia="Arial" w:hAnsi="Arial"/>
                <w:sz w:val="16"/>
                <w:szCs w:val="16"/>
                <w:color w:val="auto"/>
              </w:rPr>
              <w:t>October 20,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Winnebago Industries, Inc.</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20"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We have audited the accompanying consolidated balance sheets of Winnebago Industries, Inc. and subsidiaries (the "Company") as of August 28, 2021 and August 29, 2020, the related consolidated statements of income and comprehensive income, changes in shareholders' equity, and cash flows, for each of the three years in the period ended August 28, 2021, and the related notes (collectively referred to as the "financial statements"). In our opinion, the financial statements present fairly, in all material respects, the financial position of the Company as of August 28, 2021 and August 29, 2020, and the results of its operations and its cash flows for each of the three years in the period ended August 28, 2021, in conformity with accounting principles generally accepted in the United States of America.</w:t>
      </w:r>
    </w:p>
    <w:p>
      <w:pPr>
        <w:spacing w:after="0" w:line="224"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August 28,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October 20, 2021, expressed an unqualified opinion on the Company's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0" w:lineRule="exact"/>
        <w:rPr>
          <w:sz w:val="20"/>
          <w:szCs w:val="20"/>
          <w:color w:val="auto"/>
        </w:rPr>
      </w:pPr>
    </w:p>
    <w:p>
      <w:pPr>
        <w:ind w:right="160"/>
        <w:spacing w:after="0" w:line="23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4"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20"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ind w:right="5080"/>
        <w:spacing w:after="0" w:line="382" w:lineRule="auto"/>
        <w:rPr>
          <w:sz w:val="20"/>
          <w:szCs w:val="20"/>
          <w:color w:val="auto"/>
        </w:rPr>
      </w:pPr>
      <w:r>
        <w:rPr>
          <w:rFonts w:ascii="Arial" w:cs="Arial" w:eastAsia="Arial" w:hAnsi="Arial"/>
          <w:sz w:val="16"/>
          <w:szCs w:val="16"/>
          <w:b w:val="1"/>
          <w:bCs w:val="1"/>
          <w:i w:val="1"/>
          <w:iCs w:val="1"/>
          <w:color w:val="auto"/>
        </w:rPr>
        <w:t xml:space="preserve">Product Warranties – Grand Design – Refer to Note 8 to the financial statements </w:t>
      </w:r>
      <w:r>
        <w:rPr>
          <w:rFonts w:ascii="Arial" w:cs="Arial" w:eastAsia="Arial" w:hAnsi="Arial"/>
          <w:sz w:val="16"/>
          <w:szCs w:val="16"/>
          <w:i w:val="1"/>
          <w:iCs w:val="1"/>
          <w:color w:val="auto"/>
        </w:rPr>
        <w:t>Critical Audit Matter Description</w:t>
      </w:r>
    </w:p>
    <w:p>
      <w:pPr>
        <w:spacing w:after="0" w:line="1"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The Company provides certain service and warranty on its products. Estimated costs related to product warranty are accrued at month-end based upon historical warranty claims and unit sales history. Estimates are adjusted as needed to reflect actual costs incurred as information becomes available. Grand Design RV, LLC (“Grand Design”) was founded in 2013 and acquired by the Company in November 2016 and makes up the majority of the Company’s $91 million product warranty accrual as of August 28, 2021.</w:t>
      </w:r>
    </w:p>
    <w:p>
      <w:pPr>
        <w:spacing w:after="0" w:line="224"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We identified the product warranty accrual for Grand Design as a critical audit matter because of the significant judgments made by management to estimate costs related to product warranties at the time of sale. This required a high degree of auditor judgment and an increased extent of effort when performing audit procedures to evaluate the reasonableness of management’s estimates of future warranty claims based on historical claims paid, specifically due to Grand Design’s significant growth since inception, introduction of new product lines, relatively short history of warranty claims paid from which to develop product warranty estimates, and their direct connection to management’s incentive plans.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product warranty for the Grand Design component included the following, among others:</w:t>
      </w:r>
    </w:p>
    <w:p>
      <w:pPr>
        <w:spacing w:after="0" w:line="235" w:lineRule="exact"/>
        <w:rPr>
          <w:sz w:val="20"/>
          <w:szCs w:val="20"/>
          <w:color w:val="auto"/>
        </w:rPr>
      </w:pPr>
    </w:p>
    <w:p>
      <w:pPr>
        <w:ind w:left="660" w:right="380" w:hanging="328"/>
        <w:spacing w:after="0" w:line="228"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operating effectiveness of controls over management’s estimation of the product warranty accrual, including those over historical product warranty claim data and projected future product warranty claims.</w:t>
      </w:r>
    </w:p>
    <w:p>
      <w:pPr>
        <w:spacing w:after="0" w:line="1"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accuracy and relevance of the historical product warranty claims as an input to management’s product warranty accrual calculation.</w:t>
      </w:r>
    </w:p>
    <w:p>
      <w:pPr>
        <w:ind w:left="660" w:right="180" w:hanging="328"/>
        <w:spacing w:after="0" w:line="228"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completeness of the warranty accrual estimate through inquiries of operational and executive management regarding knowledge of known product warranty claims or product issues and evaluated whether they were appropriately considered in the determination of the product warranty accrual.</w:t>
      </w:r>
    </w:p>
    <w:p>
      <w:pPr>
        <w:spacing w:after="0" w:line="2" w:lineRule="exact"/>
        <w:rPr>
          <w:rFonts w:ascii="Arial" w:cs="Arial" w:eastAsia="Arial" w:hAnsi="Arial"/>
          <w:sz w:val="16"/>
          <w:szCs w:val="16"/>
          <w:color w:val="auto"/>
        </w:rPr>
      </w:pPr>
    </w:p>
    <w:p>
      <w:pPr>
        <w:ind w:left="660" w:right="180" w:hanging="328"/>
        <w:spacing w:after="0" w:line="242"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management’s ability to accurately estimate the warranty accrual by comparing the product warranty accrual in prior years to the actual product warranty claims paid in subsequent years.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28"/>
        <w:spacing w:after="0" w:line="242"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Assessed management’s methodology and tested the valuation of the product warranty accrual by developing an expectation for the accrual based on the historical amounts recorded as a percentage of sales and compared our expectation to the amount recorded by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rPr>
          <w:sz w:val="20"/>
          <w:szCs w:val="20"/>
          <w:color w:val="auto"/>
        </w:rPr>
      </w:pPr>
      <w:r>
        <w:rPr>
          <w:rFonts w:ascii="Arial" w:cs="Arial" w:eastAsia="Arial" w:hAnsi="Arial"/>
          <w:sz w:val="16"/>
          <w:szCs w:val="16"/>
          <w:color w:val="auto"/>
        </w:rPr>
        <w:t>October 20, 2021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fiscal 1986.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 w:right="41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Winnebago Industries, Inc.</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74" w:lineRule="exact"/>
        <w:rPr>
          <w:sz w:val="20"/>
          <w:szCs w:val="20"/>
          <w:color w:val="auto"/>
        </w:rPr>
      </w:pPr>
    </w:p>
    <w:p>
      <w:pPr>
        <w:ind w:right="220"/>
        <w:spacing w:after="0" w:line="235" w:lineRule="auto"/>
        <w:rPr>
          <w:sz w:val="20"/>
          <w:szCs w:val="20"/>
          <w:color w:val="auto"/>
        </w:rPr>
      </w:pPr>
      <w:r>
        <w:rPr>
          <w:rFonts w:ascii="Arial" w:cs="Arial" w:eastAsia="Arial" w:hAnsi="Arial"/>
          <w:sz w:val="16"/>
          <w:szCs w:val="16"/>
          <w:color w:val="auto"/>
        </w:rPr>
        <w:t xml:space="preserve">We have audited the internal control over financial reporting of Winnebago Industries, Inc. and subsidiaries (the “Company”) as of August 28,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August 28,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August 28, 2021, of the Company and our report dated October 20, 2021, expressed an unqualified opinion on those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5"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7"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9" w:lineRule="exact"/>
        <w:rPr>
          <w:sz w:val="20"/>
          <w:szCs w:val="20"/>
          <w:color w:val="auto"/>
        </w:rPr>
      </w:pPr>
    </w:p>
    <w:p>
      <w:pPr>
        <w:ind w:right="280"/>
        <w:spacing w:after="0" w:line="23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rPr>
          <w:sz w:val="20"/>
          <w:szCs w:val="20"/>
          <w:color w:val="auto"/>
        </w:rPr>
      </w:pPr>
      <w:r>
        <w:rPr>
          <w:rFonts w:ascii="Arial" w:cs="Arial" w:eastAsia="Arial" w:hAnsi="Arial"/>
          <w:sz w:val="16"/>
          <w:szCs w:val="16"/>
          <w:color w:val="auto"/>
        </w:rPr>
        <w:t>October 20,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582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799"/>
        </w:trPr>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9"/>
        </w:trPr>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5"/>
        </w:trPr>
        <w:tc>
          <w:tcPr>
            <w:tcW w:w="5820" w:type="dxa"/>
            <w:vAlign w:val="bottom"/>
            <w:gridSpan w:val="2"/>
          </w:tcPr>
          <w:p>
            <w:pPr>
              <w:spacing w:after="0"/>
              <w:rPr>
                <w:sz w:val="20"/>
                <w:szCs w:val="20"/>
                <w:color w:val="auto"/>
              </w:rPr>
            </w:pPr>
            <w:r>
              <w:rPr>
                <w:rFonts w:ascii="Arial" w:cs="Arial" w:eastAsia="Arial" w:hAnsi="Arial"/>
                <w:sz w:val="16"/>
                <w:szCs w:val="16"/>
                <w:color w:val="auto"/>
              </w:rPr>
              <w:t>(in thousands, except per share data)</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3"/>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For the fiscal year ended</w:t>
            </w:r>
          </w:p>
        </w:tc>
        <w:tc>
          <w:tcPr>
            <w:tcW w:w="18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20"/>
                <w:szCs w:val="20"/>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 2019</w:t>
            </w:r>
          </w:p>
        </w:tc>
      </w:tr>
      <w:tr>
        <w:trPr>
          <w:trHeight w:val="209"/>
        </w:trPr>
        <w:tc>
          <w:tcPr>
            <w:tcW w:w="58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3,629,847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2,355,533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1,985,674</w:t>
            </w: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2,979,484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2,042,605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1,678,477</w:t>
            </w:r>
          </w:p>
        </w:tc>
      </w:tr>
      <w:tr>
        <w:trPr>
          <w:trHeight w:val="209"/>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650,363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312,928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307,197</w:t>
            </w:r>
          </w:p>
        </w:tc>
      </w:tr>
      <w:tr>
        <w:trPr>
          <w:trHeight w:val="212"/>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142,295</w:t>
            </w:r>
          </w:p>
        </w:tc>
      </w:tr>
      <w:tr>
        <w:trPr>
          <w:trHeight w:val="213"/>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9,635</w:t>
            </w:r>
          </w:p>
        </w:tc>
      </w:tr>
      <w:tr>
        <w:trPr>
          <w:trHeight w:val="21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151,930</w:t>
            </w:r>
          </w:p>
        </w:tc>
      </w:tr>
      <w:tr>
        <w:trPr>
          <w:trHeight w:val="209"/>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407,421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113,763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155,267</w:t>
            </w:r>
          </w:p>
        </w:tc>
      </w:tr>
      <w:tr>
        <w:trPr>
          <w:trHeight w:val="21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17,939</w:t>
            </w:r>
          </w:p>
        </w:tc>
      </w:tr>
      <w:tr>
        <w:trPr>
          <w:trHeight w:val="213"/>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Non-operating income</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r>
      <w:tr>
        <w:trPr>
          <w:trHeight w:val="21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138,909</w:t>
            </w:r>
          </w:p>
        </w:tc>
      </w:tr>
      <w:tr>
        <w:trPr>
          <w:trHeight w:val="213"/>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27,111</w:t>
            </w:r>
          </w:p>
        </w:tc>
      </w:tr>
      <w:tr>
        <w:trPr>
          <w:trHeight w:val="23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111,798</w:t>
            </w:r>
          </w:p>
        </w:tc>
      </w:tr>
      <w:tr>
        <w:trPr>
          <w:trHeight w:val="20"/>
        </w:trPr>
        <w:tc>
          <w:tcPr>
            <w:tcW w:w="58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582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1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57"/>
        </w:trPr>
        <w:tc>
          <w:tcPr>
            <w:tcW w:w="582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582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33,236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31,536</w:t>
            </w:r>
          </w:p>
        </w:tc>
      </w:tr>
      <w:tr>
        <w:trPr>
          <w:trHeight w:val="21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31,721</w:t>
            </w:r>
          </w:p>
        </w:tc>
      </w:tr>
      <w:tr>
        <w:trPr>
          <w:trHeight w:val="256"/>
        </w:trPr>
        <w:tc>
          <w:tcPr>
            <w:tcW w:w="582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111,798</w:t>
            </w:r>
          </w:p>
        </w:tc>
      </w:tr>
      <w:tr>
        <w:trPr>
          <w:trHeight w:val="213"/>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net actuarial loss (net of tax of $12, $12, and $10)</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5820" w:type="dxa"/>
            <w:vAlign w:val="bottom"/>
            <w:gridSpan w:val="2"/>
          </w:tcPr>
          <w:p>
            <w:pPr>
              <w:ind w:left="220"/>
              <w:spacing w:after="0"/>
              <w:rPr>
                <w:sz w:val="20"/>
                <w:szCs w:val="20"/>
                <w:color w:val="auto"/>
              </w:rPr>
            </w:pPr>
            <w:r>
              <w:rPr>
                <w:rFonts w:ascii="Arial" w:cs="Arial" w:eastAsia="Arial" w:hAnsi="Arial"/>
                <w:sz w:val="16"/>
                <w:szCs w:val="16"/>
                <w:color w:val="auto"/>
              </w:rPr>
              <w:t>Interest rate swap activity (net of tax of $0, $22, and $454)</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(1,415)</w:t>
            </w:r>
          </w:p>
        </w:tc>
      </w:tr>
      <w:tr>
        <w:trPr>
          <w:trHeight w:val="210"/>
        </w:trPr>
        <w:tc>
          <w:tcPr>
            <w:tcW w:w="582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w:t>
            </w:r>
          </w:p>
        </w:tc>
      </w:tr>
      <w:tr>
        <w:trPr>
          <w:trHeight w:val="213"/>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61,407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110,415</w:t>
            </w:r>
          </w:p>
        </w:tc>
      </w:tr>
      <w:tr>
        <w:trPr>
          <w:trHeight w:val="20"/>
        </w:trPr>
        <w:tc>
          <w:tcPr>
            <w:tcW w:w="1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764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799"/>
        </w:trPr>
        <w:tc>
          <w:tcPr>
            <w:tcW w:w="764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9"/>
        </w:trPr>
        <w:tc>
          <w:tcPr>
            <w:tcW w:w="764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5"/>
        </w:trPr>
        <w:tc>
          <w:tcPr>
            <w:tcW w:w="7640" w:type="dxa"/>
            <w:vAlign w:val="bottom"/>
            <w:gridSpan w:val="2"/>
          </w:tcPr>
          <w:p>
            <w:pPr>
              <w:spacing w:after="0"/>
              <w:rPr>
                <w:sz w:val="20"/>
                <w:szCs w:val="20"/>
                <w:color w:val="auto"/>
              </w:rPr>
            </w:pPr>
            <w:r>
              <w:rPr>
                <w:rFonts w:ascii="Arial" w:cs="Arial" w:eastAsia="Arial" w:hAnsi="Arial"/>
                <w:sz w:val="16"/>
                <w:szCs w:val="16"/>
                <w:color w:val="auto"/>
              </w:rPr>
              <w:t>(in thousands, except per share data)</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2"/>
        </w:trPr>
        <w:tc>
          <w:tcPr>
            <w:tcW w:w="1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Pr>
          <w:p>
            <w:pPr>
              <w:spacing w:after="0"/>
              <w:rPr>
                <w:sz w:val="20"/>
                <w:szCs w:val="20"/>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 2020</w:t>
            </w:r>
          </w:p>
        </w:tc>
      </w:tr>
      <w:tr>
        <w:trPr>
          <w:trHeight w:val="213"/>
        </w:trPr>
        <w:tc>
          <w:tcPr>
            <w:tcW w:w="76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292,575</w:t>
            </w:r>
          </w:p>
        </w:tc>
      </w:tr>
      <w:tr>
        <w:trPr>
          <w:trHeight w:val="213"/>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Receivables, less allowance for doubtful accounts ($307 and $353, respectively)</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253,808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220,798</w:t>
            </w:r>
          </w:p>
        </w:tc>
      </w:tr>
      <w:tr>
        <w:trPr>
          <w:trHeight w:val="21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182,941</w:t>
            </w:r>
          </w:p>
        </w:tc>
      </w:tr>
      <w:tr>
        <w:trPr>
          <w:trHeight w:val="213"/>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17,296</w:t>
            </w:r>
          </w:p>
        </w:tc>
      </w:tr>
      <w:tr>
        <w:trPr>
          <w:trHeight w:val="210"/>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1,058,913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713,610</w:t>
            </w:r>
          </w:p>
        </w:tc>
      </w:tr>
      <w:tr>
        <w:trPr>
          <w:trHeight w:val="209"/>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191,427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174,945</w:t>
            </w:r>
          </w:p>
        </w:tc>
      </w:tr>
      <w:tr>
        <w:trPr>
          <w:trHeight w:val="219"/>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1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390,407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404,768</w:t>
            </w:r>
          </w:p>
        </w:tc>
      </w:tr>
      <w:tr>
        <w:trPr>
          <w:trHeight w:val="219"/>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in life insurance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27,838</w:t>
            </w:r>
          </w:p>
        </w:tc>
      </w:tr>
      <w:tr>
        <w:trPr>
          <w:trHeight w:val="21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28,379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29,463</w:t>
            </w:r>
          </w:p>
        </w:tc>
      </w:tr>
      <w:tr>
        <w:trPr>
          <w:trHeight w:val="21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15,018</w:t>
            </w:r>
          </w:p>
        </w:tc>
      </w:tr>
      <w:tr>
        <w:trPr>
          <w:trHeight w:val="212"/>
        </w:trPr>
        <w:tc>
          <w:tcPr>
            <w:tcW w:w="76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1,713,700</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1260" w:type="dxa"/>
            <w:vAlign w:val="bottom"/>
            <w:shd w:val="clear" w:color="auto" w:fill="CCEEFF"/>
          </w:tcPr>
          <w:p>
            <w:pPr>
              <w:spacing w:after="0"/>
              <w:rPr>
                <w:sz w:val="15"/>
                <w:szCs w:val="15"/>
                <w:color w:val="auto"/>
              </w:rPr>
            </w:pPr>
          </w:p>
        </w:tc>
        <w:tc>
          <w:tcPr>
            <w:tcW w:w="6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5"/>
        </w:trPr>
        <w:tc>
          <w:tcPr>
            <w:tcW w:w="764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180,030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132,490</w:t>
            </w:r>
          </w:p>
        </w:tc>
      </w:tr>
      <w:tr>
        <w:trPr>
          <w:trHeight w:val="21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8,840</w:t>
            </w:r>
          </w:p>
        </w:tc>
      </w:tr>
      <w:tr>
        <w:trPr>
          <w:trHeight w:val="213"/>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36,533</w:t>
            </w:r>
          </w:p>
        </w:tc>
      </w:tr>
      <w:tr>
        <w:trPr>
          <w:trHeight w:val="213"/>
        </w:trPr>
        <w:tc>
          <w:tcPr>
            <w:tcW w:w="7640" w:type="dxa"/>
            <w:vAlign w:val="bottom"/>
            <w:gridSpan w:val="2"/>
          </w:tcPr>
          <w:p>
            <w:pPr>
              <w:ind w:left="220"/>
              <w:spacing w:after="0"/>
              <w:rPr>
                <w:sz w:val="20"/>
                <w:szCs w:val="20"/>
                <w:color w:val="auto"/>
              </w:rPr>
            </w:pPr>
            <w:r>
              <w:rPr>
                <w:rFonts w:ascii="Arial" w:cs="Arial" w:eastAsia="Arial" w:hAnsi="Arial"/>
                <w:sz w:val="16"/>
                <w:szCs w:val="16"/>
                <w:color w:val="auto"/>
              </w:rPr>
              <w:t>Product warranties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91,222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64,031</w:t>
            </w:r>
          </w:p>
        </w:tc>
      </w:tr>
      <w:tr>
        <w:trPr>
          <w:trHeight w:val="219"/>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Self-insurance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17,437</w:t>
            </w:r>
          </w:p>
        </w:tc>
      </w:tr>
      <w:tr>
        <w:trPr>
          <w:trHeight w:val="213"/>
        </w:trPr>
        <w:tc>
          <w:tcPr>
            <w:tcW w:w="7640" w:type="dxa"/>
            <w:vAlign w:val="bottom"/>
            <w:gridSpan w:val="2"/>
          </w:tcPr>
          <w:p>
            <w:pPr>
              <w:ind w:left="220"/>
              <w:spacing w:after="0"/>
              <w:rPr>
                <w:sz w:val="20"/>
                <w:szCs w:val="20"/>
                <w:color w:val="auto"/>
              </w:rPr>
            </w:pPr>
            <w:r>
              <w:rPr>
                <w:rFonts w:ascii="Arial" w:cs="Arial" w:eastAsia="Arial" w:hAnsi="Arial"/>
                <w:sz w:val="16"/>
                <w:szCs w:val="16"/>
                <w:color w:val="auto"/>
              </w:rPr>
              <w:t>Promotional</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12,543</w:t>
            </w:r>
          </w:p>
        </w:tc>
      </w:tr>
      <w:tr>
        <w:trPr>
          <w:trHeight w:val="219"/>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interest and dividends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4,832</w:t>
            </w:r>
          </w:p>
        </w:tc>
      </w:tr>
      <w:tr>
        <w:trPr>
          <w:trHeight w:val="213"/>
        </w:trPr>
        <w:tc>
          <w:tcPr>
            <w:tcW w:w="7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23,684</w:t>
            </w:r>
          </w:p>
        </w:tc>
      </w:tr>
      <w:tr>
        <w:trPr>
          <w:trHeight w:val="213"/>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300,390</w:t>
            </w:r>
          </w:p>
        </w:tc>
      </w:tr>
      <w:tr>
        <w:trPr>
          <w:trHeight w:val="21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512,630</w:t>
            </w:r>
          </w:p>
        </w:tc>
      </w:tr>
      <w:tr>
        <w:trPr>
          <w:trHeight w:val="213"/>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13,429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15,608</w:t>
            </w:r>
          </w:p>
        </w:tc>
      </w:tr>
      <w:tr>
        <w:trPr>
          <w:trHeight w:val="21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Unrecognized tax benefits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6,511</w:t>
            </w:r>
          </w:p>
        </w:tc>
      </w:tr>
      <w:tr>
        <w:trPr>
          <w:trHeight w:val="213"/>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26,745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27,048</w:t>
            </w:r>
          </w:p>
        </w:tc>
      </w:tr>
      <w:tr>
        <w:trPr>
          <w:trHeight w:val="21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11,130</w:t>
            </w:r>
          </w:p>
        </w:tc>
      </w:tr>
      <w:tr>
        <w:trPr>
          <w:trHeight w:val="213"/>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12,917</w:t>
            </w:r>
          </w:p>
        </w:tc>
      </w:tr>
      <w:tr>
        <w:trPr>
          <w:trHeight w:val="213"/>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1,005,624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886,234</w:t>
            </w:r>
          </w:p>
        </w:tc>
      </w:tr>
      <w:tr>
        <w:trPr>
          <w:trHeight w:val="19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Contingent liabilities and commitments (Note 12)</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9"/>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Preferred stock, par value $0.01: 10,000 shares authorized; Zero shares issued and outstanding</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par value $0.50: 120,000 shares authorized; 51,776 shares issued and outstanding</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r>
      <w:tr>
        <w:trPr>
          <w:trHeight w:val="213"/>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218,490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203,791</w:t>
            </w:r>
          </w:p>
        </w:tc>
      </w:tr>
      <w:tr>
        <w:trPr>
          <w:trHeight w:val="21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913,610</w:t>
            </w:r>
          </w:p>
        </w:tc>
      </w:tr>
      <w:tr>
        <w:trPr>
          <w:trHeight w:val="213"/>
        </w:trPr>
        <w:tc>
          <w:tcPr>
            <w:tcW w:w="7640" w:type="dxa"/>
            <w:vAlign w:val="bottom"/>
            <w:gridSpan w:val="2"/>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21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Treasury stock, at cost: 18,713 and 18,133 shares,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(359,940)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(315,297)</w:t>
            </w:r>
          </w:p>
        </w:tc>
      </w:tr>
      <w:tr>
        <w:trPr>
          <w:trHeight w:val="206"/>
        </w:trPr>
        <w:tc>
          <w:tcPr>
            <w:tcW w:w="7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1,056,943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827,466</w:t>
            </w:r>
          </w:p>
        </w:tc>
      </w:tr>
      <w:tr>
        <w:trPr>
          <w:trHeight w:val="238"/>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2,062,567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582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799"/>
        </w:trPr>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9"/>
        </w:trPr>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5"/>
        </w:trPr>
        <w:tc>
          <w:tcPr>
            <w:tcW w:w="582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3"/>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For the fiscal year ended</w:t>
            </w:r>
          </w:p>
        </w:tc>
        <w:tc>
          <w:tcPr>
            <w:tcW w:w="18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2020</w:t>
            </w:r>
          </w:p>
        </w:tc>
        <w:tc>
          <w:tcPr>
            <w:tcW w:w="160" w:type="dxa"/>
            <w:vAlign w:val="bottom"/>
          </w:tcPr>
          <w:p>
            <w:pPr>
              <w:spacing w:after="0"/>
              <w:rPr>
                <w:sz w:val="20"/>
                <w:szCs w:val="20"/>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31, 2019</w:t>
            </w:r>
          </w:p>
        </w:tc>
      </w:tr>
      <w:tr>
        <w:trPr>
          <w:trHeight w:val="212"/>
        </w:trPr>
        <w:tc>
          <w:tcPr>
            <w:tcW w:w="58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17"/>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111,798</w:t>
            </w:r>
          </w:p>
        </w:tc>
      </w:tr>
      <w:tr>
        <w:trPr>
          <w:trHeight w:val="177"/>
        </w:trPr>
        <w:tc>
          <w:tcPr>
            <w:tcW w:w="5820" w:type="dxa"/>
            <w:vAlign w:val="bottom"/>
            <w:gridSpan w:val="2"/>
          </w:tcPr>
          <w:p>
            <w:pPr>
              <w:ind w:left="160"/>
              <w:spacing w:after="0" w:line="178"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8"/>
        </w:trPr>
        <w:tc>
          <w:tcPr>
            <w:tcW w:w="5820" w:type="dxa"/>
            <w:vAlign w:val="bottom"/>
            <w:gridSpan w:val="2"/>
          </w:tcPr>
          <w:p>
            <w:pPr>
              <w:ind w:left="16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9"/>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Depreciation</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13,682</w:t>
            </w:r>
          </w:p>
        </w:tc>
      </w:tr>
      <w:tr>
        <w:trPr>
          <w:trHeight w:val="213"/>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Amortization</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14,361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22,104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9,635</w:t>
            </w:r>
          </w:p>
        </w:tc>
      </w:tr>
      <w:tr>
        <w:trPr>
          <w:trHeight w:val="219"/>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Non-cash interest expense,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1,612</w:t>
            </w:r>
          </w:p>
        </w:tc>
      </w:tr>
      <w:tr>
        <w:trPr>
          <w:trHeight w:val="219"/>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Last in, first-out expense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w:t>
            </w:r>
          </w:p>
        </w:tc>
      </w:tr>
      <w:tr>
        <w:trPr>
          <w:trHeight w:val="213"/>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15,347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7,058</w:t>
            </w:r>
          </w:p>
        </w:tc>
      </w:tr>
      <w:tr>
        <w:trPr>
          <w:trHeight w:val="219"/>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7,984</w:t>
            </w:r>
          </w:p>
        </w:tc>
      </w:tr>
      <w:tr>
        <w:trPr>
          <w:trHeight w:val="213"/>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Deferred compensation expense</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1,056</w:t>
            </w:r>
          </w:p>
        </w:tc>
      </w:tr>
      <w:tr>
        <w:trPr>
          <w:trHeight w:val="219"/>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13"/>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Receivables,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w:t>
            </w:r>
          </w:p>
        </w:tc>
      </w:tr>
      <w:tr>
        <w:trPr>
          <w:trHeight w:val="213"/>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(161,663)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105,994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(8,256)</w:t>
            </w:r>
          </w:p>
        </w:tc>
      </w:tr>
      <w:tr>
        <w:trPr>
          <w:trHeight w:val="219"/>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r>
      <w:tr>
        <w:trPr>
          <w:trHeight w:val="213"/>
        </w:trPr>
        <w:tc>
          <w:tcPr>
            <w:tcW w:w="5820" w:type="dxa"/>
            <w:vAlign w:val="bottom"/>
            <w:gridSpan w:val="2"/>
          </w:tcPr>
          <w:p>
            <w:pPr>
              <w:ind w:left="26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51,478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37,041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907</w:t>
            </w:r>
          </w:p>
        </w:tc>
      </w:tr>
      <w:tr>
        <w:trPr>
          <w:trHeight w:val="219"/>
        </w:trPr>
        <w:tc>
          <w:tcPr>
            <w:tcW w:w="5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(13,810)</w:t>
            </w:r>
          </w:p>
        </w:tc>
      </w:tr>
      <w:tr>
        <w:trPr>
          <w:trHeight w:val="213"/>
        </w:trPr>
        <w:tc>
          <w:tcPr>
            <w:tcW w:w="58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w:t>
            </w:r>
          </w:p>
        </w:tc>
      </w:tr>
      <w:tr>
        <w:trPr>
          <w:trHeight w:val="20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237,279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133,750</w:t>
            </w:r>
          </w:p>
        </w:tc>
      </w:tr>
      <w:tr>
        <w:trPr>
          <w:trHeight w:val="239"/>
        </w:trPr>
        <w:tc>
          <w:tcPr>
            <w:tcW w:w="1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(44,891)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(32,377)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(40,858)</w:t>
            </w:r>
          </w:p>
        </w:tc>
      </w:tr>
      <w:tr>
        <w:trPr>
          <w:trHeight w:val="219"/>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r>
      <w:tr>
        <w:trPr>
          <w:trHeight w:val="213"/>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12,452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9"/>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w:t>
            </w:r>
          </w:p>
        </w:tc>
      </w:tr>
      <w:tr>
        <w:trPr>
          <w:trHeight w:val="207"/>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(293,076)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(38,936)</w:t>
            </w:r>
          </w:p>
        </w:tc>
      </w:tr>
      <w:tr>
        <w:trPr>
          <w:trHeight w:val="239"/>
        </w:trPr>
        <w:tc>
          <w:tcPr>
            <w:tcW w:w="126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5"/>
        </w:trPr>
        <w:tc>
          <w:tcPr>
            <w:tcW w:w="582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3,627,627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2,786,824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891,892</w:t>
            </w:r>
          </w:p>
        </w:tc>
      </w:tr>
      <w:tr>
        <w:trPr>
          <w:trHeight w:val="213"/>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Repayments on long-term debt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(3,627,627)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(2,446,824)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(930,424)</w:t>
            </w:r>
          </w:p>
        </w:tc>
      </w:tr>
      <w:tr>
        <w:trPr>
          <w:trHeight w:val="219"/>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 of convertible bond hedge</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Proceeds from issuance of warrants</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42,210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(13,670)</w:t>
            </w:r>
          </w:p>
        </w:tc>
      </w:tr>
      <w:tr>
        <w:trPr>
          <w:trHeight w:val="213"/>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(47,589)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(8,171)</w:t>
            </w:r>
          </w:p>
        </w:tc>
      </w:tr>
      <w:tr>
        <w:trPr>
          <w:trHeight w:val="219"/>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debt issuance costs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r>
      <w:tr>
        <w:trPr>
          <w:trHeight w:val="21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(59,725)</w:t>
            </w:r>
          </w:p>
        </w:tc>
      </w:tr>
      <w:tr>
        <w:trPr>
          <w:trHeight w:val="240"/>
        </w:trPr>
        <w:tc>
          <w:tcPr>
            <w:tcW w:w="1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35,089</w:t>
            </w:r>
          </w:p>
        </w:tc>
      </w:tr>
      <w:tr>
        <w:trPr>
          <w:trHeight w:val="213"/>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r>
      <w:tr>
        <w:trPr>
          <w:trHeight w:val="23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37,431</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492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1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55"/>
        </w:trPr>
        <w:tc>
          <w:tcPr>
            <w:tcW w:w="1260" w:type="dxa"/>
            <w:vAlign w:val="bottom"/>
            <w:tcBorders>
              <w:top w:val="single" w:sz="8" w:color="0000FF"/>
            </w:tcBorders>
          </w:tcPr>
          <w:p>
            <w:pPr>
              <w:spacing w:after="0"/>
              <w:rPr>
                <w:sz w:val="24"/>
                <w:szCs w:val="24"/>
                <w:color w:val="auto"/>
              </w:rPr>
            </w:pPr>
          </w:p>
        </w:tc>
        <w:tc>
          <w:tcPr>
            <w:tcW w:w="3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1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Income taxes paid, net</w:t>
            </w:r>
          </w:p>
        </w:tc>
        <w:tc>
          <w:tcPr>
            <w:tcW w:w="15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88,698</w:t>
            </w:r>
          </w:p>
        </w:tc>
        <w:tc>
          <w:tcPr>
            <w:tcW w:w="7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3,667</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37,061</w:t>
            </w: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1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24,119</w:t>
            </w: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17,253</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14,921</w:t>
            </w:r>
          </w:p>
        </w:tc>
      </w:tr>
      <w:tr>
        <w:trPr>
          <w:trHeight w:val="257"/>
        </w:trPr>
        <w:tc>
          <w:tcPr>
            <w:tcW w:w="492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15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92,572</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1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3,760</w:t>
            </w: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10"/>
        </w:trPr>
        <w:tc>
          <w:tcPr>
            <w:tcW w:w="4920" w:type="dxa"/>
            <w:vAlign w:val="bottom"/>
            <w:gridSpan w:val="2"/>
          </w:tcPr>
          <w:p>
            <w:pPr>
              <w:ind w:left="140"/>
              <w:spacing w:after="0"/>
              <w:rPr>
                <w:sz w:val="20"/>
                <w:szCs w:val="20"/>
                <w:color w:val="auto"/>
              </w:rPr>
            </w:pPr>
            <w:r>
              <w:rPr>
                <w:rFonts w:ascii="Arial" w:cs="Arial" w:eastAsia="Arial" w:hAnsi="Arial"/>
                <w:sz w:val="16"/>
                <w:szCs w:val="16"/>
                <w:color w:val="auto"/>
              </w:rPr>
              <w:t>Dividends declared not yet paid</w:t>
            </w:r>
          </w:p>
        </w:tc>
        <w:tc>
          <w:tcPr>
            <w:tcW w:w="15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6,497</w:t>
            </w:r>
          </w:p>
        </w:tc>
        <w:tc>
          <w:tcPr>
            <w:tcW w:w="7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8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660" w:type="dxa"/>
            <w:vAlign w:val="bottom"/>
          </w:tcPr>
          <w:p>
            <w:pPr>
              <w:spacing w:after="0"/>
              <w:rPr>
                <w:sz w:val="8"/>
                <w:szCs w:val="8"/>
                <w:color w:val="auto"/>
              </w:rPr>
            </w:pPr>
          </w:p>
        </w:tc>
        <w:tc>
          <w:tcPr>
            <w:tcW w:w="1820" w:type="dxa"/>
            <w:vAlign w:val="bottom"/>
            <w:tcBorders>
              <w:bottom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restart"/>
          </w:tcPr>
          <w:p>
            <w:pPr>
              <w:jc w:val="right"/>
              <w:ind w:right="18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8"/>
                <w:szCs w:val="8"/>
                <w:color w:val="auto"/>
              </w:rPr>
            </w:pPr>
          </w:p>
        </w:tc>
        <w:tc>
          <w:tcPr>
            <w:tcW w:w="840" w:type="dxa"/>
            <w:vAlign w:val="bottom"/>
            <w:vMerge w:val="restart"/>
          </w:tcPr>
          <w:p>
            <w:pPr>
              <w:jc w:val="right"/>
              <w:ind w:right="108"/>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8"/>
                <w:szCs w:val="8"/>
                <w:color w:val="auto"/>
              </w:rPr>
            </w:pPr>
          </w:p>
        </w:tc>
        <w:tc>
          <w:tcPr>
            <w:tcW w:w="1340" w:type="dxa"/>
            <w:vAlign w:val="bottom"/>
            <w:vMerge w:val="restart"/>
          </w:tcPr>
          <w:p>
            <w:pPr>
              <w:jc w:val="center"/>
              <w:ind w:right="88"/>
              <w:spacing w:after="0" w:line="135" w:lineRule="exact"/>
              <w:rPr>
                <w:sz w:val="20"/>
                <w:szCs w:val="20"/>
                <w:color w:val="auto"/>
              </w:rPr>
            </w:pPr>
            <w:r>
              <w:rPr>
                <w:rFonts w:ascii="Arial" w:cs="Arial" w:eastAsia="Arial" w:hAnsi="Arial"/>
                <w:sz w:val="14"/>
                <w:szCs w:val="14"/>
                <w:b w:val="1"/>
                <w:bCs w:val="1"/>
                <w:color w:val="auto"/>
              </w:rPr>
              <w:t>Comprehensive</w:t>
            </w:r>
          </w:p>
        </w:tc>
        <w:tc>
          <w:tcPr>
            <w:tcW w:w="1820" w:type="dxa"/>
            <w:vAlign w:val="bottom"/>
            <w:tcBorders>
              <w:bottom w:val="single" w:sz="8" w:color="auto"/>
            </w:tcBorders>
            <w:gridSpan w:val="3"/>
            <w:vMerge w:val="continue"/>
          </w:tcPr>
          <w:p>
            <w:pPr>
              <w:spacing w:after="0"/>
              <w:rPr>
                <w:sz w:val="8"/>
                <w:szCs w:val="8"/>
                <w:color w:val="auto"/>
              </w:rPr>
            </w:pPr>
          </w:p>
        </w:tc>
        <w:tc>
          <w:tcPr>
            <w:tcW w:w="144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line="20" w:lineRule="exact"/>
              <w:rPr>
                <w:sz w:val="1"/>
                <w:szCs w:val="1"/>
                <w:color w:val="auto"/>
              </w:rPr>
            </w:pP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 (Loss)</w:t>
            </w: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August 25, 2018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86,223</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768,816</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(20,243)</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(347,374)</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534,445</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6,993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7,075</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4,207</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(268)</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(8,171)</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(8,171)</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stock dividends declared;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(13,728)</w:t>
            </w:r>
          </w:p>
        </w:tc>
        <w:tc>
          <w:tcPr>
            <w:tcW w:w="1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(13,728)</w:t>
            </w:r>
          </w:p>
        </w:tc>
        <w:tc>
          <w:tcPr>
            <w:tcW w:w="0" w:type="dxa"/>
            <w:vAlign w:val="bottom"/>
          </w:tcPr>
          <w:p>
            <w:pPr>
              <w:spacing w:after="0"/>
              <w:rPr>
                <w:sz w:val="1"/>
                <w:szCs w:val="1"/>
                <w:color w:val="auto"/>
              </w:rPr>
            </w:pPr>
          </w:p>
        </w:tc>
      </w:tr>
      <w:tr>
        <w:trPr>
          <w:trHeight w:val="105"/>
        </w:trPr>
        <w:tc>
          <w:tcPr>
            <w:tcW w:w="2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$0.43 per share</w:t>
            </w:r>
          </w:p>
        </w:tc>
        <w:tc>
          <w:tcPr>
            <w:tcW w:w="8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(1,383)</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111,798</w:t>
            </w:r>
          </w:p>
        </w:tc>
        <w:tc>
          <w:tcPr>
            <w:tcW w:w="1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111,798</w:t>
            </w:r>
          </w:p>
        </w:tc>
        <w:tc>
          <w:tcPr>
            <w:tcW w:w="0" w:type="dxa"/>
            <w:vAlign w:val="bottom"/>
          </w:tcPr>
          <w:p>
            <w:pPr>
              <w:spacing w:after="0"/>
              <w:rPr>
                <w:sz w:val="1"/>
                <w:szCs w:val="1"/>
                <w:color w:val="auto"/>
              </w:rPr>
            </w:pPr>
          </w:p>
        </w:tc>
      </w:tr>
      <w:tr>
        <w:trPr>
          <w:trHeight w:val="183"/>
        </w:trPr>
        <w:tc>
          <w:tcPr>
            <w:tcW w:w="2660" w:type="dxa"/>
            <w:vAlign w:val="bottom"/>
          </w:tcPr>
          <w:p>
            <w:pPr>
              <w:ind w:left="20"/>
              <w:spacing w:after="0"/>
              <w:rPr>
                <w:sz w:val="20"/>
                <w:szCs w:val="20"/>
                <w:color w:val="auto"/>
              </w:rPr>
            </w:pPr>
            <w:r>
              <w:rPr>
                <w:rFonts w:ascii="Arial" w:cs="Arial" w:eastAsia="Arial" w:hAnsi="Arial"/>
                <w:sz w:val="14"/>
                <w:szCs w:val="14"/>
                <w:color w:val="auto"/>
              </w:rPr>
              <w:t>Balance, August 31, 2019</w:t>
            </w:r>
          </w:p>
        </w:tc>
        <w:tc>
          <w:tcPr>
            <w:tcW w:w="800" w:type="dxa"/>
            <w:vAlign w:val="bottom"/>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25,888</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91,185</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866,886</w:t>
            </w: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(491)</w:t>
            </w:r>
          </w:p>
        </w:tc>
        <w:tc>
          <w:tcPr>
            <w:tcW w:w="820" w:type="dxa"/>
            <w:vAlign w:val="bottom"/>
          </w:tcPr>
          <w:p>
            <w:pPr>
              <w:jc w:val="right"/>
              <w:spacing w:after="0"/>
              <w:rPr>
                <w:sz w:val="20"/>
                <w:szCs w:val="20"/>
                <w:color w:val="auto"/>
              </w:rPr>
            </w:pPr>
            <w:r>
              <w:rPr>
                <w:rFonts w:ascii="Arial" w:cs="Arial" w:eastAsia="Arial" w:hAnsi="Arial"/>
                <w:sz w:val="14"/>
                <w:szCs w:val="14"/>
                <w:color w:val="auto"/>
              </w:rPr>
              <w:t>(20,262)</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(351,256)</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632,212</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6,475</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Issuance of stock</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(1,813)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174</w:t>
            </w: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3,013</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stock for acquisition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57,811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34,761</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92,572</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(1,844)</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stock dividends declared;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(14,718)</w:t>
            </w:r>
          </w:p>
        </w:tc>
        <w:tc>
          <w:tcPr>
            <w:tcW w:w="1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(14,718)</w:t>
            </w:r>
          </w:p>
        </w:tc>
        <w:tc>
          <w:tcPr>
            <w:tcW w:w="0" w:type="dxa"/>
            <w:vAlign w:val="bottom"/>
          </w:tcPr>
          <w:p>
            <w:pPr>
              <w:spacing w:after="0"/>
              <w:rPr>
                <w:sz w:val="1"/>
                <w:szCs w:val="1"/>
                <w:color w:val="auto"/>
              </w:rPr>
            </w:pPr>
          </w:p>
        </w:tc>
      </w:tr>
      <w:tr>
        <w:trPr>
          <w:trHeight w:val="105"/>
        </w:trPr>
        <w:tc>
          <w:tcPr>
            <w:tcW w:w="2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$0.45 per share</w:t>
            </w:r>
          </w:p>
        </w:tc>
        <w:tc>
          <w:tcPr>
            <w:tcW w:w="8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component of convertible senior</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61,335</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61,335</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notes and offering costs, net of tax of</w:t>
            </w:r>
          </w:p>
        </w:tc>
        <w:tc>
          <w:tcPr>
            <w:tcW w:w="8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$20,840</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Convertible note hedge purchase, net of</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(53,383)</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(53,383)</w:t>
            </w:r>
          </w:p>
        </w:tc>
        <w:tc>
          <w:tcPr>
            <w:tcW w:w="0" w:type="dxa"/>
            <w:vAlign w:val="bottom"/>
          </w:tcPr>
          <w:p>
            <w:pPr>
              <w:spacing w:after="0"/>
              <w:rPr>
                <w:sz w:val="1"/>
                <w:szCs w:val="1"/>
                <w:color w:val="auto"/>
              </w:rPr>
            </w:pPr>
          </w:p>
        </w:tc>
      </w:tr>
      <w:tr>
        <w:trPr>
          <w:trHeight w:val="105"/>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tax of $17,417</w:t>
            </w:r>
          </w:p>
        </w:tc>
        <w:tc>
          <w:tcPr>
            <w:tcW w:w="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warrants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42,210</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61,442</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61,442</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August 29, 2020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203,791</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913,610</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(18,133)</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(315,297)</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827,466</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15,323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15,347</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2,922</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(747)</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(47,589)</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(47,589)</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stock dividends declared;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(22,485)</w:t>
            </w:r>
          </w:p>
        </w:tc>
        <w:tc>
          <w:tcPr>
            <w:tcW w:w="1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(22,485)</w:t>
            </w:r>
          </w:p>
        </w:tc>
        <w:tc>
          <w:tcPr>
            <w:tcW w:w="0" w:type="dxa"/>
            <w:vAlign w:val="bottom"/>
          </w:tcPr>
          <w:p>
            <w:pPr>
              <w:spacing w:after="0"/>
              <w:rPr>
                <w:sz w:val="1"/>
                <w:szCs w:val="1"/>
                <w:color w:val="auto"/>
              </w:rPr>
            </w:pPr>
          </w:p>
        </w:tc>
      </w:tr>
      <w:tr>
        <w:trPr>
          <w:trHeight w:val="105"/>
        </w:trPr>
        <w:tc>
          <w:tcPr>
            <w:tcW w:w="2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$0.66 per share</w:t>
            </w:r>
          </w:p>
        </w:tc>
        <w:tc>
          <w:tcPr>
            <w:tcW w:w="8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281,871</w:t>
            </w:r>
          </w:p>
        </w:tc>
        <w:tc>
          <w:tcPr>
            <w:tcW w:w="1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281,871</w:t>
            </w:r>
          </w:p>
        </w:tc>
        <w:tc>
          <w:tcPr>
            <w:tcW w:w="0" w:type="dxa"/>
            <w:vAlign w:val="bottom"/>
          </w:tcPr>
          <w:p>
            <w:pPr>
              <w:spacing w:after="0"/>
              <w:rPr>
                <w:sz w:val="1"/>
                <w:szCs w:val="1"/>
                <w:color w:val="auto"/>
              </w:rPr>
            </w:pPr>
          </w:p>
        </w:tc>
      </w:tr>
      <w:tr>
        <w:trPr>
          <w:trHeight w:val="183"/>
        </w:trPr>
        <w:tc>
          <w:tcPr>
            <w:tcW w:w="2660" w:type="dxa"/>
            <w:vAlign w:val="bottom"/>
          </w:tcPr>
          <w:p>
            <w:pPr>
              <w:ind w:left="20"/>
              <w:spacing w:after="0"/>
              <w:rPr>
                <w:sz w:val="20"/>
                <w:szCs w:val="20"/>
                <w:color w:val="auto"/>
              </w:rPr>
            </w:pPr>
            <w:r>
              <w:rPr>
                <w:rFonts w:ascii="Arial" w:cs="Arial" w:eastAsia="Arial" w:hAnsi="Arial"/>
                <w:sz w:val="14"/>
                <w:szCs w:val="14"/>
                <w:color w:val="auto"/>
              </w:rPr>
              <w:t>Balance, August 28, 2021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218,490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1,172,996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(359,940)</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1,056,943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rPr>
          <w:sz w:val="20"/>
          <w:szCs w:val="20"/>
          <w:color w:val="auto"/>
        </w:rPr>
      </w:pPr>
      <w:r>
        <w:rPr>
          <w:rFonts w:ascii="Arial" w:cs="Arial" w:eastAsia="Arial" w:hAnsi="Arial"/>
          <w:sz w:val="16"/>
          <w:szCs w:val="16"/>
          <w:i w:val="1"/>
          <w:iCs w:val="1"/>
          <w:color w:val="auto"/>
        </w:rPr>
        <w:t>(All amounts are in thousands, except share and per share data, unless otherwise designated)</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13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motorhome units in Iowa and Indiana; our towable units in Indiana; and our marine units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Other products manufactured by the Company consist primarily of original equipment manufacturing parts for other manufacturers and commercial vehicles.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Consolidation</w:t>
      </w:r>
    </w:p>
    <w:p>
      <w:pPr>
        <w:spacing w:after="0" w:line="13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 owned subsidiaries. Significant intercompany account balances and transactions have been eliminated. The use of the terms "Winnebago Industries," "Winnebago," "the Company," "we," "our," and "us" in this Annual Report on Form 10-K, unless the context otherwise requires, refer to Winnebago Industries, Inc. and its wholly-owned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13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have a 5-4-4 quarterly accounting cycle with the fiscal year ending on the last Saturday in August. Fiscal 2021 is a 52-week year, Fiscal 2020 was a 52-week year, and 2019 was a 53-week year. The extra (53rd) week in Fiscal 2019 was recognized in our fourth quarter.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33"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years.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Cash and cash equivalents represent cash, demand deposits and highly liquid investments with original maturities of three months or less that are not legally restricted. Cash equivalents are recorded at cost, which approximates fair value.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Receivables consist principally of amounts due from our dealer network for RVs and boats sold.</w:t>
      </w:r>
    </w:p>
    <w:p>
      <w:pPr>
        <w:spacing w:after="0" w:line="24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record an allowance using a model to reduce receivables by the expected credit loss and consider factors such as financial condition of the dealer, specific collection issues and current economic conditions. If there is a deterioration of a dealer's financial condition, if we become aware of additional information related to credit worthiness or if future actual default rates on receivables differ from those currently anticipated, we may adjust the allowance for doubtful accounts, which would affect earnings in the period the adjustments are made.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133"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Generally, inventories are stated at the lower of cost or net realizable value determined under the First-in, First-out basis ("FIFO"), except for the Company's Winnebago Motorhome operating segment which is determined using the Last-in, First-out ("LIFO") basis. Manufacturing cost includes materials, labor, and overhead. Unallocated overhead and abnormal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133"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color w:val="auto"/>
        </w:rPr>
        <w:t>Depreciation of property and equipment is computed using the straight-line method on the cost of the assets, less allowance for salvage value where appropriate, at rates based upon their estimated service lives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44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Asset Life</w:t>
            </w:r>
          </w:p>
        </w:tc>
      </w:tr>
      <w:tr>
        <w:trPr>
          <w:trHeight w:val="21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4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 years</w:t>
            </w: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Machinery and equipment</w:t>
            </w:r>
          </w:p>
        </w:tc>
        <w:tc>
          <w:tcPr>
            <w:tcW w:w="4440" w:type="dxa"/>
            <w:vAlign w:val="bottom"/>
          </w:tcPr>
          <w:p>
            <w:pPr>
              <w:jc w:val="right"/>
              <w:spacing w:after="0"/>
              <w:rPr>
                <w:sz w:val="20"/>
                <w:szCs w:val="20"/>
                <w:color w:val="auto"/>
              </w:rPr>
            </w:pPr>
            <w:r>
              <w:rPr>
                <w:rFonts w:ascii="Arial" w:cs="Arial" w:eastAsia="Arial" w:hAnsi="Arial"/>
                <w:sz w:val="16"/>
                <w:szCs w:val="16"/>
                <w:color w:val="auto"/>
              </w:rPr>
              <w:t>3-10 years</w:t>
            </w: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w:t>
            </w:r>
          </w:p>
        </w:tc>
        <w:tc>
          <w:tcPr>
            <w:tcW w:w="4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 years</w:t>
            </w:r>
          </w:p>
        </w:tc>
      </w:tr>
      <w:tr>
        <w:trPr>
          <w:trHeight w:val="210"/>
        </w:trPr>
        <w:tc>
          <w:tcPr>
            <w:tcW w:w="680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4440" w:type="dxa"/>
            <w:vAlign w:val="bottom"/>
          </w:tcPr>
          <w:p>
            <w:pPr>
              <w:jc w:val="right"/>
              <w:spacing w:after="0"/>
              <w:rPr>
                <w:sz w:val="20"/>
                <w:szCs w:val="20"/>
                <w:color w:val="auto"/>
              </w:rPr>
            </w:pPr>
            <w:r>
              <w:rPr>
                <w:rFonts w:ascii="Arial" w:cs="Arial" w:eastAsia="Arial" w:hAnsi="Arial"/>
                <w:sz w:val="16"/>
                <w:szCs w:val="16"/>
                <w:color w:val="auto"/>
              </w:rPr>
              <w:t>3-6 years</w:t>
            </w:r>
          </w:p>
        </w:tc>
      </w:tr>
      <w:tr>
        <w:trPr>
          <w:trHeight w:val="540"/>
        </w:trPr>
        <w:tc>
          <w:tcPr>
            <w:tcW w:w="6800" w:type="dxa"/>
            <w:vAlign w:val="bottom"/>
          </w:tcPr>
          <w:p>
            <w:pPr>
              <w:spacing w:after="0"/>
              <w:rPr>
                <w:sz w:val="20"/>
                <w:szCs w:val="20"/>
                <w:color w:val="auto"/>
              </w:rPr>
            </w:pPr>
            <w:r>
              <w:rPr>
                <w:rFonts w:ascii="Arial" w:cs="Arial" w:eastAsia="Arial" w:hAnsi="Arial"/>
                <w:sz w:val="16"/>
                <w:szCs w:val="16"/>
                <w:b w:val="1"/>
                <w:bCs w:val="1"/>
                <w:color w:val="auto"/>
              </w:rPr>
              <w:t>Goodwill and Indefinite-Lived Intangible Assets</w:t>
            </w:r>
          </w:p>
        </w:tc>
        <w:tc>
          <w:tcPr>
            <w:tcW w:w="4440" w:type="dxa"/>
            <w:vAlign w:val="bottom"/>
          </w:tcPr>
          <w:p>
            <w:pPr>
              <w:spacing w:after="0"/>
              <w:rPr>
                <w:sz w:val="24"/>
                <w:szCs w:val="24"/>
                <w:color w:val="auto"/>
              </w:rPr>
            </w:pPr>
          </w:p>
        </w:tc>
      </w:tr>
      <w:tr>
        <w:trPr>
          <w:trHeight w:val="297"/>
        </w:trPr>
        <w:tc>
          <w:tcPr>
            <w:tcW w:w="6800" w:type="dxa"/>
            <w:vAlign w:val="bottom"/>
          </w:tcPr>
          <w:p>
            <w:pPr>
              <w:spacing w:after="0"/>
              <w:rPr>
                <w:sz w:val="20"/>
                <w:szCs w:val="20"/>
                <w:color w:val="auto"/>
              </w:rPr>
            </w:pPr>
            <w:r>
              <w:rPr>
                <w:rFonts w:ascii="Arial" w:cs="Arial" w:eastAsia="Arial" w:hAnsi="Arial"/>
                <w:sz w:val="16"/>
                <w:szCs w:val="16"/>
                <w:i w:val="1"/>
                <w:iCs w:val="1"/>
                <w:color w:val="auto"/>
              </w:rPr>
              <w:t>Goodwill</w:t>
            </w:r>
          </w:p>
        </w:tc>
        <w:tc>
          <w:tcPr>
            <w:tcW w:w="4440" w:type="dxa"/>
            <w:vAlign w:val="bottom"/>
          </w:tcPr>
          <w:p>
            <w:pPr>
              <w:spacing w:after="0"/>
              <w:rPr>
                <w:sz w:val="24"/>
                <w:szCs w:val="24"/>
                <w:color w:val="auto"/>
              </w:rPr>
            </w:pPr>
          </w:p>
        </w:tc>
      </w:tr>
    </w:tbl>
    <w:p>
      <w:pPr>
        <w:spacing w:after="0" w:line="10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Goodwill is tested for impairment at least annually, during the fourth quarter and whenever events occur or circumstances change that would indicate the carrying value may not be recoverable. Impairment testing for goodwill is performed at a reporting unit level and all goodwill is assigned to a reporting unit. Our reporting units are the same as the operating segments as defined in Note 3.</w:t>
      </w:r>
    </w:p>
    <w:p>
      <w:pPr>
        <w:spacing w:after="0" w:line="22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have the option to first assess qualitative factors to determine whether the fair value of a reporting unit is “more likely than not” less than its carrying value. If it is more likely than not that an impairment has occurred, we then perform the quantitative goodwill impairment test. If we perform the quantitative test, the carrying value of the reporting unit is compared to an estimate of the reporting unit’s fair value to identify impairment. The estimate of the reporting unit’s fair value is determined by an income approach weighting a discounted cash flow model and a market approach using current industry information that involve significant unobservable inputs (Level 3 inputs). In determining the estimated future cash flow, we consider and apply certain estimates and judgments, including current and projected future levels of income based on management plans, business trends, prospects, market and economic conditions, and market-participant considerations. If the quantitative assessment of goodwill impairment fails, an impairment loss equal to the amount that a reporting unit's carrying value exceeds its fair value will be recognized.</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During the fourth quarter of Fiscal 2021, we completed the annual impairment analysis. We elected to rely on a qualitative assessment for the Grand Design reporting unit and performed a quantitative analysis for the Chris-Craft and Newmar reporting units resulting in the fair value exceeding the carrying value. No impairment was indicated for the years ended August 28, 2021. August 29, 2020, or August 31, 2019.</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Trade names</w:t>
      </w:r>
    </w:p>
    <w:p>
      <w:pPr>
        <w:spacing w:after="0" w:line="12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indefinite-lived intangible assets for trade names related to Newmar within the Motorhome segment, Grand Design within the Towable segment, and Chris-Craft within the Corporate / All Other category. Annually in the fourth quarter, or if conditions indicate an interim review is necessary, we assess qualitative factors to determine if it is more likely than not that the fair value of an indefinite-lived intangible asset is less than its carrying amount. We utilized the relief from the royalty method, which required significant judgment, if a quantitative analysis is required to determine the fair value of the trade name. Actual results may differ from assumed and estimated amounts utilized in the analysis. If we conclude an impairment exists, the asset's carrying value will be written down to its fair value.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fourth quarter of Fiscal 2021, we completed the annual impairment analysis. No impairment was indicated for the years ended August 28, 2021.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August 29, 2020, or August 31, 2019.</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Long-Lived Assets</w:t>
      </w:r>
    </w:p>
    <w:p>
      <w:pPr>
        <w:spacing w:after="0" w:line="13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Long-lived assets, which include property, plant and equipment, definite-lived intangible assets subject to amortization, primarily the dealer network, and right-of-use assets are assessed for impairment whenever events or changes in circumstances such as asset utilization, physical change, legal factors or other matters indicate the carrying value of those assets may not be recoverable from future undiscounted cash flows. The impairment test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reasonableness of the useful lives of the asset and other long-lived assets is regularly evaluated.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No impairment loss of any long-lived asset was identified for the years ended August 28, 2021, August 29, 2020, or August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13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Generally, we self-insure a portion of product liability claims, workers' compensation, and health insurance. Under these plans, liabilities are recognized for claims incurred, including those incurred but not reported. We use third party administrators and actuaries who use historical claims experience and various state statutes to assist in the determination of the accrued liability balance. We have a $50.0 million insurance policy that includes a self-insured retention for product liability of $1.0 million per occurrence and $2.0 million in aggregate per policy year. Our self-insured health insurance policy includes an individual retention of $0.3 million per occurrence and an aggregate retention of 125% of expected annual claims. We maintain excess liability insurance with outside insurance carriers to minimize the risks related to catastrophic claims in excess of self-insured positions for product liability, health insurance, and personal injury matters. Any material change in the aforementioned factors could have an adverse impact on operating results. Balances are included within self-insurance (accrued expenses) on our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3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preparing these financial statements, we are required to estimate the income taxes in each of the jurisdictions in which we operate. This process involves estimating the current tax exposure together with assessing temporary differences resulting from differing treatment of items for tax and accounting purposes. These temporary differences result in deferred tax assets and liabilities, which are included on the Consolidated Balance Sheets. We then assess the likelihood that the deferred tax assets will be realized based on future taxable income and, to the extent that recovery is not likely, a valuation allowance is established. To the extent we establish a valuation allowance or change this allowance in a period, an expense or a benefit is included within the tax provision on the Consolidated Statements of Income and Comprehensive Income.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Litigation expense, including estimated defense costs, is recorded when probable and reasonably estimable.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3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Our primary source of revenue is generated through the sale of non-motorized towable units, motorized units, and marine units to our independent dealer network (customers). Unit revenue is recognized at a point-in-time when the performance obligation is satisfied and control of the promised goods or services is transferred to the customer, which generally occurs when the unit is shipped to or picked-up from the manufacturing facilities by the customer. Control refers to the ability of the customer to direct the use of, and obtain substantially all of, the remaining benefits from the goods or services. We recognize revenue based on an amount that reflects the transaction price consideration that we expect to receive in exchange for those goods or services. Our transaction price consideration is fixed, unless otherwise disclosed as variable consideration. The amount of consideration received and recorded to revenue can vary with changes in marketing incentives and discounts offered to customers. These marketing incentives and discounts are considered variable consideration. We adjust the estimate of revenue at the earlier of when the most likely amount of consideration expected to be received changes or when the consideration becomes fixed. Our payment terms are typically before or on delivery, and do not include a significant financing component.</w:t>
      </w:r>
    </w:p>
    <w:p>
      <w:pPr>
        <w:spacing w:after="0" w:line="233" w:lineRule="exact"/>
        <w:rPr>
          <w:sz w:val="20"/>
          <w:szCs w:val="20"/>
          <w:color w:val="auto"/>
        </w:rPr>
      </w:pPr>
    </w:p>
    <w:p>
      <w:pPr>
        <w:ind w:right="320"/>
        <w:spacing w:after="0" w:line="246" w:lineRule="auto"/>
        <w:rPr>
          <w:sz w:val="20"/>
          <w:szCs w:val="20"/>
          <w:color w:val="auto"/>
        </w:rPr>
      </w:pPr>
      <w:r>
        <w:rPr>
          <w:rFonts w:ascii="Arial" w:cs="Arial" w:eastAsia="Arial" w:hAnsi="Arial"/>
          <w:sz w:val="16"/>
          <w:szCs w:val="16"/>
          <w:color w:val="auto"/>
        </w:rPr>
        <w:t>Net revenue includes shipping and handling charges billed directly to customers, and we also generate income through the sale of certain parts and services, acting as the principal in these arrangements. We have made an accounting policy election to account for any shipping and handling costs that occur after the transfer of control as a fulfillment cost that is accrued when control is transferred. We also have made an accounting policy election to exclude from revenue sales and usage-based taxes collected.</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contracts include some incidental items that are immaterial in the context of the contract. We have made an accounting policy election to not assess whether promised goods or services are performance obligations if they are immaterial in the context of the contract with the customer. Warranty obligations associated with the sale of a unit are assurance-type warranties that are a guarantee of the unit’s intended functionality and, therefore, do not represent a distinct performance obligation within the context of the contract. Contract costs incurred related to the sale of manufactured units are expensed at the point-in-time when the related revenue is recognized.</w:t>
      </w:r>
    </w:p>
    <w:p>
      <w:pPr>
        <w:spacing w:after="0" w:line="23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revenue standard requirements are applied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13 for additional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Advertising costs, which consist primarily of literature and trade shows, were $11,634, $12,540, and $8,284 in Fiscal 2021, 2020, and 2019, respectively. Advertising costs are included in selling, general, and administrative expenses and are expensed as incurred on the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CARES Act</w:t>
      </w:r>
    </w:p>
    <w:p>
      <w:pPr>
        <w:spacing w:after="0" w:line="120" w:lineRule="exact"/>
        <w:rPr>
          <w:sz w:val="20"/>
          <w:szCs w:val="20"/>
          <w:color w:val="auto"/>
        </w:rPr>
      </w:pPr>
    </w:p>
    <w:p>
      <w:pPr>
        <w:ind w:right="160"/>
        <w:spacing w:after="0" w:line="231" w:lineRule="auto"/>
        <w:rPr>
          <w:sz w:val="20"/>
          <w:szCs w:val="20"/>
          <w:color w:val="auto"/>
        </w:rPr>
      </w:pPr>
      <w:r>
        <w:rPr>
          <w:rFonts w:ascii="Arial" w:cs="Arial" w:eastAsia="Arial" w:hAnsi="Arial"/>
          <w:sz w:val="16"/>
          <w:szCs w:val="16"/>
          <w:color w:val="auto"/>
        </w:rPr>
        <w:t>The Coronavirus Aid, Relief, and Economic Security ("CARES") Act was signed into law on March 27, 2020 to help alleviate the impact of the COVID-19 pandemic in the U.S. We are taking advantage of the employer payroll tax deferral offered by the CARES Act, which allows us to defer the payment of employer payroll taxes for the period from March 27, 2020 to December 31, 2020. The deferred employer payroll tax liability was $16,223 and $7,828 as of August 28, 2021 and August 29, 2020, respectively, and will be payable in equal installments in December 2021 and December 2022. We also took advantage of a tax credit granted to companies under the CARES Act who continued to pay their employees when operations were fully or partially suspended. The refundable tax credit available through the end of our third quarter of Fiscal 2020, and the balance as of August 29, 2020, reflected in cost of goods sold on the Consolidated Statements of Income and Comprehensive Income was approximately $3,999. The entire amount is expected to be received by the end of calendar year 2021. As of August 28, 2021, $3,202 remains outstanding within other current assets on the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33"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We have evaluated events occurring between the end of the most recent fiscal year and the date the financial statements were issued. There were no material subsequent events except as disclosed in Note 14 and below:</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 August 31, 2021, we completed our acquisition of all the equity interests of Barletta, a manufacturer of high-quality, premium pontoon boats. We acquired Barletta for a fixed purchase price of $255.0 million, subject to working capital and other adjustments, and contingent consideration subject to earnout provisions. The purchase price included an upfront payment at closing of $255.0 million funded with $230.0 million of cash on hand and $25.0 million in common stock issued to the sellers. The contingent consideration includes both a potential stock payout as well as potential cash payment based on achievement of certain financial performance metrics over the next few years. The maximum payout under the earnout is $50.0 million in cash and $15.0 million in common stock if all metrics are achieved. The final amount of shares to be issued for both the fixed purchase price and contingent consideration is subject to a weighted average share price calculation.</w:t>
      </w:r>
    </w:p>
    <w:p>
      <w:pPr>
        <w:spacing w:after="0" w:line="23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acquisition of Barletta will result in a newly created Marine reportable segment beginning in the first quarter of our Fiscal 2022 that will include Barletta and the existing Chris-Craft operating segment.</w:t>
      </w:r>
    </w:p>
    <w:p>
      <w:pPr>
        <w:spacing w:after="0" w:line="222"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On October 13, 2021, our Board of Directors authorized a new share repurchase program in the amount of $200.0 million with no time restriction on the authorization, which took effect immediately and replaced the prior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04"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 xml:space="preserve">Accounting Standards Codification ("ASC") Topic 326,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was adopted in the first quarter of Fiscal 2021. The new standard changes the accounting for credit losses on instruments measured at amortized costs, such as accounts receivables and deposits by adding an impairment model that is based on expected losses rather than incurred losses. An entity will recognize as an allowance its estimate of expected credit losses, which is believed to result in more timely recognition of such losses as the standard eliminates the probable initial recognition threshold. We adopted the new standard using the modified retrospective approach, which involves recognizing the cumulative effect of initial adoption of Topic 326 as an adjustment to our opening retained earnings as of August 30, 2020. As a result, we did not adjust comparative period financial information for periods before the effective date. No incremental allowance for credit losses has been recognized in Fiscal 2021 as a result of the adoption. The adoption of this standard did not have a material impact on our financial condition, results of operations or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2020, the Financial Accounting Standards Board ("FASB") issued Accounting Standards Update ("ASU") 2020-06, </w:t>
      </w:r>
      <w:r>
        <w:rPr>
          <w:rFonts w:ascii="Arial" w:cs="Arial" w:eastAsia="Arial" w:hAnsi="Arial"/>
          <w:sz w:val="16"/>
          <w:szCs w:val="16"/>
          <w:i w:val="1"/>
          <w:iCs w:val="1"/>
          <w:color w:val="auto"/>
        </w:rPr>
        <w:t>Debt - Debt with Conversion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Options (Subtopic 470-20) and Derivatives and Hedging - Contracts in Entity's Own Equity (Subtopic 815-40) </w:t>
      </w:r>
      <w:r>
        <w:rPr>
          <w:rFonts w:ascii="Arial" w:cs="Arial" w:eastAsia="Arial" w:hAnsi="Arial"/>
          <w:sz w:val="16"/>
          <w:szCs w:val="16"/>
          <w:color w:val="auto"/>
        </w:rPr>
        <w:t>which reduces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models used to account for convertible instruments, amends diluted earnings per share ("EPS") calculations for convertible instruments, and amends the requirements for a contract (or embedded derivative) that is potentially settled in an entity's own shares to be classified in equity. Certain disclosure requirements were also added to increase transparency and decision-usefulness regarding a convertible instrument's terms and features. Additionally, the if-converted method for including convertible instruments must be used in diluted EPS as opposed to the treasury stock method. The new guidance is effective for annual reporting periods beginning after December 15, 2021, which is our Fiscal 2023. Early adoption is permitted using either a modified retrospective or full retrospective approach. We expect to adopt the new guidance in the first quarter of Fiscal 2023 and have not yet evaluated the impact the adoption of this guidance will have on our financial condition, results of operations or disclosures; however, the new guidance is expected to change the Company's diluted EPS reporting.</w:t>
      </w:r>
    </w:p>
    <w:p>
      <w:pPr>
        <w:spacing w:after="0" w:line="342"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Effects of Reference Rate Reform on Financial Reporting</w:t>
      </w:r>
      <w:r>
        <w:rPr>
          <w:rFonts w:ascii="Arial" w:cs="Arial" w:eastAsia="Arial" w:hAnsi="Arial"/>
          <w:sz w:val="16"/>
          <w:szCs w:val="16"/>
          <w:color w:val="auto"/>
        </w:rPr>
        <w:t>, which provides practical expedients and exceptions for applying GAAP to contracts, hedging relationships, and other transactions affected by reference rate reform if certain criteria are met. The expedients and exceptions provided by this guidance apply only to contracts, hedging relationships, and other transactions that reference the London interbank offered rate (“LIBOR”) or another reference rate expected to be discontinued as a result of reference rate reform. This guidance is not applicable to contract modifications made and hedging relationships entered into or evaluated after December 31, 2022. The guidance can be applied immediately through December 31, 2022. We will adopt this standard when LIBOR is discontinued and do not expect a material impact to our financial condition, results of operations or disclosures based on the current debt portfolio and capital structure.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eliminates certain exceptions to Topic 740's general principles, improves consistent application and simplifies its application. The standard is effective for annual reporting periods beginning after December 15, 2020, which is our Fiscal 2022, including interim periods within those annual reporting periods. We expect to adopt the new guidance in the first quarter of Fiscal 2022. We have evaluated the standard and there will not be a material impact to our financial condition, results of operations or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Newmar Corporation</w:t>
      </w:r>
    </w:p>
    <w:p>
      <w:pPr>
        <w:spacing w:after="0" w:line="13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November 8, 2019, pursuant to the terms of the Stock Purchase Agreement dated September 15, 2019 (the "Purchase Agreement"), Winnebago completed the acquisition of 100% of Newmar Corporation, Dutch Real Estate Corp., New-Way Transport, and New-Serv (collectively “Newmar”). Newmar is a leading manufacturer of Class A and Super C motorized recreation vehicles that are sold through an established network of independent authorized dealers throughout North America.</w:t>
      </w:r>
    </w:p>
    <w:p>
      <w:pPr>
        <w:spacing w:after="0" w:line="175"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The following table summarizes the total consideration paid for Newmar, which was subject to purchase price adjustments as stipulated in the Purchase Agreement: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share data)</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November 8, 2019</w:t>
            </w:r>
          </w:p>
        </w:tc>
      </w:tr>
      <w:tr>
        <w:trPr>
          <w:trHeight w:val="210"/>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264,434</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Winnebago Industries shares: 2,000,000 at $46.29</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92,572</w:t>
            </w:r>
          </w:p>
        </w:tc>
      </w:tr>
      <w:tr>
        <w:trPr>
          <w:trHeight w:val="238"/>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357,006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The cash portion of the purchase price of the acquisition and certain transaction expenses were funded through the private placement of convertible senior notes (as further described in Note 9) and cash on hand. The stock consideration was discounted by 7.0% due to lack of marketability because of the one-year lock-up restrictions.</w:t>
      </w:r>
    </w:p>
    <w:p>
      <w:pPr>
        <w:spacing w:after="0" w:line="22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total purchase price was allocated to the net tangible and intangible assets of Newmar acquired, based on their fair values at the date of the acquisition. We believe that the information provides a reasonable basis for estimating the fair values. During the third quarter of Fiscal 2020, we finalized the valuation and completed the purchase price allocation, which included purchase price adjustments of $3,316.</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fair values assigned to the Newmar net assets acquired and the determination of net assets: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November 8, 2019</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37,147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5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82,621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Prepaid expenses and other assets</w:t>
            </w: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9,830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5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31,143</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Goodwill</w:t>
            </w: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73,127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5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172,100</w:t>
            </w:r>
          </w:p>
        </w:tc>
        <w:tc>
          <w:tcPr>
            <w:tcW w:w="0" w:type="dxa"/>
            <w:vAlign w:val="bottom"/>
          </w:tcPr>
          <w:p>
            <w:pPr>
              <w:spacing w:after="0"/>
              <w:rPr>
                <w:sz w:val="1"/>
                <w:szCs w:val="1"/>
                <w:color w:val="auto"/>
              </w:rPr>
            </w:pPr>
          </w:p>
        </w:tc>
      </w:tr>
      <w:tr>
        <w:trPr>
          <w:trHeight w:val="210"/>
        </w:trPr>
        <w:tc>
          <w:tcPr>
            <w:tcW w:w="4040" w:type="dxa"/>
            <w:vAlign w:val="bottom"/>
          </w:tcPr>
          <w:p>
            <w:pPr>
              <w:ind w:left="140"/>
              <w:spacing w:after="0"/>
              <w:rPr>
                <w:sz w:val="20"/>
                <w:szCs w:val="20"/>
                <w:color w:val="auto"/>
              </w:rPr>
            </w:pPr>
            <w:r>
              <w:rPr>
                <w:rFonts w:ascii="Arial" w:cs="Arial" w:eastAsia="Arial" w:hAnsi="Arial"/>
                <w:sz w:val="16"/>
                <w:szCs w:val="16"/>
                <w:color w:val="auto"/>
              </w:rPr>
              <w:t>Total assets acquired</w:t>
            </w: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409,437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5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14,023</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4,306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warranties</w:t>
            </w:r>
          </w:p>
        </w:tc>
        <w:tc>
          <w:tcPr>
            <w:tcW w:w="5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15,147</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Promotional</w:t>
            </w:r>
          </w:p>
        </w:tc>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6,351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5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11,636</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liabilities</w:t>
            </w:r>
          </w:p>
        </w:tc>
        <w:tc>
          <w:tcPr>
            <w:tcW w:w="5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liabilities assumed</w:t>
            </w:r>
          </w:p>
        </w:tc>
        <w:tc>
          <w:tcPr>
            <w:tcW w:w="5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52,431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Total purchase price</w:t>
            </w:r>
          </w:p>
        </w:tc>
        <w:tc>
          <w:tcPr>
            <w:tcW w:w="5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357,006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560" w:type="dxa"/>
            <w:vAlign w:val="bottom"/>
            <w:vMerge w:val="restart"/>
          </w:tcPr>
          <w:p>
            <w:pPr>
              <w:jc w:val="right"/>
              <w:ind w:right="3799"/>
              <w:spacing w:after="0"/>
              <w:rPr>
                <w:sz w:val="20"/>
                <w:szCs w:val="20"/>
                <w:color w:val="auto"/>
              </w:rPr>
            </w:pPr>
            <w:r>
              <w:rPr>
                <w:rFonts w:ascii="Arial" w:cs="Arial" w:eastAsia="Arial" w:hAnsi="Arial"/>
                <w:sz w:val="16"/>
                <w:szCs w:val="16"/>
                <w:color w:val="auto"/>
              </w:rPr>
              <w:t>42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404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tcBorders>
              <w:bottom w:val="single" w:sz="8" w:color="9A9A9A"/>
            </w:tcBorders>
          </w:tcPr>
          <w:p>
            <w:pPr>
              <w:spacing w:after="0"/>
              <w:rPr>
                <w:sz w:val="9"/>
                <w:szCs w:val="9"/>
                <w:color w:val="auto"/>
              </w:rPr>
            </w:pPr>
          </w:p>
        </w:tc>
        <w:tc>
          <w:tcPr>
            <w:tcW w:w="5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The goodwill, recognized in our Motorhome segment, is primarily attributable to the value of the workforce, reputation of founders, customer and dealer growth opportunities, and expected synergies. Key areas of cost synergies include increased purchasing power for raw materials and supply chain consolidation. The full amount of goodwill is deductible for tax purposes.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0" w:type="dxa"/>
            <w:vAlign w:val="bottom"/>
          </w:tcPr>
          <w:p>
            <w:pPr>
              <w:spacing w:after="0"/>
              <w:rPr>
                <w:sz w:val="20"/>
                <w:szCs w:val="20"/>
                <w:color w:val="auto"/>
              </w:rPr>
            </w:pPr>
            <w:r>
              <w:rPr>
                <w:rFonts w:ascii="Arial" w:cs="Arial" w:eastAsia="Arial" w:hAnsi="Arial"/>
                <w:sz w:val="16"/>
                <w:szCs w:val="16"/>
                <w:color w:val="auto"/>
              </w:rPr>
              <w:t>The following table summarizes the other intangible assets acquired:</w:t>
            </w: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32"/>
        </w:trPr>
        <w:tc>
          <w:tcPr>
            <w:tcW w:w="5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November 8, 2019</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9"/>
              </w:rPr>
              <w:t>Useful Life-Years</w:t>
            </w:r>
          </w:p>
        </w:tc>
      </w:tr>
      <w:tr>
        <w:trPr>
          <w:trHeight w:val="213"/>
        </w:trPr>
        <w:tc>
          <w:tcPr>
            <w:tcW w:w="5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1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98,000</w:t>
            </w:r>
          </w:p>
        </w:tc>
        <w:tc>
          <w:tcPr>
            <w:tcW w:w="1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Indefinite</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Dealer network</w:t>
            </w:r>
          </w:p>
        </w:tc>
        <w:tc>
          <w:tcPr>
            <w:tcW w:w="1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64,000</w:t>
            </w:r>
          </w:p>
        </w:tc>
        <w:tc>
          <w:tcPr>
            <w:tcW w:w="1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rPr>
              <w:t>12.0</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8,800</w:t>
            </w:r>
          </w:p>
        </w:tc>
        <w:tc>
          <w:tcPr>
            <w:tcW w:w="1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1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1,300</w:t>
            </w:r>
          </w:p>
        </w:tc>
        <w:tc>
          <w:tcPr>
            <w:tcW w:w="1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8"/>
              </w:rPr>
              <w:t>5.0</w:t>
            </w:r>
          </w:p>
        </w:tc>
      </w:tr>
    </w:tbl>
    <w:p>
      <w:pPr>
        <w:spacing w:after="0" w:line="34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fair value of the trade name and dealer network were estimated using an income approach. Under the income approach, an intangible asset's fair value is equal to the present value of the future economic benefits to be derived from ownership of the asset,using the relief from royalty method. The relief from royalty method is based on the hypothetical royalty stream that would be received if we were to license the trade name and was based on expected revenues. The fair value of the dealer network was estimated using the cost to recreate/cost saving method. This method uses the replacement of the asset as an indicator of the fair value of the asset. The useful lives of the intangibles were determined considering the expected cash flows used to measure the fair value of the intangible assets adjusted for the entity-specific factors including legal, regulatory, contractual, competitive, economic or other factors that may limit the useful life of intangible assets. On the acquisition date, amortizable intangible assets had a weighted-average useful life of approximately 10.5 years.</w:t>
      </w:r>
    </w:p>
    <w:p>
      <w:pPr>
        <w:spacing w:after="0" w:line="200" w:lineRule="exact"/>
        <w:rPr>
          <w:sz w:val="20"/>
          <w:szCs w:val="20"/>
          <w:color w:val="auto"/>
        </w:rPr>
      </w:pP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results of Newmar's operations have been included in our Consolidated Financial Statements from the close of the acquisition within the Motorhome segment. The following table provides net revenues and operating income from the Newmar operating segment included in our consolidated results following the November 8, 2019 closing date: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2020</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3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388,383</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4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(3,642)</w:t>
            </w:r>
          </w:p>
        </w:tc>
      </w:tr>
    </w:tbl>
    <w:p>
      <w:pPr>
        <w:spacing w:after="0" w:line="332"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The following unaudited pro forma information represents our results of operations as if the Fiscal 2020 acquisition of Newmar had occurred at the beginning of Fiscal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7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2,508,792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2,645,914</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72,609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101,692</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 basic</w:t>
            </w:r>
          </w:p>
        </w:tc>
        <w:tc>
          <w:tcPr>
            <w:tcW w:w="37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Earnings per share - diluted</w:t>
            </w:r>
          </w:p>
        </w:tc>
        <w:tc>
          <w:tcPr>
            <w:tcW w:w="3700" w:type="dxa"/>
            <w:vAlign w:val="bottom"/>
          </w:tcPr>
          <w:p>
            <w:pPr>
              <w:jc w:val="right"/>
              <w:ind w:right="1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3.02</w:t>
            </w:r>
          </w:p>
        </w:tc>
      </w:tr>
    </w:tbl>
    <w:p>
      <w:pPr>
        <w:spacing w:after="0" w:line="345"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Newmar had occurred at the beginning of Fiscal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r>
      <w:tr>
        <w:trPr>
          <w:trHeight w:val="213"/>
        </w:trPr>
        <w:tc>
          <w:tcPr>
            <w:tcW w:w="66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Amortization of intangibles (1 year or less useful life)</w:t>
            </w:r>
            <w:r>
              <w:rPr>
                <w:rFonts w:ascii="Arial" w:cs="Arial" w:eastAsia="Arial" w:hAnsi="Arial"/>
                <w:sz w:val="21"/>
                <w:szCs w:val="21"/>
                <w:color w:val="auto"/>
                <w:vertAlign w:val="superscript"/>
              </w:rPr>
              <w:t>(1)</w:t>
            </w:r>
          </w:p>
        </w:tc>
        <w:tc>
          <w:tcPr>
            <w:tcW w:w="160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(13,610)</w:t>
            </w:r>
          </w:p>
        </w:tc>
      </w:tr>
      <w:tr>
        <w:trPr>
          <w:trHeight w:val="216"/>
        </w:trPr>
        <w:tc>
          <w:tcPr>
            <w:tcW w:w="6640" w:type="dxa"/>
            <w:vAlign w:val="bottom"/>
          </w:tcPr>
          <w:p>
            <w:pPr>
              <w:ind w:left="20"/>
              <w:spacing w:after="0" w:line="216" w:lineRule="exact"/>
              <w:rPr>
                <w:sz w:val="20"/>
                <w:szCs w:val="20"/>
                <w:color w:val="auto"/>
              </w:rPr>
            </w:pPr>
            <w:r>
              <w:rPr>
                <w:rFonts w:ascii="Arial" w:cs="Arial" w:eastAsia="Arial" w:hAnsi="Arial"/>
                <w:sz w:val="16"/>
                <w:szCs w:val="16"/>
                <w:color w:val="auto"/>
              </w:rPr>
              <w:t>Increase in amortization of intangible assets</w:t>
            </w:r>
            <w:r>
              <w:rPr>
                <w:rFonts w:ascii="Arial" w:cs="Arial" w:eastAsia="Arial" w:hAnsi="Arial"/>
                <w:sz w:val="21"/>
                <w:szCs w:val="21"/>
                <w:color w:val="auto"/>
                <w:vertAlign w:val="superscript"/>
              </w:rPr>
              <w:t>(2)</w:t>
            </w:r>
          </w:p>
        </w:tc>
        <w:tc>
          <w:tcPr>
            <w:tcW w:w="1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(5,578)</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Expenses related to business combination (transaction costs)</w:t>
            </w:r>
            <w:r>
              <w:rPr>
                <w:rFonts w:ascii="Arial" w:cs="Arial" w:eastAsia="Arial" w:hAnsi="Arial"/>
                <w:sz w:val="21"/>
                <w:szCs w:val="21"/>
                <w:color w:val="auto"/>
                <w:vertAlign w:val="superscript"/>
              </w:rPr>
              <w:t>(3)</w:t>
            </w:r>
          </w:p>
        </w:tc>
        <w:tc>
          <w:tcPr>
            <w:tcW w:w="1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(9,950)</w:t>
            </w:r>
          </w:p>
        </w:tc>
      </w:tr>
      <w:tr>
        <w:trPr>
          <w:trHeight w:val="216"/>
        </w:trPr>
        <w:tc>
          <w:tcPr>
            <w:tcW w:w="6640" w:type="dxa"/>
            <w:vAlign w:val="bottom"/>
          </w:tcPr>
          <w:p>
            <w:pPr>
              <w:ind w:left="20"/>
              <w:spacing w:after="0" w:line="216" w:lineRule="exact"/>
              <w:rPr>
                <w:sz w:val="20"/>
                <w:szCs w:val="20"/>
                <w:color w:val="auto"/>
              </w:rPr>
            </w:pPr>
            <w:r>
              <w:rPr>
                <w:rFonts w:ascii="Arial" w:cs="Arial" w:eastAsia="Arial" w:hAnsi="Arial"/>
                <w:sz w:val="16"/>
                <w:szCs w:val="16"/>
                <w:color w:val="auto"/>
              </w:rPr>
              <w:t>Interest to reflect new debt structure</w:t>
            </w:r>
            <w:r>
              <w:rPr>
                <w:rFonts w:ascii="Arial" w:cs="Arial" w:eastAsia="Arial" w:hAnsi="Arial"/>
                <w:sz w:val="21"/>
                <w:szCs w:val="21"/>
                <w:color w:val="auto"/>
                <w:vertAlign w:val="superscript"/>
              </w:rPr>
              <w:t>(4)</w:t>
            </w:r>
          </w:p>
        </w:tc>
        <w:tc>
          <w:tcPr>
            <w:tcW w:w="1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(19,155)</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Taxes related to the adjustments to the pro forma data and to the net income of Newmar</w:t>
            </w:r>
            <w:r>
              <w:rPr>
                <w:rFonts w:ascii="Arial" w:cs="Arial" w:eastAsia="Arial" w:hAnsi="Arial"/>
                <w:sz w:val="21"/>
                <w:szCs w:val="21"/>
                <w:color w:val="auto"/>
                <w:vertAlign w:val="superscript"/>
              </w:rPr>
              <w:t>(5)</w:t>
            </w:r>
          </w:p>
        </w:tc>
        <w:tc>
          <w:tcPr>
            <w:tcW w:w="1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w:t>
            </w:r>
          </w:p>
        </w:tc>
      </w:tr>
    </w:tbl>
    <w:p>
      <w:pPr>
        <w:spacing w:after="0" w:line="30"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4"/>
          <w:szCs w:val="14"/>
          <w:color w:val="auto"/>
        </w:rPr>
        <w:t>Includes amortization adjustments for the backlog intangible asset and the fair-value inventory adjustment.</w:t>
      </w:r>
    </w:p>
    <w:p>
      <w:pPr>
        <w:spacing w:after="0" w:line="43" w:lineRule="exact"/>
        <w:rPr>
          <w:rFonts w:ascii="Arial" w:cs="Arial" w:eastAsia="Arial" w:hAnsi="Arial"/>
          <w:sz w:val="21"/>
          <w:szCs w:val="21"/>
          <w:color w:val="auto"/>
          <w:vertAlign w:val="superscript"/>
        </w:rPr>
      </w:pPr>
    </w:p>
    <w:p>
      <w:pPr>
        <w:ind w:left="300" w:hanging="292"/>
        <w:spacing w:after="0" w:line="189" w:lineRule="auto"/>
        <w:tabs>
          <w:tab w:leader="none" w:pos="300" w:val="left"/>
        </w:tabs>
        <w:numPr>
          <w:ilvl w:val="0"/>
          <w:numId w:val="24"/>
        </w:numPr>
        <w:rPr>
          <w:rFonts w:ascii="Arial" w:cs="Arial" w:eastAsia="Arial" w:hAnsi="Arial"/>
          <w:sz w:val="19"/>
          <w:szCs w:val="19"/>
          <w:color w:val="auto"/>
          <w:vertAlign w:val="superscript"/>
        </w:rPr>
      </w:pPr>
      <w:r>
        <w:rPr>
          <w:rFonts w:ascii="Arial" w:cs="Arial" w:eastAsia="Arial" w:hAnsi="Arial"/>
          <w:sz w:val="13"/>
          <w:szCs w:val="13"/>
          <w:color w:val="auto"/>
        </w:rPr>
        <w:t>Includes amortization adjustments for the dealer network and non-compete intangible assets.</w:t>
      </w:r>
    </w:p>
    <w:p>
      <w:pPr>
        <w:spacing w:after="0" w:line="43" w:lineRule="exact"/>
        <w:rPr>
          <w:rFonts w:ascii="Arial" w:cs="Arial" w:eastAsia="Arial" w:hAnsi="Arial"/>
          <w:sz w:val="19"/>
          <w:szCs w:val="19"/>
          <w:color w:val="auto"/>
          <w:vertAlign w:val="superscript"/>
        </w:rPr>
      </w:pPr>
    </w:p>
    <w:p>
      <w:pPr>
        <w:ind w:left="300" w:hanging="292"/>
        <w:spacing w:after="0" w:line="189" w:lineRule="auto"/>
        <w:tabs>
          <w:tab w:leader="none" w:pos="300" w:val="left"/>
        </w:tabs>
        <w:numPr>
          <w:ilvl w:val="0"/>
          <w:numId w:val="24"/>
        </w:numPr>
        <w:rPr>
          <w:rFonts w:ascii="Arial" w:cs="Arial" w:eastAsia="Arial" w:hAnsi="Arial"/>
          <w:sz w:val="19"/>
          <w:szCs w:val="19"/>
          <w:color w:val="auto"/>
          <w:vertAlign w:val="superscript"/>
        </w:rPr>
      </w:pPr>
      <w:r>
        <w:rPr>
          <w:rFonts w:ascii="Arial" w:cs="Arial" w:eastAsia="Arial" w:hAnsi="Arial"/>
          <w:sz w:val="13"/>
          <w:szCs w:val="13"/>
          <w:color w:val="auto"/>
        </w:rPr>
        <w:t>Pro forma transaction costs include $652 incurred prior to the acquisition.</w:t>
      </w:r>
    </w:p>
    <w:p>
      <w:pPr>
        <w:spacing w:after="0" w:line="43" w:lineRule="exact"/>
        <w:rPr>
          <w:rFonts w:ascii="Arial" w:cs="Arial" w:eastAsia="Arial" w:hAnsi="Arial"/>
          <w:sz w:val="19"/>
          <w:szCs w:val="19"/>
          <w:color w:val="auto"/>
          <w:vertAlign w:val="superscript"/>
        </w:rPr>
      </w:pPr>
    </w:p>
    <w:p>
      <w:pPr>
        <w:ind w:left="260" w:right="140" w:hanging="252"/>
        <w:spacing w:after="0" w:line="199" w:lineRule="auto"/>
        <w:tabs>
          <w:tab w:leader="none" w:pos="305" w:val="left"/>
        </w:tabs>
        <w:numPr>
          <w:ilvl w:val="0"/>
          <w:numId w:val="24"/>
        </w:numPr>
        <w:rPr>
          <w:rFonts w:ascii="Arial" w:cs="Arial" w:eastAsia="Arial" w:hAnsi="Arial"/>
          <w:sz w:val="21"/>
          <w:szCs w:val="21"/>
          <w:color w:val="auto"/>
          <w:vertAlign w:val="superscript"/>
        </w:rPr>
      </w:pPr>
      <w:r>
        <w:rPr>
          <w:rFonts w:ascii="Arial" w:cs="Arial" w:eastAsia="Arial" w:hAnsi="Arial"/>
          <w:sz w:val="14"/>
          <w:szCs w:val="14"/>
          <w:color w:val="auto"/>
        </w:rPr>
        <w:t>Includes adjustments for cash and non-cash interest expense as well as deferred financing costs. Refer to Note 9 for additional information on our new debt structure as a result of the acquisition.</w:t>
      </w:r>
    </w:p>
    <w:p>
      <w:pPr>
        <w:ind w:left="300" w:hanging="292"/>
        <w:spacing w:after="0" w:line="214" w:lineRule="auto"/>
        <w:tabs>
          <w:tab w:leader="none" w:pos="300" w:val="left"/>
        </w:tabs>
        <w:numPr>
          <w:ilvl w:val="0"/>
          <w:numId w:val="24"/>
        </w:numPr>
        <w:rPr>
          <w:rFonts w:ascii="Arial" w:cs="Arial" w:eastAsia="Arial" w:hAnsi="Arial"/>
          <w:sz w:val="21"/>
          <w:szCs w:val="21"/>
          <w:color w:val="auto"/>
          <w:vertAlign w:val="superscript"/>
        </w:rPr>
      </w:pPr>
      <w:r>
        <w:rPr>
          <w:rFonts w:ascii="Arial" w:cs="Arial" w:eastAsia="Arial" w:hAnsi="Arial"/>
          <w:sz w:val="14"/>
          <w:szCs w:val="14"/>
          <w:color w:val="auto"/>
        </w:rPr>
        <w:t>Calculated using our U.S. federal statutory rate of 21.0%.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unaudited pro forma information is not necessarily indicative of the results that we would have achieved had the transaction actually taken place at the beginning of Fiscal 2019,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Total transaction costs related to the Newmar acquisition were $10,413, of which $9,761 were expensed during Fiscal 2020 and $652 were expensed during the fourth quarter of Fiscal 2019. There were no transaction costs related to the acquisition of Newmar that were incurred during Fiscal 2021. Transaction costs are included in Selling, general, and administrative expenses in the accompanying Consolidated Statements of Income and Comprehensive Income.</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Business Segments</w:t>
      </w:r>
    </w:p>
    <w:p>
      <w:pPr>
        <w:spacing w:after="0" w:line="26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identified six operating segments: 1) Grand Design towables, 2) Winnebago towables, 3) Winnebago motorhomes, 4) Newmar motorhomes, 5) Chris-Craft marine and 6) Winnebago specialty vehicles.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two reportable segments are: Towable (an aggregation of the Grand Design towables and the Winnebago towables operating segments) and Motorhome (an aggregation of the Winnebago motorhomes and Newmar motorhomes operating segments). Towable is comprised of non-motorized products that are generally towed by another vehicle, along with other related manufactured products and services. Motorhome is comprised of products that include a motorized chassis, along with other related manufactured products and services.</w:t>
      </w:r>
    </w:p>
    <w:p>
      <w:pPr>
        <w:spacing w:after="0" w:line="229"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certain corporate administration expenses related to the oversight of the enterprise, such as corporate leadership and administration costs.</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operating segments. Management of each operating segment has responsibility for operating decisions, allocating resources and assessing performance within their respective operating segment. The accounting policies of both reportable segments are the same as those described in Note 1.</w:t>
      </w:r>
    </w:p>
    <w:p>
      <w:pPr>
        <w:spacing w:after="0" w:line="216" w:lineRule="exact"/>
        <w:rPr>
          <w:sz w:val="20"/>
          <w:szCs w:val="20"/>
          <w:color w:val="auto"/>
        </w:rPr>
      </w:pPr>
    </w:p>
    <w:p>
      <w:pPr>
        <w:ind w:right="180"/>
        <w:spacing w:after="0" w:line="233" w:lineRule="auto"/>
        <w:rPr>
          <w:sz w:val="20"/>
          <w:szCs w:val="20"/>
          <w:color w:val="auto"/>
        </w:rPr>
      </w:pPr>
      <w:r>
        <w:rPr>
          <w:rFonts w:ascii="Arial" w:cs="Arial" w:eastAsia="Arial" w:hAnsi="Arial"/>
          <w:sz w:val="16"/>
          <w:szCs w:val="16"/>
          <w:color w:val="auto"/>
        </w:rPr>
        <w:t>We monitor and evaluate operating performance of our reportable segments based on Adjusted EBITDA. We believe disclosing Adjusted EBITDA is useful to securities analysts, investors and other interested parties when evaluating companies in our industries.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fair-value inventory step-up, acquisition-related costs, restructuring expenses, gain or loss on sale of property, plant and equipment, and non-operating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582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5820" w:type="dxa"/>
            <w:vAlign w:val="bottom"/>
            <w:gridSpan w:val="2"/>
          </w:tcPr>
          <w:p>
            <w:pPr>
              <w:spacing w:after="0"/>
              <w:rPr>
                <w:sz w:val="20"/>
                <w:szCs w:val="20"/>
                <w:color w:val="auto"/>
              </w:rPr>
            </w:pPr>
            <w:r>
              <w:rPr>
                <w:rFonts w:ascii="Arial" w:cs="Arial" w:eastAsia="Arial" w:hAnsi="Arial"/>
                <w:sz w:val="16"/>
                <w:szCs w:val="16"/>
                <w:color w:val="auto"/>
              </w:rPr>
              <w:t>Financial information by reportable segment is as follows: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6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2,009,959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1,227,567</w:t>
            </w:r>
          </w:p>
        </w:tc>
        <w:tc>
          <w:tcPr>
            <w:tcW w:w="1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1,197,327</w:t>
            </w:r>
          </w:p>
        </w:tc>
        <w:tc>
          <w:tcPr>
            <w:tcW w:w="0" w:type="dxa"/>
            <w:vAlign w:val="bottom"/>
          </w:tcPr>
          <w:p>
            <w:pPr>
              <w:spacing w:after="0"/>
              <w:rPr>
                <w:sz w:val="1"/>
                <w:szCs w:val="1"/>
                <w:color w:val="auto"/>
              </w:rPr>
            </w:pPr>
          </w:p>
        </w:tc>
      </w:tr>
      <w:tr>
        <w:trPr>
          <w:trHeight w:val="21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1,539,084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1,056,794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706,927</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80,804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71,172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81,420</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3,629,847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2,355,533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1,985,674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289,007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148,276</w:t>
            </w:r>
          </w:p>
        </w:tc>
        <w:tc>
          <w:tcPr>
            <w:tcW w:w="1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163,677</w:t>
            </w:r>
          </w:p>
        </w:tc>
        <w:tc>
          <w:tcPr>
            <w:tcW w:w="0" w:type="dxa"/>
            <w:vAlign w:val="bottom"/>
          </w:tcPr>
          <w:p>
            <w:pPr>
              <w:spacing w:after="0"/>
              <w:rPr>
                <w:sz w:val="1"/>
                <w:szCs w:val="1"/>
                <w:color w:val="auto"/>
              </w:rPr>
            </w:pPr>
          </w:p>
        </w:tc>
      </w:tr>
      <w:tr>
        <w:trPr>
          <w:trHeight w:val="21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169,205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27,455</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(11,480)</w:t>
            </w:r>
          </w:p>
        </w:tc>
        <w:tc>
          <w:tcPr>
            <w:tcW w:w="0" w:type="dxa"/>
            <w:vAlign w:val="bottom"/>
          </w:tcPr>
          <w:p>
            <w:pPr>
              <w:spacing w:after="0"/>
              <w:rPr>
                <w:sz w:val="1"/>
                <w:szCs w:val="1"/>
                <w:color w:val="auto"/>
              </w:rPr>
            </w:pPr>
          </w:p>
        </w:tc>
      </w:tr>
      <w:tr>
        <w:trPr>
          <w:trHeight w:val="238"/>
        </w:trPr>
        <w:tc>
          <w:tcPr>
            <w:tcW w:w="5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436,067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179,652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25,121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13,389</w:t>
            </w:r>
          </w:p>
        </w:tc>
        <w:tc>
          <w:tcPr>
            <w:tcW w:w="1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27,679</w:t>
            </w:r>
          </w:p>
        </w:tc>
        <w:tc>
          <w:tcPr>
            <w:tcW w:w="0" w:type="dxa"/>
            <w:vAlign w:val="bottom"/>
          </w:tcPr>
          <w:p>
            <w:pPr>
              <w:spacing w:after="0"/>
              <w:rPr>
                <w:sz w:val="1"/>
                <w:szCs w:val="1"/>
                <w:color w:val="auto"/>
              </w:rPr>
            </w:pPr>
          </w:p>
        </w:tc>
      </w:tr>
      <w:tr>
        <w:trPr>
          <w:trHeight w:val="21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w:t>
            </w:r>
          </w:p>
        </w:tc>
        <w:tc>
          <w:tcPr>
            <w:tcW w:w="0" w:type="dxa"/>
            <w:vAlign w:val="bottom"/>
          </w:tcPr>
          <w:p>
            <w:pPr>
              <w:spacing w:after="0"/>
              <w:rPr>
                <w:sz w:val="1"/>
                <w:szCs w:val="1"/>
                <w:color w:val="auto"/>
              </w:rPr>
            </w:pPr>
          </w:p>
        </w:tc>
      </w:tr>
      <w:tr>
        <w:trPr>
          <w:trHeight w:val="238"/>
        </w:trPr>
        <w:tc>
          <w:tcPr>
            <w:tcW w:w="5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44,891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40,858</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 2020</w:t>
            </w:r>
          </w:p>
        </w:tc>
        <w:tc>
          <w:tcPr>
            <w:tcW w:w="0" w:type="dxa"/>
            <w:vAlign w:val="bottom"/>
          </w:tcPr>
          <w:p>
            <w:pPr>
              <w:spacing w:after="0"/>
              <w:rPr>
                <w:sz w:val="1"/>
                <w:szCs w:val="1"/>
                <w:color w:val="auto"/>
              </w:rPr>
            </w:pPr>
          </w:p>
        </w:tc>
      </w:tr>
      <w:tr>
        <w:trPr>
          <w:trHeight w:val="213"/>
        </w:trPr>
        <w:tc>
          <w:tcPr>
            <w:tcW w:w="58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790,257</w:t>
            </w:r>
          </w:p>
        </w:tc>
        <w:tc>
          <w:tcPr>
            <w:tcW w:w="1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718,253</w:t>
            </w:r>
          </w:p>
        </w:tc>
        <w:tc>
          <w:tcPr>
            <w:tcW w:w="0" w:type="dxa"/>
            <w:vAlign w:val="bottom"/>
          </w:tcPr>
          <w:p>
            <w:pPr>
              <w:spacing w:after="0"/>
              <w:rPr>
                <w:sz w:val="1"/>
                <w:szCs w:val="1"/>
                <w:color w:val="auto"/>
              </w:rPr>
            </w:pPr>
          </w:p>
        </w:tc>
      </w:tr>
      <w:tr>
        <w:trPr>
          <w:trHeight w:val="21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728,060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600,304</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544,250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395,143</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2,062,567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Reconciliation of net income to consolidated Adjusted EBITDA is as follows:</w:t>
            </w: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6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111,798</w:t>
            </w:r>
          </w:p>
        </w:tc>
        <w:tc>
          <w:tcPr>
            <w:tcW w:w="0" w:type="dxa"/>
            <w:vAlign w:val="bottom"/>
          </w:tcPr>
          <w:p>
            <w:pPr>
              <w:spacing w:after="0"/>
              <w:rPr>
                <w:sz w:val="1"/>
                <w:szCs w:val="1"/>
                <w:color w:val="auto"/>
              </w:rPr>
            </w:pPr>
          </w:p>
        </w:tc>
      </w:tr>
      <w:tr>
        <w:trPr>
          <w:trHeight w:val="213"/>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Interest expense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37,461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17,939</w:t>
            </w:r>
          </w:p>
        </w:tc>
        <w:tc>
          <w:tcPr>
            <w:tcW w:w="0" w:type="dxa"/>
            <w:vAlign w:val="bottom"/>
          </w:tcPr>
          <w:p>
            <w:pPr>
              <w:spacing w:after="0"/>
              <w:rPr>
                <w:sz w:val="1"/>
                <w:szCs w:val="1"/>
                <w:color w:val="auto"/>
              </w:rPr>
            </w:pPr>
          </w:p>
        </w:tc>
      </w:tr>
      <w:tr>
        <w:trPr>
          <w:trHeight w:val="219"/>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27,111</w:t>
            </w:r>
          </w:p>
        </w:tc>
        <w:tc>
          <w:tcPr>
            <w:tcW w:w="0" w:type="dxa"/>
            <w:vAlign w:val="bottom"/>
          </w:tcPr>
          <w:p>
            <w:pPr>
              <w:spacing w:after="0"/>
              <w:rPr>
                <w:sz w:val="1"/>
                <w:szCs w:val="1"/>
                <w:color w:val="auto"/>
              </w:rPr>
            </w:pPr>
          </w:p>
        </w:tc>
      </w:tr>
      <w:tr>
        <w:trPr>
          <w:trHeight w:val="213"/>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Depreciation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18,201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15,997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13,682</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9,635</w:t>
            </w:r>
          </w:p>
        </w:tc>
        <w:tc>
          <w:tcPr>
            <w:tcW w:w="0" w:type="dxa"/>
            <w:vAlign w:val="bottom"/>
          </w:tcPr>
          <w:p>
            <w:pPr>
              <w:spacing w:after="0"/>
              <w:rPr>
                <w:sz w:val="1"/>
                <w:szCs w:val="1"/>
                <w:color w:val="auto"/>
              </w:rPr>
            </w:pPr>
          </w:p>
        </w:tc>
      </w:tr>
      <w:tr>
        <w:trPr>
          <w:trHeight w:val="209"/>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EBITDA</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440,377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152,838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180,165</w:t>
            </w:r>
          </w:p>
        </w:tc>
        <w:tc>
          <w:tcPr>
            <w:tcW w:w="0" w:type="dxa"/>
            <w:vAlign w:val="bottom"/>
          </w:tcPr>
          <w:p>
            <w:pPr>
              <w:spacing w:after="0"/>
              <w:rPr>
                <w:sz w:val="1"/>
                <w:szCs w:val="1"/>
                <w:color w:val="auto"/>
              </w:rPr>
            </w:pPr>
          </w:p>
        </w:tc>
      </w:tr>
      <w:tr>
        <w:trPr>
          <w:trHeight w:val="219"/>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Acquisition-related fair-value inventory step-up</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Acquisition-related costs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9,761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820" w:type="dxa"/>
            <w:vAlign w:val="bottom"/>
            <w:gridSpan w:val="2"/>
            <w:shd w:val="clear" w:color="auto" w:fill="CCEEFF"/>
          </w:tcPr>
          <w:p>
            <w:pPr>
              <w:ind w:left="140"/>
              <w:spacing w:after="0" w:line="219" w:lineRule="exact"/>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13"/>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Gain on sale of property, plant and equipment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Non-operating income</w:t>
            </w: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0" w:type="dxa"/>
            <w:vAlign w:val="bottom"/>
          </w:tcPr>
          <w:p>
            <w:pPr>
              <w:spacing w:after="0"/>
              <w:rPr>
                <w:sz w:val="1"/>
                <w:szCs w:val="1"/>
                <w:color w:val="auto"/>
              </w:rPr>
            </w:pPr>
          </w:p>
        </w:tc>
      </w:tr>
      <w:tr>
        <w:trPr>
          <w:trHeight w:val="213"/>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436,067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168,075</w:t>
            </w: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179,652</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21"/>
          <w:szCs w:val="21"/>
          <w:color w:val="auto"/>
          <w:vertAlign w:val="superscript"/>
        </w:rPr>
      </w:pPr>
      <w:r>
        <w:rPr>
          <w:rFonts w:ascii="Arial" w:cs="Arial" w:eastAsia="Arial" w:hAnsi="Arial"/>
          <w:sz w:val="14"/>
          <w:szCs w:val="14"/>
          <w:color w:val="auto"/>
        </w:rPr>
        <w:t>Balance excludes depreciation expense classified as restructuring as the balance is already included in the EBITDA calculation.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20"/>
                <w:szCs w:val="20"/>
                <w:color w:val="auto"/>
              </w:rPr>
            </w:pPr>
            <w:r>
              <w:rPr>
                <w:rFonts w:ascii="Arial" w:cs="Arial" w:eastAsia="Arial" w:hAnsi="Arial"/>
                <w:sz w:val="16"/>
                <w:szCs w:val="16"/>
                <w:color w:val="auto"/>
              </w:rPr>
              <w:t>Net revenues by geography are as follows:</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3"/>
        </w:trPr>
        <w:tc>
          <w:tcPr>
            <w:tcW w:w="5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12"/>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3,410,588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2,225,028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1,836,472</w:t>
            </w:r>
          </w:p>
        </w:tc>
      </w:tr>
      <w:tr>
        <w:trPr>
          <w:trHeight w:val="21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130,505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149,202</w:t>
            </w:r>
          </w:p>
        </w:tc>
      </w:tr>
      <w:tr>
        <w:trPr>
          <w:trHeight w:val="238"/>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revenues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3,629,847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2,355,533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1,985,674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4.</w:t>
        <w:tab/>
        <w:t>Derivatives, Investments, and 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133" w:lineRule="exact"/>
        <w:rPr>
          <w:sz w:val="20"/>
          <w:szCs w:val="20"/>
          <w:color w:val="auto"/>
        </w:rPr>
      </w:pPr>
    </w:p>
    <w:p>
      <w:pPr>
        <w:jc w:val="both"/>
        <w:ind w:right="220"/>
        <w:spacing w:after="0" w:line="251"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adjusts for non-performance and/or other risks associated with the Company as well as counterparties, as appropriate. Assets and liabilities measured at fair value are classified using the following hierarchy, which is based upon the transparency of inputs to the valuation as of the measurement date: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35" w:lineRule="exact"/>
        <w:rPr>
          <w:sz w:val="20"/>
          <w:szCs w:val="20"/>
          <w:color w:val="auto"/>
        </w:rPr>
      </w:pPr>
    </w:p>
    <w:p>
      <w:pPr>
        <w:ind w:left="660" w:right="440"/>
        <w:spacing w:after="0" w:line="263"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91" w:lineRule="exact"/>
        <w:rPr>
          <w:sz w:val="20"/>
          <w:szCs w:val="20"/>
          <w:color w:val="auto"/>
        </w:rPr>
      </w:pPr>
    </w:p>
    <w:p>
      <w:pPr>
        <w:ind w:left="660" w:right="300"/>
        <w:spacing w:after="0" w:line="263"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200" w:lineRule="exact"/>
        <w:rPr>
          <w:sz w:val="20"/>
          <w:szCs w:val="20"/>
          <w:color w:val="auto"/>
        </w:rPr>
      </w:pPr>
    </w:p>
    <w:p>
      <w:pPr>
        <w:ind w:right="4900"/>
        <w:spacing w:after="0" w:line="343" w:lineRule="auto"/>
        <w:rPr>
          <w:sz w:val="20"/>
          <w:szCs w:val="20"/>
          <w:color w:val="auto"/>
        </w:rPr>
      </w:pPr>
      <w:r>
        <w:rPr>
          <w:rFonts w:ascii="Arial" w:cs="Arial" w:eastAsia="Arial" w:hAnsi="Arial"/>
          <w:sz w:val="16"/>
          <w:szCs w:val="16"/>
          <w:b w:val="1"/>
          <w:bCs w:val="1"/>
          <w:color w:val="auto"/>
        </w:rPr>
        <w:t xml:space="preserve">Assets and Liabilities that are Measured at Fair Value on a Recurring Basis </w:t>
      </w:r>
      <w:r>
        <w:rPr>
          <w:rFonts w:ascii="Arial" w:cs="Arial" w:eastAsia="Arial" w:hAnsi="Arial"/>
          <w:sz w:val="16"/>
          <w:szCs w:val="16"/>
          <w:color w:val="auto"/>
        </w:rPr>
        <w:t>Financial assets and liabilities measured at fair value on a recurring basis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 at</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Fair Value Hierarchy</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5"/>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28, 2021</w:t>
            </w:r>
          </w:p>
        </w:tc>
        <w:tc>
          <w:tcPr>
            <w:tcW w:w="340" w:type="dxa"/>
            <w:vAlign w:val="bottom"/>
          </w:tcPr>
          <w:p>
            <w:pPr>
              <w:spacing w:after="0"/>
              <w:rPr>
                <w:sz w:val="18"/>
                <w:szCs w:val="18"/>
                <w:color w:val="auto"/>
              </w:rPr>
            </w:pPr>
          </w:p>
        </w:tc>
        <w:tc>
          <w:tcPr>
            <w:tcW w:w="150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50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138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10"/>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13"/>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32"/>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 at</w:t>
            </w:r>
          </w:p>
        </w:tc>
        <w:tc>
          <w:tcPr>
            <w:tcW w:w="1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Fair Value Hierarchy</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5"/>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29, 2020</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138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10"/>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Domestic equity funds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13"/>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Fixed income funds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33"/>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at fair value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264"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Share Option Plan and the Executive Deferred Compensation Plan, are classified as Level 1 as they are traded in an active market for which closing stock prices are readily available. Refer to Note 11 for additional information regarding these plans.</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on the Consolidated Balance Sheets. The remaining assets are classified as non-current and are included in other long-term assets on the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13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On March 6, 2020, we entered into an interest rate swap agreement for an incremental notional amount of $25.0 million to exchange floating for fixed rate interest payments for our LIBOR-based borrowings. The interest rate swap had a fair value of zero at inception, was effective March 10, 2020 and had been designated as a cash flow hedge. The interest rate swap agreement, with a maturity date of March 4, 2025, converted our interest rate payments on $25.0 million of variable-rate, 1-month LIBOR-based debt to a fixed interest rate of 1.265%. In the fourth quarter of Fiscal 2020, we exited the swap contract prior to its expiration on March 4, 2025.</w:t>
      </w:r>
    </w:p>
    <w:p>
      <w:pPr>
        <w:spacing w:after="0" w:line="230"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On March 2, 2020, we entered into an interest rate swap agreement for an incremental notional amount of $25.0 million to exchange floating for fixed rate interest payments for our LIBOR-based borrowings. The interest rate swap had a fair value of zero at inception, was effective March 4, 2020 and had been designated as a cash flow hedge. The interest rate swap agreement, with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maturity date of March 4, 2025, converted our interest rate payments on $25.0 million of variable-rate, 1-month LIBOR-based debt to a fixed interest rate of 1.364%. In the fourth quarter of Fiscal 2020, we exited the swap contract prior to its expiration on March 4, 2025.</w:t>
      </w:r>
    </w:p>
    <w:p>
      <w:pPr>
        <w:spacing w:after="0" w:line="22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January 23, 2017, we entered into an interest rate swap contract, which effectively fixed the interest rate on the $300.0 million loan agreement ("Term Loan") for a notional amount that reduced each December during the swap contract. In July 2020, the remaining payments of the Term Loan were paid in full using the proceeds from our Senior Secured Notes offering. In the first quarter of Fiscal 2020, we exited the swap contract prior to its expiration on December 8,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Certain financial instruments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Fiscal 2021, 2020, and 2019.</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20"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other payables, and long-term debt. If these instruments were measured at fair value in the financial statements, they would be classified as Level 1 in the fair value hierarchy. See Note 9 for information about the fair value of our long-term debt.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Pr>
          <w:p>
            <w:pPr>
              <w:spacing w:after="0"/>
              <w:rPr>
                <w:sz w:val="20"/>
                <w:szCs w:val="20"/>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 2020</w:t>
            </w:r>
          </w:p>
        </w:tc>
        <w:tc>
          <w:tcPr>
            <w:tcW w:w="0" w:type="dxa"/>
            <w:vAlign w:val="bottom"/>
          </w:tcPr>
          <w:p>
            <w:pPr>
              <w:spacing w:after="0"/>
              <w:rPr>
                <w:sz w:val="1"/>
                <w:szCs w:val="1"/>
                <w:color w:val="auto"/>
              </w:rPr>
            </w:pPr>
          </w:p>
        </w:tc>
      </w:tr>
      <w:tr>
        <w:trPr>
          <w:trHeight w:val="213"/>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Work-in-process ("WIP")</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184,611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86,651</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114,982</w:t>
            </w:r>
          </w:p>
        </w:tc>
        <w:tc>
          <w:tcPr>
            <w:tcW w:w="0" w:type="dxa"/>
            <w:vAlign w:val="bottom"/>
          </w:tcPr>
          <w:p>
            <w:pPr>
              <w:spacing w:after="0"/>
              <w:rPr>
                <w:sz w:val="1"/>
                <w:szCs w:val="1"/>
                <w:color w:val="auto"/>
              </w:rPr>
            </w:pPr>
          </w:p>
        </w:tc>
      </w:tr>
      <w:tr>
        <w:trPr>
          <w:trHeight w:val="210"/>
        </w:trPr>
        <w:tc>
          <w:tcPr>
            <w:tcW w:w="764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380,437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218,774</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Excess of FIFO over LIFO cost</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35,833</w:t>
            </w:r>
          </w:p>
        </w:tc>
        <w:tc>
          <w:tcPr>
            <w:tcW w:w="0" w:type="dxa"/>
            <w:vAlign w:val="bottom"/>
          </w:tcPr>
          <w:p>
            <w:pPr>
              <w:spacing w:after="0"/>
              <w:rPr>
                <w:sz w:val="1"/>
                <w:szCs w:val="1"/>
                <w:color w:val="auto"/>
              </w:rPr>
            </w:pP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182,941</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Pr>
          <w:p>
            <w:pPr>
              <w:spacing w:after="0"/>
              <w:rPr>
                <w:sz w:val="20"/>
                <w:szCs w:val="20"/>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 2020</w:t>
            </w:r>
          </w:p>
        </w:tc>
        <w:tc>
          <w:tcPr>
            <w:tcW w:w="0" w:type="dxa"/>
            <w:vAlign w:val="bottom"/>
          </w:tcPr>
          <w:p>
            <w:pPr>
              <w:spacing w:after="0"/>
              <w:rPr>
                <w:sz w:val="1"/>
                <w:szCs w:val="1"/>
                <w:color w:val="auto"/>
              </w:rPr>
            </w:pPr>
          </w:p>
        </w:tc>
      </w:tr>
      <w:tr>
        <w:trPr>
          <w:trHeight w:val="213"/>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88,675</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First-in, first-out basis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130,099</w:t>
            </w:r>
          </w:p>
        </w:tc>
        <w:tc>
          <w:tcPr>
            <w:tcW w:w="0" w:type="dxa"/>
            <w:vAlign w:val="bottom"/>
          </w:tcPr>
          <w:p>
            <w:pPr>
              <w:spacing w:after="0"/>
              <w:rPr>
                <w:sz w:val="1"/>
                <w:szCs w:val="1"/>
                <w:color w:val="auto"/>
              </w:rPr>
            </w:pPr>
          </w:p>
        </w:tc>
      </w:tr>
      <w:tr>
        <w:trPr>
          <w:trHeight w:val="23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218,774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248"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In Fiscal 2020, a reduction of inventory quantities resulted in a liquidation of LIFO inventory layers (a "LIFO decrement"). A LIFO decrement results in the erosion of layers created in earlier years, and, therefore, a LIFO layer is not created for years that have decrements. We had a decrement of our LIFO inventory layers of $5,188 in Fiscal 2020. We did not have a decrement of our LIFO inventory layers in Fiscal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2"/>
        </w:trPr>
        <w:tc>
          <w:tcPr>
            <w:tcW w:w="7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Pr>
          <w:p>
            <w:pPr>
              <w:spacing w:after="0"/>
              <w:rPr>
                <w:sz w:val="20"/>
                <w:szCs w:val="20"/>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 2020</w:t>
            </w:r>
          </w:p>
        </w:tc>
      </w:tr>
      <w:tr>
        <w:trPr>
          <w:trHeight w:val="213"/>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11,101</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147,629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144,565</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117,370</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Software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36,815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28,456</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4,913</w:t>
            </w:r>
          </w:p>
        </w:tc>
      </w:tr>
      <w:tr>
        <w:trPr>
          <w:trHeight w:val="213"/>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20,778</w:t>
            </w:r>
          </w:p>
        </w:tc>
      </w:tr>
      <w:tr>
        <w:trPr>
          <w:trHeight w:val="213"/>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327,183</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152,238</w:t>
            </w:r>
          </w:p>
        </w:tc>
      </w:tr>
      <w:tr>
        <w:trPr>
          <w:trHeight w:val="23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174,945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charged to operations was $18,201, $15,997, and $13,682 for Fiscal 2021, 2020, and 2019, respectively.</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Goodwill and Intangible Assets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carrying value of goodwill by reportable segment, with no accumulated impairment losses, for Fiscal 2021, 2020, and 2019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Towable</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Motorhome</w:t>
            </w: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Corporate / All Other</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Total</w:t>
            </w: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August 25, 2018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274,370</w:t>
            </w:r>
          </w:p>
        </w:tc>
      </w:tr>
      <w:tr>
        <w:trPr>
          <w:trHeight w:val="213"/>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Chris-Craft purchase price adjustment</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August 31, 2019</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274,931</w:t>
            </w:r>
          </w:p>
        </w:tc>
      </w:tr>
      <w:tr>
        <w:trPr>
          <w:trHeight w:val="216"/>
        </w:trPr>
        <w:tc>
          <w:tcPr>
            <w:tcW w:w="4040" w:type="dxa"/>
            <w:vAlign w:val="bottom"/>
          </w:tcPr>
          <w:p>
            <w:pPr>
              <w:ind w:left="140"/>
              <w:spacing w:after="0" w:line="216" w:lineRule="exact"/>
              <w:rPr>
                <w:sz w:val="20"/>
                <w:szCs w:val="20"/>
                <w:color w:val="auto"/>
              </w:rPr>
            </w:pPr>
            <w:r>
              <w:rPr>
                <w:rFonts w:ascii="Arial" w:cs="Arial" w:eastAsia="Arial" w:hAnsi="Arial"/>
                <w:sz w:val="16"/>
                <w:szCs w:val="16"/>
                <w:color w:val="auto"/>
              </w:rPr>
              <w:t>Acquisition of Newmar</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73,127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73,127</w:t>
            </w:r>
          </w:p>
        </w:tc>
      </w:tr>
      <w:tr>
        <w:trPr>
          <w:trHeight w:val="235"/>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August 29, 2020 and August 28, 2021</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21"/>
          <w:szCs w:val="21"/>
          <w:color w:val="auto"/>
          <w:vertAlign w:val="superscript"/>
        </w:rPr>
      </w:pPr>
      <w:r>
        <w:rPr>
          <w:rFonts w:ascii="Arial" w:cs="Arial" w:eastAsia="Arial" w:hAnsi="Arial"/>
          <w:sz w:val="14"/>
          <w:szCs w:val="14"/>
          <w:color w:val="auto"/>
        </w:rPr>
        <w:t>Refer to Note 2 for additional information on the acquisition of Newmar.</w:t>
      </w:r>
    </w:p>
    <w:p>
      <w:pPr>
        <w:spacing w:after="0" w:line="33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valuation used to test goodwill for impairment is dependent upon a number of significant estimates and assumptions, including macroeconomic conditions, growth rates, competitive activities, cost containment, margin expansion and our business plans. We believe these estimates and assumptions are reasonable. However, future changes in the judgments, assumptions and estimates that are used in our goodwill impairment analysis, including discount and tax rates or future cash flow projections, could result in significantly different estimates of the fair values.</w:t>
      </w:r>
    </w:p>
    <w:p>
      <w:pPr>
        <w:spacing w:after="0" w:line="270"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We have no accumulated impairment losses as of August 28, 2021. While the Chris-Craft reporting unit's fair value exceeded its respective carrying value, the fair value cushion was not substantial and could be impacted if projected operating results are not met or other significant assumptions referenced above change.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August 28, 2021</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5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Gross Carrying</w:t>
            </w:r>
          </w:p>
        </w:tc>
        <w:tc>
          <w:tcPr>
            <w:tcW w:w="180" w:type="dxa"/>
            <w:vAlign w:val="bottom"/>
          </w:tcPr>
          <w:p>
            <w:pPr>
              <w:spacing w:after="0"/>
              <w:rPr>
                <w:sz w:val="13"/>
                <w:szCs w:val="13"/>
                <w:color w:val="auto"/>
              </w:rPr>
            </w:pPr>
          </w:p>
        </w:tc>
        <w:tc>
          <w:tcPr>
            <w:tcW w:w="16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16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Trade names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275,250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0" w:type="dxa"/>
            <w:vAlign w:val="bottom"/>
          </w:tcPr>
          <w:p>
            <w:pPr>
              <w:spacing w:after="0"/>
              <w:rPr>
                <w:sz w:val="1"/>
                <w:szCs w:val="1"/>
                <w:color w:val="auto"/>
              </w:rPr>
            </w:pPr>
          </w:p>
        </w:tc>
      </w:tr>
      <w:tr>
        <w:trPr>
          <w:trHeight w:val="213"/>
        </w:trPr>
        <w:tc>
          <w:tcPr>
            <w:tcW w:w="5780" w:type="dxa"/>
            <w:vAlign w:val="bottom"/>
          </w:tcPr>
          <w:p>
            <w:pPr>
              <w:ind w:left="140"/>
              <w:spacing w:after="0"/>
              <w:rPr>
                <w:sz w:val="20"/>
                <w:szCs w:val="20"/>
                <w:color w:val="auto"/>
              </w:rPr>
            </w:pPr>
            <w:r>
              <w:rPr>
                <w:rFonts w:ascii="Arial" w:cs="Arial" w:eastAsia="Arial" w:hAnsi="Arial"/>
                <w:sz w:val="16"/>
                <w:szCs w:val="16"/>
                <w:color w:val="auto"/>
              </w:rPr>
              <w:t>Dealer networks</w:t>
            </w:r>
          </w:p>
        </w:tc>
        <w:tc>
          <w:tcPr>
            <w:tcW w:w="20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159,581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45,652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113,929</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Backlog</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28,327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Non-compete agreements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6,647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5,419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38"/>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469,805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79,398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390,407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Gross Carrying</w:t>
            </w:r>
          </w:p>
        </w:tc>
        <w:tc>
          <w:tcPr>
            <w:tcW w:w="180" w:type="dxa"/>
            <w:vAlign w:val="bottom"/>
          </w:tcPr>
          <w:p>
            <w:pPr>
              <w:spacing w:after="0"/>
              <w:rPr>
                <w:sz w:val="13"/>
                <w:szCs w:val="13"/>
                <w:color w:val="auto"/>
              </w:rPr>
            </w:pPr>
          </w:p>
        </w:tc>
        <w:tc>
          <w:tcPr>
            <w:tcW w:w="16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16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Trade names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275,250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0" w:type="dxa"/>
            <w:vAlign w:val="bottom"/>
          </w:tcPr>
          <w:p>
            <w:pPr>
              <w:spacing w:after="0"/>
              <w:rPr>
                <w:sz w:val="1"/>
                <w:szCs w:val="1"/>
                <w:color w:val="auto"/>
              </w:rPr>
            </w:pPr>
          </w:p>
        </w:tc>
      </w:tr>
      <w:tr>
        <w:trPr>
          <w:trHeight w:val="213"/>
        </w:trPr>
        <w:tc>
          <w:tcPr>
            <w:tcW w:w="5780" w:type="dxa"/>
            <w:vAlign w:val="bottom"/>
          </w:tcPr>
          <w:p>
            <w:pPr>
              <w:ind w:left="140"/>
              <w:spacing w:after="0"/>
              <w:rPr>
                <w:sz w:val="20"/>
                <w:szCs w:val="20"/>
                <w:color w:val="auto"/>
              </w:rPr>
            </w:pPr>
            <w:r>
              <w:rPr>
                <w:rFonts w:ascii="Arial" w:cs="Arial" w:eastAsia="Arial" w:hAnsi="Arial"/>
                <w:sz w:val="16"/>
                <w:szCs w:val="16"/>
                <w:color w:val="auto"/>
              </w:rPr>
              <w:t>Dealer networks</w:t>
            </w:r>
          </w:p>
        </w:tc>
        <w:tc>
          <w:tcPr>
            <w:tcW w:w="20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159,581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32,487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127,094</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Backlog</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28,327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Non-compete agreements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6,647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237"/>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469,805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65,037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404,768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amortization period for finite-lived intangible assets as of August 28, 2021 was approximately nine years.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Amortization</w:t>
            </w:r>
          </w:p>
        </w:tc>
      </w:tr>
      <w:tr>
        <w:trPr>
          <w:trHeight w:val="212"/>
        </w:trPr>
        <w:tc>
          <w:tcPr>
            <w:tcW w:w="9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13,719</w:t>
            </w:r>
          </w:p>
        </w:tc>
      </w:tr>
      <w:tr>
        <w:trPr>
          <w:trHeight w:val="213"/>
        </w:trPr>
        <w:tc>
          <w:tcPr>
            <w:tcW w:w="928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13,526</w:t>
            </w:r>
          </w:p>
        </w:tc>
      </w:tr>
      <w:tr>
        <w:trPr>
          <w:trHeight w:val="219"/>
        </w:trPr>
        <w:tc>
          <w:tcPr>
            <w:tcW w:w="9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13,424</w:t>
            </w:r>
          </w:p>
        </w:tc>
      </w:tr>
      <w:tr>
        <w:trPr>
          <w:trHeight w:val="213"/>
        </w:trPr>
        <w:tc>
          <w:tcPr>
            <w:tcW w:w="928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13,219</w:t>
            </w:r>
          </w:p>
        </w:tc>
      </w:tr>
      <w:tr>
        <w:trPr>
          <w:trHeight w:val="219"/>
        </w:trPr>
        <w:tc>
          <w:tcPr>
            <w:tcW w:w="9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13,165</w:t>
            </w:r>
          </w:p>
        </w:tc>
      </w:tr>
      <w:tr>
        <w:trPr>
          <w:trHeight w:val="213"/>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48,104</w:t>
            </w:r>
          </w:p>
        </w:tc>
      </w:tr>
      <w:tr>
        <w:trPr>
          <w:trHeight w:val="238"/>
        </w:trPr>
        <w:tc>
          <w:tcPr>
            <w:tcW w:w="9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amortization expense remaining</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115,157</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Product Warranties</w:t>
      </w:r>
    </w:p>
    <w:p>
      <w:pPr>
        <w:spacing w:after="0" w:line="26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229"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4"/>
        </w:trPr>
        <w:tc>
          <w:tcPr>
            <w:tcW w:w="582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878"/>
        </w:trPr>
        <w:tc>
          <w:tcPr>
            <w:tcW w:w="5820" w:type="dxa"/>
            <w:vAlign w:val="bottom"/>
            <w:gridSpan w:val="2"/>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3"/>
        </w:trPr>
        <w:tc>
          <w:tcPr>
            <w:tcW w:w="126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12"/>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rPr>
              <w:t>44,436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40,498</w:t>
            </w:r>
          </w:p>
        </w:tc>
      </w:tr>
      <w:tr>
        <w:trPr>
          <w:trHeight w:val="216"/>
        </w:trPr>
        <w:tc>
          <w:tcPr>
            <w:tcW w:w="58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Business acquisitions</w:t>
            </w:r>
            <w:r>
              <w:rPr>
                <w:rFonts w:ascii="Arial" w:cs="Arial" w:eastAsia="Arial" w:hAnsi="Arial"/>
                <w:sz w:val="21"/>
                <w:szCs w:val="21"/>
                <w:color w:val="auto"/>
                <w:vertAlign w:val="superscript"/>
              </w:rPr>
              <w:t>(1)</w:t>
            </w:r>
          </w:p>
        </w:tc>
        <w:tc>
          <w:tcPr>
            <w:tcW w:w="10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center"/>
              <w:ind w:left="599"/>
              <w:spacing w:after="0"/>
              <w:rPr>
                <w:sz w:val="20"/>
                <w:szCs w:val="20"/>
                <w:color w:val="auto"/>
              </w:rPr>
            </w:pPr>
            <w:r>
              <w:rPr>
                <w:rFonts w:ascii="Arial" w:cs="Arial" w:eastAsia="Arial" w:hAnsi="Arial"/>
                <w:sz w:val="16"/>
                <w:szCs w:val="16"/>
                <w:color w:val="auto"/>
              </w:rPr>
              <w:t>15,147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Provision</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rPr>
              <w:t>61,898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45,902</w:t>
            </w:r>
          </w:p>
        </w:tc>
      </w:tr>
      <w:tr>
        <w:trPr>
          <w:trHeight w:val="213"/>
        </w:trPr>
        <w:tc>
          <w:tcPr>
            <w:tcW w:w="5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Claims paid</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(62,760)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rPr>
              <w:t>(57,450)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(41,964)</w:t>
            </w:r>
          </w:p>
        </w:tc>
      </w:tr>
      <w:tr>
        <w:trPr>
          <w:trHeight w:val="23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91,222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center"/>
              <w:ind w:left="599"/>
              <w:spacing w:after="0"/>
              <w:rPr>
                <w:sz w:val="20"/>
                <w:szCs w:val="20"/>
                <w:color w:val="auto"/>
              </w:rPr>
            </w:pPr>
            <w:r>
              <w:rPr>
                <w:rFonts w:ascii="Arial" w:cs="Arial" w:eastAsia="Arial" w:hAnsi="Arial"/>
                <w:sz w:val="16"/>
                <w:szCs w:val="16"/>
                <w:color w:val="auto"/>
              </w:rPr>
              <w:t>64,031</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44,436</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21"/>
          <w:szCs w:val="21"/>
          <w:color w:val="auto"/>
          <w:vertAlign w:val="superscript"/>
        </w:rPr>
      </w:pPr>
      <w:r>
        <w:rPr>
          <w:rFonts w:ascii="Arial" w:cs="Arial" w:eastAsia="Arial" w:hAnsi="Arial"/>
          <w:sz w:val="14"/>
          <w:szCs w:val="14"/>
          <w:color w:val="auto"/>
        </w:rPr>
        <w:t>Refer to Note 2 for additional information on the acquisition of Newmar.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Long-Term Debt</w:t>
      </w:r>
    </w:p>
    <w:p>
      <w:pPr>
        <w:spacing w:after="0" w:line="26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 The Senior Secured Notes and the related guarantees are secured by (i) a first-priority lien on substantially all of our existing and future assets (other than certain collateral under our ABL facility) and (ii) a second-priority lien on our present and future receivables, inventory and other related assets and proceeds that secure the ABL facility on a first-priority basis.</w:t>
      </w:r>
    </w:p>
    <w:p>
      <w:pPr>
        <w:spacing w:after="0" w:line="23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Indenture limits certain of our abilities (subject to certain exceptions and qualifications) to incur additional debt and provide additional guarantees; make restricted payments; create or permit certain liens; make certain asset sales; use the proceeds from the sale of assets and subsidiary stock; create or permit restrictions on the ability of our restricted subsidiaries to pay dividends or make other inter-company distributions; engage in certain transactions with affiliates; designate subsidiaries as unrestricted subsidiaries; and consolidate, merge or transfer all or substantially all of our assets and the assets of our restricted subsidiaries.</w:t>
      </w:r>
    </w:p>
    <w:p>
      <w:pPr>
        <w:spacing w:after="0" w:line="23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$7,493 in debt issuance costs that will be amortized over the eight-year term of the agreement.</w:t>
      </w:r>
    </w:p>
    <w:p>
      <w:pPr>
        <w:spacing w:after="0" w:line="22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November 8, 2016, we entered into an asset-based revolving credit agreement ("ABL Credit Facility") and a loan agreement ("Term Loan") with JPMorgan Chase Bank, N.A. ("JPMorgan Chase"), as administrative agent and certain lenders from time to time party thereto. The remaining principal balance of the Term Loan as of July 8, 2020 was $249,750, which was repaid with the proceeds from the Senior Secured Notes, and debt issuance costs of $4,650 were written off upon repayment. In addition, the interest rate swaps with a liability position of $600 used to hedge the Term Loan interest rates were settled early in July 2020 in conjunction with the Term Loan repayment.</w:t>
      </w:r>
    </w:p>
    <w:p>
      <w:pPr>
        <w:spacing w:after="0" w:line="230"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Under the ABL, we have a $192.5 million credit facility that matures on October 22, 2024 (subject to certain factors which may accelerate the maturity date) on a revolving basis, subject to availability under a borrowing base consisting of eligible accounts receivable and eligible inventory. The ABL is available for issuance of letters of credit to a specified limit of $19.3 million. We pay a commitment fee of 0.25% on the average daily amount of the facility available, but unused. We can elect to base the interest rate on various rates plus specific spreads depending on the borrowing amount outstanding. If drawn, we would pay interest on ABL borrowings at a floating rate based upon LIBOR plus a spread of between 1.25% and 1.75%, depending on the usage of the facility during the most recent quarter. Based on current usage, we would pay LIBOR plus 1.25%.</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(“Convertible Notes”). The net proceeds from the issuance of the Convertible Notes, after deducting the initial purchasers' transaction fees and offering expense payable by us, were approximately $290,223. The Convertible Notes bear interest at the annual rate of 1.5%, payable on April 1 and October 1 of each year, beginning on April 1, 2020, and will mature on April 1, 2025, unless earlier converted or repurchased by us.</w:t>
      </w:r>
    </w:p>
    <w:p>
      <w:pPr>
        <w:spacing w:after="0" w:line="22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Convertible Notes will be convertible into cash, shares of our common stock or a combination thereof, at our election, at an initial conversion rate of 15.6906 shares of common stock per $1 thousand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216"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indenture. It is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242" w:lineRule="auto"/>
        <w:rPr>
          <w:sz w:val="20"/>
          <w:szCs w:val="20"/>
          <w:color w:val="auto"/>
        </w:rPr>
      </w:pPr>
      <w:r>
        <w:rPr>
          <w:rFonts w:ascii="Arial" w:cs="Arial" w:eastAsia="Arial" w:hAnsi="Arial"/>
          <w:sz w:val="16"/>
          <w:szCs w:val="16"/>
          <w:color w:val="auto"/>
        </w:rPr>
        <w:t>our current intent to settle all conversions of the Convertible Notes through settlement of cash. Our ability to cash settle may be limited depending on our stock price at the time of conversion.</w:t>
      </w:r>
    </w:p>
    <w:p>
      <w:pPr>
        <w:spacing w:after="0" w:line="23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222" w:lineRule="exact"/>
        <w:rPr>
          <w:sz w:val="20"/>
          <w:szCs w:val="20"/>
          <w:color w:val="auto"/>
        </w:rPr>
      </w:pPr>
    </w:p>
    <w:p>
      <w:pPr>
        <w:ind w:left="660" w:right="700" w:hanging="328"/>
        <w:spacing w:after="0" w:line="253"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93" w:lineRule="exact"/>
        <w:rPr>
          <w:rFonts w:ascii="Arial" w:cs="Arial" w:eastAsia="Arial" w:hAnsi="Arial"/>
          <w:sz w:val="16"/>
          <w:szCs w:val="16"/>
          <w:color w:val="auto"/>
        </w:rPr>
      </w:pPr>
    </w:p>
    <w:p>
      <w:pPr>
        <w:ind w:left="660" w:hanging="328"/>
        <w:spacing w:after="0" w:line="253"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five consecutive trading day period (the "measurement period") in which the trading price per $1 thousand principal amount of Convertible Notes for each trading day of the measurement period was less than 98% of the product of the last reported sale price of the common stock and the conversion rate for the Convertible Notes on each such trading day; or</w:t>
      </w:r>
    </w:p>
    <w:p>
      <w:pPr>
        <w:spacing w:after="0" w:line="93"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Convertible Notes Indenture.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may not redeem the Convertible Notes at our option prior to the maturity date, and no sinking fund is provided for the Convertible Notes.</w:t>
      </w:r>
    </w:p>
    <w:p>
      <w:pPr>
        <w:spacing w:after="0" w:line="248"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On October 29, 2019 and October 30, 2019, in connection with the offering of the Convertible Notes, we entered into privately negotiated Convertible Note hedge transactions (collectively, the “Hedge Transactions”) that cover, subject to customary anti-dilution adjustments, the number of shares of our common stock that initially underlie the Convertible Notes, and are expected generally to reduce the potential dilution and/or offset any cash payments we are required to make in excess of the principal amount due, as the case may be, upon conversion of the Convertible Notes in the event that the market price of our common stock is greater than the strike price of the Hedge Transactions, which was initially $63.73 per share (subject to adjustment under the terms of the Hedge Transactions), corresponding to the initial conversion price of the Convertible Notes.</w:t>
      </w:r>
    </w:p>
    <w:p>
      <w:pPr>
        <w:spacing w:after="0" w:line="23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Convertible Notes, subject to customary anti-dilution adjustments. The initial strike price of the warrants is $96.20 per share (subject to adjustment under the terms of the Warrant Transactions), which is 100% above the last reported sale price of our common stock on October 29, 2019. The Warrant Transactions could have a dilutive effect to our shareholders to the extent that the market price per share of our common stock, as measured under the terms of the Warrant Transactions, exceeds the applicable strike price of the warrants.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used $28,590 of the net proceeds from the issuance of the Convertible Notes to pay the cost of the Call Spread Transactions.</w:t>
      </w:r>
    </w:p>
    <w:p>
      <w:pPr>
        <w:spacing w:after="0" w:line="19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129"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The Call Spread Transactions were classified as equity. We bifurcated the proceeds from the offering of the Convertible Notes between liability and equity components. On the date of issuance, the liability and equity components were calculated to be approximately $214,979 and $85,021, respectively. The initial $214,979 liability component was determined based on the fair value of similar debt instruments excluding the conversion feature assuming a hypothetical interest rate of 8.0%. The initial $85,021 ($64,106 net of tax) equity component represents the difference between the fair value of the initial $214,979 in debt and the $300.0 million of gross proceeds. The related initial debt discount of $85,021 is being amortized over the life of the Convertible Notes as non-cash interest expense using the effective interest method.</w:t>
      </w:r>
    </w:p>
    <w:p>
      <w:pPr>
        <w:spacing w:after="0" w:line="232" w:lineRule="exact"/>
        <w:rPr>
          <w:sz w:val="20"/>
          <w:szCs w:val="20"/>
          <w:color w:val="auto"/>
        </w:rPr>
      </w:pPr>
    </w:p>
    <w:p>
      <w:pPr>
        <w:ind w:right="480"/>
        <w:spacing w:after="0" w:line="250" w:lineRule="auto"/>
        <w:rPr>
          <w:sz w:val="20"/>
          <w:szCs w:val="20"/>
          <w:color w:val="auto"/>
        </w:rPr>
      </w:pPr>
      <w:r>
        <w:rPr>
          <w:rFonts w:ascii="Arial" w:cs="Arial" w:eastAsia="Arial" w:hAnsi="Arial"/>
          <w:sz w:val="16"/>
          <w:szCs w:val="16"/>
          <w:color w:val="auto"/>
        </w:rPr>
        <w:t>In connection with the above-noted transactions, we incurred approximately $9,777 of offering-related costs. These offering fees were allocated to the liability and equity components in proportion to the allocation of proceeds and accounted for as debt and equity issuance costs, respectively. We allocated $7,006 of debt issuance costs to the liability component, which were capitalized as deferred financing costs within long-term debt, net on the Consolidated Balance Sheets. These costs are being amortized as interest expense over the term of the debt using the effective interest method. The remaining $2,771 of transaction costs allocated to the equity component were recorded as a reduction of the equity component.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20"/>
                <w:szCs w:val="20"/>
                <w:color w:val="auto"/>
              </w:rPr>
            </w:pPr>
            <w:r>
              <w:rPr>
                <w:rFonts w:ascii="Arial" w:cs="Arial" w:eastAsia="Arial" w:hAnsi="Arial"/>
                <w:sz w:val="16"/>
                <w:szCs w:val="16"/>
                <w:color w:val="auto"/>
              </w:rPr>
              <w:t>Long-term debt consists of the following:</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3"/>
        </w:trPr>
        <w:tc>
          <w:tcPr>
            <w:tcW w:w="7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29, 2020</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gridSpan w:val="3"/>
            <w:shd w:val="clear" w:color="auto" w:fill="CCEEFF"/>
          </w:tcPr>
          <w:p>
            <w:pPr>
              <w:ind w:left="1320"/>
              <w:spacing w:after="0"/>
              <w:rPr>
                <w:sz w:val="20"/>
                <w:szCs w:val="20"/>
                <w:color w:val="auto"/>
              </w:rPr>
            </w:pPr>
            <w:r>
              <w:rPr>
                <w:rFonts w:ascii="Arial" w:cs="Arial" w:eastAsia="Arial" w:hAnsi="Arial"/>
                <w:sz w:val="16"/>
                <w:szCs w:val="16"/>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10"/>
        </w:trPr>
        <w:tc>
          <w:tcPr>
            <w:tcW w:w="7640" w:type="dxa"/>
            <w:vAlign w:val="bottom"/>
          </w:tcPr>
          <w:p>
            <w:pPr>
              <w:ind w:left="140"/>
              <w:spacing w:after="0"/>
              <w:rPr>
                <w:sz w:val="20"/>
                <w:szCs w:val="20"/>
                <w:color w:val="auto"/>
              </w:rPr>
            </w:pPr>
            <w:r>
              <w:rPr>
                <w:rFonts w:ascii="Arial" w:cs="Arial" w:eastAsia="Arial" w:hAnsi="Arial"/>
                <w:sz w:val="16"/>
                <w:szCs w:val="16"/>
                <w:color w:val="auto"/>
              </w:rPr>
              <w:t>Long-term debt, gross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unamortized interest discount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(74,294)</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 net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(13,076)</w:t>
            </w:r>
          </w:p>
        </w:tc>
      </w:tr>
      <w:tr>
        <w:trPr>
          <w:trHeight w:val="237"/>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528,559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512,630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As of August 28, 2021 and August 29, 2020, the fair value of long-term debt, gross, was $726,606 and $674,709, respectively. We are in compliance with all of our debt covenants as of August 28, 2021.</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Amount</w:t>
            </w:r>
          </w:p>
        </w:tc>
      </w:tr>
      <w:tr>
        <w:trPr>
          <w:trHeight w:val="213"/>
        </w:trPr>
        <w:tc>
          <w:tcPr>
            <w:tcW w:w="9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50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50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9"/>
        </w:trPr>
        <w:tc>
          <w:tcPr>
            <w:tcW w:w="9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w:t>
            </w:r>
          </w:p>
        </w:tc>
      </w:tr>
      <w:tr>
        <w:trPr>
          <w:trHeight w:val="209"/>
        </w:trPr>
        <w:tc>
          <w:tcPr>
            <w:tcW w:w="9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Long-term debt, gross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Leases</w:t>
      </w:r>
    </w:p>
    <w:p>
      <w:pPr>
        <w:spacing w:after="0" w:line="26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Our leases primarily include operating leases for equipment and real estate, including office space and manufacturing space. Financing leases are primarily for real estate. For any lease with an initial term in excess of 12 months, the related lease assets and liabilities are recognized on the Consolidated Balance Sheets as either operating or finance leases at the inception of an agreement when it is determined that a lease exists. We have lease agreements that contain both lease and non-lease components, and have elected to combine lease and non-lease components for all classes of assets. Leases with an initial term of 12 months or less are not recorded on the Consolidated Balance Sheets. We recognize lease expense for these leases on a straight-line basis over the lease term. When the terms of multiple lease agreements are materially consistent, we have elected the portfolio approach for our asset and liability calculations.</w:t>
      </w:r>
    </w:p>
    <w:p>
      <w:pPr>
        <w:spacing w:after="0" w:line="22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Lease assets represent the right to use an underlying asset for the lease term, and lease liabilities represent the obligation to make lease payments arising from the lease. These assets and liabilities are recognized based on the present value of future payments over the lease term at commencement date. We generally use a collateralized incremental borrowing rate based on the information available at commencement date, including lease term, in determining the present value of future payments. The assumed lease terms generally do not include options to extend or terminate the lease unless it is reasonably certain that the option will be exercised.</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Some of our real estate operating leases require payment of real estate taxes, common area maintenance, and insurance. In addition, some of the leases are subject to annual changes in the consumer price index. These components comprise the majority of our variable lease cost and are excluded from the present value of the lease obligations. Fixed payments may contain predetermined fixed rent escalations. For operating leases, we recognize the related rent expense on a straight-line basis from the commencement date to the end of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supplemental balance sheet information related to our leases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Classification</w:t>
            </w: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August 28, 2021</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August 29, 2020</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3760" w:type="dxa"/>
            <w:vAlign w:val="bottom"/>
          </w:tcPr>
          <w:p>
            <w:pPr>
              <w:ind w:left="660"/>
              <w:spacing w:after="0"/>
              <w:rPr>
                <w:sz w:val="20"/>
                <w:szCs w:val="20"/>
                <w:color w:val="auto"/>
              </w:rPr>
            </w:pPr>
            <w:r>
              <w:rPr>
                <w:rFonts w:ascii="Arial" w:cs="Arial" w:eastAsia="Arial" w:hAnsi="Arial"/>
                <w:sz w:val="16"/>
                <w:szCs w:val="16"/>
                <w:color w:val="auto"/>
              </w:rPr>
              <w:t>Operating lease assets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28,379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29,463</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3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long-term assets</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4,971</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4,398</w:t>
            </w:r>
          </w:p>
        </w:tc>
        <w:tc>
          <w:tcPr>
            <w:tcW w:w="0" w:type="dxa"/>
            <w:vAlign w:val="bottom"/>
          </w:tcPr>
          <w:p>
            <w:pPr>
              <w:spacing w:after="0"/>
              <w:rPr>
                <w:sz w:val="1"/>
                <w:szCs w:val="1"/>
                <w:color w:val="auto"/>
              </w:rPr>
            </w:pPr>
          </w:p>
        </w:tc>
      </w:tr>
      <w:tr>
        <w:trPr>
          <w:trHeight w:val="213"/>
        </w:trPr>
        <w:tc>
          <w:tcPr>
            <w:tcW w:w="3560" w:type="dxa"/>
            <w:vAlign w:val="bottom"/>
          </w:tcPr>
          <w:p>
            <w:pPr>
              <w:ind w:left="140"/>
              <w:spacing w:after="0"/>
              <w:rPr>
                <w:sz w:val="20"/>
                <w:szCs w:val="20"/>
                <w:color w:val="auto"/>
              </w:rPr>
            </w:pPr>
            <w:r>
              <w:rPr>
                <w:rFonts w:ascii="Arial" w:cs="Arial" w:eastAsia="Arial" w:hAnsi="Arial"/>
                <w:sz w:val="16"/>
                <w:szCs w:val="16"/>
                <w:color w:val="auto"/>
              </w:rPr>
              <w:t>Total lease assets</w:t>
            </w:r>
          </w:p>
        </w:tc>
        <w:tc>
          <w:tcPr>
            <w:tcW w:w="37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33,350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33,861</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60" w:type="dxa"/>
            <w:vAlign w:val="bottom"/>
            <w:shd w:val="clear" w:color="auto" w:fill="CCEEFF"/>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Operating leases</w:t>
            </w:r>
          </w:p>
        </w:tc>
        <w:tc>
          <w:tcPr>
            <w:tcW w:w="3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expenses: Other</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Current: Finance leases</w:t>
            </w:r>
          </w:p>
        </w:tc>
        <w:tc>
          <w:tcPr>
            <w:tcW w:w="3760" w:type="dxa"/>
            <w:vAlign w:val="bottom"/>
          </w:tcPr>
          <w:p>
            <w:pPr>
              <w:ind w:left="660"/>
              <w:spacing w:after="0"/>
              <w:rPr>
                <w:sz w:val="20"/>
                <w:szCs w:val="20"/>
                <w:color w:val="auto"/>
              </w:rPr>
            </w:pPr>
            <w:r>
              <w:rPr>
                <w:rFonts w:ascii="Arial" w:cs="Arial" w:eastAsia="Arial" w:hAnsi="Arial"/>
                <w:sz w:val="16"/>
                <w:szCs w:val="16"/>
                <w:color w:val="auto"/>
              </w:rPr>
              <w:t>Accrued expenses: 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700</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leases</w:t>
            </w:r>
          </w:p>
        </w:tc>
        <w:tc>
          <w:tcPr>
            <w:tcW w:w="3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26,745</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27,048</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Finance leases</w:t>
            </w:r>
          </w:p>
        </w:tc>
        <w:tc>
          <w:tcPr>
            <w:tcW w:w="37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5,313</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4,868</w:t>
            </w:r>
          </w:p>
        </w:tc>
        <w:tc>
          <w:tcPr>
            <w:tcW w:w="0" w:type="dxa"/>
            <w:vAlign w:val="bottom"/>
          </w:tcPr>
          <w:p>
            <w:pPr>
              <w:spacing w:after="0"/>
              <w:rPr>
                <w:sz w:val="1"/>
                <w:szCs w:val="1"/>
                <w:color w:val="auto"/>
              </w:rPr>
            </w:pPr>
          </w:p>
        </w:tc>
      </w:tr>
      <w:tr>
        <w:trPr>
          <w:trHeight w:val="232"/>
        </w:trPr>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lease liabilities</w:t>
            </w:r>
          </w:p>
        </w:tc>
        <w:tc>
          <w:tcPr>
            <w:tcW w:w="3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35,354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Operating lease costs incurred are as follows:</w:t>
            </w:r>
          </w:p>
        </w:tc>
        <w:tc>
          <w:tcPr>
            <w:tcW w:w="3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3560" w:type="dxa"/>
            <w:vAlign w:val="bottom"/>
            <w:vMerge w:val="continue"/>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5"/>
        </w:trPr>
        <w:tc>
          <w:tcPr>
            <w:tcW w:w="35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Classification</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August 28, 2021</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29, 2020</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Operating lease expense</w:t>
            </w:r>
            <w:r>
              <w:rPr>
                <w:rFonts w:ascii="Arial" w:cs="Arial" w:eastAsia="Arial" w:hAnsi="Arial"/>
                <w:sz w:val="21"/>
                <w:szCs w:val="21"/>
                <w:color w:val="auto"/>
                <w:vertAlign w:val="superscript"/>
              </w:rPr>
              <w:t>(1)</w:t>
            </w:r>
          </w:p>
        </w:tc>
        <w:tc>
          <w:tcPr>
            <w:tcW w:w="37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Costs of goods sold and SG&amp;A</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6,962</w:t>
            </w: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of lease assets</w:t>
            </w:r>
          </w:p>
        </w:tc>
        <w:tc>
          <w:tcPr>
            <w:tcW w:w="37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Costs of goods sold and SG&amp;A</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on lease liabilities</w:t>
            </w:r>
          </w:p>
        </w:tc>
        <w:tc>
          <w:tcPr>
            <w:tcW w:w="37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3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2"/>
          <w:szCs w:val="12"/>
          <w:color w:val="auto"/>
        </w:rPr>
        <w:t>Operating lease expense includes short-term leases and variable lease payments, which are immaterial.</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Our future lease commitments as of August 28, 2021 included the following related party and non-related party leases: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4"/>
          </w:tcPr>
          <w:p>
            <w:pPr>
              <w:jc w:val="center"/>
              <w:ind w:left="1059"/>
              <w:spacing w:after="0"/>
              <w:rPr>
                <w:sz w:val="20"/>
                <w:szCs w:val="20"/>
                <w:color w:val="auto"/>
              </w:rPr>
            </w:pPr>
            <w:r>
              <w:rPr>
                <w:rFonts w:ascii="Arial" w:cs="Arial" w:eastAsia="Arial" w:hAnsi="Arial"/>
                <w:sz w:val="16"/>
                <w:szCs w:val="16"/>
                <w:b w:val="1"/>
                <w:bCs w:val="1"/>
                <w:color w:val="auto"/>
              </w:rPr>
              <w:t>Operating Leases as of August 28, 2021</w:t>
            </w:r>
          </w:p>
        </w:tc>
        <w:tc>
          <w:tcPr>
            <w:tcW w:w="1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Financing Leases</w:t>
            </w:r>
          </w:p>
        </w:tc>
        <w:tc>
          <w:tcPr>
            <w:tcW w:w="0" w:type="dxa"/>
            <w:vAlign w:val="bottom"/>
          </w:tcPr>
          <w:p>
            <w:pPr>
              <w:spacing w:after="0"/>
              <w:rPr>
                <w:sz w:val="1"/>
                <w:szCs w:val="1"/>
                <w:color w:val="auto"/>
              </w:rPr>
            </w:pPr>
          </w:p>
        </w:tc>
      </w:tr>
      <w:tr>
        <w:trPr>
          <w:trHeight w:val="158"/>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Related Party Amount</w:t>
            </w:r>
          </w:p>
        </w:tc>
        <w:tc>
          <w:tcPr>
            <w:tcW w:w="220" w:type="dxa"/>
            <w:vAlign w:val="bottom"/>
          </w:tcPr>
          <w:p>
            <w:pPr>
              <w:spacing w:after="0"/>
              <w:rPr>
                <w:sz w:val="13"/>
                <w:szCs w:val="13"/>
                <w:color w:val="auto"/>
              </w:rPr>
            </w:pPr>
          </w:p>
        </w:tc>
        <w:tc>
          <w:tcPr>
            <w:tcW w:w="17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Non-Related Party</w:t>
            </w:r>
          </w:p>
        </w:tc>
        <w:tc>
          <w:tcPr>
            <w:tcW w:w="700" w:type="dxa"/>
            <w:vAlign w:val="bottom"/>
          </w:tcPr>
          <w:p>
            <w:pPr>
              <w:spacing w:after="0"/>
              <w:rPr>
                <w:sz w:val="13"/>
                <w:szCs w:val="13"/>
                <w:color w:val="auto"/>
              </w:rPr>
            </w:pPr>
          </w:p>
        </w:tc>
        <w:tc>
          <w:tcPr>
            <w:tcW w:w="1240" w:type="dxa"/>
            <w:vAlign w:val="bottom"/>
            <w:vMerge w:val="restart"/>
          </w:tcPr>
          <w:p>
            <w:pPr>
              <w:jc w:val="right"/>
              <w:ind w:right="679"/>
              <w:spacing w:after="0"/>
              <w:rPr>
                <w:sz w:val="20"/>
                <w:szCs w:val="20"/>
                <w:color w:val="auto"/>
              </w:rPr>
            </w:pPr>
            <w:r>
              <w:rPr>
                <w:rFonts w:ascii="Arial" w:cs="Arial" w:eastAsia="Arial" w:hAnsi="Arial"/>
                <w:sz w:val="16"/>
                <w:szCs w:val="16"/>
                <w:b w:val="1"/>
                <w:bCs w:val="1"/>
                <w:color w:val="auto"/>
              </w:rPr>
              <w:t>Total</w:t>
            </w:r>
          </w:p>
        </w:tc>
        <w:tc>
          <w:tcPr>
            <w:tcW w:w="2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Non-Related Party Amount</w:t>
            </w:r>
          </w:p>
        </w:tc>
        <w:tc>
          <w:tcPr>
            <w:tcW w:w="0" w:type="dxa"/>
            <w:vAlign w:val="bottom"/>
          </w:tcPr>
          <w:p>
            <w:pPr>
              <w:spacing w:after="0"/>
              <w:rPr>
                <w:sz w:val="1"/>
                <w:szCs w:val="1"/>
                <w:color w:val="auto"/>
              </w:rPr>
            </w:pPr>
          </w:p>
        </w:tc>
      </w:tr>
      <w:tr>
        <w:trPr>
          <w:trHeight w:val="215"/>
        </w:trPr>
        <w:tc>
          <w:tcPr>
            <w:tcW w:w="3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7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1,500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3,594</w:t>
            </w:r>
          </w:p>
        </w:tc>
        <w:tc>
          <w:tcPr>
            <w:tcW w:w="7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5,094</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2,879</w:t>
            </w:r>
          </w:p>
        </w:tc>
        <w:tc>
          <w:tcPr>
            <w:tcW w:w="7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4,679</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11,214</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17,214</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213"/>
        </w:trPr>
        <w:tc>
          <w:tcPr>
            <w:tcW w:w="3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future undiscounted lease payments</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13,800</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24,818</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38,618</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7,438</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w:t>
            </w: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9,277</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38"/>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reported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18,757</w:t>
            </w:r>
          </w:p>
        </w:tc>
        <w:tc>
          <w:tcPr>
            <w:tcW w:w="7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29,341</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6"/>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1319"/>
              <w:spacing w:after="0"/>
              <w:rPr>
                <w:sz w:val="20"/>
                <w:szCs w:val="20"/>
                <w:color w:val="auto"/>
              </w:rPr>
            </w:pPr>
            <w:r>
              <w:rPr>
                <w:rFonts w:ascii="Arial" w:cs="Arial" w:eastAsia="Arial" w:hAnsi="Arial"/>
                <w:sz w:val="16"/>
                <w:szCs w:val="16"/>
                <w:color w:val="auto"/>
              </w:rPr>
              <w:t>53</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tcPr>
          <w:p>
            <w:pPr>
              <w:spacing w:after="0"/>
              <w:rPr>
                <w:sz w:val="20"/>
                <w:szCs w:val="20"/>
                <w:color w:val="auto"/>
              </w:rPr>
            </w:pPr>
            <w:r>
              <w:rPr>
                <w:rFonts w:ascii="Arial" w:cs="Arial" w:eastAsia="Arial" w:hAnsi="Arial"/>
                <w:sz w:val="16"/>
                <w:szCs w:val="16"/>
                <w:color w:val="auto"/>
              </w:rPr>
              <w:t>Additional information related to our leases is as follows:</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3"/>
        </w:trPr>
        <w:tc>
          <w:tcPr>
            <w:tcW w:w="6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August 28, 2021</w:t>
            </w: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29, 2020</w:t>
            </w: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Operating cash flows from operating leases</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2,589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2,463</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from financing leases</w:t>
            </w: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w:t>
            </w: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289</w:t>
            </w: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Financing cash flows from financing leases</w:t>
            </w:r>
          </w:p>
        </w:tc>
        <w:tc>
          <w:tcPr>
            <w:tcW w:w="130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572</w:t>
            </w:r>
          </w:p>
        </w:tc>
        <w:tc>
          <w:tcPr>
            <w:tcW w:w="340" w:type="dxa"/>
            <w:vAlign w:val="bottom"/>
          </w:tcPr>
          <w:p>
            <w:pPr>
              <w:spacing w:after="0"/>
              <w:rPr>
                <w:sz w:val="18"/>
                <w:szCs w:val="18"/>
                <w:color w:val="auto"/>
              </w:rPr>
            </w:pP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362</w:t>
            </w: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assets obtained in exchange for new lease liabilities:</w:t>
            </w: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30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2,626</w:t>
            </w:r>
          </w:p>
        </w:tc>
        <w:tc>
          <w:tcPr>
            <w:tcW w:w="340" w:type="dxa"/>
            <w:vAlign w:val="bottom"/>
          </w:tcPr>
          <w:p>
            <w:pPr>
              <w:spacing w:after="0"/>
              <w:rPr>
                <w:sz w:val="18"/>
                <w:szCs w:val="18"/>
                <w:color w:val="auto"/>
              </w:rPr>
            </w:pP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1,179</w:t>
            </w:r>
          </w:p>
        </w:tc>
      </w:tr>
      <w:tr>
        <w:trPr>
          <w:trHeight w:val="219"/>
        </w:trPr>
        <w:tc>
          <w:tcPr>
            <w:tcW w:w="61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Finance leases </w:t>
            </w:r>
            <w:r>
              <w:rPr>
                <w:rFonts w:ascii="Arial" w:cs="Arial" w:eastAsia="Arial" w:hAnsi="Arial"/>
                <w:sz w:val="21"/>
                <w:szCs w:val="21"/>
                <w:color w:val="auto"/>
                <w:vertAlign w:val="superscript"/>
              </w:rPr>
              <w:t>(1)</w:t>
            </w: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1,210</w:t>
            </w: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5,664</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August 28, 2021</w:t>
            </w: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29, 2020</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4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3"/>
        </w:trPr>
        <w:tc>
          <w:tcPr>
            <w:tcW w:w="524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4140" w:type="dxa"/>
            <w:vAlign w:val="bottom"/>
          </w:tcPr>
          <w:p>
            <w:pPr>
              <w:jc w:val="right"/>
              <w:ind w:right="119"/>
              <w:spacing w:after="0"/>
              <w:rPr>
                <w:sz w:val="20"/>
                <w:szCs w:val="20"/>
                <w:color w:val="auto"/>
              </w:rPr>
            </w:pPr>
            <w:r>
              <w:rPr>
                <w:rFonts w:ascii="Arial" w:cs="Arial" w:eastAsia="Arial" w:hAnsi="Arial"/>
                <w:sz w:val="16"/>
                <w:szCs w:val="16"/>
                <w:color w:val="auto"/>
              </w:rPr>
              <w:t>8.1</w:t>
            </w:r>
          </w:p>
        </w:tc>
        <w:tc>
          <w:tcPr>
            <w:tcW w:w="18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4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41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4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6.2 %</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0"/>
        </w:trPr>
        <w:tc>
          <w:tcPr>
            <w:tcW w:w="524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4140" w:type="dxa"/>
            <w:vAlign w:val="bottom"/>
          </w:tcPr>
          <w:p>
            <w:pPr>
              <w:jc w:val="right"/>
              <w:ind w:right="119"/>
              <w:spacing w:after="0"/>
              <w:rPr>
                <w:sz w:val="20"/>
                <w:szCs w:val="20"/>
                <w:color w:val="auto"/>
              </w:rPr>
            </w:pPr>
            <w:r>
              <w:rPr>
                <w:rFonts w:ascii="Arial" w:cs="Arial" w:eastAsia="Arial" w:hAnsi="Arial"/>
                <w:sz w:val="16"/>
                <w:szCs w:val="16"/>
                <w:color w:val="auto"/>
              </w:rPr>
              <w:t>6.3 %</w:t>
            </w:r>
          </w:p>
        </w:tc>
        <w:tc>
          <w:tcPr>
            <w:tcW w:w="1860" w:type="dxa"/>
            <w:vAlign w:val="bottom"/>
          </w:tcPr>
          <w:p>
            <w:pPr>
              <w:jc w:val="right"/>
              <w:spacing w:after="0"/>
              <w:rPr>
                <w:sz w:val="20"/>
                <w:szCs w:val="20"/>
                <w:color w:val="auto"/>
              </w:rPr>
            </w:pPr>
            <w:r>
              <w:rPr>
                <w:rFonts w:ascii="Arial" w:cs="Arial" w:eastAsia="Arial" w:hAnsi="Arial"/>
                <w:sz w:val="16"/>
                <w:szCs w:val="16"/>
                <w:color w:val="auto"/>
              </w:rPr>
              <w:t>6.2 %</w:t>
            </w:r>
          </w:p>
        </w:tc>
      </w:tr>
    </w:tbl>
    <w:p>
      <w:pPr>
        <w:spacing w:after="0" w:line="90"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21"/>
          <w:szCs w:val="21"/>
          <w:color w:val="auto"/>
          <w:vertAlign w:val="superscript"/>
        </w:rPr>
      </w:pPr>
      <w:r>
        <w:rPr>
          <w:rFonts w:ascii="Arial" w:cs="Arial" w:eastAsia="Arial" w:hAnsi="Arial"/>
          <w:sz w:val="14"/>
          <w:szCs w:val="14"/>
          <w:color w:val="auto"/>
        </w:rPr>
        <w:t>Lease assets as of August 29, 2020 are offset by a $965 unfavorable lease liability created by the acquisition of Newmar.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20"/>
                <w:szCs w:val="20"/>
                <w:color w:val="auto"/>
              </w:rPr>
            </w:pPr>
            <w:r>
              <w:rPr>
                <w:rFonts w:ascii="Arial" w:cs="Arial" w:eastAsia="Arial" w:hAnsi="Arial"/>
                <w:sz w:val="16"/>
                <w:szCs w:val="16"/>
                <w:b w:val="1"/>
                <w:bCs w:val="1"/>
                <w:color w:val="auto"/>
              </w:rPr>
              <w:t>Note 11. Employee and Retiree Benefits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6"/>
                <w:szCs w:val="16"/>
                <w:color w:val="auto"/>
              </w:rPr>
              <w:t>Deferred compensation benefits are as follows: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7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Pr>
          <w:p>
            <w:pPr>
              <w:spacing w:after="0"/>
              <w:rPr>
                <w:sz w:val="20"/>
                <w:szCs w:val="20"/>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29, 2020</w:t>
            </w:r>
          </w:p>
        </w:tc>
      </w:tr>
      <w:tr>
        <w:trPr>
          <w:trHeight w:val="212"/>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11,460</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1,838</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r>
      <w:tr>
        <w:trPr>
          <w:trHeight w:val="209"/>
        </w:trPr>
        <w:tc>
          <w:tcPr>
            <w:tcW w:w="7640" w:type="dxa"/>
            <w:vAlign w:val="bottom"/>
          </w:tcPr>
          <w:p>
            <w:pPr>
              <w:ind w:left="140"/>
              <w:spacing w:after="0"/>
              <w:rPr>
                <w:sz w:val="20"/>
                <w:szCs w:val="20"/>
                <w:color w:val="auto"/>
              </w:rPr>
            </w:pPr>
            <w:r>
              <w:rPr>
                <w:rFonts w:ascii="Arial" w:cs="Arial" w:eastAsia="Arial" w:hAnsi="Arial"/>
                <w:sz w:val="16"/>
                <w:szCs w:val="16"/>
                <w:color w:val="auto"/>
              </w:rPr>
              <w:t>Total deferred compensation benefits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12,375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14,008</w:t>
            </w:r>
          </w:p>
        </w:tc>
      </w:tr>
      <w:tr>
        <w:trPr>
          <w:trHeight w:val="219"/>
        </w:trPr>
        <w:tc>
          <w:tcPr>
            <w:tcW w:w="76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w:t>
            </w:r>
          </w:p>
        </w:tc>
      </w:tr>
      <w:tr>
        <w:trPr>
          <w:trHeight w:val="210"/>
        </w:trPr>
        <w:tc>
          <w:tcPr>
            <w:tcW w:w="764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11,130</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21"/>
          <w:szCs w:val="21"/>
          <w:color w:val="auto"/>
          <w:vertAlign w:val="superscript"/>
        </w:rPr>
      </w:pPr>
      <w:r>
        <w:rPr>
          <w:rFonts w:ascii="Arial" w:cs="Arial" w:eastAsia="Arial" w:hAnsi="Arial"/>
          <w:sz w:val="14"/>
          <w:szCs w:val="14"/>
          <w:color w:val="auto"/>
        </w:rPr>
        <w:t>Included in accrued compensation on the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Non-Qualified Deferred Compensation</w:t>
      </w:r>
    </w:p>
    <w:p>
      <w:pPr>
        <w:spacing w:after="0" w:line="12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$795, $902, and $943 in Fiscal 2021, 2020, and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Supplemental Executive Retirement Plan ("SERP")</w:t>
      </w:r>
    </w:p>
    <w:p>
      <w:pPr>
        <w:spacing w:after="0" w:line="12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payments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company-owned life insurance ("COLI") by a release of all interests by the participant and assignment to Winnebago Industries as a prerequisite to participate in the SERP and transition from the Split Dollar Program. This program remains closed to new employee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in investment in life insurance in the Consolidated Balance Sheets and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180" w:type="dxa"/>
            <w:vAlign w:val="bottom"/>
          </w:tcPr>
          <w:p>
            <w:pPr>
              <w:spacing w:after="0"/>
              <w:rPr>
                <w:sz w:val="18"/>
                <w:szCs w:val="18"/>
                <w:color w:val="auto"/>
              </w:rPr>
            </w:pPr>
          </w:p>
        </w:tc>
        <w:tc>
          <w:tcPr>
            <w:tcW w:w="1560" w:type="dxa"/>
            <w:vAlign w:val="bottom"/>
          </w:tcPr>
          <w:p>
            <w:pPr>
              <w:ind w:left="80"/>
              <w:spacing w:after="0"/>
              <w:rPr>
                <w:sz w:val="20"/>
                <w:szCs w:val="20"/>
                <w:color w:val="auto"/>
              </w:rPr>
            </w:pPr>
            <w:r>
              <w:rPr>
                <w:rFonts w:ascii="Arial" w:cs="Arial" w:eastAsia="Arial" w:hAnsi="Arial"/>
                <w:sz w:val="16"/>
                <w:szCs w:val="16"/>
                <w:b w:val="1"/>
                <w:bCs w:val="1"/>
                <w:color w:val="auto"/>
              </w:rPr>
              <w:t>August 29, 2020</w:t>
            </w:r>
          </w:p>
        </w:tc>
      </w:tr>
      <w:tr>
        <w:trPr>
          <w:trHeight w:val="213"/>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value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rPr>
              <w:t>66,544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w w:val="98"/>
              </w:rPr>
              <w:t>64,214</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Borrowings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rPr>
              <w:t>(37,723)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rPr>
              <w:t>(36,376)</w:t>
            </w:r>
          </w:p>
        </w:tc>
      </w:tr>
      <w:tr>
        <w:trPr>
          <w:trHeight w:val="23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rPr>
              <w:t>28,821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w w:val="98"/>
              </w:rPr>
              <w:t>27,838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Deferred Compensation Plan</w:t>
      </w:r>
    </w:p>
    <w:p>
      <w:pPr>
        <w:spacing w:after="0" w:line="1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long-term assets in the Consolidated Balance Sheets. Such assets on August 28, 2021 and August 29, 2020 were $1,027 and $710,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13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matching contributions made by Winnebago Industries and discretionary contributions as approved by the Board of Directors. Matching contributions to the plan for Fiscal 2021, 2020, and 2019 were $5,557, $3,367, and $2,894, respectively. A discretionary contribution of $6,122 was approved in Fiscal 2021, No discretionary contributions were approved for Fiscal 2020 or 2019.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3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$552,112 and $798,906 as of August 28, 2021 and August 29, 2020, respectively.</w:t>
      </w:r>
    </w:p>
    <w:p>
      <w:pPr>
        <w:spacing w:after="0" w:line="23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Repurchased sales are not recorded as a revenue transaction, rather the net difference between the original repurchase price and the resale price is recorded against the loss reserve, which is a deduction from gross revenue. 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accrued expenses: other on the Consolidated Balance Sheets. Our repurchase accrual was $923 and $980 as of August 28, 2021 and August 29, 2020,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activity for repurchased units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units)</w:t>
            </w:r>
          </w:p>
        </w:tc>
        <w:tc>
          <w:tcPr>
            <w:tcW w:w="2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Inventory repurchased:</w:t>
            </w: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Units</w:t>
            </w:r>
          </w:p>
        </w:tc>
        <w:tc>
          <w:tcPr>
            <w:tcW w:w="2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Dollars</w:t>
            </w:r>
          </w:p>
        </w:tc>
        <w:tc>
          <w:tcPr>
            <w:tcW w:w="2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5,535</w:t>
            </w:r>
          </w:p>
        </w:tc>
      </w:tr>
      <w:tr>
        <w:trPr>
          <w:trHeight w:val="215"/>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Inventory resold:</w:t>
            </w: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Units</w:t>
            </w: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Cash collected</w:t>
            </w:r>
          </w:p>
        </w:tc>
        <w:tc>
          <w:tcPr>
            <w:tcW w:w="23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2,540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4,634</w:t>
            </w: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recognized</w:t>
            </w:r>
          </w:p>
        </w:tc>
        <w:tc>
          <w:tcPr>
            <w:tcW w:w="2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15"/>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Units in ending inventory</w:t>
            </w:r>
          </w:p>
        </w:tc>
        <w:tc>
          <w:tcPr>
            <w:tcW w:w="2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3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Revenue Recognition</w:t>
      </w:r>
    </w:p>
    <w:p>
      <w:pPr>
        <w:spacing w:after="0" w:line="26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non-motorized towable units, motorized units and marine units to the Company's independent dealer network (our customers). The following table disaggregates revenue by reportable segment and product category: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Towable: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1,024,355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690,452</w:t>
            </w: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959,716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519,282</w:t>
            </w:r>
          </w:p>
        </w:tc>
      </w:tr>
      <w:tr>
        <w:trPr>
          <w:trHeight w:val="219"/>
        </w:trPr>
        <w:tc>
          <w:tcPr>
            <w:tcW w:w="76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17,833</w:t>
            </w:r>
          </w:p>
        </w:tc>
      </w:tr>
      <w:tr>
        <w:trPr>
          <w:trHeight w:val="206"/>
        </w:trPr>
        <w:tc>
          <w:tcPr>
            <w:tcW w:w="764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2,009,959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1,227,567</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Class A</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690,146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479,120</w:t>
            </w:r>
          </w:p>
        </w:tc>
      </w:tr>
      <w:tr>
        <w:trPr>
          <w:trHeight w:val="21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532,200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332,961</w:t>
            </w: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Class C</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278,054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211,468</w:t>
            </w:r>
          </w:p>
        </w:tc>
      </w:tr>
      <w:tr>
        <w:trPr>
          <w:trHeight w:val="219"/>
        </w:trPr>
        <w:tc>
          <w:tcPr>
            <w:tcW w:w="76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33,245</w:t>
            </w:r>
          </w:p>
        </w:tc>
      </w:tr>
      <w:tr>
        <w:trPr>
          <w:trHeight w:val="207"/>
        </w:trPr>
        <w:tc>
          <w:tcPr>
            <w:tcW w:w="7640" w:type="dxa"/>
            <w:vAlign w:val="bottom"/>
          </w:tcPr>
          <w:p>
            <w:pPr>
              <w:ind w:left="220"/>
              <w:spacing w:after="0"/>
              <w:rPr>
                <w:sz w:val="20"/>
                <w:szCs w:val="20"/>
                <w:color w:val="auto"/>
              </w:rPr>
            </w:pPr>
            <w:r>
              <w:rPr>
                <w:rFonts w:ascii="Arial" w:cs="Arial" w:eastAsia="Arial" w:hAnsi="Arial"/>
                <w:sz w:val="16"/>
                <w:szCs w:val="16"/>
                <w:color w:val="auto"/>
              </w:rPr>
              <w:t>Total Motorhome</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1,539,084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1,056,794</w:t>
            </w:r>
          </w:p>
        </w:tc>
      </w:tr>
      <w:tr>
        <w:trPr>
          <w:trHeight w:val="219"/>
        </w:trPr>
        <w:tc>
          <w:tcPr>
            <w:tcW w:w="76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Corporate/ All Other</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71,172</w:t>
            </w:r>
          </w:p>
        </w:tc>
      </w:tr>
      <w:tr>
        <w:trPr>
          <w:trHeight w:val="210"/>
        </w:trPr>
        <w:tc>
          <w:tcPr>
            <w:tcW w:w="7640" w:type="dxa"/>
            <w:vAlign w:val="bottom"/>
          </w:tcPr>
          <w:p>
            <w:pPr>
              <w:ind w:left="360"/>
              <w:spacing w:after="0"/>
              <w:rPr>
                <w:sz w:val="20"/>
                <w:szCs w:val="20"/>
                <w:color w:val="auto"/>
              </w:rPr>
            </w:pPr>
            <w:r>
              <w:rPr>
                <w:rFonts w:ascii="Arial" w:cs="Arial" w:eastAsia="Arial" w:hAnsi="Arial"/>
                <w:sz w:val="16"/>
                <w:szCs w:val="16"/>
                <w:color w:val="auto"/>
              </w:rPr>
              <w:t>Consolidated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3,629,847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2,355,533</w:t>
            </w: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00" w:hanging="292"/>
        <w:spacing w:after="0"/>
        <w:tabs>
          <w:tab w:leader="none" w:pos="300" w:val="left"/>
        </w:tabs>
        <w:numPr>
          <w:ilvl w:val="0"/>
          <w:numId w:val="32"/>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and services.</w:t>
      </w:r>
    </w:p>
    <w:p>
      <w:pPr>
        <w:spacing w:after="0" w:line="43" w:lineRule="exact"/>
        <w:rPr>
          <w:rFonts w:ascii="Arial" w:cs="Arial" w:eastAsia="Arial" w:hAnsi="Arial"/>
          <w:sz w:val="21"/>
          <w:szCs w:val="21"/>
          <w:color w:val="auto"/>
          <w:vertAlign w:val="superscript"/>
        </w:rPr>
      </w:pPr>
    </w:p>
    <w:p>
      <w:pPr>
        <w:ind w:left="300" w:hanging="292"/>
        <w:spacing w:after="0" w:line="189" w:lineRule="auto"/>
        <w:tabs>
          <w:tab w:leader="none" w:pos="300" w:val="left"/>
        </w:tabs>
        <w:numPr>
          <w:ilvl w:val="0"/>
          <w:numId w:val="32"/>
        </w:numPr>
        <w:rPr>
          <w:rFonts w:ascii="Arial" w:cs="Arial" w:eastAsia="Arial" w:hAnsi="Arial"/>
          <w:sz w:val="19"/>
          <w:szCs w:val="19"/>
          <w:color w:val="auto"/>
          <w:vertAlign w:val="superscript"/>
        </w:rPr>
      </w:pPr>
      <w:r>
        <w:rPr>
          <w:rFonts w:ascii="Arial" w:cs="Arial" w:eastAsia="Arial" w:hAnsi="Arial"/>
          <w:sz w:val="13"/>
          <w:szCs w:val="13"/>
          <w:color w:val="auto"/>
        </w:rPr>
        <w:t>Relates to marine and specialty vehicle units, parts, accessories, and services.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material contract assets or liabilities.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 of net revenues for Fiscal 2021, 2020, and 2019.</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Stock-Based Compensation Plans</w:t>
      </w:r>
    </w:p>
    <w:p>
      <w:pPr>
        <w:spacing w:after="0" w:line="268"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restricted share units, and other equity compensation to key employees and to non-employee directors. The 2019 Plan replaces the 2014 Omnibus Equity, Performance Award, and Incentive Compensation Plan (as amended, the "2014 Plan"). The number of shares of our common stock that may be awarded and issued under the 2019 Plan is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6" w:name="page57"/>
    <w:bookmarkEnd w:id="5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4.1 million shares, plus the shares subject to any awards outstanding under the 2014 Plan and our predecessor plan, the 2004 Incentive Compensation Plan (the “2004 Plan”), on December 11, 2018 that subsequently expire, are forfeited or canceled, or are settled for cash. Until such time, awards under the 2014 Plan and the 2004 Plan, respectively, that were outstanding on December 11, 2018 will continue to be subject to the terms of the 2014 Plan or 2004 Plan, as applicable. Shares remaining available for future awards under the 2014 Plan were not carried over into the 2019 Plan.</w:t>
      </w: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outstanding options have a 10-year term. Options issued to employees generally vest over a three-year period in equal annual installments on the annual anniversary dates following the grant date. Share awards generally vest based either upon continued employment ("time-based") or upon attainment of specified goals. Outstanding share awards that are not time-based vest at the end of a three-year incentive period based upon the achievement of company performance goals ("performance-based"). Generally, time-based share awards vest in the same manner as options, except for time-based share awards to directors which vest one year from the grant date.</w:t>
      </w:r>
    </w:p>
    <w:p>
      <w:pPr>
        <w:spacing w:after="0" w:line="230"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Beginning with our annual grant of restricted stock units in October 2018, dividend equivalents are attached to restricted stock units equal to dividends payable on the same number of shares of our common stock during the applicable period. Dividend equivalents, settled in cash, accrue on restricted stock unit awards during the vesting period. No dividend equivalents are paid on any restricted stock units that are forfeited prior to the vesting date.</w:t>
      </w:r>
    </w:p>
    <w:p>
      <w:pPr>
        <w:spacing w:after="0" w:line="228"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Our Employee Stock Purchase Plan ("ESPP") permits employees to purchase Winnebago Industries, Inc. common stock at a 15% discount from the market price at the end of semi-annual purchase periods and is compensatory. Employees are required to hold the common stock purchased for one-year. In Fiscal 2021 and 2020, 24,000 shares and 21,000 shares, respectively, were purchased through the ESPP. Plan participants had accumulated $385 and $274 as of August 28, 2021 and August 29, 2020, respectively, to purchase our common stock pursuant to this plan.</w:t>
      </w:r>
    </w:p>
    <w:p>
      <w:pPr>
        <w:spacing w:after="0" w:line="229" w:lineRule="exact"/>
        <w:rPr>
          <w:sz w:val="20"/>
          <w:szCs w:val="20"/>
          <w:color w:val="auto"/>
        </w:rPr>
      </w:pPr>
    </w:p>
    <w:p>
      <w:pPr>
        <w:ind w:right="520"/>
        <w:spacing w:after="0" w:line="259" w:lineRule="auto"/>
        <w:rPr>
          <w:sz w:val="20"/>
          <w:szCs w:val="20"/>
          <w:color w:val="auto"/>
        </w:rPr>
      </w:pPr>
      <w:r>
        <w:rPr>
          <w:rFonts w:ascii="Arial" w:cs="Arial" w:eastAsia="Arial" w:hAnsi="Arial"/>
          <w:sz w:val="16"/>
          <w:szCs w:val="16"/>
          <w:color w:val="auto"/>
        </w:rPr>
        <w:t>Compensation expense associated with share-based awards is recognized on a straight-line basis over the required service period and forfeitures are recorded when they occur. Total stock-based compensation expense for the past three fiscal years consisted of the following components: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awards: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Time-based</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5,737</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4,287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4,986</w:t>
            </w:r>
          </w:p>
        </w:tc>
      </w:tr>
      <w:tr>
        <w:trPr>
          <w:trHeight w:val="219"/>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Performance-based</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925</w:t>
            </w:r>
          </w:p>
        </w:tc>
      </w:tr>
      <w:tr>
        <w:trPr>
          <w:trHeight w:val="219"/>
        </w:trPr>
        <w:tc>
          <w:tcPr>
            <w:tcW w:w="58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10"/>
        </w:trPr>
        <w:tc>
          <w:tcPr>
            <w:tcW w:w="5840" w:type="dxa"/>
            <w:vAlign w:val="bottom"/>
          </w:tcPr>
          <w:p>
            <w:pPr>
              <w:ind w:left="140"/>
              <w:spacing w:after="0"/>
              <w:rPr>
                <w:sz w:val="20"/>
                <w:szCs w:val="20"/>
                <w:color w:val="auto"/>
              </w:rPr>
            </w:pPr>
            <w:r>
              <w:rPr>
                <w:rFonts w:ascii="Arial" w:cs="Arial" w:eastAsia="Arial" w:hAnsi="Arial"/>
                <w:sz w:val="16"/>
                <w:szCs w:val="16"/>
                <w:color w:val="auto"/>
              </w:rPr>
              <w:t>Total stock-based compensation expense</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15,347</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6,475</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7,058</w:t>
            </w:r>
          </w:p>
        </w:tc>
      </w:tr>
      <w:tr>
        <w:trPr>
          <w:trHeight w:val="20"/>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120" w:hanging="252"/>
        <w:spacing w:after="0" w:line="199" w:lineRule="auto"/>
        <w:tabs>
          <w:tab w:leader="none" w:pos="305" w:val="left"/>
        </w:tabs>
        <w:numPr>
          <w:ilvl w:val="0"/>
          <w:numId w:val="33"/>
        </w:numPr>
        <w:rPr>
          <w:rFonts w:ascii="Arial" w:cs="Arial" w:eastAsia="Arial" w:hAnsi="Arial"/>
          <w:sz w:val="21"/>
          <w:szCs w:val="21"/>
          <w:color w:val="auto"/>
          <w:vertAlign w:val="superscript"/>
        </w:rPr>
      </w:pPr>
      <w:r>
        <w:rPr>
          <w:rFonts w:ascii="Arial" w:cs="Arial" w:eastAsia="Arial" w:hAnsi="Arial"/>
          <w:sz w:val="14"/>
          <w:szCs w:val="14"/>
          <w:color w:val="auto"/>
        </w:rPr>
        <w:t>Includes stock-based compensation expense related to Board of Directors stock award expense and ESPP expense. Directors may elect to defer all or part of their annual retainer into a deferred compensation plan. The plan allows them to defer into either money units or stock units.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 - Time-Based</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fair value of time-based restricted stock units is determined based on the closing market price of our stock on the date of grant. A summary of the status of nonvested time-based restricted stock units at August 28, 2021, and changes during Fiscal 2021, is as follows:</w:t>
      </w:r>
    </w:p>
    <w:tbl>
      <w:tblPr>
        <w:tblLayout w:type="fixed"/>
        <w:tblInd w:w="0" w:type="dxa"/>
        <w:tblCellMar>
          <w:top w:w="0" w:type="dxa"/>
          <w:left w:w="0" w:type="dxa"/>
          <w:bottom w:w="0" w:type="dxa"/>
          <w:right w:w="0" w:type="dxa"/>
        </w:tblCellMar>
      </w:tblPr>
      <w:tr>
        <w:trPr>
          <w:trHeight w:val="168"/>
        </w:trPr>
        <w:tc>
          <w:tcPr>
            <w:tcW w:w="7440" w:type="dxa"/>
            <w:vAlign w:val="bottom"/>
          </w:tcPr>
          <w:p>
            <w:pPr>
              <w:spacing w:after="0"/>
              <w:rPr>
                <w:sz w:val="14"/>
                <w:szCs w:val="14"/>
                <w:color w:val="auto"/>
              </w:rPr>
            </w:pPr>
          </w:p>
        </w:tc>
        <w:tc>
          <w:tcPr>
            <w:tcW w:w="18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21"/>
                <w:szCs w:val="21"/>
                <w:b w:val="1"/>
                <w:bCs w:val="1"/>
                <w:color w:val="auto"/>
                <w:vertAlign w:val="superscript"/>
              </w:rPr>
              <w:t>(1)</w:t>
            </w:r>
          </w:p>
        </w:tc>
        <w:tc>
          <w:tcPr>
            <w:tcW w:w="120" w:type="dxa"/>
            <w:vAlign w:val="bottom"/>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Weighted Average Fair</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29, 2020</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302,264</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38.27</w:t>
            </w:r>
          </w:p>
        </w:tc>
        <w:tc>
          <w:tcPr>
            <w:tcW w:w="0" w:type="dxa"/>
            <w:vAlign w:val="bottom"/>
          </w:tcPr>
          <w:p>
            <w:pPr>
              <w:spacing w:after="0"/>
              <w:rPr>
                <w:sz w:val="1"/>
                <w:szCs w:val="1"/>
                <w:color w:val="auto"/>
              </w:rPr>
            </w:pP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spacing w:after="0"/>
              <w:rPr>
                <w:sz w:val="20"/>
                <w:szCs w:val="20"/>
                <w:color w:val="auto"/>
              </w:rPr>
            </w:pPr>
            <w:r>
              <w:rPr>
                <w:rFonts w:ascii="Arial" w:cs="Arial" w:eastAsia="Arial" w:hAnsi="Arial"/>
                <w:sz w:val="16"/>
                <w:szCs w:val="16"/>
                <w:color w:val="auto"/>
              </w:rPr>
              <w:t>150,275</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54.56</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(92,942)</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40.36</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Forfeited/canceled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(28,778)</w:t>
            </w:r>
          </w:p>
        </w:tc>
        <w:tc>
          <w:tcPr>
            <w:tcW w:w="520" w:type="dxa"/>
            <w:vAlign w:val="bottom"/>
            <w:tcBorders>
              <w:bottom w:val="single" w:sz="8" w:color="CCEEFF"/>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42.13</w:t>
            </w:r>
          </w:p>
        </w:tc>
        <w:tc>
          <w:tcPr>
            <w:tcW w:w="0" w:type="dxa"/>
            <w:vAlign w:val="bottom"/>
          </w:tcPr>
          <w:p>
            <w:pPr>
              <w:spacing w:after="0"/>
              <w:rPr>
                <w:sz w:val="1"/>
                <w:szCs w:val="1"/>
                <w:color w:val="auto"/>
              </w:rPr>
            </w:pPr>
          </w:p>
        </w:tc>
      </w:tr>
      <w:tr>
        <w:trPr>
          <w:trHeight w:val="23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28,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330,819</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00" w:hanging="292"/>
        <w:spacing w:after="0"/>
        <w:tabs>
          <w:tab w:leader="none" w:pos="300" w:val="left"/>
        </w:tabs>
        <w:numPr>
          <w:ilvl w:val="0"/>
          <w:numId w:val="34"/>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above table are shown in whole numbers.</w:t>
      </w:r>
    </w:p>
    <w:p>
      <w:pPr>
        <w:spacing w:after="0" w:line="23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of August 28, 2021, there was $7,122 of unrecognized compensation expense related to nonvested time-based restricted stock units that are expected to be recognized over a weighted average period of 0.8 years. The total fair value of restricted stock units vested during Fiscal 2021, 2020, and 2019 was $5,210, $3,324, and $6,648, respectively.</w:t>
      </w:r>
    </w:p>
    <w:p>
      <w:pPr>
        <w:spacing w:after="0" w:line="22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On October 12, 2021, the Board of Directors granted 124,978 restricted stock units under the 2019 Plan valued at $9,447 to our key management group. The value of the restricted stock units, which is based on the closing price of our common stock on the date of grant, was $75.59. Estimated non-cash stock compensation expense based on this grant is expected to be approximately $3,149 for Fiscal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 - Performance-Based</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fair value of performance-based restricted stock units is determined based on the closing market price of our stock on the date of grant. A summary of the status of our nonvested performance-based restricted stock units at August 28, 2021, and changes during Fiscal 2021, is as follows:</w:t>
      </w:r>
    </w:p>
    <w:tbl>
      <w:tblPr>
        <w:tblLayout w:type="fixed"/>
        <w:tblInd w:w="0" w:type="dxa"/>
        <w:tblCellMar>
          <w:top w:w="0" w:type="dxa"/>
          <w:left w:w="0" w:type="dxa"/>
          <w:bottom w:w="0" w:type="dxa"/>
          <w:right w:w="0" w:type="dxa"/>
        </w:tblCellMar>
      </w:tblPr>
      <w:tr>
        <w:trPr>
          <w:trHeight w:val="168"/>
        </w:trPr>
        <w:tc>
          <w:tcPr>
            <w:tcW w:w="7440" w:type="dxa"/>
            <w:vAlign w:val="bottom"/>
          </w:tcPr>
          <w:p>
            <w:pPr>
              <w:spacing w:after="0"/>
              <w:rPr>
                <w:sz w:val="14"/>
                <w:szCs w:val="14"/>
                <w:color w:val="auto"/>
              </w:rPr>
            </w:pPr>
          </w:p>
        </w:tc>
        <w:tc>
          <w:tcPr>
            <w:tcW w:w="18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21"/>
                <w:szCs w:val="21"/>
                <w:b w:val="1"/>
                <w:bCs w:val="1"/>
                <w:color w:val="auto"/>
                <w:vertAlign w:val="superscript"/>
              </w:rPr>
              <w:t>(1)</w:t>
            </w:r>
          </w:p>
        </w:tc>
        <w:tc>
          <w:tcPr>
            <w:tcW w:w="120" w:type="dxa"/>
            <w:vAlign w:val="bottom"/>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Weighted Average Fair</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29, 2020</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188,992</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40.73</w:t>
            </w:r>
          </w:p>
        </w:tc>
        <w:tc>
          <w:tcPr>
            <w:tcW w:w="0" w:type="dxa"/>
            <w:vAlign w:val="bottom"/>
          </w:tcPr>
          <w:p>
            <w:pPr>
              <w:spacing w:after="0"/>
              <w:rPr>
                <w:sz w:val="1"/>
                <w:szCs w:val="1"/>
                <w:color w:val="auto"/>
              </w:rPr>
            </w:pP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spacing w:after="0"/>
              <w:rPr>
                <w:sz w:val="20"/>
                <w:szCs w:val="20"/>
                <w:color w:val="auto"/>
              </w:rPr>
            </w:pPr>
            <w:r>
              <w:rPr>
                <w:rFonts w:ascii="Arial" w:cs="Arial" w:eastAsia="Arial" w:hAnsi="Arial"/>
                <w:sz w:val="16"/>
                <w:szCs w:val="16"/>
                <w:color w:val="auto"/>
              </w:rPr>
              <w:t>97,996</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54.49</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(26,515)</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45.18</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Forfeited/canceled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(32,722)</w:t>
            </w:r>
          </w:p>
        </w:tc>
        <w:tc>
          <w:tcPr>
            <w:tcW w:w="520" w:type="dxa"/>
            <w:vAlign w:val="bottom"/>
            <w:tcBorders>
              <w:bottom w:val="single" w:sz="8" w:color="CCEEFF"/>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42.97</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28,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227,751</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above table are shown in whole numbers.</w:t>
      </w:r>
    </w:p>
    <w:p>
      <w:pPr>
        <w:spacing w:after="0" w:line="230"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As of August 28, 2021, there was $3,804 of unrecognized compensation expense related to nonvested performance-based restricted stock units that are expected to be recognized over a weighted average period of 1.0 year. The total fair value of performance-based restricted stock units vested during Fiscal 2021 and 2020 was $1,445 and $2,438. No performance-based restricted stock units vested during Fiscal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for Fiscal 2021 is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 Average</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8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00" w:type="dxa"/>
            <w:vAlign w:val="bottom"/>
          </w:tcPr>
          <w:p>
            <w:pPr>
              <w:spacing w:after="0"/>
              <w:rPr>
                <w:sz w:val="14"/>
                <w:szCs w:val="14"/>
                <w:color w:val="auto"/>
              </w:rPr>
            </w:pPr>
          </w:p>
        </w:tc>
        <w:tc>
          <w:tcPr>
            <w:tcW w:w="16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5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Stock Options</w:t>
            </w:r>
            <w:r>
              <w:rPr>
                <w:rFonts w:ascii="Arial" w:cs="Arial" w:eastAsia="Arial" w:hAnsi="Arial"/>
                <w:sz w:val="21"/>
                <w:szCs w:val="21"/>
                <w:b w:val="1"/>
                <w:bCs w:val="1"/>
                <w:color w:val="auto"/>
                <w:vertAlign w:val="superscript"/>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Exercise Price Per</w:t>
            </w:r>
          </w:p>
        </w:tc>
        <w:tc>
          <w:tcPr>
            <w:tcW w:w="18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Contractual Term (in</w:t>
            </w:r>
          </w:p>
        </w:tc>
        <w:tc>
          <w:tcPr>
            <w:tcW w:w="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Share</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29, 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spacing w:after="0"/>
              <w:rPr>
                <w:sz w:val="20"/>
                <w:szCs w:val="20"/>
                <w:color w:val="auto"/>
              </w:rPr>
            </w:pPr>
            <w:r>
              <w:rPr>
                <w:rFonts w:ascii="Arial" w:cs="Arial" w:eastAsia="Arial" w:hAnsi="Arial"/>
                <w:sz w:val="16"/>
                <w:szCs w:val="16"/>
                <w:color w:val="auto"/>
              </w:rPr>
              <w:t>54,836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54.49</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(6,770)</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40.75</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28,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317,903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40.14</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240" w:type="dxa"/>
            <w:vAlign w:val="bottom"/>
          </w:tcPr>
          <w:p>
            <w:pPr>
              <w:ind w:left="20"/>
              <w:spacing w:after="0"/>
              <w:rPr>
                <w:sz w:val="20"/>
                <w:szCs w:val="20"/>
                <w:color w:val="auto"/>
              </w:rPr>
            </w:pPr>
            <w:r>
              <w:rPr>
                <w:rFonts w:ascii="Arial" w:cs="Arial" w:eastAsia="Arial" w:hAnsi="Arial"/>
                <w:sz w:val="16"/>
                <w:szCs w:val="16"/>
                <w:color w:val="auto"/>
              </w:rPr>
              <w:t>Vested and expected to vest at August 28, 2021</w:t>
            </w:r>
          </w:p>
        </w:tc>
        <w:tc>
          <w:tcPr>
            <w:tcW w:w="1500" w:type="dxa"/>
            <w:vAlign w:val="bottom"/>
          </w:tcPr>
          <w:p>
            <w:pPr>
              <w:jc w:val="right"/>
              <w:spacing w:after="0"/>
              <w:rPr>
                <w:sz w:val="20"/>
                <w:szCs w:val="20"/>
                <w:color w:val="auto"/>
              </w:rPr>
            </w:pPr>
            <w:r>
              <w:rPr>
                <w:rFonts w:ascii="Arial" w:cs="Arial" w:eastAsia="Arial" w:hAnsi="Arial"/>
                <w:sz w:val="16"/>
                <w:szCs w:val="16"/>
                <w:color w:val="auto"/>
              </w:rPr>
              <w:t>317,903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40.14</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10,480</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at August 28, 2021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7,231</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00" w:hanging="292"/>
        <w:spacing w:after="0"/>
        <w:tabs>
          <w:tab w:leader="none" w:pos="300" w:val="left"/>
        </w:tabs>
        <w:numPr>
          <w:ilvl w:val="0"/>
          <w:numId w:val="36"/>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above table are shown in whole numbers.</w:t>
      </w:r>
    </w:p>
    <w:p>
      <w:pPr>
        <w:spacing w:after="0" w:line="23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As of August 28, 2021, there was $1,226 of unrecognized compensation expense related to stock options that is expected to be recognized over a weighted average period of 0.8 years.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stock option is estimated on the date of grant using the Black-Scholes option-pricing model with the following assumptions: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Valuation Assumptions</w:t>
            </w:r>
            <w:r>
              <w:rPr>
                <w:rFonts w:ascii="Arial" w:cs="Arial" w:eastAsia="Arial" w:hAnsi="Arial"/>
                <w:sz w:val="21"/>
                <w:szCs w:val="21"/>
                <w:color w:val="auto"/>
                <w:vertAlign w:val="superscript"/>
              </w:rPr>
              <w:t>(1)</w:t>
            </w:r>
          </w:p>
        </w:tc>
        <w:tc>
          <w:tcPr>
            <w:tcW w:w="1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2019</w:t>
            </w: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16"/>
        </w:trPr>
        <w:tc>
          <w:tcPr>
            <w:tcW w:w="4340" w:type="dxa"/>
            <w:vAlign w:val="bottom"/>
          </w:tcPr>
          <w:p>
            <w:pPr>
              <w:ind w:left="20"/>
              <w:spacing w:after="0" w:line="216" w:lineRule="exact"/>
              <w:rPr>
                <w:sz w:val="20"/>
                <w:szCs w:val="20"/>
                <w:color w:val="auto"/>
              </w:rPr>
            </w:pPr>
            <w:r>
              <w:rPr>
                <w:rFonts w:ascii="Arial" w:cs="Arial" w:eastAsia="Arial" w:hAnsi="Arial"/>
                <w:sz w:val="16"/>
                <w:szCs w:val="16"/>
                <w:color w:val="auto"/>
              </w:rPr>
              <w:t>Risk-free interest rate</w:t>
            </w:r>
            <w:r>
              <w:rPr>
                <w:rFonts w:ascii="Arial" w:cs="Arial" w:eastAsia="Arial" w:hAnsi="Arial"/>
                <w:sz w:val="21"/>
                <w:szCs w:val="21"/>
                <w:color w:val="auto"/>
                <w:vertAlign w:val="superscript"/>
              </w:rPr>
              <w:t>(2)</w:t>
            </w:r>
          </w:p>
        </w:tc>
        <w:tc>
          <w:tcPr>
            <w:tcW w:w="1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6"/>
        </w:trPr>
        <w:tc>
          <w:tcPr>
            <w:tcW w:w="43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Expected life of stock options (in years)</w:t>
            </w:r>
            <w:r>
              <w:rPr>
                <w:rFonts w:ascii="Arial" w:cs="Arial" w:eastAsia="Arial" w:hAnsi="Arial"/>
                <w:sz w:val="21"/>
                <w:szCs w:val="21"/>
                <w:color w:val="auto"/>
                <w:vertAlign w:val="superscript"/>
              </w:rPr>
              <w:t>(3)</w:t>
            </w:r>
          </w:p>
        </w:tc>
        <w:tc>
          <w:tcPr>
            <w:tcW w:w="1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4340" w:type="dxa"/>
            <w:vAlign w:val="bottom"/>
          </w:tcPr>
          <w:p>
            <w:pPr>
              <w:ind w:left="20"/>
              <w:spacing w:after="0" w:line="216" w:lineRule="exact"/>
              <w:rPr>
                <w:sz w:val="20"/>
                <w:szCs w:val="20"/>
                <w:color w:val="auto"/>
              </w:rPr>
            </w:pPr>
            <w:r>
              <w:rPr>
                <w:rFonts w:ascii="Arial" w:cs="Arial" w:eastAsia="Arial" w:hAnsi="Arial"/>
                <w:sz w:val="16"/>
                <w:szCs w:val="16"/>
                <w:color w:val="auto"/>
              </w:rPr>
              <w:t>Expected stock price volatility</w:t>
            </w:r>
            <w:r>
              <w:rPr>
                <w:rFonts w:ascii="Arial" w:cs="Arial" w:eastAsia="Arial" w:hAnsi="Arial"/>
                <w:sz w:val="21"/>
                <w:szCs w:val="21"/>
                <w:color w:val="auto"/>
                <w:vertAlign w:val="superscript"/>
              </w:rPr>
              <w:t>(4)</w:t>
            </w:r>
          </w:p>
        </w:tc>
        <w:tc>
          <w:tcPr>
            <w:tcW w:w="1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48.6 %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41.2 %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39.1 %</w:t>
            </w: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w:t>
            </w:r>
          </w:p>
        </w:tc>
        <w:tc>
          <w:tcPr>
            <w:tcW w:w="13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11.09</w:t>
            </w:r>
          </w:p>
        </w:tc>
      </w:tr>
    </w:tbl>
    <w:p>
      <w:pPr>
        <w:spacing w:after="0" w:line="84" w:lineRule="exact"/>
        <w:rPr>
          <w:sz w:val="20"/>
          <w:szCs w:val="20"/>
          <w:color w:val="auto"/>
        </w:rPr>
      </w:pPr>
    </w:p>
    <w:p>
      <w:pPr>
        <w:ind w:left="300" w:hanging="292"/>
        <w:spacing w:after="0"/>
        <w:tabs>
          <w:tab w:leader="none" w:pos="300" w:val="left"/>
        </w:tabs>
        <w:numPr>
          <w:ilvl w:val="0"/>
          <w:numId w:val="37"/>
        </w:numPr>
        <w:rPr>
          <w:rFonts w:ascii="Arial" w:cs="Arial" w:eastAsia="Arial" w:hAnsi="Arial"/>
          <w:sz w:val="21"/>
          <w:szCs w:val="21"/>
          <w:color w:val="auto"/>
          <w:vertAlign w:val="superscript"/>
        </w:rPr>
      </w:pPr>
      <w:r>
        <w:rPr>
          <w:rFonts w:ascii="Arial" w:cs="Arial" w:eastAsia="Arial" w:hAnsi="Arial"/>
          <w:sz w:val="14"/>
          <w:szCs w:val="14"/>
          <w:color w:val="auto"/>
        </w:rPr>
        <w:t>Forfeitures are recorded when they occur.</w:t>
      </w:r>
    </w:p>
    <w:p>
      <w:pPr>
        <w:spacing w:after="0" w:line="43" w:lineRule="exact"/>
        <w:rPr>
          <w:rFonts w:ascii="Arial" w:cs="Arial" w:eastAsia="Arial" w:hAnsi="Arial"/>
          <w:sz w:val="21"/>
          <w:szCs w:val="21"/>
          <w:color w:val="auto"/>
          <w:vertAlign w:val="superscript"/>
        </w:rPr>
      </w:pPr>
    </w:p>
    <w:p>
      <w:pPr>
        <w:ind w:left="300" w:hanging="292"/>
        <w:spacing w:after="0" w:line="189" w:lineRule="auto"/>
        <w:tabs>
          <w:tab w:leader="none" w:pos="300" w:val="left"/>
        </w:tabs>
        <w:numPr>
          <w:ilvl w:val="0"/>
          <w:numId w:val="37"/>
        </w:numPr>
        <w:rPr>
          <w:rFonts w:ascii="Arial" w:cs="Arial" w:eastAsia="Arial" w:hAnsi="Arial"/>
          <w:sz w:val="19"/>
          <w:szCs w:val="19"/>
          <w:color w:val="auto"/>
          <w:vertAlign w:val="superscript"/>
        </w:rPr>
      </w:pPr>
      <w:r>
        <w:rPr>
          <w:rFonts w:ascii="Arial" w:cs="Arial" w:eastAsia="Arial" w:hAnsi="Arial"/>
          <w:sz w:val="13"/>
          <w:szCs w:val="13"/>
          <w:color w:val="auto"/>
        </w:rPr>
        <w:t>Based on U.S. Treasury constant maturity interest rate whose term is consistent with the expected life of the stock options.</w:t>
      </w:r>
    </w:p>
    <w:p>
      <w:pPr>
        <w:spacing w:after="0" w:line="43" w:lineRule="exact"/>
        <w:rPr>
          <w:rFonts w:ascii="Arial" w:cs="Arial" w:eastAsia="Arial" w:hAnsi="Arial"/>
          <w:sz w:val="19"/>
          <w:szCs w:val="19"/>
          <w:color w:val="auto"/>
          <w:vertAlign w:val="superscript"/>
        </w:rPr>
      </w:pPr>
    </w:p>
    <w:p>
      <w:pPr>
        <w:ind w:left="300" w:hanging="292"/>
        <w:spacing w:after="0" w:line="189" w:lineRule="auto"/>
        <w:tabs>
          <w:tab w:leader="none" w:pos="300" w:val="left"/>
        </w:tabs>
        <w:numPr>
          <w:ilvl w:val="0"/>
          <w:numId w:val="37"/>
        </w:numPr>
        <w:rPr>
          <w:rFonts w:ascii="Arial" w:cs="Arial" w:eastAsia="Arial" w:hAnsi="Arial"/>
          <w:sz w:val="19"/>
          <w:szCs w:val="19"/>
          <w:color w:val="auto"/>
          <w:vertAlign w:val="superscript"/>
        </w:rPr>
      </w:pPr>
      <w:r>
        <w:rPr>
          <w:rFonts w:ascii="Arial" w:cs="Arial" w:eastAsia="Arial" w:hAnsi="Arial"/>
          <w:sz w:val="13"/>
          <w:szCs w:val="13"/>
          <w:color w:val="auto"/>
        </w:rPr>
        <w:t>Estimated based on historical experience.</w:t>
      </w:r>
    </w:p>
    <w:p>
      <w:pPr>
        <w:spacing w:after="0" w:line="43" w:lineRule="exact"/>
        <w:rPr>
          <w:rFonts w:ascii="Arial" w:cs="Arial" w:eastAsia="Arial" w:hAnsi="Arial"/>
          <w:sz w:val="19"/>
          <w:szCs w:val="19"/>
          <w:color w:val="auto"/>
          <w:vertAlign w:val="superscript"/>
        </w:rPr>
      </w:pPr>
    </w:p>
    <w:p>
      <w:pPr>
        <w:ind w:left="300" w:hanging="292"/>
        <w:spacing w:after="0" w:line="189" w:lineRule="auto"/>
        <w:tabs>
          <w:tab w:leader="none" w:pos="300" w:val="left"/>
        </w:tabs>
        <w:numPr>
          <w:ilvl w:val="0"/>
          <w:numId w:val="37"/>
        </w:numPr>
        <w:rPr>
          <w:rFonts w:ascii="Arial" w:cs="Arial" w:eastAsia="Arial" w:hAnsi="Arial"/>
          <w:sz w:val="19"/>
          <w:szCs w:val="19"/>
          <w:color w:val="auto"/>
          <w:vertAlign w:val="superscript"/>
        </w:rPr>
      </w:pPr>
      <w:r>
        <w:rPr>
          <w:rFonts w:ascii="Arial" w:cs="Arial" w:eastAsia="Arial" w:hAnsi="Arial"/>
          <w:sz w:val="13"/>
          <w:szCs w:val="13"/>
          <w:color w:val="auto"/>
        </w:rPr>
        <w:t>Based on historical experience over a term consistent with the expected life of the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Restructuring</w:t>
      </w:r>
    </w:p>
    <w:p>
      <w:pPr>
        <w:spacing w:after="0" w:line="26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 Fiscal 2020, our Class A diesel production included in the Motorhome reportable segment, was moved from Junction City, OR to Forest City, IA. In Fiscal 2021, the property was sold for net proceeds of $12,423 with a resulting gain of $4,753. The gain on sale is included within selling, general, and administrative expenses on the Consolidated Statements of Income and Comprehensive Income for Fiscal 2021. Total restructuring expense related to the relocation for Fiscal 2021 was immaterial to the consolidated financial statements. We do not expect additional restructuring charges in Fiscal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gridSpan w:val="2"/>
          </w:tcPr>
          <w:p>
            <w:pPr>
              <w:spacing w:after="0"/>
              <w:rPr>
                <w:sz w:val="20"/>
                <w:szCs w:val="20"/>
                <w:color w:val="auto"/>
              </w:rPr>
            </w:pPr>
            <w:r>
              <w:rPr>
                <w:rFonts w:ascii="Arial" w:cs="Arial" w:eastAsia="Arial" w:hAnsi="Arial"/>
                <w:sz w:val="16"/>
                <w:szCs w:val="16"/>
                <w:b w:val="1"/>
                <w:bCs w:val="1"/>
                <w:color w:val="auto"/>
              </w:rPr>
              <w:t>Note 16. Income Taxes</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6"/>
                <w:szCs w:val="16"/>
                <w:color w:val="auto"/>
              </w:rPr>
              <w:t>Income tax expense consisted of the following:</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3"/>
        </w:trPr>
        <w:tc>
          <w:tcPr>
            <w:tcW w:w="5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r>
      <w:tr>
        <w:trPr>
          <w:trHeight w:val="213"/>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5500" w:type="dxa"/>
            <w:vAlign w:val="bottom"/>
            <w:gridSpan w:val="2"/>
          </w:tcPr>
          <w:p>
            <w:pPr>
              <w:ind w:left="140"/>
              <w:spacing w:after="0"/>
              <w:rPr>
                <w:sz w:val="20"/>
                <w:szCs w:val="20"/>
                <w:color w:val="auto"/>
              </w:rPr>
            </w:pPr>
            <w:r>
              <w:rPr>
                <w:rFonts w:ascii="Arial" w:cs="Arial" w:eastAsia="Arial" w:hAnsi="Arial"/>
                <w:sz w:val="16"/>
                <w:szCs w:val="16"/>
                <w:color w:val="auto"/>
              </w:rPr>
              <w:t>Federal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71,579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14,318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16,433</w:t>
            </w:r>
          </w:p>
        </w:tc>
      </w:tr>
      <w:tr>
        <w:trPr>
          <w:trHeight w:val="216"/>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16,179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r>
      <w:tr>
        <w:trPr>
          <w:trHeight w:val="209"/>
        </w:trPr>
        <w:tc>
          <w:tcPr>
            <w:tcW w:w="5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87,758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17,124</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19,571</w:t>
            </w:r>
          </w:p>
        </w:tc>
      </w:tr>
      <w:tr>
        <w:trPr>
          <w:trHeight w:val="19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5500" w:type="dxa"/>
            <w:vAlign w:val="bottom"/>
            <w:gridSpan w:val="2"/>
          </w:tcPr>
          <w:p>
            <w:pPr>
              <w:ind w:left="140"/>
              <w:spacing w:after="0"/>
              <w:rPr>
                <w:sz w:val="20"/>
                <w:szCs w:val="20"/>
                <w:color w:val="auto"/>
              </w:rPr>
            </w:pPr>
            <w:r>
              <w:rPr>
                <w:rFonts w:ascii="Arial" w:cs="Arial" w:eastAsia="Arial" w:hAnsi="Arial"/>
                <w:sz w:val="16"/>
                <w:szCs w:val="16"/>
                <w:color w:val="auto"/>
              </w:rPr>
              <w:t>Federal</w:t>
            </w:r>
          </w:p>
        </w:tc>
        <w:tc>
          <w:tcPr>
            <w:tcW w:w="3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737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(790)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6,395</w:t>
            </w:r>
          </w:p>
        </w:tc>
      </w:tr>
      <w:tr>
        <w:trPr>
          <w:trHeight w:val="216"/>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(2,916)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r>
      <w:tr>
        <w:trPr>
          <w:trHeight w:val="209"/>
        </w:trPr>
        <w:tc>
          <w:tcPr>
            <w:tcW w:w="5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(2,179)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(1,290)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7,540</w:t>
            </w:r>
          </w:p>
        </w:tc>
      </w:tr>
      <w:tr>
        <w:trPr>
          <w:trHeight w:val="238"/>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85,579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15,834</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7440" w:type="dxa"/>
            <w:vAlign w:val="bottom"/>
            <w:gridSpan w:val="7"/>
          </w:tcPr>
          <w:p>
            <w:pPr>
              <w:spacing w:after="0"/>
              <w:rPr>
                <w:sz w:val="20"/>
                <w:szCs w:val="20"/>
                <w:color w:val="auto"/>
              </w:rPr>
            </w:pPr>
            <w:r>
              <w:rPr>
                <w:rFonts w:ascii="Arial" w:cs="Arial" w:eastAsia="Arial" w:hAnsi="Arial"/>
                <w:sz w:val="16"/>
                <w:szCs w:val="16"/>
                <w:color w:val="auto"/>
              </w:rPr>
              <w:t>A reconciliation of the U.S. statutory income tax rate to our effective income tax rate is as follows:</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3"/>
        </w:trPr>
        <w:tc>
          <w:tcPr>
            <w:tcW w:w="5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r>
      <w:tr>
        <w:trPr>
          <w:trHeight w:val="212"/>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federal statutory rate</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State taxes, net of federal benefit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credits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Nondeductible compensation</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0.9 %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Tax-free and dividend income</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Uncertain tax position settlements and adjustments</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5500" w:type="dxa"/>
            <w:vAlign w:val="bottom"/>
            <w:gridSpan w:val="2"/>
          </w:tcPr>
          <w:p>
            <w:pPr>
              <w:ind w:left="140"/>
              <w:spacing w:after="0"/>
              <w:rPr>
                <w:sz w:val="20"/>
                <w:szCs w:val="20"/>
                <w:color w:val="auto"/>
              </w:rPr>
            </w:pPr>
            <w:r>
              <w:rPr>
                <w:rFonts w:ascii="Arial" w:cs="Arial" w:eastAsia="Arial" w:hAnsi="Arial"/>
                <w:sz w:val="16"/>
                <w:szCs w:val="16"/>
                <w:color w:val="auto"/>
              </w:rPr>
              <w:t>Effective tax provision rate</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23.3 %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20.5 %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19.5 %</w:t>
            </w: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effective tax rate increased to 23.3% in Fiscal 2021 compared to 20.5% in Fiscal 2020 primarily due to relatively consistent year-over-year tax credits on higher pre-tax income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744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825"/>
        </w:trPr>
        <w:tc>
          <w:tcPr>
            <w:tcW w:w="7440" w:type="dxa"/>
            <w:vAlign w:val="bottom"/>
            <w:gridSpan w:val="2"/>
          </w:tcPr>
          <w:p>
            <w:pPr>
              <w:spacing w:after="0"/>
              <w:rPr>
                <w:sz w:val="20"/>
                <w:szCs w:val="20"/>
                <w:color w:val="auto"/>
              </w:rPr>
            </w:pPr>
            <w:r>
              <w:rPr>
                <w:rFonts w:ascii="Arial" w:cs="Arial" w:eastAsia="Arial" w:hAnsi="Arial"/>
                <w:sz w:val="16"/>
                <w:szCs w:val="16"/>
                <w:color w:val="auto"/>
              </w:rPr>
              <w:t>The tax effects of temporary differences that give rise to deferred income taxes were as follows: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2"/>
        </w:trPr>
        <w:tc>
          <w:tcPr>
            <w:tcW w:w="12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28, 2021</w:t>
            </w:r>
          </w:p>
        </w:tc>
        <w:tc>
          <w:tcPr>
            <w:tcW w:w="200" w:type="dxa"/>
            <w:vAlign w:val="bottom"/>
          </w:tcPr>
          <w:p>
            <w:pPr>
              <w:spacing w:after="0"/>
              <w:rPr>
                <w:sz w:val="20"/>
                <w:szCs w:val="20"/>
                <w:color w:val="auto"/>
              </w:rPr>
            </w:pP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29, 2020</w:t>
            </w:r>
          </w:p>
        </w:tc>
      </w:tr>
      <w:tr>
        <w:trPr>
          <w:trHeight w:val="213"/>
        </w:trPr>
        <w:tc>
          <w:tcPr>
            <w:tcW w:w="74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Warranty reserves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22,450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13,969</w:t>
            </w:r>
          </w:p>
        </w:tc>
      </w:tr>
      <w:tr>
        <w:trPr>
          <w:trHeight w:val="213"/>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Deferred compensation</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5,224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5,406</w:t>
            </w:r>
          </w:p>
        </w:tc>
      </w:tr>
      <w:tr>
        <w:trPr>
          <w:trHeight w:val="21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Self-insurance reserve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r>
      <w:tr>
        <w:trPr>
          <w:trHeight w:val="213"/>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4,607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2,865</w:t>
            </w:r>
          </w:p>
        </w:tc>
      </w:tr>
      <w:tr>
        <w:trPr>
          <w:trHeight w:val="21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8,638</w:t>
            </w:r>
          </w:p>
        </w:tc>
      </w:tr>
      <w:tr>
        <w:trPr>
          <w:trHeight w:val="216"/>
        </w:trPr>
        <w:tc>
          <w:tcPr>
            <w:tcW w:w="744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6,191</w:t>
            </w:r>
          </w:p>
        </w:tc>
      </w:tr>
      <w:tr>
        <w:trPr>
          <w:trHeight w:val="210"/>
        </w:trPr>
        <w:tc>
          <w:tcPr>
            <w:tcW w:w="7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deferred tax assets</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40,495</w:t>
            </w:r>
          </w:p>
        </w:tc>
      </w:tr>
      <w:tr>
        <w:trPr>
          <w:trHeight w:val="213"/>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Convertible notes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3,125</w:t>
            </w:r>
          </w:p>
        </w:tc>
      </w:tr>
      <w:tr>
        <w:trPr>
          <w:trHeight w:val="21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32,933</w:t>
            </w:r>
          </w:p>
        </w:tc>
      </w:tr>
      <w:tr>
        <w:trPr>
          <w:trHeight w:val="213"/>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15,161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11,715</w:t>
            </w:r>
          </w:p>
        </w:tc>
      </w:tr>
      <w:tr>
        <w:trPr>
          <w:trHeight w:val="216"/>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Leases</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8,330</w:t>
            </w:r>
          </w:p>
        </w:tc>
      </w:tr>
      <w:tr>
        <w:trPr>
          <w:trHeight w:val="209"/>
        </w:trPr>
        <w:tc>
          <w:tcPr>
            <w:tcW w:w="7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deferred tax liabilities</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65,638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56,103</w:t>
            </w:r>
          </w:p>
        </w:tc>
      </w:tr>
      <w:tr>
        <w:trPr>
          <w:trHeight w:val="238"/>
        </w:trPr>
        <w:tc>
          <w:tcPr>
            <w:tcW w:w="7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deferred income tax liabilities,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15,608</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320" w:hanging="252"/>
        <w:spacing w:after="0" w:line="211" w:lineRule="auto"/>
        <w:tabs>
          <w:tab w:leader="none" w:pos="305" w:val="left"/>
        </w:tabs>
        <w:numPr>
          <w:ilvl w:val="0"/>
          <w:numId w:val="38"/>
        </w:numPr>
        <w:rPr>
          <w:rFonts w:ascii="Arial" w:cs="Arial" w:eastAsia="Arial" w:hAnsi="Arial"/>
          <w:sz w:val="21"/>
          <w:szCs w:val="21"/>
          <w:color w:val="auto"/>
          <w:vertAlign w:val="superscript"/>
        </w:rPr>
      </w:pPr>
      <w:r>
        <w:rPr>
          <w:rFonts w:ascii="Arial" w:cs="Arial" w:eastAsia="Arial" w:hAnsi="Arial"/>
          <w:sz w:val="14"/>
          <w:szCs w:val="14"/>
          <w:color w:val="auto"/>
        </w:rPr>
        <w:t>Other includes $400 and $500 related to state net operating losses as of August 28, 2021 and August 29, 2020, respectively. These net operating losses are subject to various expiration periods from 5 years to no expiration. We have evaluated all the positive and negative evidence and consider it more likely than not that these carryforwards can be realized before expiration.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20"/>
                <w:szCs w:val="20"/>
                <w:color w:val="auto"/>
              </w:rPr>
            </w:pPr>
            <w:r>
              <w:rPr>
                <w:rFonts w:ascii="Arial" w:cs="Arial" w:eastAsia="Arial" w:hAnsi="Arial"/>
                <w:sz w:val="16"/>
                <w:szCs w:val="16"/>
                <w:color w:val="auto"/>
              </w:rPr>
              <w:t>Changes in the unrecognized tax benefits are as follows:</w:t>
            </w: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3"/>
        </w:trPr>
        <w:tc>
          <w:tcPr>
            <w:tcW w:w="5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Gross increases-tax positions in a prior year</w:t>
            </w:r>
          </w:p>
        </w:tc>
        <w:tc>
          <w:tcPr>
            <w:tcW w:w="12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2,486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1,173</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decreases-tax positions in a prior year</w:t>
            </w: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Gross increases-current year tax positions</w:t>
            </w: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r>
      <w:tr>
        <w:trPr>
          <w:trHeight w:val="213"/>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interest and penalties</w:t>
            </w: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r>
      <w:tr>
        <w:trPr>
          <w:trHeight w:val="238"/>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unrecognized tax benefits</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right="540"/>
        <w:spacing w:after="0" w:line="253" w:lineRule="auto"/>
        <w:rPr>
          <w:sz w:val="20"/>
          <w:szCs w:val="20"/>
          <w:color w:val="auto"/>
        </w:rPr>
      </w:pPr>
      <w:r>
        <w:rPr>
          <w:rFonts w:ascii="Arial" w:cs="Arial" w:eastAsia="Arial" w:hAnsi="Arial"/>
          <w:sz w:val="16"/>
          <w:szCs w:val="16"/>
          <w:color w:val="auto"/>
        </w:rPr>
        <w:t>The amount of unrecognized tax benefits is not expected to change materially within the next 12 months. If the remaining uncertain tax positions are ultimately resolved favorably, $2,600 of unrecognized tax benefits would have a favorable impact on our effective tax rate. It is our policy to recognize interest and penalties accrued relative to unrecognized tax benefits in income tax expense.</w:t>
      </w:r>
    </w:p>
    <w:p>
      <w:pPr>
        <w:spacing w:after="0" w:line="22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August 28, 2021, our federal returns from Fiscal 2018 to present are subject to review by the IRS. With limited exception, state returns from Fiscal 2017 to present continue to be subject to review by state taxing jurisdictions. Several years may lapse before an uncertain tax position is audited and finally resolved and it is difficult to predict the outcome of such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Earnings per Share</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earnings per share are calculated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35"/>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281,871</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61,442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111,798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31,536</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Dilutive impact of stock compensation awards</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impact of convertible notes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8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assuming dilution</w:t>
            </w:r>
          </w:p>
        </w:tc>
        <w:tc>
          <w:tcPr>
            <w:tcW w:w="10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34,056</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33,454</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31,721</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5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7"/>
        </w:trPr>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Anti-dilutive securities excluded from weighted average diluted common shares</w:t>
            </w: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8"/>
        </w:trPr>
        <w:tc>
          <w:tcPr>
            <w:tcW w:w="5820" w:type="dxa"/>
            <w:vAlign w:val="bottom"/>
          </w:tcPr>
          <w:p>
            <w:pPr>
              <w:ind w:left="20"/>
              <w:spacing w:after="0"/>
              <w:rPr>
                <w:sz w:val="20"/>
                <w:szCs w:val="20"/>
                <w:color w:val="auto"/>
              </w:rPr>
            </w:pPr>
            <w:r>
              <w:rPr>
                <w:rFonts w:ascii="Arial" w:cs="Arial" w:eastAsia="Arial" w:hAnsi="Arial"/>
                <w:sz w:val="16"/>
                <w:szCs w:val="16"/>
                <w:color w:val="auto"/>
              </w:rPr>
              <w:t>outstanding</w:t>
            </w: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73"/>
        </w:trPr>
        <w:tc>
          <w:tcPr>
            <w:tcW w:w="58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8"/>
                <w:szCs w:val="18"/>
                <w:color w:val="auto"/>
              </w:rPr>
            </w:pP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r>
    </w:tbl>
    <w:p>
      <w:pPr>
        <w:spacing w:after="0" w:line="339"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Accumulated Other Comprehensive Loss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146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Defined Benefit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Defined Benefit</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Interest Rate</w:t>
            </w:r>
          </w:p>
        </w:tc>
        <w:tc>
          <w:tcPr>
            <w:tcW w:w="30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Pension Items</w:t>
            </w:r>
          </w:p>
        </w:tc>
        <w:tc>
          <w:tcPr>
            <w:tcW w:w="9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Pension Items</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Swap</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OCI before reclassifications</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current-year OCI</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20"/>
                <w:szCs w:val="20"/>
                <w:color w:val="auto"/>
              </w:rPr>
            </w:pPr>
            <w:r>
              <w:rPr>
                <w:rFonts w:ascii="Arial" w:cs="Arial" w:eastAsia="Arial" w:hAnsi="Arial"/>
                <w:sz w:val="16"/>
                <w:szCs w:val="16"/>
                <w:color w:val="auto"/>
              </w:rPr>
              <w:t>Reclassifications out of AOCI, net of tax, were:</w:t>
            </w:r>
          </w:p>
        </w:tc>
        <w:tc>
          <w:tcPr>
            <w:tcW w:w="1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180" w:type="dxa"/>
            <w:vAlign w:val="bottom"/>
          </w:tcPr>
          <w:p>
            <w:pPr>
              <w:jc w:val="center"/>
              <w:ind w:left="2819"/>
              <w:spacing w:after="0" w:line="181" w:lineRule="exact"/>
              <w:rPr>
                <w:sz w:val="20"/>
                <w:szCs w:val="20"/>
                <w:color w:val="auto"/>
              </w:rPr>
            </w:pPr>
            <w:r>
              <w:rPr>
                <w:rFonts w:ascii="Arial" w:cs="Arial" w:eastAsia="Arial" w:hAnsi="Arial"/>
                <w:sz w:val="16"/>
                <w:szCs w:val="16"/>
                <w:b w:val="1"/>
                <w:bCs w:val="1"/>
                <w:color w:val="auto"/>
              </w:rPr>
              <w:t>Location on Consolidated Statements of Income</w:t>
            </w:r>
          </w:p>
        </w:tc>
        <w:tc>
          <w:tcPr>
            <w:tcW w:w="120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4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5"/>
        </w:trPr>
        <w:tc>
          <w:tcPr>
            <w:tcW w:w="7180" w:type="dxa"/>
            <w:vAlign w:val="bottom"/>
          </w:tcPr>
          <w:p>
            <w:pPr>
              <w:jc w:val="center"/>
              <w:ind w:left="2819"/>
              <w:spacing w:after="0"/>
              <w:rPr>
                <w:sz w:val="20"/>
                <w:szCs w:val="20"/>
                <w:color w:val="auto"/>
              </w:rPr>
            </w:pPr>
            <w:r>
              <w:rPr>
                <w:rFonts w:ascii="Arial" w:cs="Arial" w:eastAsia="Arial" w:hAnsi="Arial"/>
                <w:sz w:val="16"/>
                <w:szCs w:val="16"/>
                <w:b w:val="1"/>
                <w:bCs w:val="1"/>
                <w:color w:val="auto"/>
              </w:rPr>
              <w:t>and Comprehensive Income</w:t>
            </w:r>
          </w:p>
        </w:tc>
        <w:tc>
          <w:tcPr>
            <w:tcW w:w="120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30"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6"/>
          <w:szCs w:val="16"/>
          <w:color w:val="auto"/>
        </w:rPr>
        <w:t>Amortization of net actuarial loss</w:t>
      </w:r>
      <w:r>
        <w:rPr>
          <w:sz w:val="20"/>
          <w:szCs w:val="20"/>
          <w:color w:val="auto"/>
        </w:rPr>
        <w:tab/>
      </w:r>
      <w:r>
        <w:rPr>
          <w:rFonts w:ascii="Arial" w:cs="Arial" w:eastAsia="Arial" w:hAnsi="Arial"/>
          <w:sz w:val="15"/>
          <w:szCs w:val="15"/>
          <w:color w:val="auto"/>
        </w:rPr>
        <w:t>SG&amp;A</w:t>
      </w:r>
    </w:p>
    <w:p>
      <w:pPr>
        <w:spacing w:after="0" w:line="32"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6"/>
          <w:szCs w:val="16"/>
          <w:color w:val="auto"/>
        </w:rPr>
        <w:t>Interest rate contract</w:t>
      </w:r>
      <w:r>
        <w:rPr>
          <w:sz w:val="20"/>
          <w:szCs w:val="20"/>
          <w:color w:val="auto"/>
        </w:rPr>
        <w:tab/>
      </w:r>
      <w:r>
        <w:rPr>
          <w:rFonts w:ascii="Arial" w:cs="Arial" w:eastAsia="Arial" w:hAnsi="Arial"/>
          <w:sz w:val="15"/>
          <w:szCs w:val="15"/>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reclassifications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4"/>
        </w:trPr>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1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9" w:lineRule="exact"/>
        <w:rPr>
          <w:sz w:val="20"/>
          <w:szCs w:val="20"/>
          <w:color w:val="auto"/>
        </w:rPr>
      </w:pPr>
    </w:p>
    <w:p>
      <w:pPr>
        <w:jc w:val="both"/>
        <w:ind w:right="18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Internal Control Over Financial Reporting</w:t>
      </w:r>
    </w:p>
    <w:p>
      <w:pPr>
        <w:spacing w:after="0" w:line="12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Management's report on internal control over financial reporting as of August 28, 2021 is included within Item 8 of Part II in this Annual Report on Form 10-K and is incorporated herein by reference. The report of Deloitte &amp; Touche LLP on the effectiveness of internal control over financial reporting is included within Item 8 of Part II in this Annual Report on Form 10-K and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During the third quarter of Fiscal 2021</w:t>
      </w:r>
      <w:r>
        <w:rPr>
          <w:rFonts w:ascii="Arial" w:cs="Arial" w:eastAsia="Arial" w:hAnsi="Arial"/>
          <w:sz w:val="17"/>
          <w:szCs w:val="17"/>
          <w:color w:val="auto"/>
        </w:rPr>
        <w:t>,</w:t>
      </w:r>
      <w:r>
        <w:rPr>
          <w:rFonts w:ascii="Arial" w:cs="Arial" w:eastAsia="Arial" w:hAnsi="Arial"/>
          <w:sz w:val="16"/>
          <w:szCs w:val="16"/>
          <w:color w:val="auto"/>
        </w:rPr>
        <w:t xml:space="preserve"> we implemented an ERP system within specific areas of certain operating segments which is expected to improve the efficiency of certain financial and related transaction processes. We have evaluated and tested the implementation of the ERP system for effect on our internal control over financial reporting. We have concluded, as part of our evaluation described in the above paragraphs, that the implementation of the ERP system in these circumstances has not materially affected our internal control over financial reporting.</w:t>
      </w:r>
    </w:p>
    <w:p>
      <w:pPr>
        <w:spacing w:after="0" w:line="22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There were no other changes in our internal control over financial reporting that occurred during Fiscal 2021 that have materially affected, or are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33"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 xml:space="preserve">Reference is made to the table entitled "Information about our Executive Officers" in Part I of this report and to the information included under the captions </w:t>
      </w:r>
      <w:r>
        <w:rPr>
          <w:rFonts w:ascii="Arial" w:cs="Arial" w:eastAsia="Arial" w:hAnsi="Arial"/>
          <w:sz w:val="16"/>
          <w:szCs w:val="16"/>
          <w:i w:val="1"/>
          <w:iCs w:val="1"/>
          <w:color w:val="auto"/>
        </w:rPr>
        <w:t xml:space="preserve">Corporate Governance, Election of Directors, </w:t>
      </w:r>
      <w:r>
        <w:rPr>
          <w:rFonts w:ascii="Arial" w:cs="Arial" w:eastAsia="Arial" w:hAnsi="Arial"/>
          <w:sz w:val="16"/>
          <w:szCs w:val="16"/>
          <w:color w:val="auto"/>
        </w:rPr>
        <w:t>and</w:t>
      </w:r>
      <w:r>
        <w:rPr>
          <w:rFonts w:ascii="Arial" w:cs="Arial" w:eastAsia="Arial" w:hAnsi="Arial"/>
          <w:sz w:val="16"/>
          <w:szCs w:val="16"/>
          <w:i w:val="1"/>
          <w:iCs w:val="1"/>
          <w:color w:val="auto"/>
        </w:rPr>
        <w:t xml:space="preserve"> Delinquent Section 16(a) Reports </w:t>
      </w:r>
      <w:r>
        <w:rPr>
          <w:rFonts w:ascii="Arial" w:cs="Arial" w:eastAsia="Arial" w:hAnsi="Arial"/>
          <w:sz w:val="16"/>
          <w:szCs w:val="16"/>
          <w:color w:val="auto"/>
        </w:rPr>
        <w:t>in our Proxy Statement for the Annual Meeting of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scheduled to be held December 14, 2021, which information is incorporated by reference herein.</w:t>
      </w:r>
    </w:p>
    <w:p>
      <w:pPr>
        <w:spacing w:after="0" w:line="228"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have adopted a written code of ethics, the "Code of Conduct" (the "Code"), which is applicable to each of our employees, including our Chief Executive Officer and Chief Financial Officer (such two officers, collectively, the "Senior Officers"). In accordance with the rules and regulations of the SEC, a copy of the Code is posted on our website at www.winnebagoind.com in the "Company" section under "Investor Relations - Corporate Governance."</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website at www.winnebagoind.com or by filing a Form 8-K.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17" w:lineRule="exact"/>
        <w:rPr>
          <w:sz w:val="20"/>
          <w:szCs w:val="20"/>
          <w:color w:val="auto"/>
        </w:rPr>
      </w:pPr>
    </w:p>
    <w:p>
      <w:pPr>
        <w:ind w:right="500"/>
        <w:spacing w:after="0" w:line="281" w:lineRule="auto"/>
        <w:rPr>
          <w:sz w:val="20"/>
          <w:szCs w:val="20"/>
          <w:color w:val="auto"/>
        </w:rPr>
      </w:pPr>
      <w:r>
        <w:rPr>
          <w:rFonts w:ascii="Arial" w:cs="Arial" w:eastAsia="Arial" w:hAnsi="Arial"/>
          <w:sz w:val="16"/>
          <w:szCs w:val="16"/>
          <w:color w:val="auto"/>
        </w:rPr>
        <w:t xml:space="preserve">Reference is made to the information included under the captions </w:t>
      </w:r>
      <w:r>
        <w:rPr>
          <w:rFonts w:ascii="Arial" w:cs="Arial" w:eastAsia="Arial" w:hAnsi="Arial"/>
          <w:sz w:val="16"/>
          <w:szCs w:val="16"/>
          <w:i w:val="1"/>
          <w:iCs w:val="1"/>
          <w:color w:val="auto"/>
        </w:rPr>
        <w:t>Director Compensation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in our Proxy Statement for the Annual Meeting of Shareholders scheduled to be held December 14, 2021, which information is incorporated by reference herein.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Shareholder Matters.</w:t>
      </w:r>
    </w:p>
    <w:p>
      <w:pPr>
        <w:spacing w:after="0" w:line="117"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 xml:space="preserve">Reference is made to the share ownership information and table entitled </w:t>
      </w:r>
      <w:r>
        <w:rPr>
          <w:rFonts w:ascii="Arial" w:cs="Arial" w:eastAsia="Arial" w:hAnsi="Arial"/>
          <w:sz w:val="16"/>
          <w:szCs w:val="16"/>
          <w:i w:val="1"/>
          <w:iCs w:val="1"/>
          <w:color w:val="auto"/>
        </w:rPr>
        <w:t>Security Ownership of Certain Beneficial Owners and Management</w:t>
      </w:r>
      <w:r>
        <w:rPr>
          <w:rFonts w:ascii="Arial" w:cs="Arial" w:eastAsia="Arial" w:hAnsi="Arial"/>
          <w:sz w:val="16"/>
          <w:szCs w:val="16"/>
          <w:color w:val="auto"/>
        </w:rPr>
        <w:t xml:space="preserve"> included in our Proxy Statement for the Annual Meeting of Shareholders scheduled to be held December 14, 2021, which information is incorporated by reference herein.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17"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 xml:space="preserve">Reference is made to the information included under the caption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in our Proxy Statement for the Annual Meeting of Shareholders scheduled to be held December 14, 2021, which information is incorporated by reference herein.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17"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 xml:space="preserve">Reference is made to the information included under the caption </w:t>
      </w:r>
      <w:r>
        <w:rPr>
          <w:rFonts w:ascii="Arial" w:cs="Arial" w:eastAsia="Arial" w:hAnsi="Arial"/>
          <w:sz w:val="16"/>
          <w:szCs w:val="16"/>
          <w:i w:val="1"/>
          <w:iCs w:val="1"/>
          <w:color w:val="auto"/>
        </w:rPr>
        <w:t>Independent Registered Public Accountant's Fees and Services</w:t>
      </w:r>
      <w:r>
        <w:rPr>
          <w:rFonts w:ascii="Arial" w:cs="Arial" w:eastAsia="Arial" w:hAnsi="Arial"/>
          <w:sz w:val="16"/>
          <w:szCs w:val="16"/>
          <w:color w:val="auto"/>
        </w:rPr>
        <w:t xml:space="preserve"> in our Proxy Statement for the Annual Meeting of Shareholders scheduled to be held December 14, 2021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26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consolidated financial statements are set forth within Item 8 of Part II in this Annual Report on Form 10-K.</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Financial Statement Schedules: Winnebago Industries, Inc. and Subsidiaries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All schedules are omitted because of the absence of the conditions under which they are required or because the information required is shown in the</w:t>
      </w:r>
    </w:p>
    <w:p>
      <w:pPr>
        <w:sectPr>
          <w:pgSz w:w="11900" w:h="16838" w:orient="portrait"/>
          <w:cols w:equalWidth="0" w:num="1">
            <w:col w:w="11200"/>
          </w:cols>
          <w:pgMar w:left="320" w:top="141" w:right="379" w:bottom="1440" w:gutter="0" w:footer="0" w:header="0"/>
        </w:sectPr>
      </w:pP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financial statements or the notes thereto.</w:t>
      </w:r>
    </w:p>
    <w:p>
      <w:pPr>
        <w:spacing w:after="0" w:line="248"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Exhibit Index</w:t>
      </w:r>
    </w:p>
    <w:p>
      <w:pPr>
        <w:spacing w:after="0" w:line="32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Exhibit No. 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506210" cy="659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06210" cy="659765"/>
                    </a:xfrm>
                    <a:prstGeom prst="rect">
                      <a:avLst/>
                    </a:prstGeom>
                    <a:noFill/>
                  </pic:spPr>
                </pic:pic>
              </a:graphicData>
            </a:graphic>
          </wp:anchor>
        </w:drawing>
      </w:r>
    </w:p>
    <w:p>
      <w:pPr>
        <w:spacing w:after="0" w:line="46" w:lineRule="exact"/>
        <w:rPr>
          <w:sz w:val="20"/>
          <w:szCs w:val="20"/>
          <w:color w:val="auto"/>
        </w:rPr>
      </w:pPr>
    </w:p>
    <w:p>
      <w:pPr>
        <w:jc w:val="right"/>
        <w:ind w:left="1280" w:right="280"/>
        <w:spacing w:after="0" w:line="211" w:lineRule="auto"/>
        <w:rPr>
          <w:rFonts w:ascii="Arial" w:cs="Arial" w:eastAsia="Arial" w:hAnsi="Arial"/>
          <w:sz w:val="16"/>
          <w:szCs w:val="16"/>
          <w:u w:val="single" w:color="auto"/>
          <w:color w:val="0000FF"/>
        </w:rPr>
      </w:pPr>
      <w:hyperlink r:id="rId79">
        <w:r>
          <w:rPr>
            <w:rFonts w:ascii="Arial" w:cs="Arial" w:eastAsia="Arial" w:hAnsi="Arial"/>
            <w:sz w:val="16"/>
            <w:szCs w:val="16"/>
            <w:u w:val="single" w:color="auto"/>
            <w:color w:val="0000FF"/>
          </w:rPr>
          <w:t>Stock Purchase Agreement dated as of September 15, 2019, by and among</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Winnebago Industries, Inc., Octavius Corporation, Newmar Corporation,</w:t>
        </w:r>
      </w:hyperlink>
    </w:p>
    <w:p>
      <w:pPr>
        <w:ind w:left="1600" w:right="160" w:hanging="260"/>
        <w:spacing w:after="0" w:line="225" w:lineRule="auto"/>
        <w:rPr>
          <w:rFonts w:ascii="Arial" w:cs="Arial" w:eastAsia="Arial" w:hAnsi="Arial"/>
          <w:sz w:val="16"/>
          <w:szCs w:val="16"/>
          <w:u w:val="single" w:color="auto"/>
          <w:color w:val="0000FF"/>
        </w:rPr>
      </w:pPr>
      <w:hyperlink r:id="rId79">
        <w:r>
          <w:rPr>
            <w:rFonts w:ascii="Arial" w:cs="Arial" w:eastAsia="Arial" w:hAnsi="Arial"/>
            <w:sz w:val="16"/>
            <w:szCs w:val="16"/>
            <w:color w:val="auto"/>
          </w:rPr>
          <w:t xml:space="preserve">2a. </w:t>
        </w:r>
        <w:r>
          <w:rPr>
            <w:rFonts w:ascii="Arial" w:cs="Arial" w:eastAsia="Arial" w:hAnsi="Arial"/>
            <w:sz w:val="16"/>
            <w:szCs w:val="16"/>
            <w:u w:val="single" w:color="auto"/>
            <w:color w:val="0000FF"/>
          </w:rPr>
          <w:t>Dutch Real Estate Corp., New-Way Transport Corp., New-Serv, Inc., the</w:t>
        </w:r>
      </w:hyperlink>
      <w:r>
        <w:rPr>
          <w:rFonts w:ascii="Arial" w:cs="Arial" w:eastAsia="Arial" w:hAnsi="Arial"/>
          <w:sz w:val="16"/>
          <w:szCs w:val="16"/>
          <w:color w:val="auto"/>
        </w:rPr>
        <w:t xml:space="preserve"> </w:t>
      </w:r>
      <w:hyperlink r:id="rId79">
        <w:r>
          <w:rPr>
            <w:rFonts w:ascii="Arial" w:cs="Arial" w:eastAsia="Arial" w:hAnsi="Arial"/>
            <w:sz w:val="16"/>
            <w:szCs w:val="16"/>
            <w:u w:val="single" w:color="auto"/>
            <w:color w:val="0000FF"/>
          </w:rPr>
          <w:t>shareholders of Newmar Corporation, Dutch Real Estate Corp., New-Way</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Transport Corp. and New-Serv, Inc. and Matthew Miller, as Sellers Agent.</w:t>
        </w:r>
      </w:hyperlink>
    </w:p>
    <w:p>
      <w:pPr>
        <w:spacing w:after="0" w:line="185" w:lineRule="exact"/>
        <w:rPr>
          <w:rFonts w:ascii="Arial" w:cs="Arial" w:eastAsia="Arial" w:hAnsi="Arial"/>
          <w:sz w:val="16"/>
          <w:szCs w:val="16"/>
          <w:color w:val="auto"/>
        </w:rPr>
      </w:pPr>
    </w:p>
    <w:p>
      <w:pPr>
        <w:ind w:left="1340" w:right="140" w:hanging="62"/>
        <w:spacing w:after="0" w:line="211" w:lineRule="auto"/>
        <w:rPr>
          <w:rFonts w:ascii="Arial" w:cs="Arial" w:eastAsia="Arial" w:hAnsi="Arial"/>
          <w:sz w:val="16"/>
          <w:szCs w:val="16"/>
          <w:color w:val="000000"/>
        </w:rPr>
      </w:pPr>
      <w:hyperlink r:id="rId80">
        <w:r>
          <w:rPr>
            <w:rFonts w:ascii="Arial" w:cs="Arial" w:eastAsia="Arial" w:hAnsi="Arial"/>
            <w:sz w:val="16"/>
            <w:szCs w:val="16"/>
            <w:u w:val="single" w:color="auto"/>
            <w:color w:val="0000FF"/>
          </w:rPr>
          <w:t>Equity Purchase Agreement dated July 19, 2021, by and among Winnebago</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color w:val="000000"/>
          </w:rPr>
          <w:t xml:space="preserve">2b. </w:t>
        </w:r>
        <w:r>
          <w:rPr>
            <w:rFonts w:ascii="Arial" w:cs="Arial" w:eastAsia="Arial" w:hAnsi="Arial"/>
            <w:sz w:val="16"/>
            <w:szCs w:val="16"/>
            <w:u w:val="single" w:color="auto"/>
            <w:color w:val="0000FF"/>
          </w:rPr>
          <w:t>Industries, Inc., Falcon Family, Inc., Ronald J. Fenech, William C. Fenech,</w:t>
        </w:r>
      </w:hyperlink>
    </w:p>
    <w:p>
      <w:pPr>
        <w:ind w:left="1600" w:right="120"/>
        <w:spacing w:after="0" w:line="232" w:lineRule="auto"/>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Donald Clark, and Donald Clark Family, LLC, and William C. Fenech in his</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capacity as Representative.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4445</wp:posOffset>
            </wp:positionV>
            <wp:extent cx="6506210"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ind w:left="1280"/>
        <w:spacing w:after="0" w:line="195" w:lineRule="auto"/>
        <w:rPr>
          <w:rFonts w:ascii="Arial" w:cs="Arial" w:eastAsia="Arial" w:hAnsi="Arial"/>
          <w:sz w:val="11"/>
          <w:szCs w:val="11"/>
          <w:u w:val="single" w:color="auto"/>
          <w:color w:val="0000FF"/>
        </w:rPr>
      </w:pPr>
      <w:hyperlink r:id="rId82">
        <w:r>
          <w:rPr>
            <w:rFonts w:ascii="Arial" w:cs="Arial" w:eastAsia="Arial" w:hAnsi="Arial"/>
            <w:sz w:val="11"/>
            <w:szCs w:val="11"/>
            <w:u w:val="single" w:color="auto"/>
            <w:color w:val="0000FF"/>
          </w:rPr>
          <w:t>Articles of Incorporation.</w:t>
        </w:r>
      </w:hyperlink>
    </w:p>
    <w:p>
      <w:pPr>
        <w:spacing w:after="0" w:line="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3a.</w:t>
      </w:r>
    </w:p>
    <w:p>
      <w:pPr>
        <w:spacing w:after="0" w:line="10" w:lineRule="exact"/>
        <w:rPr>
          <w:sz w:val="20"/>
          <w:szCs w:val="20"/>
          <w:color w:val="auto"/>
        </w:rPr>
      </w:pPr>
    </w:p>
    <w:p>
      <w:pPr>
        <w:ind w:left="1280"/>
        <w:spacing w:after="0"/>
        <w:rPr>
          <w:rFonts w:ascii="Arial" w:cs="Arial" w:eastAsia="Arial" w:hAnsi="Arial"/>
          <w:sz w:val="16"/>
          <w:szCs w:val="16"/>
          <w:u w:val="single" w:color="auto"/>
          <w:color w:val="0000FF"/>
        </w:rPr>
      </w:pPr>
      <w:hyperlink r:id="rId83">
        <w:r>
          <w:rPr>
            <w:rFonts w:ascii="Arial" w:cs="Arial" w:eastAsia="Arial" w:hAnsi="Arial"/>
            <w:sz w:val="16"/>
            <w:szCs w:val="16"/>
            <w:u w:val="single" w:color="auto"/>
            <w:color w:val="0000FF"/>
          </w:rPr>
          <w:t>Amended By-Laws of the Registrant.</w:t>
        </w:r>
      </w:hyperlink>
    </w:p>
    <w:p>
      <w:pPr>
        <w:ind w:left="1340"/>
        <w:spacing w:after="0"/>
        <w:rPr>
          <w:sz w:val="20"/>
          <w:szCs w:val="20"/>
          <w:color w:val="auto"/>
        </w:rPr>
      </w:pPr>
      <w:r>
        <w:rPr>
          <w:rFonts w:ascii="Arial" w:cs="Arial" w:eastAsia="Arial" w:hAnsi="Arial"/>
          <w:sz w:val="16"/>
          <w:szCs w:val="16"/>
          <w:color w:val="auto"/>
        </w:rPr>
        <w:t>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62230</wp:posOffset>
            </wp:positionV>
            <wp:extent cx="650621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506210" cy="137160"/>
                    </a:xfrm>
                    <a:prstGeom prst="rect">
                      <a:avLst/>
                    </a:prstGeom>
                    <a:noFill/>
                  </pic:spPr>
                </pic:pic>
              </a:graphicData>
            </a:graphic>
          </wp:anchor>
        </w:drawing>
      </w:r>
    </w:p>
    <w:p>
      <w:pPr>
        <w:spacing w:after="0" w:line="93" w:lineRule="exact"/>
        <w:rPr>
          <w:sz w:val="20"/>
          <w:szCs w:val="20"/>
          <w:color w:val="auto"/>
        </w:rPr>
      </w:pPr>
    </w:p>
    <w:p>
      <w:pPr>
        <w:ind w:left="1280"/>
        <w:spacing w:after="0"/>
        <w:rPr>
          <w:rFonts w:ascii="Arial" w:cs="Arial" w:eastAsia="Arial" w:hAnsi="Arial"/>
          <w:sz w:val="16"/>
          <w:szCs w:val="16"/>
          <w:color w:val="0000FF"/>
        </w:rPr>
      </w:pPr>
      <w:hyperlink r:id="rId85">
        <w:r>
          <w:rPr>
            <w:rFonts w:ascii="Arial" w:cs="Arial" w:eastAsia="Arial" w:hAnsi="Arial"/>
            <w:sz w:val="16"/>
            <w:szCs w:val="16"/>
            <w:color w:val="0000FF"/>
          </w:rPr>
          <w:t>Amended</w:t>
        </w:r>
        <w:r>
          <w:rPr>
            <w:rFonts w:ascii="Arial" w:cs="Arial" w:eastAsia="Arial" w:hAnsi="Arial"/>
            <w:sz w:val="16"/>
            <w:szCs w:val="16"/>
            <w:color w:val="000000"/>
          </w:rPr>
          <w:t>3c.</w:t>
        </w:r>
        <w:r>
          <w:rPr>
            <w:rFonts w:ascii="Arial" w:cs="Arial" w:eastAsia="Arial" w:hAnsi="Arial"/>
            <w:sz w:val="16"/>
            <w:szCs w:val="16"/>
            <w:color w:val="0000FF"/>
          </w:rPr>
          <w:t xml:space="preserve"> By-Laws of the Registrant effective December 1, 2021.</w:t>
        </w:r>
      </w:hyperlink>
    </w:p>
    <w:p>
      <w:pPr>
        <w:ind w:left="1280"/>
        <w:spacing w:after="0" w:line="181" w:lineRule="auto"/>
        <w:rPr>
          <w:rFonts w:ascii="Arial" w:cs="Arial" w:eastAsia="Arial" w:hAnsi="Arial"/>
          <w:sz w:val="13"/>
          <w:szCs w:val="13"/>
          <w:u w:val="single" w:color="auto"/>
          <w:color w:val="0000FF"/>
        </w:rPr>
      </w:pPr>
      <w:hyperlink w:anchor="page71">
        <w:r>
          <w:rPr>
            <w:rFonts w:ascii="Arial" w:cs="Arial" w:eastAsia="Arial" w:hAnsi="Arial"/>
            <w:sz w:val="13"/>
            <w:szCs w:val="13"/>
            <w:u w:val="single" w:color="auto"/>
            <w:color w:val="0000FF"/>
          </w:rPr>
          <w:t>Description of Securities.</w:t>
        </w:r>
      </w:hyperlink>
    </w:p>
    <w:p>
      <w:pPr>
        <w:ind w:left="1340"/>
        <w:spacing w:after="0"/>
        <w:rPr>
          <w:sz w:val="20"/>
          <w:szCs w:val="20"/>
          <w:color w:val="auto"/>
        </w:rPr>
      </w:pPr>
      <w:r>
        <w:rPr>
          <w:rFonts w:ascii="Arial" w:cs="Arial" w:eastAsia="Arial" w:hAnsi="Arial"/>
          <w:sz w:val="16"/>
          <w:szCs w:val="16"/>
          <w:color w:val="auto"/>
        </w:rPr>
        <w:t>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62230</wp:posOffset>
            </wp:positionV>
            <wp:extent cx="650621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spacing w:after="0" w:line="71" w:lineRule="exact"/>
        <w:rPr>
          <w:sz w:val="20"/>
          <w:szCs w:val="20"/>
          <w:color w:val="auto"/>
        </w:rPr>
      </w:pPr>
    </w:p>
    <w:p>
      <w:pPr>
        <w:ind w:left="1280"/>
        <w:spacing w:after="0"/>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Indenture, dated November 1, 2019, by and between Winnebago Industries, Inc.</w:t>
        </w:r>
      </w:hyperlink>
    </w:p>
    <w:p>
      <w:pPr>
        <w:ind w:left="1340"/>
        <w:spacing w:after="0" w:line="184" w:lineRule="auto"/>
        <w:rPr>
          <w:rFonts w:ascii="Arial" w:cs="Arial" w:eastAsia="Arial" w:hAnsi="Arial"/>
          <w:sz w:val="13"/>
          <w:szCs w:val="13"/>
          <w:color w:val="0000FF"/>
        </w:rPr>
      </w:pPr>
      <w:hyperlink r:id="rId87">
        <w:r>
          <w:rPr>
            <w:rFonts w:ascii="Arial" w:cs="Arial" w:eastAsia="Arial" w:hAnsi="Arial"/>
            <w:sz w:val="24"/>
            <w:szCs w:val="24"/>
            <w:color w:val="000000"/>
            <w:vertAlign w:val="superscript"/>
          </w:rPr>
          <w:t>4b.</w:t>
        </w:r>
        <w:r>
          <w:rPr>
            <w:rFonts w:ascii="Arial" w:cs="Arial" w:eastAsia="Arial" w:hAnsi="Arial"/>
            <w:sz w:val="13"/>
            <w:szCs w:val="13"/>
            <w:color w:val="0000FF"/>
          </w:rPr>
          <w:t xml:space="preserve"> </w:t>
        </w:r>
        <w:r>
          <w:rPr>
            <w:rFonts w:ascii="Arial" w:cs="Arial" w:eastAsia="Arial" w:hAnsi="Arial"/>
            <w:sz w:val="13"/>
            <w:szCs w:val="13"/>
            <w:u w:val="single" w:color="auto"/>
            <w:color w:val="0000FF"/>
          </w:rPr>
          <w:t>and U.S. Bank National Association.</w:t>
        </w:r>
      </w:hyperlink>
    </w:p>
    <w:p>
      <w:pPr>
        <w:spacing w:after="0" w:line="4" w:lineRule="exact"/>
        <w:rPr>
          <w:sz w:val="20"/>
          <w:szCs w:val="20"/>
          <w:color w:val="auto"/>
        </w:rPr>
      </w:pPr>
    </w:p>
    <w:p>
      <w:pPr>
        <w:ind w:left="1280"/>
        <w:spacing w:after="0"/>
        <w:rPr>
          <w:rFonts w:ascii="Arial" w:cs="Arial" w:eastAsia="Arial" w:hAnsi="Arial"/>
          <w:sz w:val="16"/>
          <w:szCs w:val="16"/>
          <w:color w:val="0000FF"/>
        </w:rPr>
      </w:pPr>
      <w:hyperlink r:id="rId87">
        <w:r>
          <w:rPr>
            <w:rFonts w:ascii="Arial" w:cs="Arial" w:eastAsia="Arial" w:hAnsi="Arial"/>
            <w:sz w:val="16"/>
            <w:szCs w:val="16"/>
            <w:color w:val="0000FF"/>
          </w:rPr>
          <w:t>Form</w:t>
        </w:r>
        <w:r>
          <w:rPr>
            <w:rFonts w:ascii="Arial" w:cs="Arial" w:eastAsia="Arial" w:hAnsi="Arial"/>
            <w:sz w:val="16"/>
            <w:szCs w:val="16"/>
            <w:color w:val="000000"/>
          </w:rPr>
          <w:t>4c.</w:t>
        </w:r>
        <w:r>
          <w:rPr>
            <w:rFonts w:ascii="Arial" w:cs="Arial" w:eastAsia="Arial" w:hAnsi="Arial"/>
            <w:sz w:val="16"/>
            <w:szCs w:val="16"/>
            <w:color w:val="0000FF"/>
          </w:rPr>
          <w:t xml:space="preserve"> of 1.50% Convertible Senior Note due 2025 (included in Exhibit 4b)</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506210" cy="368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506210" cy="368300"/>
                    </a:xfrm>
                    <a:prstGeom prst="rect">
                      <a:avLst/>
                    </a:prstGeom>
                    <a:noFill/>
                  </pic:spPr>
                </pic:pic>
              </a:graphicData>
            </a:graphic>
          </wp:anchor>
        </w:drawing>
      </w:r>
    </w:p>
    <w:p>
      <w:pPr>
        <w:spacing w:after="0" w:line="12" w:lineRule="exact"/>
        <w:rPr>
          <w:sz w:val="20"/>
          <w:szCs w:val="20"/>
          <w:color w:val="auto"/>
        </w:rPr>
      </w:pPr>
    </w:p>
    <w:p>
      <w:pPr>
        <w:ind w:left="1340" w:right="140" w:hanging="62"/>
        <w:spacing w:after="0" w:line="211" w:lineRule="auto"/>
        <w:rPr>
          <w:rFonts w:ascii="Arial" w:cs="Arial" w:eastAsia="Arial" w:hAnsi="Arial"/>
          <w:sz w:val="16"/>
          <w:szCs w:val="16"/>
          <w:color w:val="000000"/>
        </w:rPr>
      </w:pPr>
      <w:hyperlink r:id="rId89">
        <w:r>
          <w:rPr>
            <w:rFonts w:ascii="Arial" w:cs="Arial" w:eastAsia="Arial" w:hAnsi="Arial"/>
            <w:sz w:val="16"/>
            <w:szCs w:val="16"/>
            <w:u w:val="single" w:color="auto"/>
            <w:color w:val="0000FF"/>
          </w:rPr>
          <w:t>Indenture, dated as of July 8, 2020, by and among Winnebago Industries, Inc.,</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color w:val="000000"/>
          </w:rPr>
          <w:t xml:space="preserve">4d. </w:t>
        </w:r>
        <w:r>
          <w:rPr>
            <w:rFonts w:ascii="Arial" w:cs="Arial" w:eastAsia="Arial" w:hAnsi="Arial"/>
            <w:sz w:val="16"/>
            <w:szCs w:val="16"/>
            <w:u w:val="single" w:color="auto"/>
            <w:color w:val="0000FF"/>
          </w:rPr>
          <w:t>the guarantors named therein and U.S. Bank National Association, as</w:t>
        </w:r>
      </w:hyperlink>
    </w:p>
    <w:p>
      <w:pPr>
        <w:ind w:left="1600"/>
        <w:spacing w:after="0"/>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trustee.</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6891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Form</w:t>
            </w:r>
          </w:p>
        </w:tc>
        <w:tc>
          <w:tcPr>
            <w:tcW w:w="840" w:type="dxa"/>
            <w:vAlign w:val="bottom"/>
          </w:tcPr>
          <w:p>
            <w:pPr>
              <w:jc w:val="right"/>
              <w:ind w:right="199"/>
              <w:spacing w:after="0"/>
              <w:rPr>
                <w:sz w:val="20"/>
                <w:szCs w:val="20"/>
                <w:color w:val="auto"/>
              </w:rPr>
            </w:pPr>
            <w:r>
              <w:rPr>
                <w:rFonts w:ascii="Arial" w:cs="Arial" w:eastAsia="Arial" w:hAnsi="Arial"/>
                <w:sz w:val="16"/>
                <w:szCs w:val="16"/>
                <w:b w:val="1"/>
                <w:bCs w:val="1"/>
                <w:color w:val="auto"/>
              </w:rPr>
              <w:t>Exhibit</w:t>
            </w:r>
          </w:p>
        </w:tc>
        <w:tc>
          <w:tcPr>
            <w:tcW w:w="2160" w:type="dxa"/>
            <w:vAlign w:val="bottom"/>
            <w:gridSpan w:val="2"/>
          </w:tcPr>
          <w:p>
            <w:pPr>
              <w:ind w:left="40"/>
              <w:spacing w:after="0"/>
              <w:rPr>
                <w:sz w:val="20"/>
                <w:szCs w:val="20"/>
                <w:color w:val="auto"/>
              </w:rPr>
            </w:pPr>
            <w:r>
              <w:rPr>
                <w:rFonts w:ascii="Arial" w:cs="Arial" w:eastAsia="Arial" w:hAnsi="Arial"/>
                <w:sz w:val="16"/>
                <w:szCs w:val="16"/>
                <w:b w:val="1"/>
                <w:bCs w:val="1"/>
                <w:color w:val="auto"/>
              </w:rPr>
              <w:t>Filing Date  Filed Herewith</w:t>
            </w:r>
          </w:p>
        </w:tc>
      </w:tr>
      <w:tr>
        <w:trPr>
          <w:trHeight w:val="601"/>
        </w:trPr>
        <w:tc>
          <w:tcPr>
            <w:tcW w:w="70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09/16/2019</w:t>
            </w:r>
          </w:p>
        </w:tc>
        <w:tc>
          <w:tcPr>
            <w:tcW w:w="920" w:type="dxa"/>
            <w:vAlign w:val="bottom"/>
            <w:tcBorders>
              <w:top w:val="single" w:sz="8" w:color="auto"/>
            </w:tcBorders>
          </w:tcPr>
          <w:p>
            <w:pPr>
              <w:spacing w:after="0"/>
              <w:rPr>
                <w:sz w:val="24"/>
                <w:szCs w:val="24"/>
                <w:color w:val="auto"/>
              </w:rPr>
            </w:pPr>
          </w:p>
        </w:tc>
      </w:tr>
      <w:tr>
        <w:trPr>
          <w:trHeight w:val="878"/>
        </w:trPr>
        <w:tc>
          <w:tcPr>
            <w:tcW w:w="70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7/20/2021</w:t>
            </w:r>
          </w:p>
        </w:tc>
        <w:tc>
          <w:tcPr>
            <w:tcW w:w="920" w:type="dxa"/>
            <w:vAlign w:val="bottom"/>
          </w:tcPr>
          <w:p>
            <w:pPr>
              <w:spacing w:after="0"/>
              <w:rPr>
                <w:sz w:val="24"/>
                <w:szCs w:val="24"/>
                <w:color w:val="auto"/>
              </w:rPr>
            </w:pPr>
          </w:p>
        </w:tc>
      </w:tr>
      <w:tr>
        <w:trPr>
          <w:trHeight w:val="540"/>
        </w:trPr>
        <w:tc>
          <w:tcPr>
            <w:tcW w:w="700" w:type="dxa"/>
            <w:vAlign w:val="bottom"/>
          </w:tcPr>
          <w:p>
            <w:pPr>
              <w:jc w:val="right"/>
              <w:spacing w:after="0"/>
              <w:rPr>
                <w:sz w:val="20"/>
                <w:szCs w:val="20"/>
                <w:color w:val="auto"/>
              </w:rPr>
            </w:pPr>
            <w:r>
              <w:rPr>
                <w:rFonts w:ascii="Arial" w:cs="Arial" w:eastAsia="Arial" w:hAnsi="Arial"/>
                <w:sz w:val="16"/>
                <w:szCs w:val="16"/>
                <w:color w:val="auto"/>
              </w:rPr>
              <w:t>10-Q</w:t>
            </w:r>
          </w:p>
        </w:tc>
        <w:tc>
          <w:tcPr>
            <w:tcW w:w="840" w:type="dxa"/>
            <w:vAlign w:val="bottom"/>
          </w:tcPr>
          <w:p>
            <w:pPr>
              <w:jc w:val="right"/>
              <w:spacing w:after="0"/>
              <w:rPr>
                <w:sz w:val="20"/>
                <w:szCs w:val="20"/>
                <w:color w:val="auto"/>
              </w:rPr>
            </w:pPr>
            <w:r>
              <w:rPr>
                <w:rFonts w:ascii="Arial" w:cs="Arial" w:eastAsia="Arial" w:hAnsi="Arial"/>
                <w:sz w:val="16"/>
                <w:szCs w:val="16"/>
                <w:color w:val="auto"/>
              </w:rPr>
              <w:t>3a</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12/18/2020</w:t>
            </w:r>
          </w:p>
        </w:tc>
        <w:tc>
          <w:tcPr>
            <w:tcW w:w="920" w:type="dxa"/>
            <w:vAlign w:val="bottom"/>
          </w:tcPr>
          <w:p>
            <w:pPr>
              <w:spacing w:after="0"/>
              <w:rPr>
                <w:sz w:val="24"/>
                <w:szCs w:val="24"/>
                <w:color w:val="auto"/>
              </w:rPr>
            </w:pPr>
          </w:p>
        </w:tc>
      </w:tr>
      <w:tr>
        <w:trPr>
          <w:trHeight w:val="378"/>
        </w:trPr>
        <w:tc>
          <w:tcPr>
            <w:tcW w:w="70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03/29/2016</w:t>
            </w:r>
          </w:p>
        </w:tc>
        <w:tc>
          <w:tcPr>
            <w:tcW w:w="920" w:type="dxa"/>
            <w:vAlign w:val="bottom"/>
          </w:tcPr>
          <w:p>
            <w:pPr>
              <w:spacing w:after="0"/>
              <w:rPr>
                <w:sz w:val="24"/>
                <w:szCs w:val="24"/>
                <w:color w:val="auto"/>
              </w:rPr>
            </w:pPr>
          </w:p>
        </w:tc>
      </w:tr>
      <w:tr>
        <w:trPr>
          <w:trHeight w:val="297"/>
        </w:trPr>
        <w:tc>
          <w:tcPr>
            <w:tcW w:w="70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08/18/2021</w:t>
            </w:r>
          </w:p>
        </w:tc>
        <w:tc>
          <w:tcPr>
            <w:tcW w:w="920" w:type="dxa"/>
            <w:vAlign w:val="bottom"/>
          </w:tcPr>
          <w:p>
            <w:pPr>
              <w:spacing w:after="0"/>
              <w:rPr>
                <w:sz w:val="24"/>
                <w:szCs w:val="24"/>
                <w:color w:val="auto"/>
              </w:rPr>
            </w:pPr>
          </w:p>
        </w:tc>
      </w:tr>
      <w:tr>
        <w:trPr>
          <w:trHeight w:val="297"/>
        </w:trPr>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6"/>
                <w:szCs w:val="16"/>
                <w:color w:val="auto"/>
              </w:rPr>
              <w:t>X</w:t>
            </w:r>
          </w:p>
        </w:tc>
      </w:tr>
      <w:tr>
        <w:trPr>
          <w:trHeight w:val="378"/>
        </w:trPr>
        <w:tc>
          <w:tcPr>
            <w:tcW w:w="70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11/04/2019</w:t>
            </w:r>
          </w:p>
        </w:tc>
        <w:tc>
          <w:tcPr>
            <w:tcW w:w="920" w:type="dxa"/>
            <w:vAlign w:val="bottom"/>
          </w:tcPr>
          <w:p>
            <w:pPr>
              <w:spacing w:after="0"/>
              <w:rPr>
                <w:sz w:val="24"/>
                <w:szCs w:val="24"/>
                <w:color w:val="auto"/>
              </w:rPr>
            </w:pPr>
          </w:p>
        </w:tc>
      </w:tr>
      <w:tr>
        <w:trPr>
          <w:trHeight w:val="297"/>
        </w:trPr>
        <w:tc>
          <w:tcPr>
            <w:tcW w:w="70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11/04/2019</w:t>
            </w:r>
          </w:p>
        </w:tc>
        <w:tc>
          <w:tcPr>
            <w:tcW w:w="920" w:type="dxa"/>
            <w:vAlign w:val="bottom"/>
          </w:tcPr>
          <w:p>
            <w:pPr>
              <w:spacing w:after="0"/>
              <w:rPr>
                <w:sz w:val="24"/>
                <w:szCs w:val="24"/>
                <w:color w:val="auto"/>
              </w:rPr>
            </w:pPr>
          </w:p>
        </w:tc>
      </w:tr>
      <w:tr>
        <w:trPr>
          <w:trHeight w:val="378"/>
        </w:trPr>
        <w:tc>
          <w:tcPr>
            <w:tcW w:w="70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07/09/2020</w:t>
            </w:r>
          </w:p>
        </w:tc>
        <w:tc>
          <w:tcPr>
            <w:tcW w:w="920" w:type="dxa"/>
            <w:vAlign w:val="bottom"/>
          </w:tcPr>
          <w:p>
            <w:pPr>
              <w:spacing w:after="0"/>
              <w:rPr>
                <w:sz w:val="24"/>
                <w:szCs w:val="24"/>
                <w:color w:val="auto"/>
              </w:rPr>
            </w:pPr>
          </w:p>
        </w:tc>
      </w:tr>
    </w:tbl>
    <w:p>
      <w:pPr>
        <w:spacing w:after="0" w:line="159" w:lineRule="exact"/>
        <w:rPr>
          <w:sz w:val="20"/>
          <w:szCs w:val="20"/>
          <w:color w:val="auto"/>
        </w:rPr>
      </w:pPr>
    </w:p>
    <w:p>
      <w:pPr>
        <w:sectPr>
          <w:pgSz w:w="11900" w:h="16838" w:orient="portrait"/>
          <w:cols w:equalWidth="0" w:num="2">
            <w:col w:w="7040" w:space="160"/>
            <w:col w:w="4000"/>
          </w:cols>
          <w:pgMar w:left="320" w:top="141" w:right="379" w:bottom="1440" w:gutter="0" w:footer="0" w:header="0"/>
          <w:type w:val="continuous"/>
        </w:sectPr>
      </w:pPr>
    </w:p>
    <w:tbl>
      <w:tblPr>
        <w:tblLayout w:type="fixed"/>
        <w:tblInd w:w="660" w:type="dxa"/>
        <w:tblCellMar>
          <w:top w:w="0" w:type="dxa"/>
          <w:left w:w="0" w:type="dxa"/>
          <w:bottom w:w="0" w:type="dxa"/>
          <w:right w:w="0" w:type="dxa"/>
        </w:tblCellMar>
      </w:tblPr>
      <w:tr>
        <w:trPr>
          <w:trHeight w:val="184"/>
        </w:trPr>
        <w:tc>
          <w:tcPr>
            <w:tcW w:w="6460" w:type="dxa"/>
            <w:vAlign w:val="bottom"/>
            <w:gridSpan w:val="22"/>
          </w:tcPr>
          <w:p>
            <w:pPr>
              <w:ind w:left="620"/>
              <w:spacing w:after="0"/>
              <w:rPr>
                <w:rFonts w:ascii="Arial" w:cs="Arial" w:eastAsia="Arial" w:hAnsi="Arial"/>
                <w:sz w:val="16"/>
                <w:szCs w:val="16"/>
                <w:color w:val="0000FF"/>
              </w:rPr>
            </w:pPr>
            <w:hyperlink r:id="rId89">
              <w:r>
                <w:rPr>
                  <w:rFonts w:ascii="Arial" w:cs="Arial" w:eastAsia="Arial" w:hAnsi="Arial"/>
                  <w:sz w:val="16"/>
                  <w:szCs w:val="16"/>
                  <w:color w:val="0000FF"/>
                </w:rPr>
                <w:t>Form</w:t>
              </w:r>
              <w:r>
                <w:rPr>
                  <w:rFonts w:ascii="Arial" w:cs="Arial" w:eastAsia="Arial" w:hAnsi="Arial"/>
                  <w:sz w:val="16"/>
                  <w:szCs w:val="16"/>
                  <w:color w:val="000000"/>
                </w:rPr>
                <w:t>4e.</w:t>
              </w:r>
              <w:r>
                <w:rPr>
                  <w:rFonts w:ascii="Arial" w:cs="Arial" w:eastAsia="Arial" w:hAnsi="Arial"/>
                  <w:sz w:val="16"/>
                  <w:szCs w:val="16"/>
                  <w:color w:val="0000FF"/>
                </w:rPr>
                <w:t xml:space="preserve"> of 6.250% Senior Secured Note due 2028 (included in Exhibit 4d)</w:t>
              </w:r>
            </w:hyperlink>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8-K</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4.2</w:t>
            </w:r>
          </w:p>
        </w:tc>
        <w:tc>
          <w:tcPr>
            <w:tcW w:w="2020" w:type="dxa"/>
            <w:vAlign w:val="bottom"/>
          </w:tcPr>
          <w:p>
            <w:pPr>
              <w:jc w:val="right"/>
              <w:ind w:right="959"/>
              <w:spacing w:after="0"/>
              <w:rPr>
                <w:sz w:val="20"/>
                <w:szCs w:val="20"/>
                <w:color w:val="auto"/>
              </w:rPr>
            </w:pPr>
            <w:r>
              <w:rPr>
                <w:rFonts w:ascii="Arial" w:cs="Arial" w:eastAsia="Arial" w:hAnsi="Arial"/>
                <w:sz w:val="16"/>
                <w:szCs w:val="16"/>
                <w:color w:val="auto"/>
              </w:rPr>
              <w:t>07/09/2020</w:t>
            </w:r>
          </w:p>
        </w:tc>
      </w:tr>
      <w:tr>
        <w:trPr>
          <w:trHeight w:val="20"/>
        </w:trPr>
        <w:tc>
          <w:tcPr>
            <w:tcW w:w="6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5"/>
        </w:trPr>
        <w:tc>
          <w:tcPr>
            <w:tcW w:w="6460" w:type="dxa"/>
            <w:vAlign w:val="bottom"/>
            <w:gridSpan w:val="22"/>
            <w:shd w:val="clear" w:color="auto" w:fill="CCEEFF"/>
          </w:tcPr>
          <w:p>
            <w:pPr>
              <w:ind w:left="620"/>
              <w:spacing w:after="0" w:line="175" w:lineRule="exact"/>
              <w:rPr>
                <w:rFonts w:ascii="Arial" w:cs="Arial" w:eastAsia="Arial" w:hAnsi="Arial"/>
                <w:sz w:val="16"/>
                <w:szCs w:val="16"/>
                <w:color w:val="0000FF"/>
              </w:rPr>
            </w:pPr>
            <w:hyperlink r:id="rId91">
              <w:r>
                <w:rPr>
                  <w:rFonts w:ascii="Arial" w:cs="Arial" w:eastAsia="Arial" w:hAnsi="Arial"/>
                  <w:sz w:val="16"/>
                  <w:szCs w:val="16"/>
                  <w:color w:val="0000FF"/>
                </w:rPr>
                <w:t>Winnebago Industries, Inc. Deferred Compensation Plan previously filed with the</w:t>
              </w:r>
            </w:hyperlink>
          </w:p>
        </w:tc>
        <w:tc>
          <w:tcPr>
            <w:tcW w:w="9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142"/>
        </w:trPr>
        <w:tc>
          <w:tcPr>
            <w:tcW w:w="6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5460" w:type="dxa"/>
            <w:vAlign w:val="bottom"/>
            <w:tcBorders>
              <w:top w:val="single" w:sz="8" w:color="0000FF"/>
            </w:tcBorders>
            <w:gridSpan w:val="17"/>
            <w:shd w:val="clear" w:color="auto" w:fill="CCEEFF"/>
          </w:tcPr>
          <w:p>
            <w:pPr>
              <w:spacing w:after="0" w:line="142" w:lineRule="exact"/>
              <w:rPr>
                <w:rFonts w:ascii="Arial" w:cs="Arial" w:eastAsia="Arial" w:hAnsi="Arial"/>
                <w:sz w:val="16"/>
                <w:szCs w:val="16"/>
                <w:color w:val="0000FF"/>
              </w:rPr>
            </w:pPr>
            <w:hyperlink r:id="rId91">
              <w:r>
                <w:rPr>
                  <w:rFonts w:ascii="Arial" w:cs="Arial" w:eastAsia="Arial" w:hAnsi="Arial"/>
                  <w:sz w:val="16"/>
                  <w:szCs w:val="16"/>
                  <w:color w:val="0000FF"/>
                </w:rPr>
                <w:t>Registrant's Quarterly Report on Form 10-Q for the quarter ended March 2,</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CCEEFF"/>
            </w:tcBorders>
            <w:shd w:val="clear" w:color="auto" w:fill="CCEEFF"/>
          </w:tcPr>
          <w:p>
            <w:pPr>
              <w:spacing w:after="0"/>
              <w:rPr>
                <w:sz w:val="12"/>
                <w:szCs w:val="12"/>
                <w:color w:val="auto"/>
              </w:rPr>
            </w:pPr>
          </w:p>
        </w:tc>
      </w:tr>
      <w:tr>
        <w:trPr>
          <w:trHeight w:val="142"/>
        </w:trPr>
        <w:tc>
          <w:tcPr>
            <w:tcW w:w="940" w:type="dxa"/>
            <w:vAlign w:val="bottom"/>
            <w:tcBorders>
              <w:top w:val="single" w:sz="8" w:color="CCEEFF"/>
              <w:bottom w:val="single" w:sz="8" w:color="CCEEFF"/>
            </w:tcBorders>
            <w:gridSpan w:val="2"/>
            <w:shd w:val="clear" w:color="auto" w:fill="CCEEFF"/>
          </w:tcPr>
          <w:p>
            <w:pPr>
              <w:jc w:val="right"/>
              <w:ind w:right="40"/>
              <w:spacing w:after="0" w:line="142" w:lineRule="exact"/>
              <w:rPr>
                <w:rFonts w:ascii="Arial" w:cs="Arial" w:eastAsia="Arial" w:hAnsi="Arial"/>
                <w:sz w:val="16"/>
                <w:szCs w:val="16"/>
                <w:color w:val="auto"/>
              </w:rPr>
            </w:pPr>
            <w:hyperlink r:id="rId91">
              <w:r>
                <w:rPr>
                  <w:rFonts w:ascii="Arial" w:cs="Arial" w:eastAsia="Arial" w:hAnsi="Arial"/>
                  <w:sz w:val="16"/>
                  <w:szCs w:val="16"/>
                  <w:color w:val="auto"/>
                </w:rPr>
                <w:t>10a.</w:t>
              </w:r>
            </w:hyperlink>
          </w:p>
        </w:tc>
        <w:tc>
          <w:tcPr>
            <w:tcW w:w="5400" w:type="dxa"/>
            <w:vAlign w:val="bottom"/>
            <w:tcBorders>
              <w:top w:val="single" w:sz="8" w:color="0000FF"/>
              <w:bottom w:val="single" w:sz="8" w:color="0000FF"/>
            </w:tcBorders>
            <w:gridSpan w:val="14"/>
            <w:shd w:val="clear" w:color="auto" w:fill="CCEEFF"/>
          </w:tcPr>
          <w:p>
            <w:pPr>
              <w:spacing w:after="0" w:line="142" w:lineRule="exact"/>
              <w:rPr>
                <w:rFonts w:ascii="Arial" w:cs="Arial" w:eastAsia="Arial" w:hAnsi="Arial"/>
                <w:sz w:val="16"/>
                <w:szCs w:val="16"/>
                <w:color w:val="0000FF"/>
              </w:rPr>
            </w:pPr>
            <w:hyperlink r:id="rId91">
              <w:r>
                <w:rPr>
                  <w:rFonts w:ascii="Arial" w:cs="Arial" w:eastAsia="Arial" w:hAnsi="Arial"/>
                  <w:sz w:val="16"/>
                  <w:szCs w:val="16"/>
                  <w:color w:val="0000FF"/>
                </w:rPr>
                <w:t>1991 and incorporated by reference herein and the Amendment dated June</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CCEEFF"/>
              <w:bottom w:val="single" w:sz="8" w:color="CCEEFF"/>
            </w:tcBorders>
            <w:shd w:val="clear" w:color="auto" w:fill="CCEEFF"/>
          </w:tcPr>
          <w:p>
            <w:pPr>
              <w:jc w:val="right"/>
              <w:ind w:right="99"/>
              <w:spacing w:after="0" w:line="142" w:lineRule="exact"/>
              <w:rPr>
                <w:sz w:val="20"/>
                <w:szCs w:val="20"/>
                <w:color w:val="auto"/>
              </w:rPr>
            </w:pPr>
            <w:r>
              <w:rPr>
                <w:rFonts w:ascii="Arial" w:cs="Arial" w:eastAsia="Arial" w:hAnsi="Arial"/>
                <w:sz w:val="16"/>
                <w:szCs w:val="16"/>
                <w:color w:val="auto"/>
              </w:rPr>
              <w:t>10-K</w:t>
            </w:r>
          </w:p>
        </w:tc>
        <w:tc>
          <w:tcPr>
            <w:tcW w:w="820" w:type="dxa"/>
            <w:vAlign w:val="bottom"/>
            <w:tcBorders>
              <w:top w:val="single" w:sz="8" w:color="CCEEFF"/>
              <w:bottom w:val="single" w:sz="8" w:color="CCEEFF"/>
            </w:tcBorders>
            <w:shd w:val="clear" w:color="auto" w:fill="CCEEFF"/>
          </w:tcPr>
          <w:p>
            <w:pPr>
              <w:jc w:val="right"/>
              <w:ind w:right="99"/>
              <w:spacing w:after="0" w:line="142" w:lineRule="exact"/>
              <w:rPr>
                <w:sz w:val="20"/>
                <w:szCs w:val="20"/>
                <w:color w:val="auto"/>
              </w:rPr>
            </w:pPr>
            <w:r>
              <w:rPr>
                <w:rFonts w:ascii="Arial" w:cs="Arial" w:eastAsia="Arial" w:hAnsi="Arial"/>
                <w:sz w:val="16"/>
                <w:szCs w:val="16"/>
                <w:color w:val="auto"/>
              </w:rPr>
              <w:t>10.B</w:t>
            </w:r>
          </w:p>
        </w:tc>
        <w:tc>
          <w:tcPr>
            <w:tcW w:w="2020" w:type="dxa"/>
            <w:vAlign w:val="bottom"/>
            <w:tcBorders>
              <w:top w:val="single" w:sz="8" w:color="CCEEFF"/>
              <w:bottom w:val="single" w:sz="8" w:color="CCEEFF"/>
            </w:tcBorders>
            <w:shd w:val="clear" w:color="auto" w:fill="CCEEFF"/>
          </w:tcPr>
          <w:p>
            <w:pPr>
              <w:jc w:val="right"/>
              <w:ind w:right="959"/>
              <w:spacing w:after="0" w:line="142" w:lineRule="exact"/>
              <w:rPr>
                <w:sz w:val="20"/>
                <w:szCs w:val="20"/>
                <w:color w:val="auto"/>
              </w:rPr>
            </w:pPr>
            <w:r>
              <w:rPr>
                <w:rFonts w:ascii="Arial" w:cs="Arial" w:eastAsia="Arial" w:hAnsi="Arial"/>
                <w:sz w:val="16"/>
                <w:szCs w:val="16"/>
                <w:color w:val="auto"/>
              </w:rPr>
              <w:t>11/22/1995</w:t>
            </w:r>
          </w:p>
        </w:tc>
      </w:tr>
      <w:tr>
        <w:trPr>
          <w:trHeight w:val="142"/>
        </w:trPr>
        <w:tc>
          <w:tcPr>
            <w:tcW w:w="940" w:type="dxa"/>
            <w:vAlign w:val="bottom"/>
            <w:gridSpan w:val="2"/>
            <w:shd w:val="clear" w:color="auto" w:fill="CCEEFF"/>
          </w:tcPr>
          <w:p>
            <w:pPr>
              <w:spacing w:after="0"/>
              <w:rPr>
                <w:sz w:val="12"/>
                <w:szCs w:val="12"/>
                <w:color w:val="auto"/>
              </w:rPr>
            </w:pPr>
          </w:p>
        </w:tc>
        <w:tc>
          <w:tcPr>
            <w:tcW w:w="1280" w:type="dxa"/>
            <w:vAlign w:val="bottom"/>
            <w:gridSpan w:val="2"/>
            <w:shd w:val="clear" w:color="auto" w:fill="CCEEFF"/>
          </w:tcPr>
          <w:p>
            <w:pPr>
              <w:spacing w:after="0" w:line="142" w:lineRule="exact"/>
              <w:rPr>
                <w:rFonts w:ascii="Arial" w:cs="Arial" w:eastAsia="Arial" w:hAnsi="Arial"/>
                <w:sz w:val="16"/>
                <w:szCs w:val="16"/>
                <w:color w:val="0000FF"/>
              </w:rPr>
            </w:pPr>
            <w:hyperlink r:id="rId91">
              <w:r>
                <w:rPr>
                  <w:rFonts w:ascii="Arial" w:cs="Arial" w:eastAsia="Arial" w:hAnsi="Arial"/>
                  <w:sz w:val="16"/>
                  <w:szCs w:val="16"/>
                  <w:color w:val="0000FF"/>
                </w:rPr>
                <w:t>29, 1995.*</w:t>
              </w:r>
            </w:hyperlink>
          </w:p>
        </w:tc>
        <w:tc>
          <w:tcPr>
            <w:tcW w:w="2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r>
      <w:tr>
        <w:trPr>
          <w:trHeight w:val="183"/>
        </w:trPr>
        <w:tc>
          <w:tcPr>
            <w:tcW w:w="6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0000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CCEEFF"/>
            </w:tcBorders>
            <w:shd w:val="clear" w:color="auto" w:fill="CCEEFF"/>
          </w:tcPr>
          <w:p>
            <w:pPr>
              <w:spacing w:after="0"/>
              <w:rPr>
                <w:sz w:val="15"/>
                <w:szCs w:val="15"/>
                <w:color w:val="auto"/>
              </w:rPr>
            </w:pPr>
          </w:p>
        </w:tc>
      </w:tr>
      <w:tr>
        <w:trPr>
          <w:trHeight w:val="176"/>
        </w:trPr>
        <w:tc>
          <w:tcPr>
            <w:tcW w:w="6460" w:type="dxa"/>
            <w:vAlign w:val="bottom"/>
            <w:gridSpan w:val="22"/>
          </w:tcPr>
          <w:p>
            <w:pPr>
              <w:ind w:left="620"/>
              <w:spacing w:after="0" w:line="175" w:lineRule="exact"/>
              <w:rPr>
                <w:rFonts w:ascii="Arial" w:cs="Arial" w:eastAsia="Arial" w:hAnsi="Arial"/>
                <w:sz w:val="16"/>
                <w:szCs w:val="16"/>
                <w:color w:val="0000FF"/>
              </w:rPr>
            </w:pPr>
            <w:hyperlink r:id="rId92">
              <w:r>
                <w:rPr>
                  <w:rFonts w:ascii="Arial" w:cs="Arial" w:eastAsia="Arial" w:hAnsi="Arial"/>
                  <w:sz w:val="16"/>
                  <w:szCs w:val="16"/>
                  <w:color w:val="0000FF"/>
                </w:rPr>
                <w:t>Winnebago Industries, Inc. Executive Share Option Plan previously filed as</w:t>
              </w:r>
            </w:hyperlink>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42"/>
        </w:trPr>
        <w:tc>
          <w:tcPr>
            <w:tcW w:w="6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50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Exhibit 10.J with the Registrant's Annual Report on Form 10-K for the</w:t>
              </w:r>
            </w:hyperlink>
          </w:p>
        </w:tc>
        <w:tc>
          <w:tcPr>
            <w:tcW w:w="460" w:type="dxa"/>
            <w:vAlign w:val="bottom"/>
            <w:gridSpan w:val="13"/>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fiscal</w:t>
              </w:r>
            </w:hyperlink>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2"/>
        </w:trPr>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6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year ended August 29, 1998 (Commission File Number 001-06403) and</w:t>
              </w:r>
            </w:hyperlink>
          </w:p>
        </w:tc>
        <w:tc>
          <w:tcPr>
            <w:tcW w:w="220" w:type="dxa"/>
            <w:vAlign w:val="bottom"/>
            <w:tcBorders>
              <w:top w:val="single" w:sz="8" w:color="0000FF"/>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2"/>
        </w:trPr>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20" w:type="dxa"/>
            <w:vAlign w:val="bottom"/>
            <w:gridSpan w:val="20"/>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incorporated by reference herein, and the Amendment dated July 1, 1999</w:t>
              </w:r>
            </w:hyperlink>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2"/>
        </w:trPr>
        <w:tc>
          <w:tcPr>
            <w:tcW w:w="940" w:type="dxa"/>
            <w:vAlign w:val="bottom"/>
            <w:gridSpan w:val="2"/>
          </w:tcPr>
          <w:p>
            <w:pPr>
              <w:jc w:val="right"/>
              <w:ind w:right="40"/>
              <w:spacing w:after="0" w:line="142" w:lineRule="exact"/>
              <w:rPr>
                <w:rFonts w:ascii="Arial" w:cs="Arial" w:eastAsia="Arial" w:hAnsi="Arial"/>
                <w:sz w:val="16"/>
                <w:szCs w:val="16"/>
                <w:color w:val="auto"/>
              </w:rPr>
            </w:pPr>
            <w:hyperlink r:id="rId92">
              <w:r>
                <w:rPr>
                  <w:rFonts w:ascii="Arial" w:cs="Arial" w:eastAsia="Arial" w:hAnsi="Arial"/>
                  <w:sz w:val="16"/>
                  <w:szCs w:val="16"/>
                  <w:color w:val="auto"/>
                </w:rPr>
                <w:t>10b.</w:t>
              </w:r>
            </w:hyperlink>
          </w:p>
        </w:tc>
        <w:tc>
          <w:tcPr>
            <w:tcW w:w="528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previously filed as Exhibit 10.J with the Registrant's Quarterly Report on</w:t>
              </w:r>
            </w:hyperlink>
          </w:p>
        </w:tc>
        <w:tc>
          <w:tcPr>
            <w:tcW w:w="2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ind w:right="99"/>
              <w:spacing w:after="0" w:line="142" w:lineRule="exact"/>
              <w:rPr>
                <w:sz w:val="20"/>
                <w:szCs w:val="20"/>
                <w:color w:val="auto"/>
              </w:rPr>
            </w:pPr>
            <w:r>
              <w:rPr>
                <w:rFonts w:ascii="Arial" w:cs="Arial" w:eastAsia="Arial" w:hAnsi="Arial"/>
                <w:sz w:val="16"/>
                <w:szCs w:val="16"/>
                <w:color w:val="auto"/>
              </w:rPr>
              <w:t>10-Q</w:t>
            </w:r>
          </w:p>
        </w:tc>
        <w:tc>
          <w:tcPr>
            <w:tcW w:w="820" w:type="dxa"/>
            <w:vAlign w:val="bottom"/>
          </w:tcPr>
          <w:p>
            <w:pPr>
              <w:jc w:val="right"/>
              <w:ind w:right="99"/>
              <w:spacing w:after="0" w:line="142" w:lineRule="exact"/>
              <w:rPr>
                <w:sz w:val="20"/>
                <w:szCs w:val="20"/>
                <w:color w:val="auto"/>
              </w:rPr>
            </w:pPr>
            <w:r>
              <w:rPr>
                <w:rFonts w:ascii="Arial" w:cs="Arial" w:eastAsia="Arial" w:hAnsi="Arial"/>
                <w:sz w:val="16"/>
                <w:szCs w:val="16"/>
                <w:color w:val="auto"/>
              </w:rPr>
              <w:t>10.I</w:t>
            </w:r>
          </w:p>
        </w:tc>
        <w:tc>
          <w:tcPr>
            <w:tcW w:w="2020" w:type="dxa"/>
            <w:vAlign w:val="bottom"/>
          </w:tcPr>
          <w:p>
            <w:pPr>
              <w:jc w:val="right"/>
              <w:ind w:right="959"/>
              <w:spacing w:after="0" w:line="142" w:lineRule="exact"/>
              <w:rPr>
                <w:sz w:val="20"/>
                <w:szCs w:val="20"/>
                <w:color w:val="auto"/>
              </w:rPr>
            </w:pPr>
            <w:r>
              <w:rPr>
                <w:rFonts w:ascii="Arial" w:cs="Arial" w:eastAsia="Arial" w:hAnsi="Arial"/>
                <w:sz w:val="16"/>
                <w:szCs w:val="16"/>
                <w:color w:val="auto"/>
              </w:rPr>
              <w:t>04/09/2001</w:t>
            </w:r>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42"/>
        </w:trPr>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00" w:type="dxa"/>
            <w:vAlign w:val="bottom"/>
            <w:tcBorders>
              <w:bottom w:val="single" w:sz="8" w:color="0000FF"/>
            </w:tcBorders>
            <w:gridSpan w:val="12"/>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Form 10-Q for the quarter ended May 29, 1999 (Commission File Number</w:t>
              </w:r>
            </w:hyperlink>
          </w:p>
        </w:tc>
        <w:tc>
          <w:tcPr>
            <w:tcW w:w="220" w:type="dxa"/>
            <w:vAlign w:val="bottom"/>
            <w:gridSpan w:val="8"/>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2"/>
        </w:trPr>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20" w:type="dxa"/>
            <w:vAlign w:val="bottom"/>
            <w:tcBorders>
              <w:bottom w:val="single" w:sz="8" w:color="0000FF"/>
            </w:tcBorders>
            <w:gridSpan w:val="20"/>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001-06403) and incorporated by reference herein and the Amendment dated</w:t>
              </w:r>
            </w:hyperlink>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2"/>
        </w:trPr>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20" w:type="dxa"/>
            <w:vAlign w:val="bottom"/>
            <w:gridSpan w:val="20"/>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January 1, 2001.*</w:t>
              </w:r>
            </w:hyperlink>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83"/>
        </w:trPr>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2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5"/>
        </w:trPr>
        <w:tc>
          <w:tcPr>
            <w:tcW w:w="6460" w:type="dxa"/>
            <w:vAlign w:val="bottom"/>
            <w:gridSpan w:val="22"/>
            <w:shd w:val="clear" w:color="auto" w:fill="CCEEFF"/>
          </w:tcPr>
          <w:p>
            <w:pPr>
              <w:ind w:left="620"/>
              <w:spacing w:after="0" w:line="175" w:lineRule="exact"/>
              <w:rPr>
                <w:rFonts w:ascii="Arial" w:cs="Arial" w:eastAsia="Arial" w:hAnsi="Arial"/>
                <w:sz w:val="16"/>
                <w:szCs w:val="16"/>
                <w:color w:val="0000FF"/>
              </w:rPr>
            </w:pPr>
            <w:hyperlink r:id="rId93">
              <w:r>
                <w:rPr>
                  <w:rFonts w:ascii="Arial" w:cs="Arial" w:eastAsia="Arial" w:hAnsi="Arial"/>
                  <w:sz w:val="16"/>
                  <w:szCs w:val="16"/>
                  <w:color w:val="0000FF"/>
                </w:rPr>
                <w:t>Winnebago Industries, Inc. Executive Deferred Compensation Plan previously</w:t>
              </w:r>
            </w:hyperlink>
          </w:p>
        </w:tc>
        <w:tc>
          <w:tcPr>
            <w:tcW w:w="9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142"/>
        </w:trPr>
        <w:tc>
          <w:tcPr>
            <w:tcW w:w="6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5260" w:type="dxa"/>
            <w:vAlign w:val="bottom"/>
            <w:tcBorders>
              <w:top w:val="single" w:sz="8" w:color="0000FF"/>
            </w:tcBorders>
            <w:gridSpan w:val="10"/>
            <w:shd w:val="clear" w:color="auto" w:fill="CCEEFF"/>
          </w:tcPr>
          <w:p>
            <w:pPr>
              <w:spacing w:after="0" w:line="142" w:lineRule="exact"/>
              <w:rPr>
                <w:rFonts w:ascii="Arial" w:cs="Arial" w:eastAsia="Arial" w:hAnsi="Arial"/>
                <w:sz w:val="16"/>
                <w:szCs w:val="16"/>
                <w:color w:val="0000FF"/>
              </w:rPr>
            </w:pPr>
            <w:hyperlink r:id="rId93">
              <w:r>
                <w:rPr>
                  <w:rFonts w:ascii="Arial" w:cs="Arial" w:eastAsia="Arial" w:hAnsi="Arial"/>
                  <w:sz w:val="16"/>
                  <w:szCs w:val="16"/>
                  <w:color w:val="0000FF"/>
                </w:rPr>
                <w:t>filed as Exhibit 10.C with the Registrant's Quarterly Report on Form 10-Q</w:t>
              </w:r>
            </w:hyperlink>
          </w:p>
        </w:tc>
        <w:tc>
          <w:tcPr>
            <w:tcW w:w="260" w:type="dxa"/>
            <w:vAlign w:val="bottom"/>
            <w:tcBorders>
              <w:top w:val="single" w:sz="8" w:color="CCEEFF"/>
            </w:tcBorders>
            <w:gridSpan w:val="10"/>
            <w:shd w:val="clear" w:color="auto" w:fill="CCEEFF"/>
          </w:tcPr>
          <w:p>
            <w:pPr>
              <w:ind w:left="20"/>
              <w:spacing w:after="0" w:line="142" w:lineRule="exact"/>
              <w:rPr>
                <w:rFonts w:ascii="Arial" w:cs="Arial" w:eastAsia="Arial" w:hAnsi="Arial"/>
                <w:sz w:val="16"/>
                <w:szCs w:val="16"/>
                <w:color w:val="0000FF"/>
              </w:rPr>
            </w:pPr>
            <w:hyperlink r:id="rId93">
              <w:r>
                <w:rPr>
                  <w:rFonts w:ascii="Arial" w:cs="Arial" w:eastAsia="Arial" w:hAnsi="Arial"/>
                  <w:sz w:val="16"/>
                  <w:szCs w:val="16"/>
                  <w:color w:val="0000FF"/>
                </w:rPr>
                <w:t>for</w:t>
              </w:r>
            </w:hyperlink>
          </w:p>
        </w:tc>
        <w:tc>
          <w:tcPr>
            <w:tcW w:w="9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CCEEFF"/>
            </w:tcBorders>
            <w:shd w:val="clear" w:color="auto" w:fill="CCEEFF"/>
          </w:tcPr>
          <w:p>
            <w:pPr>
              <w:spacing w:after="0"/>
              <w:rPr>
                <w:sz w:val="12"/>
                <w:szCs w:val="12"/>
                <w:color w:val="auto"/>
              </w:rPr>
            </w:pPr>
          </w:p>
        </w:tc>
      </w:tr>
      <w:tr>
        <w:trPr>
          <w:trHeight w:val="142"/>
        </w:trPr>
        <w:tc>
          <w:tcPr>
            <w:tcW w:w="940" w:type="dxa"/>
            <w:vAlign w:val="bottom"/>
            <w:tcBorders>
              <w:top w:val="single" w:sz="8" w:color="CCEEFF"/>
            </w:tcBorders>
            <w:gridSpan w:val="2"/>
            <w:shd w:val="clear" w:color="auto" w:fill="CCEEFF"/>
          </w:tcPr>
          <w:p>
            <w:pPr>
              <w:jc w:val="right"/>
              <w:ind w:right="40"/>
              <w:spacing w:after="0" w:line="142" w:lineRule="exact"/>
              <w:rPr>
                <w:rFonts w:ascii="Arial" w:cs="Arial" w:eastAsia="Arial" w:hAnsi="Arial"/>
                <w:sz w:val="16"/>
                <w:szCs w:val="16"/>
                <w:color w:val="auto"/>
              </w:rPr>
            </w:pPr>
            <w:hyperlink r:id="rId93">
              <w:r>
                <w:rPr>
                  <w:rFonts w:ascii="Arial" w:cs="Arial" w:eastAsia="Arial" w:hAnsi="Arial"/>
                  <w:sz w:val="16"/>
                  <w:szCs w:val="16"/>
                  <w:color w:val="auto"/>
                </w:rPr>
                <w:t>10c.</w:t>
              </w:r>
            </w:hyperlink>
          </w:p>
        </w:tc>
        <w:tc>
          <w:tcPr>
            <w:tcW w:w="5480" w:type="dxa"/>
            <w:vAlign w:val="bottom"/>
            <w:tcBorders>
              <w:top w:val="single" w:sz="8" w:color="0000FF"/>
            </w:tcBorders>
            <w:gridSpan w:val="18"/>
            <w:shd w:val="clear" w:color="auto" w:fill="CCEEFF"/>
          </w:tcPr>
          <w:p>
            <w:pPr>
              <w:spacing w:after="0" w:line="142" w:lineRule="exact"/>
              <w:rPr>
                <w:rFonts w:ascii="Arial" w:cs="Arial" w:eastAsia="Arial" w:hAnsi="Arial"/>
                <w:sz w:val="16"/>
                <w:szCs w:val="16"/>
                <w:color w:val="0000FF"/>
              </w:rPr>
            </w:pPr>
            <w:hyperlink r:id="rId93">
              <w:r>
                <w:rPr>
                  <w:rFonts w:ascii="Arial" w:cs="Arial" w:eastAsia="Arial" w:hAnsi="Arial"/>
                  <w:sz w:val="16"/>
                  <w:szCs w:val="16"/>
                  <w:color w:val="0000FF"/>
                </w:rPr>
                <w:t>the quarter ended November 25, 2006 (Commission File Number 001-</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jc w:val="right"/>
              <w:ind w:right="99"/>
              <w:spacing w:after="0" w:line="142" w:lineRule="exact"/>
              <w:rPr>
                <w:sz w:val="20"/>
                <w:szCs w:val="20"/>
                <w:color w:val="auto"/>
              </w:rPr>
            </w:pPr>
            <w:r>
              <w:rPr>
                <w:rFonts w:ascii="Arial" w:cs="Arial" w:eastAsia="Arial" w:hAnsi="Arial"/>
                <w:sz w:val="16"/>
                <w:szCs w:val="16"/>
                <w:color w:val="auto"/>
              </w:rPr>
              <w:t>10-K</w:t>
            </w:r>
          </w:p>
        </w:tc>
        <w:tc>
          <w:tcPr>
            <w:tcW w:w="820" w:type="dxa"/>
            <w:vAlign w:val="bottom"/>
            <w:tcBorders>
              <w:top w:val="single" w:sz="8" w:color="CCEEFF"/>
            </w:tcBorders>
            <w:shd w:val="clear" w:color="auto" w:fill="CCEEFF"/>
          </w:tcPr>
          <w:p>
            <w:pPr>
              <w:jc w:val="right"/>
              <w:ind w:right="99"/>
              <w:spacing w:after="0" w:line="142" w:lineRule="exact"/>
              <w:rPr>
                <w:sz w:val="20"/>
                <w:szCs w:val="20"/>
                <w:color w:val="auto"/>
              </w:rPr>
            </w:pPr>
            <w:r>
              <w:rPr>
                <w:rFonts w:ascii="Arial" w:cs="Arial" w:eastAsia="Arial" w:hAnsi="Arial"/>
                <w:sz w:val="16"/>
                <w:szCs w:val="16"/>
                <w:color w:val="auto"/>
              </w:rPr>
              <w:t>10.BB</w:t>
            </w:r>
          </w:p>
        </w:tc>
        <w:tc>
          <w:tcPr>
            <w:tcW w:w="2020" w:type="dxa"/>
            <w:vAlign w:val="bottom"/>
            <w:tcBorders>
              <w:top w:val="single" w:sz="8" w:color="CCEEFF"/>
            </w:tcBorders>
            <w:shd w:val="clear" w:color="auto" w:fill="CCEEFF"/>
          </w:tcPr>
          <w:p>
            <w:pPr>
              <w:jc w:val="right"/>
              <w:ind w:right="959"/>
              <w:spacing w:after="0" w:line="142" w:lineRule="exact"/>
              <w:rPr>
                <w:sz w:val="20"/>
                <w:szCs w:val="20"/>
                <w:color w:val="auto"/>
              </w:rPr>
            </w:pPr>
            <w:r>
              <w:rPr>
                <w:rFonts w:ascii="Arial" w:cs="Arial" w:eastAsia="Arial" w:hAnsi="Arial"/>
                <w:sz w:val="16"/>
                <w:szCs w:val="16"/>
                <w:color w:val="auto"/>
              </w:rPr>
              <w:t>10/25/2011</w:t>
            </w:r>
          </w:p>
        </w:tc>
      </w:tr>
      <w:tr>
        <w:trPr>
          <w:trHeight w:val="142"/>
        </w:trPr>
        <w:tc>
          <w:tcPr>
            <w:tcW w:w="6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040" w:type="dxa"/>
            <w:vAlign w:val="bottom"/>
            <w:tcBorders>
              <w:top w:val="single" w:sz="8" w:color="0000FF"/>
            </w:tcBorders>
            <w:gridSpan w:val="6"/>
            <w:shd w:val="clear" w:color="auto" w:fill="CCEEFF"/>
          </w:tcPr>
          <w:p>
            <w:pPr>
              <w:spacing w:after="0" w:line="142" w:lineRule="exact"/>
              <w:rPr>
                <w:rFonts w:ascii="Arial" w:cs="Arial" w:eastAsia="Arial" w:hAnsi="Arial"/>
                <w:sz w:val="16"/>
                <w:szCs w:val="16"/>
                <w:color w:val="0000FF"/>
              </w:rPr>
            </w:pPr>
            <w:hyperlink r:id="rId93">
              <w:r>
                <w:rPr>
                  <w:rFonts w:ascii="Arial" w:cs="Arial" w:eastAsia="Arial" w:hAnsi="Arial"/>
                  <w:sz w:val="16"/>
                  <w:szCs w:val="16"/>
                  <w:color w:val="0000FF"/>
                </w:rPr>
                <w:t>06403) and the Amendment dated June 21, 2011.*</w:t>
              </w:r>
            </w:hyperlink>
          </w:p>
        </w:tc>
        <w:tc>
          <w:tcPr>
            <w:tcW w:w="100" w:type="dxa"/>
            <w:vAlign w:val="bottom"/>
            <w:tcBorders>
              <w:top w:val="single" w:sz="8" w:color="CCEEFF"/>
              <w:right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gridSpan w:val="7"/>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CCEEFF"/>
            </w:tcBorders>
            <w:shd w:val="clear" w:color="auto" w:fill="CCEEFF"/>
          </w:tcPr>
          <w:p>
            <w:pPr>
              <w:spacing w:after="0"/>
              <w:rPr>
                <w:sz w:val="12"/>
                <w:szCs w:val="12"/>
                <w:color w:val="auto"/>
              </w:rPr>
            </w:pPr>
          </w:p>
        </w:tc>
      </w:tr>
      <w:tr>
        <w:trPr>
          <w:trHeight w:val="183"/>
        </w:trPr>
        <w:tc>
          <w:tcPr>
            <w:tcW w:w="6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0000FF"/>
            </w:tcBorders>
            <w:shd w:val="clear" w:color="auto" w:fill="CCEEFF"/>
          </w:tcPr>
          <w:p>
            <w:pPr>
              <w:spacing w:after="0"/>
              <w:rPr>
                <w:sz w:val="15"/>
                <w:szCs w:val="15"/>
                <w:color w:val="auto"/>
              </w:rPr>
            </w:pPr>
          </w:p>
        </w:tc>
        <w:tc>
          <w:tcPr>
            <w:tcW w:w="540" w:type="dxa"/>
            <w:vAlign w:val="bottom"/>
            <w:tcBorders>
              <w:top w:val="single" w:sz="8" w:color="0000FF"/>
            </w:tcBorders>
            <w:shd w:val="clear" w:color="auto" w:fill="CCEEFF"/>
          </w:tcPr>
          <w:p>
            <w:pPr>
              <w:spacing w:after="0"/>
              <w:rPr>
                <w:sz w:val="15"/>
                <w:szCs w:val="15"/>
                <w:color w:val="auto"/>
              </w:rPr>
            </w:pPr>
          </w:p>
        </w:tc>
        <w:tc>
          <w:tcPr>
            <w:tcW w:w="2360" w:type="dxa"/>
            <w:vAlign w:val="bottom"/>
            <w:tcBorders>
              <w:top w:val="single" w:sz="8" w:color="0000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CCEEFF"/>
            </w:tcBorders>
            <w:shd w:val="clear" w:color="auto" w:fill="CCEEFF"/>
          </w:tcPr>
          <w:p>
            <w:pPr>
              <w:spacing w:after="0"/>
              <w:rPr>
                <w:sz w:val="15"/>
                <w:szCs w:val="15"/>
                <w:color w:val="auto"/>
              </w:rPr>
            </w:pPr>
          </w:p>
        </w:tc>
      </w:tr>
      <w:tr>
        <w:trPr>
          <w:trHeight w:val="176"/>
        </w:trPr>
        <w:tc>
          <w:tcPr>
            <w:tcW w:w="6460" w:type="dxa"/>
            <w:vAlign w:val="bottom"/>
            <w:gridSpan w:val="22"/>
          </w:tcPr>
          <w:p>
            <w:pPr>
              <w:ind w:left="620"/>
              <w:spacing w:after="0" w:line="175" w:lineRule="exact"/>
              <w:rPr>
                <w:rFonts w:ascii="Arial" w:cs="Arial" w:eastAsia="Arial" w:hAnsi="Arial"/>
                <w:sz w:val="16"/>
                <w:szCs w:val="16"/>
                <w:color w:val="0000FF"/>
              </w:rPr>
            </w:pPr>
            <w:hyperlink r:id="rId94">
              <w:r>
                <w:rPr>
                  <w:rFonts w:ascii="Arial" w:cs="Arial" w:eastAsia="Arial" w:hAnsi="Arial"/>
                  <w:sz w:val="16"/>
                  <w:szCs w:val="16"/>
                  <w:color w:val="0000FF"/>
                </w:rPr>
                <w:t>Winnebago Industries, Inc. 2004 Incentive Compensation Plan previously filed as</w:t>
              </w:r>
            </w:hyperlink>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42"/>
        </w:trPr>
        <w:tc>
          <w:tcPr>
            <w:tcW w:w="6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55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Appendix B with the Registrant's Proxy Statement for the Annual Meeting of</w:t>
              </w:r>
            </w:hyperlink>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2"/>
        </w:trPr>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Shareholders held on January 13, 2004 (Commission File Number 001-</w:t>
              </w:r>
            </w:hyperlink>
          </w:p>
        </w:tc>
        <w:tc>
          <w:tcPr>
            <w:tcW w:w="80" w:type="dxa"/>
            <w:vAlign w:val="bottom"/>
            <w:gridSpan w:val="4"/>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2"/>
        </w:trPr>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06403) and incorporated by reference herein and the Amendment dated</w:t>
              </w:r>
            </w:hyperlink>
          </w:p>
        </w:tc>
        <w:tc>
          <w:tcPr>
            <w:tcW w:w="20" w:type="dxa"/>
            <w:vAlign w:val="bottom"/>
            <w:tcBorders>
              <w:bottom w:val="single" w:sz="8" w:color="0000FF"/>
            </w:tcBorders>
          </w:tcPr>
          <w:p>
            <w:pPr>
              <w:spacing w:after="0"/>
              <w:rPr>
                <w:sz w:val="12"/>
                <w:szCs w:val="12"/>
                <w:color w:val="auto"/>
              </w:rPr>
            </w:pPr>
          </w:p>
        </w:tc>
        <w:tc>
          <w:tcPr>
            <w:tcW w:w="360" w:type="dxa"/>
            <w:vAlign w:val="bottom"/>
            <w:gridSpan w:val="11"/>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2"/>
        </w:trPr>
        <w:tc>
          <w:tcPr>
            <w:tcW w:w="940" w:type="dxa"/>
            <w:vAlign w:val="bottom"/>
            <w:gridSpan w:val="2"/>
          </w:tcPr>
          <w:p>
            <w:pPr>
              <w:jc w:val="right"/>
              <w:ind w:right="40"/>
              <w:spacing w:after="0" w:line="142" w:lineRule="exact"/>
              <w:rPr>
                <w:rFonts w:ascii="Arial" w:cs="Arial" w:eastAsia="Arial" w:hAnsi="Arial"/>
                <w:sz w:val="16"/>
                <w:szCs w:val="16"/>
                <w:color w:val="auto"/>
              </w:rPr>
            </w:pPr>
            <w:hyperlink r:id="rId94">
              <w:r>
                <w:rPr>
                  <w:rFonts w:ascii="Arial" w:cs="Arial" w:eastAsia="Arial" w:hAnsi="Arial"/>
                  <w:sz w:val="16"/>
                  <w:szCs w:val="16"/>
                  <w:color w:val="auto"/>
                </w:rPr>
                <w:t>10d.</w:t>
              </w:r>
            </w:hyperlink>
          </w:p>
        </w:tc>
        <w:tc>
          <w:tcPr>
            <w:tcW w:w="5160" w:type="dxa"/>
            <w:vAlign w:val="bottom"/>
            <w:gridSpan w:val="9"/>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October 11, 2006 previously filed as Exhibit 10.A with the Registrant's</w:t>
              </w:r>
            </w:hyperlink>
          </w:p>
        </w:tc>
        <w:tc>
          <w:tcPr>
            <w:tcW w:w="360" w:type="dxa"/>
            <w:vAlign w:val="bottom"/>
            <w:gridSpan w:val="11"/>
          </w:tcPr>
          <w:p>
            <w:pPr>
              <w:spacing w:after="0"/>
              <w:rPr>
                <w:sz w:val="12"/>
                <w:szCs w:val="12"/>
                <w:color w:val="auto"/>
              </w:rPr>
            </w:pPr>
          </w:p>
        </w:tc>
        <w:tc>
          <w:tcPr>
            <w:tcW w:w="940" w:type="dxa"/>
            <w:vAlign w:val="bottom"/>
          </w:tcPr>
          <w:p>
            <w:pPr>
              <w:jc w:val="right"/>
              <w:ind w:right="99"/>
              <w:spacing w:after="0" w:line="142" w:lineRule="exact"/>
              <w:rPr>
                <w:sz w:val="20"/>
                <w:szCs w:val="20"/>
                <w:color w:val="auto"/>
              </w:rPr>
            </w:pPr>
            <w:r>
              <w:rPr>
                <w:rFonts w:ascii="Arial" w:cs="Arial" w:eastAsia="Arial" w:hAnsi="Arial"/>
                <w:sz w:val="16"/>
                <w:szCs w:val="16"/>
                <w:color w:val="auto"/>
              </w:rPr>
              <w:t>10-Q</w:t>
            </w:r>
          </w:p>
        </w:tc>
        <w:tc>
          <w:tcPr>
            <w:tcW w:w="820" w:type="dxa"/>
            <w:vAlign w:val="bottom"/>
          </w:tcPr>
          <w:p>
            <w:pPr>
              <w:jc w:val="right"/>
              <w:ind w:right="99"/>
              <w:spacing w:after="0" w:line="142" w:lineRule="exact"/>
              <w:rPr>
                <w:sz w:val="20"/>
                <w:szCs w:val="20"/>
                <w:color w:val="auto"/>
              </w:rPr>
            </w:pPr>
            <w:r>
              <w:rPr>
                <w:rFonts w:ascii="Arial" w:cs="Arial" w:eastAsia="Arial" w:hAnsi="Arial"/>
                <w:sz w:val="16"/>
                <w:szCs w:val="16"/>
                <w:color w:val="auto"/>
              </w:rPr>
              <w:t>10.1</w:t>
            </w:r>
          </w:p>
        </w:tc>
        <w:tc>
          <w:tcPr>
            <w:tcW w:w="2020" w:type="dxa"/>
            <w:vAlign w:val="bottom"/>
          </w:tcPr>
          <w:p>
            <w:pPr>
              <w:jc w:val="right"/>
              <w:ind w:right="959"/>
              <w:spacing w:after="0" w:line="142" w:lineRule="exact"/>
              <w:rPr>
                <w:sz w:val="20"/>
                <w:szCs w:val="20"/>
                <w:color w:val="auto"/>
              </w:rPr>
            </w:pPr>
            <w:r>
              <w:rPr>
                <w:rFonts w:ascii="Arial" w:cs="Arial" w:eastAsia="Arial" w:hAnsi="Arial"/>
                <w:sz w:val="16"/>
                <w:szCs w:val="16"/>
                <w:color w:val="auto"/>
              </w:rPr>
              <w:t>07/01/2011</w:t>
            </w:r>
          </w:p>
        </w:tc>
      </w:tr>
      <w:tr>
        <w:trPr>
          <w:trHeight w:val="144"/>
        </w:trPr>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0" w:type="dxa"/>
            <w:vAlign w:val="bottom"/>
            <w:tcBorders>
              <w:top w:val="single" w:sz="8" w:color="0000FF"/>
            </w:tcBorders>
            <w:gridSpan w:val="5"/>
          </w:tcPr>
          <w:p>
            <w:pPr>
              <w:spacing w:after="0" w:line="144" w:lineRule="exact"/>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Quarterly Report on Form 10-Q for the quarter ended November 25,</w:t>
              </w:r>
            </w:hyperlink>
          </w:p>
        </w:tc>
        <w:tc>
          <w:tcPr>
            <w:tcW w:w="520" w:type="dxa"/>
            <w:vAlign w:val="bottom"/>
            <w:gridSpan w:val="15"/>
          </w:tcPr>
          <w:p>
            <w:pPr>
              <w:jc w:val="right"/>
              <w:ind w:right="240"/>
              <w:spacing w:after="0" w:line="144" w:lineRule="exact"/>
              <w:rPr>
                <w:rFonts w:ascii="Arial" w:cs="Arial" w:eastAsia="Arial" w:hAnsi="Arial"/>
                <w:sz w:val="16"/>
                <w:szCs w:val="16"/>
                <w:u w:val="single" w:color="auto"/>
                <w:color w:val="0000FF"/>
                <w:w w:val="72"/>
              </w:rPr>
            </w:pPr>
            <w:hyperlink r:id="rId94">
              <w:r>
                <w:rPr>
                  <w:rFonts w:ascii="Arial" w:cs="Arial" w:eastAsia="Arial" w:hAnsi="Arial"/>
                  <w:sz w:val="16"/>
                  <w:szCs w:val="16"/>
                  <w:u w:val="single" w:color="auto"/>
                  <w:color w:val="0000FF"/>
                  <w:w w:val="72"/>
                </w:rPr>
                <w:t>2006</w:t>
              </w:r>
            </w:hyperlink>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r>
    </w:tbl>
    <w:p>
      <w:pPr>
        <w:ind w:left="1600"/>
        <w:spacing w:after="0" w:line="211" w:lineRule="auto"/>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(Commission File Number 001-06403) and incorporated by reference herein</w:t>
        </w:r>
      </w:hyperlink>
    </w:p>
    <w:p>
      <w:pPr>
        <w:ind w:left="1600"/>
        <w:spacing w:after="0"/>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and the Amendment dated March 23, 2011.*</w:t>
        </w:r>
      </w:hyperlink>
    </w:p>
    <w:p>
      <w:pPr>
        <w:sectPr>
          <w:pgSz w:w="11900" w:h="16838" w:orient="portrait"/>
          <w:cols w:equalWidth="0" w:num="1">
            <w:col w:w="11200"/>
          </w:cols>
          <w:pgMar w:left="320" w:top="14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type w:val="continuous"/>
        </w:sectPr>
      </w:pPr>
    </w:p>
    <w:bookmarkStart w:id="64" w:name="page65"/>
    <w:bookmarkEnd w:id="64"/>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ectPr>
          <w:pgSz w:w="11900" w:h="16838" w:orient="portrait"/>
          <w:cols w:equalWidth="0" w:num="1">
            <w:col w:w="10580"/>
          </w:cols>
          <w:pgMar w:left="320" w:top="14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 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506210" cy="9690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506210" cy="969010"/>
                    </a:xfrm>
                    <a:prstGeom prst="rect">
                      <a:avLst/>
                    </a:prstGeom>
                    <a:noFill/>
                  </pic:spPr>
                </pic:pic>
              </a:graphicData>
            </a:graphic>
          </wp:anchor>
        </w:drawing>
      </w:r>
    </w:p>
    <w:p>
      <w:pPr>
        <w:spacing w:after="0" w:line="46" w:lineRule="exact"/>
        <w:rPr>
          <w:sz w:val="20"/>
          <w:szCs w:val="20"/>
          <w:color w:val="auto"/>
        </w:rPr>
      </w:pPr>
    </w:p>
    <w:p>
      <w:pPr>
        <w:ind w:left="1300" w:right="140" w:hanging="323"/>
        <w:spacing w:after="0" w:line="211" w:lineRule="auto"/>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Winnebago Industries, Inc. 2014 Omnibus Equity, Performance Award, and</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Incentive Compensation Plan previously filed as Appendix B with the</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Registrant's Proxy Statement for the Annual Meeting of Shareholders held</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on December 17, 2013 (Commission File Number 001-06403) and</w:t>
        </w:r>
      </w:hyperlink>
    </w:p>
    <w:p>
      <w:pPr>
        <w:spacing w:after="0" w:line="1" w:lineRule="exact"/>
        <w:rPr>
          <w:rFonts w:ascii="Arial" w:cs="Arial" w:eastAsia="Arial" w:hAnsi="Arial"/>
          <w:sz w:val="16"/>
          <w:szCs w:val="16"/>
          <w:u w:val="single" w:color="auto"/>
          <w:color w:val="0000FF"/>
        </w:rPr>
      </w:pPr>
    </w:p>
    <w:p>
      <w:pPr>
        <w:ind w:left="1300" w:right="60" w:hanging="350"/>
        <w:spacing w:after="0" w:line="221" w:lineRule="auto"/>
        <w:rPr>
          <w:rFonts w:ascii="Arial" w:cs="Arial" w:eastAsia="Arial" w:hAnsi="Arial"/>
          <w:sz w:val="16"/>
          <w:szCs w:val="16"/>
          <w:u w:val="single" w:color="auto"/>
          <w:color w:val="0000FF"/>
        </w:rPr>
      </w:pPr>
      <w:hyperlink r:id="rId97">
        <w:r>
          <w:rPr>
            <w:rFonts w:ascii="Arial" w:cs="Arial" w:eastAsia="Arial" w:hAnsi="Arial"/>
            <w:sz w:val="16"/>
            <w:szCs w:val="16"/>
            <w:color w:val="auto"/>
          </w:rPr>
          <w:t xml:space="preserve">10e. </w:t>
        </w:r>
        <w:r>
          <w:rPr>
            <w:rFonts w:ascii="Arial" w:cs="Arial" w:eastAsia="Arial" w:hAnsi="Arial"/>
            <w:sz w:val="16"/>
            <w:szCs w:val="16"/>
            <w:u w:val="single" w:color="auto"/>
            <w:color w:val="0000FF"/>
          </w:rPr>
          <w:t>incorporated by reference herein and the Supplement previously filed as</w:t>
        </w:r>
      </w:hyperlink>
      <w:r>
        <w:rPr>
          <w:rFonts w:ascii="Arial" w:cs="Arial" w:eastAsia="Arial" w:hAnsi="Arial"/>
          <w:sz w:val="16"/>
          <w:szCs w:val="16"/>
          <w:color w:val="auto"/>
        </w:rPr>
        <w:t xml:space="preserve"> </w:t>
      </w:r>
      <w:hyperlink r:id="rId97">
        <w:r>
          <w:rPr>
            <w:rFonts w:ascii="Arial" w:cs="Arial" w:eastAsia="Arial" w:hAnsi="Arial"/>
            <w:sz w:val="16"/>
            <w:szCs w:val="16"/>
            <w:u w:val="single" w:color="auto"/>
            <w:color w:val="0000FF"/>
          </w:rPr>
          <w:t>Exhibit 10.1 with the Registrant's Current Report on Form 8-K dated</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December 6, 2013 (Commission File Number 001-06403) and incorporated</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by reference herein.*</w:t>
        </w:r>
      </w:hyperlink>
    </w:p>
    <w:p>
      <w:pPr>
        <w:spacing w:after="0" w:line="186" w:lineRule="exact"/>
        <w:rPr>
          <w:rFonts w:ascii="Arial" w:cs="Arial" w:eastAsia="Arial" w:hAnsi="Arial"/>
          <w:sz w:val="16"/>
          <w:szCs w:val="16"/>
          <w:u w:val="single" w:color="auto"/>
          <w:color w:val="0000FF"/>
        </w:rPr>
      </w:pPr>
    </w:p>
    <w:p>
      <w:pPr>
        <w:ind w:left="1300" w:right="40" w:hanging="323"/>
        <w:spacing w:after="0" w:line="211" w:lineRule="auto"/>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Winnebago Industries, Inc. 2019 Omnibus Incentive Plan, previously filed as</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Appendix A to the Registrant's Definitive Proxy Statement on Schedule 14A</w:t>
        </w:r>
      </w:hyperlink>
    </w:p>
    <w:p>
      <w:pPr>
        <w:ind w:left="1300" w:right="520" w:hanging="305"/>
        <w:spacing w:after="0" w:line="232" w:lineRule="auto"/>
        <w:rPr>
          <w:rFonts w:ascii="Arial" w:cs="Arial" w:eastAsia="Arial" w:hAnsi="Arial"/>
          <w:sz w:val="16"/>
          <w:szCs w:val="16"/>
          <w:color w:val="0000FF"/>
        </w:rPr>
      </w:pPr>
      <w:hyperlink r:id="rId98">
        <w:r>
          <w:rPr>
            <w:rFonts w:ascii="Arial" w:cs="Arial" w:eastAsia="Arial" w:hAnsi="Arial"/>
            <w:sz w:val="16"/>
            <w:szCs w:val="16"/>
            <w:color w:val="auto"/>
          </w:rPr>
          <w:t xml:space="preserve">10f. </w:t>
        </w:r>
        <w:r>
          <w:rPr>
            <w:rFonts w:ascii="Arial" w:cs="Arial" w:eastAsia="Arial" w:hAnsi="Arial"/>
            <w:sz w:val="16"/>
            <w:szCs w:val="16"/>
            <w:u w:val="single" w:color="auto"/>
            <w:color w:val="0000FF"/>
          </w:rPr>
          <w:t>filed on October 31, 2018 (Commission File Number 001-06403) and</w:t>
        </w:r>
      </w:hyperlink>
      <w:r>
        <w:rPr>
          <w:rFonts w:ascii="Arial" w:cs="Arial" w:eastAsia="Arial" w:hAnsi="Arial"/>
          <w:sz w:val="16"/>
          <w:szCs w:val="16"/>
          <w:color w:val="auto"/>
        </w:rPr>
        <w:t xml:space="preserve"> </w:t>
      </w:r>
      <w:hyperlink r:id="rId98">
        <w:r>
          <w:rPr>
            <w:rFonts w:ascii="Arial" w:cs="Arial" w:eastAsia="Arial" w:hAnsi="Arial"/>
            <w:sz w:val="16"/>
            <w:szCs w:val="16"/>
            <w:u w:val="single" w:color="auto"/>
            <w:color w:val="0000FF"/>
          </w:rPr>
          <w:t>incorporated by reference herein.</w:t>
        </w:r>
        <w:r>
          <w:rPr>
            <w:rFonts w:ascii="Arial" w:cs="Arial" w:eastAsia="Arial" w:hAnsi="Arial"/>
            <w:sz w:val="16"/>
            <w:szCs w:val="16"/>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506210" cy="12687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6506210" cy="1268730"/>
                    </a:xfrm>
                    <a:prstGeom prst="rect">
                      <a:avLst/>
                    </a:prstGeom>
                    <a:noFill/>
                  </pic:spPr>
                </pic:pic>
              </a:graphicData>
            </a:graphic>
          </wp:anchor>
        </w:drawing>
      </w:r>
    </w:p>
    <w:p>
      <w:pPr>
        <w:spacing w:after="0" w:line="164" w:lineRule="exact"/>
        <w:rPr>
          <w:sz w:val="20"/>
          <w:szCs w:val="20"/>
          <w:color w:val="auto"/>
        </w:rPr>
      </w:pPr>
    </w:p>
    <w:p>
      <w:pPr>
        <w:ind w:left="1300" w:right="180" w:hanging="323"/>
        <w:spacing w:after="0" w:line="211" w:lineRule="auto"/>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Winnebago Industries, Inc. Directors' Deferred Compensation Plan previously</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filed as Exhibit 10.E with the Registrant's Annual Report on Form 10-K for</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the fiscal year ended August 30, 1997 (Commission File Number 001-</w:t>
        </w:r>
      </w:hyperlink>
      <w:hyperlink r:id="rId100">
        <w:r>
          <w:rPr>
            <w:rFonts w:ascii="Arial" w:cs="Arial" w:eastAsia="Arial" w:hAnsi="Arial"/>
            <w:sz w:val="16"/>
            <w:szCs w:val="16"/>
            <w:u w:val="single" w:color="auto"/>
            <w:color w:val="0000FF"/>
          </w:rPr>
          <w:t>06403), and incorporated by reference herein and the Amendment dated</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October 15, 2003 previously filed as Exhibit 10.H with the Registrant's</w:t>
        </w:r>
      </w:hyperlink>
    </w:p>
    <w:p>
      <w:pPr>
        <w:spacing w:after="0" w:line="1" w:lineRule="exact"/>
        <w:rPr>
          <w:rFonts w:ascii="Arial" w:cs="Arial" w:eastAsia="Arial" w:hAnsi="Arial"/>
          <w:sz w:val="16"/>
          <w:szCs w:val="16"/>
          <w:u w:val="single" w:color="auto"/>
          <w:color w:val="0000FF"/>
        </w:rPr>
      </w:pPr>
    </w:p>
    <w:p>
      <w:pPr>
        <w:ind w:left="1300" w:hanging="350"/>
        <w:spacing w:after="0" w:line="211" w:lineRule="auto"/>
        <w:rPr>
          <w:rFonts w:ascii="Arial" w:cs="Arial" w:eastAsia="Arial" w:hAnsi="Arial"/>
          <w:sz w:val="16"/>
          <w:szCs w:val="16"/>
          <w:u w:val="single" w:color="auto"/>
          <w:color w:val="0000FF"/>
        </w:rPr>
      </w:pPr>
      <w:hyperlink r:id="rId100">
        <w:r>
          <w:rPr>
            <w:rFonts w:ascii="Arial" w:cs="Arial" w:eastAsia="Arial" w:hAnsi="Arial"/>
            <w:sz w:val="16"/>
            <w:szCs w:val="16"/>
            <w:color w:val="auto"/>
          </w:rPr>
          <w:t xml:space="preserve">10g. </w:t>
        </w:r>
        <w:r>
          <w:rPr>
            <w:rFonts w:ascii="Arial" w:cs="Arial" w:eastAsia="Arial" w:hAnsi="Arial"/>
            <w:sz w:val="16"/>
            <w:szCs w:val="16"/>
            <w:u w:val="single" w:color="auto"/>
            <w:color w:val="0000FF"/>
          </w:rPr>
          <w:t>Quarterly Report on Form 10-Q for the quarter ended November 29, 2003</w:t>
        </w:r>
      </w:hyperlink>
      <w:r>
        <w:rPr>
          <w:rFonts w:ascii="Arial" w:cs="Arial" w:eastAsia="Arial" w:hAnsi="Arial"/>
          <w:sz w:val="16"/>
          <w:szCs w:val="16"/>
          <w:color w:val="auto"/>
        </w:rPr>
        <w:t xml:space="preserve"> </w:t>
      </w:r>
      <w:hyperlink r:id="rId100">
        <w:r>
          <w:rPr>
            <w:rFonts w:ascii="Arial" w:cs="Arial" w:eastAsia="Arial" w:hAnsi="Arial"/>
            <w:sz w:val="16"/>
            <w:szCs w:val="16"/>
            <w:u w:val="single" w:color="auto"/>
            <w:color w:val="0000FF"/>
          </w:rPr>
          <w:t>(Commission File Number 001-06403) and incorporated by reference herein</w:t>
        </w:r>
      </w:hyperlink>
    </w:p>
    <w:p>
      <w:pPr>
        <w:ind w:left="1300"/>
        <w:spacing w:after="0" w:line="221" w:lineRule="auto"/>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and the Amendment dated October 11, 2006 previously filed as Exhibit 10.B</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with the Registrant's Quarterly Report on Form 10-Q for the quarter ended</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November 25, 2006 (Commission File Number 001-06403) and the</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Amendment dated July 1, 2013.*</w:t>
        </w:r>
      </w:hyperlink>
    </w:p>
    <w:p>
      <w:pPr>
        <w:spacing w:after="0" w:line="186" w:lineRule="exact"/>
        <w:rPr>
          <w:rFonts w:ascii="Arial" w:cs="Arial" w:eastAsia="Arial" w:hAnsi="Arial"/>
          <w:sz w:val="16"/>
          <w:szCs w:val="16"/>
          <w:u w:val="single" w:color="auto"/>
          <w:color w:val="0000FF"/>
        </w:rPr>
      </w:pPr>
    </w:p>
    <w:p>
      <w:pPr>
        <w:ind w:left="1300" w:hanging="323"/>
        <w:spacing w:after="0" w:line="211" w:lineRule="auto"/>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Winnebago Industries, Inc. Profit Sharing and Deferred Savings Investment Plan</w:t>
        </w:r>
      </w:hyperlink>
      <w:r>
        <w:rPr>
          <w:rFonts w:ascii="Arial" w:cs="Arial" w:eastAsia="Arial" w:hAnsi="Arial"/>
          <w:sz w:val="16"/>
          <w:szCs w:val="16"/>
          <w:u w:val="single" w:color="auto"/>
          <w:color w:val="0000FF"/>
        </w:rPr>
        <w:t xml:space="preserve"> </w:t>
      </w:r>
      <w:hyperlink r:id="rId91">
        <w:r>
          <w:rPr>
            <w:rFonts w:ascii="Arial" w:cs="Arial" w:eastAsia="Arial" w:hAnsi="Arial"/>
            <w:sz w:val="16"/>
            <w:szCs w:val="16"/>
            <w:u w:val="single" w:color="auto"/>
            <w:color w:val="0000FF"/>
          </w:rPr>
          <w:t>previously filed with the Registrant's Annual Report on Form 10-K for the</w:t>
        </w:r>
      </w:hyperlink>
    </w:p>
    <w:p>
      <w:pPr>
        <w:ind w:left="1300" w:right="160" w:hanging="350"/>
        <w:spacing w:after="0" w:line="225" w:lineRule="auto"/>
        <w:rPr>
          <w:rFonts w:ascii="Arial" w:cs="Arial" w:eastAsia="Arial" w:hAnsi="Arial"/>
          <w:sz w:val="16"/>
          <w:szCs w:val="16"/>
          <w:u w:val="single" w:color="auto"/>
          <w:color w:val="0000FF"/>
        </w:rPr>
      </w:pPr>
      <w:hyperlink r:id="rId91">
        <w:r>
          <w:rPr>
            <w:rFonts w:ascii="Arial" w:cs="Arial" w:eastAsia="Arial" w:hAnsi="Arial"/>
            <w:sz w:val="16"/>
            <w:szCs w:val="16"/>
            <w:color w:val="auto"/>
          </w:rPr>
          <w:t xml:space="preserve">10h. </w:t>
        </w:r>
        <w:r>
          <w:rPr>
            <w:rFonts w:ascii="Arial" w:cs="Arial" w:eastAsia="Arial" w:hAnsi="Arial"/>
            <w:sz w:val="16"/>
            <w:szCs w:val="16"/>
            <w:u w:val="single" w:color="auto"/>
            <w:color w:val="0000FF"/>
          </w:rPr>
          <w:t>fiscal year ended August 31, 1985 (Commission File Number 001-06403),</w:t>
        </w:r>
      </w:hyperlink>
      <w:r>
        <w:rPr>
          <w:rFonts w:ascii="Arial" w:cs="Arial" w:eastAsia="Arial" w:hAnsi="Arial"/>
          <w:sz w:val="16"/>
          <w:szCs w:val="16"/>
          <w:color w:val="auto"/>
        </w:rPr>
        <w:t xml:space="preserve"> </w:t>
      </w:r>
      <w:hyperlink r:id="rId91">
        <w:r>
          <w:rPr>
            <w:rFonts w:ascii="Arial" w:cs="Arial" w:eastAsia="Arial" w:hAnsi="Arial"/>
            <w:sz w:val="16"/>
            <w:szCs w:val="16"/>
            <w:u w:val="single" w:color="auto"/>
            <w:color w:val="0000FF"/>
          </w:rPr>
          <w:t>and incorporated by reference herein, and the Amendment dated July 1,</w:t>
        </w:r>
      </w:hyperlink>
      <w:r>
        <w:rPr>
          <w:rFonts w:ascii="Arial" w:cs="Arial" w:eastAsia="Arial" w:hAnsi="Arial"/>
          <w:sz w:val="16"/>
          <w:szCs w:val="16"/>
          <w:u w:val="single" w:color="auto"/>
          <w:color w:val="0000FF"/>
        </w:rPr>
        <w:t xml:space="preserve"> </w:t>
      </w:r>
      <w:hyperlink r:id="rId91">
        <w:r>
          <w:rPr>
            <w:rFonts w:ascii="Arial" w:cs="Arial" w:eastAsia="Arial" w:hAnsi="Arial"/>
            <w:sz w:val="16"/>
            <w:szCs w:val="16"/>
            <w:u w:val="single" w:color="auto"/>
            <w:color w:val="0000FF"/>
          </w:rPr>
          <w:t>1995 and incorporated by reference herein.*</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506210" cy="342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6506210" cy="342900"/>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left="18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16884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53"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15"/>
        </w:trPr>
        <w:tc>
          <w:tcPr>
            <w:tcW w:w="720" w:type="dxa"/>
            <w:vAlign w:val="bottom"/>
          </w:tcPr>
          <w:p>
            <w:pPr>
              <w:spacing w:after="0"/>
              <w:rPr>
                <w:sz w:val="20"/>
                <w:szCs w:val="20"/>
                <w:color w:val="auto"/>
              </w:rPr>
            </w:pPr>
            <w:r>
              <w:rPr>
                <w:rFonts w:ascii="Arial" w:cs="Arial" w:eastAsia="Arial" w:hAnsi="Arial"/>
                <w:sz w:val="16"/>
                <w:szCs w:val="16"/>
                <w:b w:val="1"/>
                <w:bCs w:val="1"/>
                <w:color w:val="auto"/>
              </w:rPr>
              <w:t>Form</w:t>
            </w:r>
          </w:p>
        </w:tc>
        <w:tc>
          <w:tcPr>
            <w:tcW w:w="840" w:type="dxa"/>
            <w:vAlign w:val="bottom"/>
          </w:tcPr>
          <w:p>
            <w:pPr>
              <w:jc w:val="right"/>
              <w:ind w:right="199"/>
              <w:spacing w:after="0"/>
              <w:rPr>
                <w:sz w:val="20"/>
                <w:szCs w:val="20"/>
                <w:color w:val="auto"/>
              </w:rPr>
            </w:pPr>
            <w:r>
              <w:rPr>
                <w:rFonts w:ascii="Arial" w:cs="Arial" w:eastAsia="Arial" w:hAnsi="Arial"/>
                <w:sz w:val="16"/>
                <w:szCs w:val="16"/>
                <w:b w:val="1"/>
                <w:bCs w:val="1"/>
                <w:color w:val="auto"/>
              </w:rPr>
              <w:t>Exhibit</w:t>
            </w:r>
          </w:p>
        </w:tc>
        <w:tc>
          <w:tcPr>
            <w:tcW w:w="2160" w:type="dxa"/>
            <w:vAlign w:val="bottom"/>
            <w:gridSpan w:val="2"/>
          </w:tcPr>
          <w:p>
            <w:pPr>
              <w:ind w:left="40"/>
              <w:spacing w:after="0"/>
              <w:rPr>
                <w:sz w:val="20"/>
                <w:szCs w:val="20"/>
                <w:color w:val="auto"/>
              </w:rPr>
            </w:pPr>
            <w:r>
              <w:rPr>
                <w:rFonts w:ascii="Arial" w:cs="Arial" w:eastAsia="Arial" w:hAnsi="Arial"/>
                <w:sz w:val="16"/>
                <w:szCs w:val="16"/>
                <w:b w:val="1"/>
                <w:bCs w:val="1"/>
                <w:color w:val="auto"/>
              </w:rPr>
              <w:t>Filing Date  Filed Herewith</w:t>
            </w:r>
          </w:p>
        </w:tc>
      </w:tr>
      <w:tr>
        <w:trPr>
          <w:trHeight w:val="844"/>
        </w:trPr>
        <w:tc>
          <w:tcPr>
            <w:tcW w:w="720" w:type="dxa"/>
            <w:vAlign w:val="bottom"/>
          </w:tcPr>
          <w:p>
            <w:pPr>
              <w:ind w:left="4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12/06/2013</w:t>
            </w:r>
          </w:p>
        </w:tc>
        <w:tc>
          <w:tcPr>
            <w:tcW w:w="920" w:type="dxa"/>
            <w:vAlign w:val="bottom"/>
            <w:tcBorders>
              <w:top w:val="single" w:sz="8" w:color="auto"/>
            </w:tcBorders>
          </w:tcPr>
          <w:p>
            <w:pPr>
              <w:spacing w:after="0"/>
              <w:rPr>
                <w:sz w:val="24"/>
                <w:szCs w:val="24"/>
                <w:color w:val="auto"/>
              </w:rPr>
            </w:pPr>
          </w:p>
        </w:tc>
      </w:tr>
    </w:tbl>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40"/>
        <w:spacing w:after="0"/>
        <w:tabs>
          <w:tab w:leader="none" w:pos="1380" w:val="left"/>
          <w:tab w:leader="none" w:pos="1840" w:val="left"/>
        </w:tabs>
        <w:rPr>
          <w:sz w:val="20"/>
          <w:szCs w:val="20"/>
          <w:color w:val="auto"/>
        </w:rPr>
      </w:pPr>
      <w:r>
        <w:rPr>
          <w:rFonts w:ascii="Arial" w:cs="Arial" w:eastAsia="Arial" w:hAnsi="Arial"/>
          <w:sz w:val="16"/>
          <w:szCs w:val="16"/>
          <w:color w:val="auto"/>
        </w:rPr>
        <w:t>DEF 14A</w:t>
      </w:r>
      <w:r>
        <w:rPr>
          <w:sz w:val="20"/>
          <w:szCs w:val="20"/>
          <w:color w:val="auto"/>
        </w:rPr>
        <w:tab/>
      </w: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10/31/2018</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ind w:left="340"/>
        <w:spacing w:after="0"/>
        <w:tabs>
          <w:tab w:leader="none" w:pos="1180" w:val="left"/>
          <w:tab w:leader="none" w:pos="1840" w:val="left"/>
        </w:tabs>
        <w:rPr>
          <w:sz w:val="20"/>
          <w:szCs w:val="20"/>
          <w:color w:val="auto"/>
        </w:rPr>
      </w:pPr>
      <w:r>
        <w:rPr>
          <w:rFonts w:ascii="Arial" w:cs="Arial" w:eastAsia="Arial" w:hAnsi="Arial"/>
          <w:sz w:val="16"/>
          <w:szCs w:val="16"/>
          <w:color w:val="auto"/>
        </w:rPr>
        <w:t>10-Q</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06/28/2013</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8" w:lineRule="exact"/>
        <w:rPr>
          <w:rFonts w:ascii="Arial" w:cs="Arial" w:eastAsia="Arial" w:hAnsi="Arial"/>
          <w:sz w:val="16"/>
          <w:szCs w:val="16"/>
          <w:color w:val="auto"/>
        </w:rPr>
      </w:pPr>
    </w:p>
    <w:p>
      <w:pPr>
        <w:ind w:left="340"/>
        <w:spacing w:after="0"/>
        <w:tabs>
          <w:tab w:leader="none" w:pos="1160" w:val="left"/>
          <w:tab w:leader="none" w:pos="184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10.C</w:t>
      </w:r>
      <w:r>
        <w:rPr>
          <w:sz w:val="20"/>
          <w:szCs w:val="20"/>
          <w:color w:val="auto"/>
        </w:rPr>
        <w:tab/>
      </w:r>
      <w:r>
        <w:rPr>
          <w:rFonts w:ascii="Arial" w:cs="Arial" w:eastAsia="Arial" w:hAnsi="Arial"/>
          <w:sz w:val="16"/>
          <w:szCs w:val="16"/>
          <w:color w:val="auto"/>
        </w:rPr>
        <w:t>11/22/1995</w:t>
      </w:r>
    </w:p>
    <w:p>
      <w:pPr>
        <w:spacing w:after="0" w:line="437" w:lineRule="exact"/>
        <w:rPr>
          <w:rFonts w:ascii="Arial" w:cs="Arial" w:eastAsia="Arial" w:hAnsi="Arial"/>
          <w:sz w:val="16"/>
          <w:szCs w:val="16"/>
          <w:color w:val="auto"/>
        </w:rPr>
      </w:pPr>
    </w:p>
    <w:p>
      <w:pPr>
        <w:sectPr>
          <w:pgSz w:w="11900" w:h="16838" w:orient="portrait"/>
          <w:cols w:equalWidth="0" w:num="2">
            <w:col w:w="6740" w:space="120"/>
            <w:col w:w="3720"/>
          </w:cols>
          <w:pgMar w:left="320" w:top="141" w:right="999" w:bottom="1440" w:gutter="0" w:footer="0" w:header="0"/>
          <w:type w:val="continuous"/>
        </w:sectPr>
      </w:pPr>
    </w:p>
    <w:p>
      <w:pPr>
        <w:ind w:left="1000" w:right="80" w:hanging="26"/>
        <w:spacing w:after="0" w:line="232" w:lineRule="auto"/>
        <w:rPr>
          <w:rFonts w:ascii="Arial" w:cs="Arial" w:eastAsia="Arial" w:hAnsi="Arial"/>
          <w:sz w:val="16"/>
          <w:szCs w:val="16"/>
          <w:color w:val="000000"/>
        </w:rPr>
      </w:pPr>
      <w:hyperlink r:id="rId103">
        <w:r>
          <w:rPr>
            <w:rFonts w:ascii="Arial" w:cs="Arial" w:eastAsia="Arial" w:hAnsi="Arial"/>
            <w:sz w:val="16"/>
            <w:szCs w:val="16"/>
            <w:u w:val="single" w:color="auto"/>
            <w:color w:val="0000FF"/>
          </w:rPr>
          <w:t>Winnebago Industries, Inc. Officers' Long-Term Incentive Plan, fiscal three-year</w:t>
        </w:r>
      </w:hyperlink>
      <w:r>
        <w:rPr>
          <w:rFonts w:ascii="Arial" w:cs="Arial" w:eastAsia="Arial" w:hAnsi="Arial"/>
          <w:sz w:val="16"/>
          <w:szCs w:val="16"/>
          <w:u w:val="single" w:color="auto"/>
          <w:color w:val="0000FF"/>
        </w:rPr>
        <w:t xml:space="preserve"> </w:t>
      </w:r>
      <w:hyperlink r:id="rId103">
        <w:r>
          <w:rPr>
            <w:rFonts w:ascii="Arial" w:cs="Arial" w:eastAsia="Arial" w:hAnsi="Arial"/>
            <w:sz w:val="16"/>
            <w:szCs w:val="16"/>
            <w:color w:val="000000"/>
          </w:rPr>
          <w:t xml:space="preserve">10i. </w:t>
        </w:r>
        <w:r>
          <w:rPr>
            <w:rFonts w:ascii="Arial" w:cs="Arial" w:eastAsia="Arial" w:hAnsi="Arial"/>
            <w:sz w:val="16"/>
            <w:szCs w:val="16"/>
            <w:u w:val="single" w:color="auto"/>
            <w:color w:val="0000FF"/>
          </w:rPr>
          <w:t>period 2018, 2019, and 2020.*</w:t>
        </w:r>
      </w:hyperlink>
    </w:p>
    <w:p>
      <w:pPr>
        <w:spacing w:after="0" w:line="184" w:lineRule="exact"/>
        <w:rPr>
          <w:sz w:val="20"/>
          <w:szCs w:val="20"/>
          <w:color w:val="auto"/>
        </w:rPr>
      </w:pPr>
    </w:p>
    <w:p>
      <w:pPr>
        <w:ind w:left="1000" w:right="220" w:hanging="26"/>
        <w:spacing w:after="0" w:line="211" w:lineRule="auto"/>
        <w:rPr>
          <w:rFonts w:ascii="Arial" w:cs="Arial" w:eastAsia="Arial" w:hAnsi="Arial"/>
          <w:sz w:val="16"/>
          <w:szCs w:val="16"/>
          <w:color w:val="000000"/>
        </w:rPr>
      </w:pPr>
      <w:hyperlink r:id="rId104">
        <w:r>
          <w:rPr>
            <w:rFonts w:ascii="Arial" w:cs="Arial" w:eastAsia="Arial" w:hAnsi="Arial"/>
            <w:sz w:val="16"/>
            <w:szCs w:val="16"/>
            <w:u w:val="single" w:color="auto"/>
            <w:color w:val="0000FF"/>
          </w:rPr>
          <w:t>Form of Non-Qualified Stock Option Agreement under Winnebago Industries,</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color w:val="000000"/>
          </w:rPr>
          <w:t xml:space="preserve">10j. </w:t>
        </w:r>
        <w:r>
          <w:rPr>
            <w:rFonts w:ascii="Arial" w:cs="Arial" w:eastAsia="Arial" w:hAnsi="Arial"/>
            <w:sz w:val="16"/>
            <w:szCs w:val="16"/>
            <w:u w:val="single" w:color="auto"/>
            <w:color w:val="0000FF"/>
          </w:rPr>
          <w:t>Inc. 2014 Omnibus Equity, Performance Award Aw, and Incentive</w:t>
        </w:r>
      </w:hyperlink>
    </w:p>
    <w:p>
      <w:pPr>
        <w:ind w:left="1300"/>
        <w:spacing w:after="0"/>
        <w:rPr>
          <w:rFonts w:ascii="Arial" w:cs="Arial" w:eastAsia="Arial" w:hAnsi="Arial"/>
          <w:sz w:val="16"/>
          <w:szCs w:val="16"/>
          <w:color w:val="0000FF"/>
        </w:rPr>
      </w:pPr>
      <w:hyperlink r:id="rId104">
        <w:r>
          <w:rPr>
            <w:rFonts w:ascii="Arial" w:cs="Arial" w:eastAsia="Arial" w:hAnsi="Arial"/>
            <w:sz w:val="16"/>
            <w:szCs w:val="16"/>
            <w:u w:val="single" w:color="auto"/>
            <w:color w:val="0000FF"/>
          </w:rPr>
          <w:t>Compensation Plan (Fiscal 2019 awards and later).</w:t>
        </w:r>
        <w:r>
          <w:rPr>
            <w:rFonts w:ascii="Arial" w:cs="Arial" w:eastAsia="Arial" w:hAnsi="Arial"/>
            <w:sz w:val="16"/>
            <w:szCs w:val="16"/>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113665</wp:posOffset>
            </wp:positionV>
            <wp:extent cx="6506210" cy="4457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6506210" cy="445770"/>
                    </a:xfrm>
                    <a:prstGeom prst="rect">
                      <a:avLst/>
                    </a:prstGeom>
                    <a:noFill/>
                  </pic:spPr>
                </pic:pic>
              </a:graphicData>
            </a:graphic>
          </wp:anchor>
        </w:drawing>
      </w:r>
    </w:p>
    <w:p>
      <w:pPr>
        <w:spacing w:after="0" w:line="174" w:lineRule="exact"/>
        <w:rPr>
          <w:sz w:val="20"/>
          <w:szCs w:val="20"/>
          <w:color w:val="auto"/>
        </w:rPr>
      </w:pPr>
    </w:p>
    <w:p>
      <w:pPr>
        <w:ind w:left="960" w:right="40" w:firstLine="18"/>
        <w:spacing w:after="0" w:line="211" w:lineRule="auto"/>
        <w:rPr>
          <w:rFonts w:ascii="Arial" w:cs="Arial" w:eastAsia="Arial" w:hAnsi="Arial"/>
          <w:sz w:val="16"/>
          <w:szCs w:val="16"/>
          <w:color w:val="000000"/>
        </w:rPr>
      </w:pPr>
      <w:hyperlink r:id="rId106">
        <w:r>
          <w:rPr>
            <w:rFonts w:ascii="Arial" w:cs="Arial" w:eastAsia="Arial" w:hAnsi="Arial"/>
            <w:sz w:val="16"/>
            <w:szCs w:val="16"/>
            <w:u w:val="single" w:color="auto"/>
            <w:color w:val="0000FF"/>
          </w:rPr>
          <w:t>Form of Restricted Stock Unit Award Agreement (Executives) under Winnebago</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color w:val="000000"/>
          </w:rPr>
          <w:t xml:space="preserve">10k. </w:t>
        </w:r>
        <w:r>
          <w:rPr>
            <w:rFonts w:ascii="Arial" w:cs="Arial" w:eastAsia="Arial" w:hAnsi="Arial"/>
            <w:sz w:val="16"/>
            <w:szCs w:val="16"/>
            <w:u w:val="single" w:color="auto"/>
            <w:color w:val="0000FF"/>
          </w:rPr>
          <w:t>Industries, Inc. 2014 Omnibus Equity, Performance Award, and Incentive</w:t>
        </w:r>
      </w:hyperlink>
    </w:p>
    <w:p>
      <w:pPr>
        <w:ind w:left="1300"/>
        <w:spacing w:after="0"/>
        <w:rPr>
          <w:rFonts w:ascii="Arial" w:cs="Arial" w:eastAsia="Arial" w:hAnsi="Arial"/>
          <w:sz w:val="16"/>
          <w:szCs w:val="16"/>
          <w:color w:val="0000FF"/>
        </w:rPr>
      </w:pPr>
      <w:hyperlink r:id="rId106">
        <w:r>
          <w:rPr>
            <w:rFonts w:ascii="Arial" w:cs="Arial" w:eastAsia="Arial" w:hAnsi="Arial"/>
            <w:sz w:val="16"/>
            <w:szCs w:val="16"/>
            <w:u w:val="single" w:color="auto"/>
            <w:color w:val="0000FF"/>
          </w:rPr>
          <w:t>Compensation Plan (Fiscal 2019 awards and later).</w:t>
        </w:r>
        <w:r>
          <w:rPr>
            <w:rFonts w:ascii="Arial" w:cs="Arial" w:eastAsia="Arial" w:hAnsi="Arial"/>
            <w:sz w:val="16"/>
            <w:szCs w:val="16"/>
            <w:color w:val="3051F2"/>
          </w:rPr>
          <w:t>*</w:t>
        </w:r>
      </w:hyperlink>
    </w:p>
    <w:p>
      <w:pPr>
        <w:spacing w:after="0" w:line="172" w:lineRule="exact"/>
        <w:rPr>
          <w:sz w:val="20"/>
          <w:szCs w:val="20"/>
          <w:color w:val="auto"/>
        </w:rPr>
      </w:pPr>
    </w:p>
    <w:p>
      <w:pPr>
        <w:ind w:left="980"/>
        <w:spacing w:after="0"/>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Form of Performance Stock Unit Agreement under Winnebago Industries, Inc.</w:t>
        </w:r>
      </w:hyperlink>
    </w:p>
    <w:p>
      <w:pPr>
        <w:ind w:left="1000"/>
        <w:spacing w:after="0" w:line="211" w:lineRule="auto"/>
        <w:rPr>
          <w:rFonts w:ascii="Arial" w:cs="Arial" w:eastAsia="Arial" w:hAnsi="Arial"/>
          <w:sz w:val="16"/>
          <w:szCs w:val="16"/>
          <w:color w:val="auto"/>
        </w:rPr>
      </w:pPr>
      <w:hyperlink r:id="rId107">
        <w:r>
          <w:rPr>
            <w:rFonts w:ascii="Arial" w:cs="Arial" w:eastAsia="Arial" w:hAnsi="Arial"/>
            <w:sz w:val="16"/>
            <w:szCs w:val="16"/>
            <w:color w:val="auto"/>
          </w:rPr>
          <w:t xml:space="preserve">10l. </w:t>
        </w:r>
        <w:r>
          <w:rPr>
            <w:rFonts w:ascii="Arial" w:cs="Arial" w:eastAsia="Arial" w:hAnsi="Arial"/>
            <w:sz w:val="16"/>
            <w:szCs w:val="16"/>
            <w:u w:val="single" w:color="auto"/>
            <w:color w:val="0000FF"/>
          </w:rPr>
          <w:t>2014 Omnibus Equity, Performance Award, and Incentive Compensation</w:t>
        </w:r>
      </w:hyperlink>
    </w:p>
    <w:p>
      <w:pPr>
        <w:ind w:left="1300"/>
        <w:spacing w:after="0"/>
        <w:rPr>
          <w:rFonts w:ascii="Arial" w:cs="Arial" w:eastAsia="Arial" w:hAnsi="Arial"/>
          <w:sz w:val="16"/>
          <w:szCs w:val="16"/>
          <w:color w:val="0000FF"/>
        </w:rPr>
      </w:pPr>
      <w:hyperlink r:id="rId107">
        <w:r>
          <w:rPr>
            <w:rFonts w:ascii="Arial" w:cs="Arial" w:eastAsia="Arial" w:hAnsi="Arial"/>
            <w:sz w:val="16"/>
            <w:szCs w:val="16"/>
            <w:u w:val="single" w:color="auto"/>
            <w:color w:val="0000FF"/>
          </w:rPr>
          <w:t>Plan (Fiscal 2019 awards and later).</w:t>
        </w:r>
        <w:r>
          <w:rPr>
            <w:rFonts w:ascii="Arial" w:cs="Arial" w:eastAsia="Arial" w:hAnsi="Arial"/>
            <w:sz w:val="16"/>
            <w:szCs w:val="16"/>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113665</wp:posOffset>
            </wp:positionV>
            <wp:extent cx="6506210" cy="445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6506210" cy="445770"/>
                    </a:xfrm>
                    <a:prstGeom prst="rect">
                      <a:avLst/>
                    </a:prstGeom>
                    <a:noFill/>
                  </pic:spPr>
                </pic:pic>
              </a:graphicData>
            </a:graphic>
          </wp:anchor>
        </w:drawing>
      </w:r>
    </w:p>
    <w:p>
      <w:pPr>
        <w:spacing w:after="0" w:line="174" w:lineRule="exact"/>
        <w:rPr>
          <w:sz w:val="20"/>
          <w:szCs w:val="20"/>
          <w:color w:val="auto"/>
        </w:rPr>
      </w:pPr>
    </w:p>
    <w:p>
      <w:pPr>
        <w:ind w:left="900" w:firstLine="72"/>
        <w:spacing w:after="0" w:line="211" w:lineRule="auto"/>
        <w:rPr>
          <w:rFonts w:ascii="Arial" w:cs="Arial" w:eastAsia="Arial" w:hAnsi="Arial"/>
          <w:sz w:val="16"/>
          <w:szCs w:val="16"/>
          <w:color w:val="000000"/>
        </w:rPr>
      </w:pPr>
      <w:hyperlink r:id="rId109">
        <w:r>
          <w:rPr>
            <w:rFonts w:ascii="Arial" w:cs="Arial" w:eastAsia="Arial" w:hAnsi="Arial"/>
            <w:sz w:val="16"/>
            <w:szCs w:val="16"/>
            <w:u w:val="single" w:color="auto"/>
            <w:color w:val="0000FF"/>
          </w:rPr>
          <w:t>Form of Restricted Stock Unit Award Agreement (Non-Employee Director) under</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color w:val="000000"/>
          </w:rPr>
          <w:t xml:space="preserve">10m. </w:t>
        </w:r>
        <w:r>
          <w:rPr>
            <w:rFonts w:ascii="Arial" w:cs="Arial" w:eastAsia="Arial" w:hAnsi="Arial"/>
            <w:sz w:val="16"/>
            <w:szCs w:val="16"/>
            <w:u w:val="single" w:color="auto"/>
            <w:color w:val="0000FF"/>
          </w:rPr>
          <w:t>Winnebago Industries, Inc. 2014 Omnibus Equity, Performance Award, and</w:t>
        </w:r>
      </w:hyperlink>
    </w:p>
    <w:p>
      <w:pPr>
        <w:ind w:left="1300"/>
        <w:spacing w:after="0"/>
        <w:rPr>
          <w:rFonts w:ascii="Arial" w:cs="Arial" w:eastAsia="Arial" w:hAnsi="Arial"/>
          <w:sz w:val="16"/>
          <w:szCs w:val="16"/>
          <w:color w:val="0000FF"/>
        </w:rPr>
      </w:pPr>
      <w:hyperlink r:id="rId109">
        <w:r>
          <w:rPr>
            <w:rFonts w:ascii="Arial" w:cs="Arial" w:eastAsia="Arial" w:hAnsi="Arial"/>
            <w:sz w:val="16"/>
            <w:szCs w:val="16"/>
            <w:u w:val="single" w:color="auto"/>
            <w:color w:val="0000FF"/>
          </w:rPr>
          <w:t>Incentive Compensation Plan (Fiscal 2019 awards and later).</w:t>
        </w:r>
        <w:r>
          <w:rPr>
            <w:rFonts w:ascii="Arial" w:cs="Arial" w:eastAsia="Arial" w:hAnsi="Arial"/>
            <w:sz w:val="16"/>
            <w:szCs w:val="16"/>
            <w:color w:val="3051F2"/>
          </w:rPr>
          <w:t>*</w:t>
        </w:r>
      </w:hyperlink>
    </w:p>
    <w:p>
      <w:pPr>
        <w:spacing w:after="0" w:line="194" w:lineRule="exact"/>
        <w:rPr>
          <w:sz w:val="20"/>
          <w:szCs w:val="20"/>
          <w:color w:val="auto"/>
        </w:rPr>
      </w:pPr>
    </w:p>
    <w:p>
      <w:pPr>
        <w:ind w:left="940" w:right="560" w:firstLine="27"/>
        <w:spacing w:after="0" w:line="232" w:lineRule="auto"/>
        <w:rPr>
          <w:rFonts w:ascii="Arial" w:cs="Arial" w:eastAsia="Arial" w:hAnsi="Arial"/>
          <w:sz w:val="16"/>
          <w:szCs w:val="16"/>
          <w:color w:val="000000"/>
        </w:rPr>
      </w:pPr>
      <w:hyperlink r:id="rId110">
        <w:r>
          <w:rPr>
            <w:rFonts w:ascii="Arial" w:cs="Arial" w:eastAsia="Arial" w:hAnsi="Arial"/>
            <w:sz w:val="16"/>
            <w:szCs w:val="16"/>
            <w:u w:val="single" w:color="auto"/>
            <w:color w:val="0000FF"/>
          </w:rPr>
          <w:t>Executive Change in Control Agreement dated November 2018 between</w:t>
        </w:r>
      </w:hyperlink>
      <w:r>
        <w:rPr>
          <w:rFonts w:ascii="Arial" w:cs="Arial" w:eastAsia="Arial" w:hAnsi="Arial"/>
          <w:sz w:val="16"/>
          <w:szCs w:val="16"/>
          <w:u w:val="single" w:color="auto"/>
          <w:color w:val="0000FF"/>
        </w:rPr>
        <w:t xml:space="preserve"> </w:t>
      </w:r>
      <w:hyperlink r:id="rId110">
        <w:r>
          <w:rPr>
            <w:rFonts w:ascii="Arial" w:cs="Arial" w:eastAsia="Arial" w:hAnsi="Arial"/>
            <w:sz w:val="16"/>
            <w:szCs w:val="16"/>
            <w:color w:val="000000"/>
          </w:rPr>
          <w:t xml:space="preserve">10n. </w:t>
        </w:r>
        <w:r>
          <w:rPr>
            <w:rFonts w:ascii="Arial" w:cs="Arial" w:eastAsia="Arial" w:hAnsi="Arial"/>
            <w:sz w:val="16"/>
            <w:szCs w:val="16"/>
            <w:u w:val="single" w:color="auto"/>
            <w:color w:val="0000FF"/>
          </w:rPr>
          <w:t>Winnebago Industries, Inc. and Michael J. Happe.*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50621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spacing w:after="0" w:line="61" w:lineRule="exact"/>
        <w:rPr>
          <w:sz w:val="20"/>
          <w:szCs w:val="20"/>
          <w:color w:val="auto"/>
        </w:rPr>
      </w:pPr>
    </w:p>
    <w:p>
      <w:pPr>
        <w:ind w:left="980"/>
        <w:spacing w:after="0"/>
        <w:rPr>
          <w:rFonts w:ascii="Arial" w:cs="Arial" w:eastAsia="Arial" w:hAnsi="Arial"/>
          <w:sz w:val="16"/>
          <w:szCs w:val="16"/>
          <w:color w:val="0000FF"/>
        </w:rPr>
      </w:pPr>
      <w:hyperlink r:id="rId112">
        <w:r>
          <w:rPr>
            <w:rFonts w:ascii="Arial" w:cs="Arial" w:eastAsia="Arial" w:hAnsi="Arial"/>
            <w:sz w:val="16"/>
            <w:szCs w:val="16"/>
            <w:u w:val="single" w:color="auto"/>
            <w:color w:val="0000FF"/>
          </w:rPr>
          <w:t>Form of Change in Control Agreemen</w:t>
        </w:r>
        <w:r>
          <w:rPr>
            <w:rFonts w:ascii="Arial" w:cs="Arial" w:eastAsia="Arial" w:hAnsi="Arial"/>
            <w:sz w:val="16"/>
            <w:szCs w:val="16"/>
            <w:u w:val="single" w:color="auto"/>
            <w:color w:val="3051F2"/>
          </w:rPr>
          <w:t>t.</w:t>
        </w:r>
      </w:hyperlink>
      <w:r>
        <w:rPr>
          <w:rFonts w:ascii="Arial" w:cs="Arial" w:eastAsia="Arial" w:hAnsi="Arial"/>
          <w:sz w:val="16"/>
          <w:szCs w:val="16"/>
          <w:color w:val="3051F2"/>
        </w:rPr>
        <w:t>*</w:t>
      </w:r>
      <w:r>
        <w:rPr>
          <w:rFonts w:ascii="Arial" w:cs="Arial" w:eastAsia="Arial" w:hAnsi="Arial"/>
          <w:sz w:val="16"/>
          <w:szCs w:val="16"/>
          <w:color w:val="000000"/>
        </w:rPr>
        <w:t>*</w:t>
      </w:r>
    </w:p>
    <w:p>
      <w:pPr>
        <w:ind w:left="940"/>
        <w:spacing w:after="0"/>
        <w:rPr>
          <w:sz w:val="20"/>
          <w:szCs w:val="20"/>
          <w:color w:val="auto"/>
        </w:rPr>
      </w:pPr>
      <w:r>
        <w:rPr>
          <w:rFonts w:ascii="Arial" w:cs="Arial" w:eastAsia="Arial" w:hAnsi="Arial"/>
          <w:sz w:val="16"/>
          <w:szCs w:val="16"/>
          <w:color w:val="auto"/>
        </w:rPr>
        <w:t>10o.</w:t>
      </w:r>
    </w:p>
    <w:p>
      <w:pPr>
        <w:spacing w:after="0" w:line="113" w:lineRule="exact"/>
        <w:rPr>
          <w:sz w:val="20"/>
          <w:szCs w:val="20"/>
          <w:color w:val="auto"/>
        </w:rPr>
      </w:pPr>
    </w:p>
    <w:p>
      <w:pPr>
        <w:ind w:left="940" w:right="740" w:firstLine="27"/>
        <w:spacing w:after="0"/>
        <w:rPr>
          <w:rFonts w:ascii="Arial" w:cs="Arial" w:eastAsia="Arial" w:hAnsi="Arial"/>
          <w:sz w:val="15"/>
          <w:szCs w:val="15"/>
          <w:u w:val="single" w:color="auto"/>
          <w:color w:val="0000FF"/>
        </w:rPr>
      </w:pPr>
      <w:hyperlink r:id="rId113">
        <w:r>
          <w:rPr>
            <w:rFonts w:ascii="Arial" w:cs="Arial" w:eastAsia="Arial" w:hAnsi="Arial"/>
            <w:sz w:val="15"/>
            <w:szCs w:val="15"/>
            <w:u w:val="single" w:color="auto"/>
            <w:color w:val="0000FF"/>
          </w:rPr>
          <w:t>Winnebago Industries, Inc. Supplemental Executive Retirement Plan.*</w:t>
        </w:r>
      </w:hyperlink>
      <w:r>
        <w:rPr>
          <w:rFonts w:ascii="Arial" w:cs="Arial" w:eastAsia="Arial" w:hAnsi="Arial"/>
          <w:sz w:val="15"/>
          <w:szCs w:val="15"/>
          <w:u w:val="single" w:color="auto"/>
          <w:color w:val="0000FF"/>
        </w:rPr>
        <w:t xml:space="preserve"> </w:t>
      </w:r>
      <w:r>
        <w:rPr>
          <w:rFonts w:ascii="Arial" w:cs="Arial" w:eastAsia="Arial" w:hAnsi="Arial"/>
          <w:sz w:val="15"/>
          <w:szCs w:val="15"/>
          <w:color w:val="000000"/>
        </w:rPr>
        <w:t>10p.</w:t>
      </w:r>
    </w:p>
    <w:p>
      <w:pPr>
        <w:spacing w:after="0" w:line="206" w:lineRule="exact"/>
        <w:rPr>
          <w:sz w:val="20"/>
          <w:szCs w:val="20"/>
          <w:color w:val="auto"/>
        </w:rPr>
      </w:pPr>
    </w:p>
    <w:p>
      <w:pPr>
        <w:ind w:left="940" w:right="220" w:firstLine="27"/>
        <w:spacing w:after="0" w:line="183" w:lineRule="auto"/>
        <w:rPr>
          <w:rFonts w:ascii="Arial" w:cs="Arial" w:eastAsia="Arial" w:hAnsi="Arial"/>
          <w:sz w:val="15"/>
          <w:szCs w:val="15"/>
          <w:color w:val="0000FF"/>
        </w:rPr>
      </w:pPr>
      <w:hyperlink r:id="rId114">
        <w:r>
          <w:rPr>
            <w:rFonts w:ascii="Arial" w:cs="Arial" w:eastAsia="Arial" w:hAnsi="Arial"/>
            <w:sz w:val="15"/>
            <w:szCs w:val="15"/>
            <w:u w:val="single" w:color="auto"/>
            <w:color w:val="0000FF"/>
          </w:rPr>
          <w:t>Winnebago Industries, Inc. Executive Incentive Compensation Plan for Fiscal</w:t>
        </w:r>
      </w:hyperlink>
      <w:r>
        <w:rPr>
          <w:rFonts w:ascii="Arial" w:cs="Arial" w:eastAsia="Arial" w:hAnsi="Arial"/>
          <w:sz w:val="15"/>
          <w:szCs w:val="15"/>
          <w:u w:val="single" w:color="auto"/>
          <w:color w:val="0000FF"/>
        </w:rPr>
        <w:t xml:space="preserve"> </w:t>
      </w:r>
      <w:hyperlink r:id="rId114">
        <w:r>
          <w:rPr>
            <w:rFonts w:ascii="Arial" w:cs="Arial" w:eastAsia="Arial" w:hAnsi="Arial"/>
            <w:sz w:val="28"/>
            <w:szCs w:val="28"/>
            <w:color w:val="000000"/>
            <w:vertAlign w:val="superscript"/>
          </w:rPr>
          <w:t>10q.</w:t>
        </w:r>
        <w:r>
          <w:rPr>
            <w:rFonts w:ascii="Arial" w:cs="Arial" w:eastAsia="Arial" w:hAnsi="Arial"/>
            <w:sz w:val="15"/>
            <w:szCs w:val="15"/>
            <w:color w:val="0000FF"/>
          </w:rPr>
          <w:t xml:space="preserve"> </w:t>
        </w:r>
        <w:r>
          <w:rPr>
            <w:rFonts w:ascii="Arial" w:cs="Arial" w:eastAsia="Arial" w:hAnsi="Arial"/>
            <w:sz w:val="15"/>
            <w:szCs w:val="15"/>
            <w:u w:val="single" w:color="auto"/>
            <w:color w:val="0000FF"/>
          </w:rPr>
          <w:t>Period 2021 and later.*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506210"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ind w:left="980"/>
        <w:spacing w:after="0" w:line="212" w:lineRule="auto"/>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Form of Performance Stock Unit Agreement under Winnebago Industries, Inc.</w:t>
        </w:r>
      </w:hyperlink>
    </w:p>
    <w:p>
      <w:pPr>
        <w:ind w:left="980"/>
        <w:spacing w:after="0" w:line="184" w:lineRule="auto"/>
        <w:rPr>
          <w:rFonts w:ascii="Arial" w:cs="Arial" w:eastAsia="Arial" w:hAnsi="Arial"/>
          <w:sz w:val="13"/>
          <w:szCs w:val="13"/>
          <w:color w:val="0000FF"/>
        </w:rPr>
      </w:pPr>
      <w:hyperlink r:id="rId116">
        <w:r>
          <w:rPr>
            <w:rFonts w:ascii="Arial" w:cs="Arial" w:eastAsia="Arial" w:hAnsi="Arial"/>
            <w:sz w:val="24"/>
            <w:szCs w:val="24"/>
            <w:color w:val="000000"/>
            <w:vertAlign w:val="superscript"/>
          </w:rPr>
          <w:t>10r.</w:t>
        </w:r>
        <w:r>
          <w:rPr>
            <w:rFonts w:ascii="Arial" w:cs="Arial" w:eastAsia="Arial" w:hAnsi="Arial"/>
            <w:sz w:val="13"/>
            <w:szCs w:val="13"/>
            <w:color w:val="0000FF"/>
          </w:rPr>
          <w:t xml:space="preserve"> </w:t>
        </w:r>
        <w:r>
          <w:rPr>
            <w:rFonts w:ascii="Arial" w:cs="Arial" w:eastAsia="Arial" w:hAnsi="Arial"/>
            <w:sz w:val="13"/>
            <w:szCs w:val="13"/>
            <w:u w:val="single" w:color="auto"/>
            <w:color w:val="0000FF"/>
          </w:rPr>
          <w:t>2019 Omnibus Incentive Plan (Special FY21 1-year award).*</w:t>
        </w:r>
      </w:hyperlink>
    </w:p>
    <w:p>
      <w:pPr>
        <w:ind w:left="980"/>
        <w:spacing w:after="0" w:line="217" w:lineRule="auto"/>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Form of Performance Stock Unit Agreement under Winnebago Industries, Inc.</w:t>
        </w:r>
      </w:hyperlink>
    </w:p>
    <w:p>
      <w:pPr>
        <w:ind w:left="960"/>
        <w:spacing w:after="0" w:line="184" w:lineRule="auto"/>
        <w:rPr>
          <w:rFonts w:ascii="Arial" w:cs="Arial" w:eastAsia="Arial" w:hAnsi="Arial"/>
          <w:sz w:val="13"/>
          <w:szCs w:val="13"/>
          <w:color w:val="0000FF"/>
        </w:rPr>
      </w:pPr>
      <w:hyperlink r:id="rId117">
        <w:r>
          <w:rPr>
            <w:rFonts w:ascii="Arial" w:cs="Arial" w:eastAsia="Arial" w:hAnsi="Arial"/>
            <w:sz w:val="24"/>
            <w:szCs w:val="24"/>
            <w:color w:val="000000"/>
            <w:vertAlign w:val="superscript"/>
          </w:rPr>
          <w:t>10s.</w:t>
        </w:r>
        <w:r>
          <w:rPr>
            <w:rFonts w:ascii="Arial" w:cs="Arial" w:eastAsia="Arial" w:hAnsi="Arial"/>
            <w:sz w:val="13"/>
            <w:szCs w:val="13"/>
            <w:color w:val="0000FF"/>
          </w:rPr>
          <w:t xml:space="preserve"> </w:t>
        </w:r>
        <w:r>
          <w:rPr>
            <w:rFonts w:ascii="Arial" w:cs="Arial" w:eastAsia="Arial" w:hAnsi="Arial"/>
            <w:sz w:val="13"/>
            <w:szCs w:val="13"/>
            <w:u w:val="single" w:color="auto"/>
            <w:color w:val="0000FF"/>
          </w:rPr>
          <w:t>2019 Omnibus Incentive Plan (Fiscal 2021 awards)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50621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ind w:left="980"/>
        <w:spacing w:after="0" w:line="217" w:lineRule="auto"/>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Form of Performance Stock Unit Agreement under Winnebago Industries, Inc.</w:t>
        </w:r>
      </w:hyperlink>
    </w:p>
    <w:p>
      <w:pPr>
        <w:ind w:left="980"/>
        <w:spacing w:after="0" w:line="184" w:lineRule="auto"/>
        <w:rPr>
          <w:rFonts w:ascii="Arial" w:cs="Arial" w:eastAsia="Arial" w:hAnsi="Arial"/>
          <w:sz w:val="13"/>
          <w:szCs w:val="13"/>
          <w:color w:val="0000FF"/>
        </w:rPr>
      </w:pPr>
      <w:hyperlink w:anchor="page74">
        <w:r>
          <w:rPr>
            <w:rFonts w:ascii="Arial" w:cs="Arial" w:eastAsia="Arial" w:hAnsi="Arial"/>
            <w:sz w:val="24"/>
            <w:szCs w:val="24"/>
            <w:color w:val="000000"/>
            <w:vertAlign w:val="superscript"/>
          </w:rPr>
          <w:t>10t.</w:t>
        </w:r>
        <w:r>
          <w:rPr>
            <w:rFonts w:ascii="Arial" w:cs="Arial" w:eastAsia="Arial" w:hAnsi="Arial"/>
            <w:sz w:val="13"/>
            <w:szCs w:val="13"/>
            <w:color w:val="0000FF"/>
          </w:rPr>
          <w:t xml:space="preserve"> </w:t>
        </w:r>
        <w:r>
          <w:rPr>
            <w:rFonts w:ascii="Arial" w:cs="Arial" w:eastAsia="Arial" w:hAnsi="Arial"/>
            <w:sz w:val="13"/>
            <w:szCs w:val="13"/>
            <w:u w:val="single" w:color="auto"/>
            <w:color w:val="0000FF"/>
          </w:rPr>
          <w:t>2019 Omnibus Incentive Plan (Fiscal 2022 awards)</w:t>
        </w:r>
      </w:hyperlink>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99.2</w:t>
            </w:r>
          </w:p>
        </w:tc>
        <w:tc>
          <w:tcPr>
            <w:tcW w:w="1000" w:type="dxa"/>
            <w:vAlign w:val="bottom"/>
          </w:tcPr>
          <w:p>
            <w:pPr>
              <w:jc w:val="right"/>
              <w:spacing w:after="0"/>
              <w:rPr>
                <w:sz w:val="20"/>
                <w:szCs w:val="20"/>
                <w:color w:val="auto"/>
              </w:rPr>
            </w:pPr>
            <w:r>
              <w:rPr>
                <w:rFonts w:ascii="Arial" w:cs="Arial" w:eastAsia="Arial" w:hAnsi="Arial"/>
                <w:sz w:val="16"/>
                <w:szCs w:val="16"/>
                <w:color w:val="auto"/>
              </w:rPr>
              <w:t>10/20/2017</w:t>
            </w:r>
          </w:p>
        </w:tc>
      </w:tr>
      <w:tr>
        <w:trPr>
          <w:trHeight w:val="621"/>
        </w:trPr>
        <w:tc>
          <w:tcPr>
            <w:tcW w:w="600" w:type="dxa"/>
            <w:vAlign w:val="bottom"/>
          </w:tcPr>
          <w:p>
            <w:pPr>
              <w:jc w:val="right"/>
              <w:ind w:right="159"/>
              <w:spacing w:after="0"/>
              <w:rPr>
                <w:sz w:val="20"/>
                <w:szCs w:val="20"/>
                <w:color w:val="auto"/>
              </w:rPr>
            </w:pPr>
            <w:r>
              <w:rPr>
                <w:rFonts w:ascii="Arial" w:cs="Arial" w:eastAsia="Arial" w:hAnsi="Arial"/>
                <w:sz w:val="16"/>
                <w:szCs w:val="16"/>
                <w:color w:val="auto"/>
                <w:w w:val="95"/>
              </w:rPr>
              <w:t>10-Q</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10.b</w:t>
            </w:r>
          </w:p>
        </w:tc>
        <w:tc>
          <w:tcPr>
            <w:tcW w:w="1000" w:type="dxa"/>
            <w:vAlign w:val="bottom"/>
          </w:tcPr>
          <w:p>
            <w:pPr>
              <w:jc w:val="right"/>
              <w:spacing w:after="0"/>
              <w:rPr>
                <w:sz w:val="20"/>
                <w:szCs w:val="20"/>
                <w:color w:val="auto"/>
              </w:rPr>
            </w:pPr>
            <w:r>
              <w:rPr>
                <w:rFonts w:ascii="Arial" w:cs="Arial" w:eastAsia="Arial" w:hAnsi="Arial"/>
                <w:sz w:val="16"/>
                <w:szCs w:val="16"/>
                <w:color w:val="auto"/>
              </w:rPr>
              <w:t>12/20/2018</w:t>
            </w:r>
          </w:p>
        </w:tc>
      </w:tr>
      <w:tr>
        <w:trPr>
          <w:trHeight w:val="702"/>
        </w:trPr>
        <w:tc>
          <w:tcPr>
            <w:tcW w:w="600" w:type="dxa"/>
            <w:vAlign w:val="bottom"/>
          </w:tcPr>
          <w:p>
            <w:pPr>
              <w:jc w:val="right"/>
              <w:ind w:right="159"/>
              <w:spacing w:after="0"/>
              <w:rPr>
                <w:sz w:val="20"/>
                <w:szCs w:val="20"/>
                <w:color w:val="auto"/>
              </w:rPr>
            </w:pPr>
            <w:r>
              <w:rPr>
                <w:rFonts w:ascii="Arial" w:cs="Arial" w:eastAsia="Arial" w:hAnsi="Arial"/>
                <w:sz w:val="16"/>
                <w:szCs w:val="16"/>
                <w:color w:val="auto"/>
                <w:w w:val="95"/>
              </w:rPr>
              <w:t>10-Q</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10.c</w:t>
            </w:r>
          </w:p>
        </w:tc>
        <w:tc>
          <w:tcPr>
            <w:tcW w:w="1000" w:type="dxa"/>
            <w:vAlign w:val="bottom"/>
          </w:tcPr>
          <w:p>
            <w:pPr>
              <w:jc w:val="right"/>
              <w:spacing w:after="0"/>
              <w:rPr>
                <w:sz w:val="20"/>
                <w:szCs w:val="20"/>
                <w:color w:val="auto"/>
              </w:rPr>
            </w:pPr>
            <w:r>
              <w:rPr>
                <w:rFonts w:ascii="Arial" w:cs="Arial" w:eastAsia="Arial" w:hAnsi="Arial"/>
                <w:sz w:val="16"/>
                <w:szCs w:val="16"/>
                <w:color w:val="auto"/>
              </w:rPr>
              <w:t>12/20/2018</w:t>
            </w:r>
          </w:p>
        </w:tc>
      </w:tr>
      <w:tr>
        <w:trPr>
          <w:trHeight w:val="702"/>
        </w:trPr>
        <w:tc>
          <w:tcPr>
            <w:tcW w:w="600" w:type="dxa"/>
            <w:vAlign w:val="bottom"/>
          </w:tcPr>
          <w:p>
            <w:pPr>
              <w:jc w:val="right"/>
              <w:ind w:right="159"/>
              <w:spacing w:after="0"/>
              <w:rPr>
                <w:sz w:val="20"/>
                <w:szCs w:val="20"/>
                <w:color w:val="auto"/>
              </w:rPr>
            </w:pPr>
            <w:r>
              <w:rPr>
                <w:rFonts w:ascii="Arial" w:cs="Arial" w:eastAsia="Arial" w:hAnsi="Arial"/>
                <w:sz w:val="16"/>
                <w:szCs w:val="16"/>
                <w:color w:val="auto"/>
                <w:w w:val="95"/>
              </w:rPr>
              <w:t>10-Q</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10.d</w:t>
            </w:r>
          </w:p>
        </w:tc>
        <w:tc>
          <w:tcPr>
            <w:tcW w:w="1000" w:type="dxa"/>
            <w:vAlign w:val="bottom"/>
          </w:tcPr>
          <w:p>
            <w:pPr>
              <w:jc w:val="right"/>
              <w:spacing w:after="0"/>
              <w:rPr>
                <w:sz w:val="20"/>
                <w:szCs w:val="20"/>
                <w:color w:val="auto"/>
              </w:rPr>
            </w:pPr>
            <w:r>
              <w:rPr>
                <w:rFonts w:ascii="Arial" w:cs="Arial" w:eastAsia="Arial" w:hAnsi="Arial"/>
                <w:sz w:val="16"/>
                <w:szCs w:val="16"/>
                <w:color w:val="auto"/>
              </w:rPr>
              <w:t>12/20/2018</w:t>
            </w:r>
          </w:p>
        </w:tc>
      </w:tr>
      <w:tr>
        <w:trPr>
          <w:trHeight w:val="702"/>
        </w:trPr>
        <w:tc>
          <w:tcPr>
            <w:tcW w:w="600" w:type="dxa"/>
            <w:vAlign w:val="bottom"/>
          </w:tcPr>
          <w:p>
            <w:pPr>
              <w:jc w:val="right"/>
              <w:ind w:right="159"/>
              <w:spacing w:after="0"/>
              <w:rPr>
                <w:sz w:val="20"/>
                <w:szCs w:val="20"/>
                <w:color w:val="auto"/>
              </w:rPr>
            </w:pPr>
            <w:r>
              <w:rPr>
                <w:rFonts w:ascii="Arial" w:cs="Arial" w:eastAsia="Arial" w:hAnsi="Arial"/>
                <w:sz w:val="16"/>
                <w:szCs w:val="16"/>
                <w:color w:val="auto"/>
                <w:w w:val="95"/>
              </w:rPr>
              <w:t>10-Q</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10.e</w:t>
            </w:r>
          </w:p>
        </w:tc>
        <w:tc>
          <w:tcPr>
            <w:tcW w:w="1000" w:type="dxa"/>
            <w:vAlign w:val="bottom"/>
          </w:tcPr>
          <w:p>
            <w:pPr>
              <w:jc w:val="right"/>
              <w:spacing w:after="0"/>
              <w:rPr>
                <w:sz w:val="20"/>
                <w:szCs w:val="20"/>
                <w:color w:val="auto"/>
              </w:rPr>
            </w:pPr>
            <w:r>
              <w:rPr>
                <w:rFonts w:ascii="Arial" w:cs="Arial" w:eastAsia="Arial" w:hAnsi="Arial"/>
                <w:sz w:val="16"/>
                <w:szCs w:val="16"/>
                <w:color w:val="auto"/>
              </w:rPr>
              <w:t>12/20/2018</w:t>
            </w:r>
          </w:p>
        </w:tc>
      </w:tr>
      <w:tr>
        <w:trPr>
          <w:trHeight w:val="621"/>
        </w:trPr>
        <w:tc>
          <w:tcPr>
            <w:tcW w:w="600" w:type="dxa"/>
            <w:vAlign w:val="bottom"/>
          </w:tcPr>
          <w:p>
            <w:pPr>
              <w:jc w:val="right"/>
              <w:ind w:right="159"/>
              <w:spacing w:after="0"/>
              <w:rPr>
                <w:sz w:val="20"/>
                <w:szCs w:val="20"/>
                <w:color w:val="auto"/>
              </w:rPr>
            </w:pPr>
            <w:r>
              <w:rPr>
                <w:rFonts w:ascii="Arial" w:cs="Arial" w:eastAsia="Arial" w:hAnsi="Arial"/>
                <w:sz w:val="16"/>
                <w:szCs w:val="16"/>
                <w:color w:val="auto"/>
              </w:rPr>
              <w:t>10-K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10p</w:t>
            </w:r>
          </w:p>
        </w:tc>
        <w:tc>
          <w:tcPr>
            <w:tcW w:w="1000" w:type="dxa"/>
            <w:vAlign w:val="bottom"/>
          </w:tcPr>
          <w:p>
            <w:pPr>
              <w:jc w:val="right"/>
              <w:spacing w:after="0"/>
              <w:rPr>
                <w:sz w:val="20"/>
                <w:szCs w:val="20"/>
                <w:color w:val="auto"/>
              </w:rPr>
            </w:pPr>
            <w:r>
              <w:rPr>
                <w:rFonts w:ascii="Arial" w:cs="Arial" w:eastAsia="Arial" w:hAnsi="Arial"/>
                <w:sz w:val="16"/>
                <w:szCs w:val="16"/>
                <w:color w:val="auto"/>
              </w:rPr>
              <w:t>10/23/2019</w:t>
            </w:r>
          </w:p>
        </w:tc>
      </w:tr>
      <w:tr>
        <w:trPr>
          <w:trHeight w:val="459"/>
        </w:trPr>
        <w:tc>
          <w:tcPr>
            <w:tcW w:w="600" w:type="dxa"/>
            <w:vAlign w:val="bottom"/>
          </w:tcPr>
          <w:p>
            <w:pPr>
              <w:jc w:val="right"/>
              <w:ind w:right="159"/>
              <w:spacing w:after="0"/>
              <w:rPr>
                <w:sz w:val="20"/>
                <w:szCs w:val="20"/>
                <w:color w:val="auto"/>
              </w:rPr>
            </w:pPr>
            <w:r>
              <w:rPr>
                <w:rFonts w:ascii="Arial" w:cs="Arial" w:eastAsia="Arial" w:hAnsi="Arial"/>
                <w:sz w:val="16"/>
                <w:szCs w:val="16"/>
                <w:color w:val="auto"/>
                <w:w w:val="95"/>
              </w:rPr>
              <w:t>10-Q</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10.f</w:t>
            </w:r>
          </w:p>
        </w:tc>
        <w:tc>
          <w:tcPr>
            <w:tcW w:w="1000" w:type="dxa"/>
            <w:vAlign w:val="bottom"/>
          </w:tcPr>
          <w:p>
            <w:pPr>
              <w:jc w:val="right"/>
              <w:spacing w:after="0"/>
              <w:rPr>
                <w:sz w:val="20"/>
                <w:szCs w:val="20"/>
                <w:color w:val="auto"/>
              </w:rPr>
            </w:pPr>
            <w:r>
              <w:rPr>
                <w:rFonts w:ascii="Arial" w:cs="Arial" w:eastAsia="Arial" w:hAnsi="Arial"/>
                <w:sz w:val="16"/>
                <w:szCs w:val="16"/>
                <w:color w:val="auto"/>
              </w:rPr>
              <w:t>12/20/2018</w:t>
            </w:r>
          </w:p>
        </w:tc>
      </w:tr>
      <w:tr>
        <w:trPr>
          <w:trHeight w:val="378"/>
        </w:trPr>
        <w:tc>
          <w:tcPr>
            <w:tcW w:w="600" w:type="dxa"/>
            <w:vAlign w:val="bottom"/>
          </w:tcPr>
          <w:p>
            <w:pPr>
              <w:jc w:val="right"/>
              <w:ind w:right="159"/>
              <w:spacing w:after="0"/>
              <w:rPr>
                <w:sz w:val="20"/>
                <w:szCs w:val="20"/>
                <w:color w:val="auto"/>
              </w:rPr>
            </w:pPr>
            <w:r>
              <w:rPr>
                <w:rFonts w:ascii="Arial" w:cs="Arial" w:eastAsia="Arial" w:hAnsi="Arial"/>
                <w:sz w:val="16"/>
                <w:szCs w:val="16"/>
                <w:color w:val="auto"/>
              </w:rPr>
              <w:t>10-K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10.Z</w:t>
            </w:r>
          </w:p>
        </w:tc>
        <w:tc>
          <w:tcPr>
            <w:tcW w:w="1000" w:type="dxa"/>
            <w:vAlign w:val="bottom"/>
          </w:tcPr>
          <w:p>
            <w:pPr>
              <w:jc w:val="right"/>
              <w:spacing w:after="0"/>
              <w:rPr>
                <w:sz w:val="20"/>
                <w:szCs w:val="20"/>
                <w:color w:val="auto"/>
              </w:rPr>
            </w:pPr>
            <w:r>
              <w:rPr>
                <w:rFonts w:ascii="Arial" w:cs="Arial" w:eastAsia="Arial" w:hAnsi="Arial"/>
                <w:sz w:val="16"/>
                <w:szCs w:val="16"/>
                <w:color w:val="auto"/>
              </w:rPr>
              <w:t>10/27/2009</w:t>
            </w:r>
          </w:p>
        </w:tc>
      </w:tr>
      <w:tr>
        <w:trPr>
          <w:trHeight w:val="378"/>
        </w:trPr>
        <w:tc>
          <w:tcPr>
            <w:tcW w:w="600" w:type="dxa"/>
            <w:vAlign w:val="bottom"/>
          </w:tcPr>
          <w:p>
            <w:pPr>
              <w:jc w:val="right"/>
              <w:ind w:right="159"/>
              <w:spacing w:after="0"/>
              <w:rPr>
                <w:sz w:val="20"/>
                <w:szCs w:val="20"/>
                <w:color w:val="auto"/>
              </w:rPr>
            </w:pPr>
            <w:r>
              <w:rPr>
                <w:rFonts w:ascii="Arial" w:cs="Arial" w:eastAsia="Arial" w:hAnsi="Arial"/>
                <w:sz w:val="16"/>
                <w:szCs w:val="16"/>
                <w:color w:val="auto"/>
              </w:rPr>
              <w:t>10-K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10q</w:t>
            </w:r>
          </w:p>
        </w:tc>
        <w:tc>
          <w:tcPr>
            <w:tcW w:w="1000" w:type="dxa"/>
            <w:vAlign w:val="bottom"/>
          </w:tcPr>
          <w:p>
            <w:pPr>
              <w:jc w:val="right"/>
              <w:spacing w:after="0"/>
              <w:rPr>
                <w:sz w:val="20"/>
                <w:szCs w:val="20"/>
                <w:color w:val="auto"/>
              </w:rPr>
            </w:pPr>
            <w:r>
              <w:rPr>
                <w:rFonts w:ascii="Arial" w:cs="Arial" w:eastAsia="Arial" w:hAnsi="Arial"/>
                <w:sz w:val="16"/>
                <w:szCs w:val="16"/>
                <w:color w:val="auto"/>
              </w:rPr>
              <w:t>10/21/2020</w:t>
            </w:r>
          </w:p>
        </w:tc>
      </w:tr>
      <w:tr>
        <w:trPr>
          <w:trHeight w:val="378"/>
        </w:trPr>
        <w:tc>
          <w:tcPr>
            <w:tcW w:w="600" w:type="dxa"/>
            <w:vAlign w:val="bottom"/>
          </w:tcPr>
          <w:p>
            <w:pPr>
              <w:jc w:val="right"/>
              <w:ind w:right="159"/>
              <w:spacing w:after="0"/>
              <w:rPr>
                <w:sz w:val="20"/>
                <w:szCs w:val="20"/>
                <w:color w:val="auto"/>
              </w:rPr>
            </w:pPr>
            <w:r>
              <w:rPr>
                <w:rFonts w:ascii="Arial" w:cs="Arial" w:eastAsia="Arial" w:hAnsi="Arial"/>
                <w:sz w:val="16"/>
                <w:szCs w:val="16"/>
                <w:color w:val="auto"/>
              </w:rPr>
              <w:t>10-K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10r</w:t>
            </w:r>
          </w:p>
        </w:tc>
        <w:tc>
          <w:tcPr>
            <w:tcW w:w="1000" w:type="dxa"/>
            <w:vAlign w:val="bottom"/>
          </w:tcPr>
          <w:p>
            <w:pPr>
              <w:jc w:val="right"/>
              <w:spacing w:after="0"/>
              <w:rPr>
                <w:sz w:val="20"/>
                <w:szCs w:val="20"/>
                <w:color w:val="auto"/>
              </w:rPr>
            </w:pPr>
            <w:r>
              <w:rPr>
                <w:rFonts w:ascii="Arial" w:cs="Arial" w:eastAsia="Arial" w:hAnsi="Arial"/>
                <w:sz w:val="16"/>
                <w:szCs w:val="16"/>
                <w:color w:val="auto"/>
              </w:rPr>
              <w:t>10/21/2020</w:t>
            </w:r>
          </w:p>
        </w:tc>
      </w:tr>
      <w:tr>
        <w:trPr>
          <w:trHeight w:val="378"/>
        </w:trPr>
        <w:tc>
          <w:tcPr>
            <w:tcW w:w="600" w:type="dxa"/>
            <w:vAlign w:val="bottom"/>
          </w:tcPr>
          <w:p>
            <w:pPr>
              <w:jc w:val="right"/>
              <w:ind w:right="159"/>
              <w:spacing w:after="0"/>
              <w:rPr>
                <w:sz w:val="20"/>
                <w:szCs w:val="20"/>
                <w:color w:val="auto"/>
              </w:rPr>
            </w:pPr>
            <w:r>
              <w:rPr>
                <w:rFonts w:ascii="Arial" w:cs="Arial" w:eastAsia="Arial" w:hAnsi="Arial"/>
                <w:sz w:val="16"/>
                <w:szCs w:val="16"/>
                <w:color w:val="auto"/>
              </w:rPr>
              <w:t>10-K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10s</w:t>
            </w:r>
          </w:p>
        </w:tc>
        <w:tc>
          <w:tcPr>
            <w:tcW w:w="1000" w:type="dxa"/>
            <w:vAlign w:val="bottom"/>
          </w:tcPr>
          <w:p>
            <w:pPr>
              <w:jc w:val="right"/>
              <w:spacing w:after="0"/>
              <w:rPr>
                <w:sz w:val="20"/>
                <w:szCs w:val="20"/>
                <w:color w:val="auto"/>
              </w:rPr>
            </w:pPr>
            <w:r>
              <w:rPr>
                <w:rFonts w:ascii="Arial" w:cs="Arial" w:eastAsia="Arial" w:hAnsi="Arial"/>
                <w:sz w:val="16"/>
                <w:szCs w:val="16"/>
                <w:color w:val="auto"/>
              </w:rPr>
              <w:t>10/21/2020</w:t>
            </w:r>
          </w:p>
        </w:tc>
      </w:tr>
    </w:tbl>
    <w:p>
      <w:pPr>
        <w:spacing w:after="0" w:line="183"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X</w:t>
      </w:r>
    </w:p>
    <w:p>
      <w:pPr>
        <w:spacing w:after="0" w:line="308" w:lineRule="exact"/>
        <w:rPr>
          <w:sz w:val="20"/>
          <w:szCs w:val="20"/>
          <w:color w:val="auto"/>
        </w:rPr>
      </w:pPr>
    </w:p>
    <w:p>
      <w:pPr>
        <w:sectPr>
          <w:pgSz w:w="11900" w:h="16838" w:orient="portrait"/>
          <w:cols w:equalWidth="0" w:num="2">
            <w:col w:w="6720" w:space="480"/>
            <w:col w:w="3380"/>
          </w:cols>
          <w:pgMar w:left="320" w:top="141" w:right="99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41" w:right="999" w:bottom="1440" w:gutter="0" w:footer="0" w:header="0"/>
          <w:type w:val="continuous"/>
        </w:sectPr>
      </w:pPr>
    </w:p>
    <w:bookmarkStart w:id="65" w:name="page66"/>
    <w:bookmarkEnd w:id="65"/>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ectPr>
          <w:pgSz w:w="11900" w:h="16838" w:orient="portrait"/>
          <w:cols w:equalWidth="0" w:num="1">
            <w:col w:w="10580"/>
          </w:cols>
          <w:pgMar w:left="320" w:top="14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 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506210" cy="12084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6506210" cy="1208405"/>
                    </a:xfrm>
                    <a:prstGeom prst="rect">
                      <a:avLst/>
                    </a:prstGeom>
                    <a:noFill/>
                  </pic:spPr>
                </pic:pic>
              </a:graphicData>
            </a:graphic>
          </wp:anchor>
        </w:drawing>
      </w:r>
    </w:p>
    <w:p>
      <w:pPr>
        <w:spacing w:after="0" w:line="46" w:lineRule="exact"/>
        <w:rPr>
          <w:sz w:val="20"/>
          <w:szCs w:val="20"/>
          <w:color w:val="auto"/>
        </w:rPr>
      </w:pPr>
    </w:p>
    <w:p>
      <w:pPr>
        <w:jc w:val="both"/>
        <w:ind w:left="940" w:right="120" w:firstLine="27"/>
        <w:spacing w:after="0" w:line="211" w:lineRule="auto"/>
        <w:rPr>
          <w:rFonts w:ascii="Arial" w:cs="Arial" w:eastAsia="Arial" w:hAnsi="Arial"/>
          <w:sz w:val="16"/>
          <w:szCs w:val="16"/>
          <w:color w:val="000000"/>
        </w:rPr>
      </w:pPr>
      <w:hyperlink r:id="rId121">
        <w:r>
          <w:rPr>
            <w:rFonts w:ascii="Arial" w:cs="Arial" w:eastAsia="Arial" w:hAnsi="Arial"/>
            <w:sz w:val="16"/>
            <w:szCs w:val="16"/>
            <w:u w:val="single" w:color="auto"/>
            <w:color w:val="0000FF"/>
          </w:rPr>
          <w:t>Non-competition, Non-solicitation and Confidentiality Agreement by and among</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color w:val="000000"/>
          </w:rPr>
          <w:t xml:space="preserve">10u. </w:t>
        </w:r>
        <w:r>
          <w:rPr>
            <w:rFonts w:ascii="Arial" w:cs="Arial" w:eastAsia="Arial" w:hAnsi="Arial"/>
            <w:sz w:val="16"/>
            <w:szCs w:val="16"/>
            <w:u w:val="single" w:color="auto"/>
            <w:color w:val="0000FF"/>
          </w:rPr>
          <w:t>Octavius Corporation, Winnebago Industries, Inc., Grand Design RV, LLC,</w:t>
        </w:r>
      </w:hyperlink>
    </w:p>
    <w:p>
      <w:pPr>
        <w:ind w:left="1300"/>
        <w:spacing w:after="0"/>
        <w:rPr>
          <w:rFonts w:ascii="Arial" w:cs="Arial" w:eastAsia="Arial" w:hAnsi="Arial"/>
          <w:sz w:val="16"/>
          <w:szCs w:val="16"/>
          <w:u w:val="single" w:color="auto"/>
          <w:color w:val="0000FF"/>
        </w:rPr>
      </w:pPr>
      <w:hyperlink r:id="rId121">
        <w:r>
          <w:rPr>
            <w:rFonts w:ascii="Arial" w:cs="Arial" w:eastAsia="Arial" w:hAnsi="Arial"/>
            <w:sz w:val="16"/>
            <w:szCs w:val="16"/>
            <w:u w:val="single" w:color="auto"/>
            <w:color w:val="0000FF"/>
          </w:rPr>
          <w:t>RDB III, Inc., Ronald Fenech, Donald Clark and William Fenech.</w:t>
        </w:r>
      </w:hyperlink>
    </w:p>
    <w:p>
      <w:pPr>
        <w:spacing w:after="0" w:line="194" w:lineRule="exact"/>
        <w:rPr>
          <w:sz w:val="20"/>
          <w:szCs w:val="20"/>
          <w:color w:val="auto"/>
        </w:rPr>
      </w:pPr>
    </w:p>
    <w:p>
      <w:pPr>
        <w:ind w:left="1300" w:right="200" w:hanging="323"/>
        <w:spacing w:after="0" w:line="211" w:lineRule="auto"/>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Non-Solicitation and Confidentiality Agreement by and among Octavius</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Corporation, Winnebago Industries, Inc., Grand Design, RV, LLC, Summit</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Partners Growth Equity Fund VIII-B, L.P., Summit Partners Growth Equity</w:t>
        </w:r>
      </w:hyperlink>
    </w:p>
    <w:p>
      <w:pPr>
        <w:spacing w:after="0" w:line="1" w:lineRule="exact"/>
        <w:rPr>
          <w:rFonts w:ascii="Arial" w:cs="Arial" w:eastAsia="Arial" w:hAnsi="Arial"/>
          <w:sz w:val="16"/>
          <w:szCs w:val="16"/>
          <w:u w:val="single" w:color="auto"/>
          <w:color w:val="0000FF"/>
        </w:rPr>
      </w:pPr>
    </w:p>
    <w:p>
      <w:pPr>
        <w:ind w:left="1300" w:right="220" w:hanging="329"/>
        <w:spacing w:after="0" w:line="225" w:lineRule="auto"/>
        <w:rPr>
          <w:rFonts w:ascii="Arial" w:cs="Arial" w:eastAsia="Arial" w:hAnsi="Arial"/>
          <w:sz w:val="16"/>
          <w:szCs w:val="16"/>
          <w:u w:val="single" w:color="auto"/>
          <w:color w:val="0000FF"/>
        </w:rPr>
      </w:pPr>
      <w:hyperlink r:id="rId122">
        <w:r>
          <w:rPr>
            <w:rFonts w:ascii="Arial" w:cs="Arial" w:eastAsia="Arial" w:hAnsi="Arial"/>
            <w:sz w:val="16"/>
            <w:szCs w:val="16"/>
            <w:color w:val="auto"/>
          </w:rPr>
          <w:t xml:space="preserve">10v. </w:t>
        </w:r>
        <w:r>
          <w:rPr>
            <w:rFonts w:ascii="Arial" w:cs="Arial" w:eastAsia="Arial" w:hAnsi="Arial"/>
            <w:sz w:val="16"/>
            <w:szCs w:val="16"/>
            <w:u w:val="single" w:color="auto"/>
            <w:color w:val="0000FF"/>
          </w:rPr>
          <w:t>Fund VIII-A, L.P., Summit Partners Entrepreneur Advisors Fund I, L.P.,</w:t>
        </w:r>
      </w:hyperlink>
      <w:r>
        <w:rPr>
          <w:rFonts w:ascii="Arial" w:cs="Arial" w:eastAsia="Arial" w:hAnsi="Arial"/>
          <w:sz w:val="16"/>
          <w:szCs w:val="16"/>
          <w:color w:val="auto"/>
        </w:rPr>
        <w:t xml:space="preserve"> </w:t>
      </w:r>
      <w:hyperlink r:id="rId122">
        <w:r>
          <w:rPr>
            <w:rFonts w:ascii="Arial" w:cs="Arial" w:eastAsia="Arial" w:hAnsi="Arial"/>
            <w:sz w:val="16"/>
            <w:szCs w:val="16"/>
            <w:u w:val="single" w:color="auto"/>
            <w:color w:val="0000FF"/>
          </w:rPr>
          <w:t>Summit Investors I, LLC, Summit Investors I (UK), L.P., and SP GE VIII-B</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GD RV Holdings, L.P.</w:t>
        </w:r>
      </w:hyperlink>
    </w:p>
    <w:p>
      <w:pPr>
        <w:spacing w:after="0" w:line="185" w:lineRule="exact"/>
        <w:rPr>
          <w:rFonts w:ascii="Arial" w:cs="Arial" w:eastAsia="Arial" w:hAnsi="Arial"/>
          <w:sz w:val="16"/>
          <w:szCs w:val="16"/>
          <w:color w:val="auto"/>
        </w:rPr>
      </w:pPr>
    </w:p>
    <w:p>
      <w:pPr>
        <w:ind w:left="1300" w:right="120" w:hanging="323"/>
        <w:spacing w:after="0" w:line="211" w:lineRule="auto"/>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Registration Rights Agreement by and among Winnebago Industries, Inc.,</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Summit Partners Growth Equity Fund VIII-A, L.P., Summit Partners Growth</w:t>
        </w:r>
      </w:hyperlink>
    </w:p>
    <w:p>
      <w:pPr>
        <w:ind w:left="1300" w:hanging="368"/>
        <w:spacing w:after="0" w:line="225" w:lineRule="auto"/>
        <w:rPr>
          <w:rFonts w:ascii="Arial" w:cs="Arial" w:eastAsia="Arial" w:hAnsi="Arial"/>
          <w:sz w:val="16"/>
          <w:szCs w:val="16"/>
          <w:u w:val="single" w:color="auto"/>
          <w:color w:val="0000FF"/>
        </w:rPr>
      </w:pPr>
      <w:hyperlink r:id="rId123">
        <w:r>
          <w:rPr>
            <w:rFonts w:ascii="Arial" w:cs="Arial" w:eastAsia="Arial" w:hAnsi="Arial"/>
            <w:sz w:val="16"/>
            <w:szCs w:val="16"/>
            <w:color w:val="auto"/>
          </w:rPr>
          <w:t xml:space="preserve">10w. </w:t>
        </w:r>
        <w:r>
          <w:rPr>
            <w:rFonts w:ascii="Arial" w:cs="Arial" w:eastAsia="Arial" w:hAnsi="Arial"/>
            <w:sz w:val="16"/>
            <w:szCs w:val="16"/>
            <w:u w:val="single" w:color="auto"/>
            <w:color w:val="0000FF"/>
          </w:rPr>
          <w:t>Equity Fund VIII-B, L.P., Summit Partners Entrepreneur Advisors Fund I,</w:t>
        </w:r>
      </w:hyperlink>
      <w:r>
        <w:rPr>
          <w:rFonts w:ascii="Arial" w:cs="Arial" w:eastAsia="Arial" w:hAnsi="Arial"/>
          <w:sz w:val="16"/>
          <w:szCs w:val="16"/>
          <w:color w:val="auto"/>
        </w:rPr>
        <w:t xml:space="preserve"> </w:t>
      </w:r>
      <w:hyperlink r:id="rId123">
        <w:r>
          <w:rPr>
            <w:rFonts w:ascii="Arial" w:cs="Arial" w:eastAsia="Arial" w:hAnsi="Arial"/>
            <w:sz w:val="16"/>
            <w:szCs w:val="16"/>
            <w:u w:val="single" w:color="auto"/>
            <w:color w:val="0000FF"/>
          </w:rPr>
          <w:t>L.P., Summit Investors I, LLC, Summit Investors I (UK), L.P. and SP GE VIII-</w:t>
        </w:r>
      </w:hyperlink>
      <w:hyperlink r:id="rId123">
        <w:r>
          <w:rPr>
            <w:rFonts w:ascii="Arial" w:cs="Arial" w:eastAsia="Arial" w:hAnsi="Arial"/>
            <w:sz w:val="16"/>
            <w:szCs w:val="16"/>
            <w:u w:val="single" w:color="auto"/>
            <w:color w:val="0000FF"/>
          </w:rPr>
          <w:t>B GD RV Holdings, L.P., Donald Clark, Ronald Fenech, and William Fenech.</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506210"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6506210" cy="445770"/>
                    </a:xfrm>
                    <a:prstGeom prst="rect">
                      <a:avLst/>
                    </a:prstGeom>
                    <a:noFill/>
                  </pic:spPr>
                </pic:pic>
              </a:graphicData>
            </a:graphic>
          </wp:anchor>
        </w:drawing>
      </w:r>
    </w:p>
    <w:p>
      <w:pPr>
        <w:spacing w:after="0" w:line="165" w:lineRule="exact"/>
        <w:rPr>
          <w:rFonts w:ascii="Arial" w:cs="Arial" w:eastAsia="Arial" w:hAnsi="Arial"/>
          <w:sz w:val="16"/>
          <w:szCs w:val="16"/>
          <w:color w:val="auto"/>
        </w:rPr>
      </w:pPr>
    </w:p>
    <w:p>
      <w:pPr>
        <w:ind w:left="960" w:right="300" w:firstLine="18"/>
        <w:spacing w:after="0" w:line="211" w:lineRule="auto"/>
        <w:rPr>
          <w:rFonts w:ascii="Arial" w:cs="Arial" w:eastAsia="Arial" w:hAnsi="Arial"/>
          <w:sz w:val="16"/>
          <w:szCs w:val="16"/>
          <w:color w:val="000000"/>
        </w:rPr>
      </w:pPr>
      <w:hyperlink r:id="rId125">
        <w:r>
          <w:rPr>
            <w:rFonts w:ascii="Arial" w:cs="Arial" w:eastAsia="Arial" w:hAnsi="Arial"/>
            <w:sz w:val="16"/>
            <w:szCs w:val="16"/>
            <w:u w:val="single" w:color="auto"/>
            <w:color w:val="0000FF"/>
          </w:rPr>
          <w:t>Employment Agreement by and between Grand Design RV, LLC and Donald</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color w:val="000000"/>
          </w:rPr>
          <w:t xml:space="preserve">10x. </w:t>
        </w:r>
        <w:r>
          <w:rPr>
            <w:rFonts w:ascii="Arial" w:cs="Arial" w:eastAsia="Arial" w:hAnsi="Arial"/>
            <w:sz w:val="16"/>
            <w:szCs w:val="16"/>
            <w:u w:val="single" w:color="auto"/>
            <w:color w:val="0000FF"/>
          </w:rPr>
          <w:t>Clark dated October 2, 2016, including Exhibit A, Executive Change of</w:t>
        </w:r>
      </w:hyperlink>
    </w:p>
    <w:p>
      <w:pPr>
        <w:ind w:left="1300"/>
        <w:spacing w:after="0"/>
        <w:rPr>
          <w:rFonts w:ascii="Arial" w:cs="Arial" w:eastAsia="Arial" w:hAnsi="Arial"/>
          <w:sz w:val="16"/>
          <w:szCs w:val="16"/>
          <w:color w:val="0000FF"/>
        </w:rPr>
      </w:pPr>
      <w:hyperlink r:id="rId125">
        <w:r>
          <w:rPr>
            <w:rFonts w:ascii="Arial" w:cs="Arial" w:eastAsia="Arial" w:hAnsi="Arial"/>
            <w:sz w:val="16"/>
            <w:szCs w:val="16"/>
            <w:u w:val="single" w:color="auto"/>
            <w:color w:val="0000FF"/>
          </w:rPr>
          <w:t>Control Agreement between Winnebago Industries, Inc. and Donald Clark.</w:t>
        </w:r>
      </w:hyperlink>
      <w:r>
        <w:rPr>
          <w:rFonts w:ascii="Arial" w:cs="Arial" w:eastAsia="Arial" w:hAnsi="Arial"/>
          <w:sz w:val="16"/>
          <w:szCs w:val="16"/>
          <w:color w:val="000000"/>
        </w:rPr>
        <w:t>*</w:t>
      </w:r>
    </w:p>
    <w:p>
      <w:pPr>
        <w:spacing w:after="0" w:line="194" w:lineRule="exact"/>
        <w:rPr>
          <w:sz w:val="20"/>
          <w:szCs w:val="20"/>
          <w:color w:val="auto"/>
        </w:rPr>
      </w:pPr>
    </w:p>
    <w:p>
      <w:pPr>
        <w:ind w:left="960" w:right="840" w:firstLine="6"/>
        <w:spacing w:after="0" w:line="232" w:lineRule="auto"/>
        <w:rPr>
          <w:rFonts w:ascii="Arial" w:cs="Arial" w:eastAsia="Arial" w:hAnsi="Arial"/>
          <w:sz w:val="16"/>
          <w:szCs w:val="16"/>
          <w:color w:val="000000"/>
        </w:rPr>
      </w:pPr>
      <w:hyperlink r:id="rId126">
        <w:r>
          <w:rPr>
            <w:rFonts w:ascii="Arial" w:cs="Arial" w:eastAsia="Arial" w:hAnsi="Arial"/>
            <w:sz w:val="16"/>
            <w:szCs w:val="16"/>
            <w:u w:val="single" w:color="auto"/>
            <w:color w:val="0000FF"/>
          </w:rPr>
          <w:t>Loan Agreement by and among Winnebago Industries, Inc., Octavius</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color w:val="000000"/>
          </w:rPr>
          <w:t xml:space="preserve">10y. </w:t>
        </w:r>
        <w:r>
          <w:rPr>
            <w:rFonts w:ascii="Arial" w:cs="Arial" w:eastAsia="Arial" w:hAnsi="Arial"/>
            <w:sz w:val="16"/>
            <w:szCs w:val="16"/>
            <w:u w:val="single" w:color="auto"/>
            <w:color w:val="0000FF"/>
          </w:rPr>
          <w:t>Corporation and JPMorgan Chase Bank, 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506210" cy="445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6506210" cy="445770"/>
                    </a:xfrm>
                    <a:prstGeom prst="rect">
                      <a:avLst/>
                    </a:prstGeom>
                    <a:noFill/>
                  </pic:spPr>
                </pic:pic>
              </a:graphicData>
            </a:graphic>
          </wp:anchor>
        </w:drawing>
      </w:r>
    </w:p>
    <w:p>
      <w:pPr>
        <w:spacing w:after="0" w:line="164" w:lineRule="exact"/>
        <w:rPr>
          <w:sz w:val="20"/>
          <w:szCs w:val="20"/>
          <w:color w:val="auto"/>
        </w:rPr>
      </w:pPr>
    </w:p>
    <w:p>
      <w:pPr>
        <w:ind w:left="960" w:right="40" w:firstLine="18"/>
        <w:spacing w:after="0" w:line="211" w:lineRule="auto"/>
        <w:rPr>
          <w:rFonts w:ascii="Arial" w:cs="Arial" w:eastAsia="Arial" w:hAnsi="Arial"/>
          <w:sz w:val="16"/>
          <w:szCs w:val="16"/>
          <w:color w:val="000000"/>
        </w:rPr>
      </w:pPr>
      <w:hyperlink r:id="rId128">
        <w:r>
          <w:rPr>
            <w:rFonts w:ascii="Arial" w:cs="Arial" w:eastAsia="Arial" w:hAnsi="Arial"/>
            <w:sz w:val="16"/>
            <w:szCs w:val="16"/>
            <w:u w:val="single" w:color="auto"/>
            <w:color w:val="0000FF"/>
          </w:rPr>
          <w:t>Amendment No. 1 to Loan Agreement dated as of December 8, 2017 among</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color w:val="000000"/>
          </w:rPr>
          <w:t xml:space="preserve">10z. </w:t>
        </w:r>
        <w:r>
          <w:rPr>
            <w:rFonts w:ascii="Arial" w:cs="Arial" w:eastAsia="Arial" w:hAnsi="Arial"/>
            <w:sz w:val="16"/>
            <w:szCs w:val="16"/>
            <w:u w:val="single" w:color="auto"/>
            <w:color w:val="0000FF"/>
          </w:rPr>
          <w:t>Octavius Corporation, JPMorgan Chase Bank, N.A. as Administrative Agent</w:t>
        </w:r>
      </w:hyperlink>
    </w:p>
    <w:p>
      <w:pPr>
        <w:ind w:left="1300"/>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and the lender parties thereto.</w:t>
        </w:r>
      </w:hyperlink>
    </w:p>
    <w:p>
      <w:pPr>
        <w:spacing w:after="0" w:line="208" w:lineRule="exact"/>
        <w:rPr>
          <w:sz w:val="20"/>
          <w:szCs w:val="20"/>
          <w:color w:val="auto"/>
        </w:rPr>
      </w:pPr>
    </w:p>
    <w:p>
      <w:pPr>
        <w:jc w:val="right"/>
        <w:ind w:left="860" w:right="80"/>
        <w:spacing w:after="0" w:line="184" w:lineRule="auto"/>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Amended and Restated Credit Agreement dated as of October 22, 2019 among</w:t>
        </w:r>
      </w:hyperlink>
      <w:r>
        <w:rPr>
          <w:rFonts w:ascii="Arial" w:cs="Arial" w:eastAsia="Arial" w:hAnsi="Arial"/>
          <w:sz w:val="16"/>
          <w:szCs w:val="16"/>
          <w:u w:val="single" w:color="auto"/>
          <w:color w:val="0000FF"/>
        </w:rPr>
        <w:t xml:space="preserve"> </w:t>
      </w:r>
      <w:hyperlink r:id="rId129">
        <w:r>
          <w:rPr>
            <w:rFonts w:ascii="Arial" w:cs="Arial" w:eastAsia="Arial" w:hAnsi="Arial"/>
            <w:sz w:val="32"/>
            <w:szCs w:val="32"/>
            <w:color w:val="000000"/>
            <w:vertAlign w:val="subscript"/>
          </w:rPr>
          <w:t>10aa.</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Winnebago Industries, Inc., Winnebago of Indiana, LLC and Grand Design</w:t>
        </w:r>
      </w:hyperlink>
      <w:r>
        <w:rPr>
          <w:rFonts w:ascii="Arial" w:cs="Arial" w:eastAsia="Arial" w:hAnsi="Arial"/>
          <w:sz w:val="16"/>
          <w:szCs w:val="16"/>
          <w:color w:val="0000FF"/>
        </w:rPr>
        <w:t xml:space="preserve"> </w:t>
      </w:r>
      <w:hyperlink r:id="rId129">
        <w:r>
          <w:rPr>
            <w:rFonts w:ascii="Arial" w:cs="Arial" w:eastAsia="Arial" w:hAnsi="Arial"/>
            <w:sz w:val="16"/>
            <w:szCs w:val="16"/>
            <w:u w:val="single" w:color="auto"/>
            <w:color w:val="0000FF"/>
          </w:rPr>
          <w:t>RV, LLC, the other loan parties party thereto from time to time, the lenders</w:t>
        </w:r>
      </w:hyperlink>
    </w:p>
    <w:p>
      <w:pPr>
        <w:spacing w:after="0" w:line="3" w:lineRule="exact"/>
        <w:rPr>
          <w:rFonts w:ascii="Arial" w:cs="Arial" w:eastAsia="Arial" w:hAnsi="Arial"/>
          <w:sz w:val="16"/>
          <w:szCs w:val="16"/>
          <w:u w:val="single" w:color="auto"/>
          <w:color w:val="0000FF"/>
        </w:rPr>
      </w:pPr>
    </w:p>
    <w:p>
      <w:pPr>
        <w:ind w:left="1300"/>
        <w:spacing w:after="0"/>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party thereto from time to time and JPMorgan Chase Bank, N.A.</w:t>
        </w:r>
      </w:hyperlink>
    </w:p>
    <w:p>
      <w:pPr>
        <w:spacing w:after="0" w:line="46" w:lineRule="exact"/>
        <w:rPr>
          <w:rFonts w:ascii="Arial" w:cs="Arial" w:eastAsia="Arial" w:hAnsi="Arial"/>
          <w:sz w:val="16"/>
          <w:szCs w:val="16"/>
          <w:u w:val="single" w:color="auto"/>
          <w:color w:val="0000FF"/>
        </w:rPr>
      </w:pPr>
    </w:p>
    <w:p>
      <w:pPr>
        <w:ind w:left="860" w:right="440" w:firstLine="117"/>
        <w:spacing w:after="0" w:line="232" w:lineRule="auto"/>
        <w:rPr>
          <w:rFonts w:ascii="Arial" w:cs="Arial" w:eastAsia="Arial" w:hAnsi="Arial"/>
          <w:sz w:val="16"/>
          <w:szCs w:val="16"/>
          <w:color w:val="000000"/>
        </w:rPr>
      </w:pPr>
      <w:hyperlink r:id="rId130">
        <w:r>
          <w:rPr>
            <w:rFonts w:ascii="Arial" w:cs="Arial" w:eastAsia="Arial" w:hAnsi="Arial"/>
            <w:sz w:val="16"/>
            <w:szCs w:val="16"/>
            <w:u w:val="single" w:color="auto"/>
            <w:color w:val="0000FF"/>
          </w:rPr>
          <w:t>Lease Agreement (Main Facility) dated November 8, 2016 by and between</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color w:val="000000"/>
          </w:rPr>
          <w:t xml:space="preserve">10ab. </w:t>
        </w:r>
        <w:r>
          <w:rPr>
            <w:rFonts w:ascii="Arial" w:cs="Arial" w:eastAsia="Arial" w:hAnsi="Arial"/>
            <w:sz w:val="16"/>
            <w:szCs w:val="16"/>
            <w:u w:val="single" w:color="auto"/>
            <w:color w:val="0000FF"/>
          </w:rPr>
          <w:t>Three Oaks, LLC and Grand Design RV,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506210" cy="342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6506210" cy="342900"/>
                    </a:xfrm>
                    <a:prstGeom prst="rect">
                      <a:avLst/>
                    </a:prstGeom>
                    <a:noFill/>
                  </pic:spPr>
                </pic:pic>
              </a:graphicData>
            </a:graphic>
          </wp:anchor>
        </w:drawing>
      </w:r>
    </w:p>
    <w:p>
      <w:pPr>
        <w:spacing w:after="0" w:line="164" w:lineRule="exact"/>
        <w:rPr>
          <w:sz w:val="20"/>
          <w:szCs w:val="20"/>
          <w:color w:val="auto"/>
        </w:rPr>
      </w:pPr>
    </w:p>
    <w:p>
      <w:pPr>
        <w:ind w:left="860" w:right="40" w:firstLine="108"/>
        <w:spacing w:after="0" w:line="232" w:lineRule="auto"/>
        <w:rPr>
          <w:rFonts w:ascii="Arial" w:cs="Arial" w:eastAsia="Arial" w:hAnsi="Arial"/>
          <w:sz w:val="16"/>
          <w:szCs w:val="16"/>
          <w:color w:val="000000"/>
        </w:rPr>
      </w:pPr>
      <w:hyperlink r:id="rId132">
        <w:r>
          <w:rPr>
            <w:rFonts w:ascii="Arial" w:cs="Arial" w:eastAsia="Arial" w:hAnsi="Arial"/>
            <w:sz w:val="16"/>
            <w:szCs w:val="16"/>
            <w:u w:val="single" w:color="auto"/>
            <w:color w:val="0000FF"/>
          </w:rPr>
          <w:t>Lease Agreement (Expansion Facility) dated November 8, 2016 by and between</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color w:val="000000"/>
          </w:rPr>
          <w:t xml:space="preserve">10ac. </w:t>
        </w:r>
        <w:r>
          <w:rPr>
            <w:rFonts w:ascii="Arial" w:cs="Arial" w:eastAsia="Arial" w:hAnsi="Arial"/>
            <w:sz w:val="16"/>
            <w:szCs w:val="16"/>
            <w:u w:val="single" w:color="auto"/>
            <w:color w:val="0000FF"/>
          </w:rPr>
          <w:t>Three Oaks, LLC and Grand Design RV, LLC.</w:t>
        </w:r>
      </w:hyperlink>
    </w:p>
    <w:p>
      <w:pPr>
        <w:spacing w:after="0" w:line="184" w:lineRule="exact"/>
        <w:rPr>
          <w:sz w:val="20"/>
          <w:szCs w:val="20"/>
          <w:color w:val="auto"/>
        </w:rPr>
      </w:pPr>
    </w:p>
    <w:p>
      <w:pPr>
        <w:ind w:left="860" w:right="700" w:firstLine="117"/>
        <w:spacing w:after="0" w:line="211" w:lineRule="auto"/>
        <w:rPr>
          <w:rFonts w:ascii="Arial" w:cs="Arial" w:eastAsia="Arial" w:hAnsi="Arial"/>
          <w:sz w:val="16"/>
          <w:szCs w:val="16"/>
          <w:color w:val="000000"/>
        </w:rPr>
      </w:pPr>
      <w:hyperlink r:id="rId133">
        <w:r>
          <w:rPr>
            <w:rFonts w:ascii="Arial" w:cs="Arial" w:eastAsia="Arial" w:hAnsi="Arial"/>
            <w:sz w:val="16"/>
            <w:szCs w:val="16"/>
            <w:u w:val="single" w:color="auto"/>
            <w:color w:val="0000FF"/>
          </w:rPr>
          <w:t>Amended and Restated Employment Agreement between Winnebago</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color w:val="000000"/>
          </w:rPr>
          <w:t xml:space="preserve">10ad. </w:t>
        </w:r>
        <w:r>
          <w:rPr>
            <w:rFonts w:ascii="Arial" w:cs="Arial" w:eastAsia="Arial" w:hAnsi="Arial"/>
            <w:sz w:val="16"/>
            <w:szCs w:val="16"/>
            <w:u w:val="single" w:color="auto"/>
            <w:color w:val="0000FF"/>
          </w:rPr>
          <w:t>Industries, Inc., Grand Design RV, LLC, and Donald Clark effective</w:t>
        </w:r>
      </w:hyperlink>
    </w:p>
    <w:p>
      <w:pPr>
        <w:ind w:left="1300"/>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September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506210" cy="3429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6506210" cy="342900"/>
                    </a:xfrm>
                    <a:prstGeom prst="rect">
                      <a:avLst/>
                    </a:prstGeom>
                    <a:noFill/>
                  </pic:spPr>
                </pic:pic>
              </a:graphicData>
            </a:graphic>
          </wp:anchor>
        </w:drawing>
      </w:r>
    </w:p>
    <w:p>
      <w:pPr>
        <w:spacing w:after="0" w:line="12" w:lineRule="exact"/>
        <w:rPr>
          <w:sz w:val="20"/>
          <w:szCs w:val="20"/>
          <w:color w:val="auto"/>
        </w:rPr>
      </w:pPr>
    </w:p>
    <w:p>
      <w:pPr>
        <w:ind w:left="860" w:right="380" w:firstLine="117"/>
        <w:spacing w:after="0" w:line="232" w:lineRule="auto"/>
        <w:rPr>
          <w:rFonts w:ascii="Arial" w:cs="Arial" w:eastAsia="Arial" w:hAnsi="Arial"/>
          <w:sz w:val="16"/>
          <w:szCs w:val="16"/>
          <w:color w:val="000000"/>
        </w:rPr>
      </w:pPr>
      <w:hyperlink r:id="rId135">
        <w:r>
          <w:rPr>
            <w:rFonts w:ascii="Arial" w:cs="Arial" w:eastAsia="Arial" w:hAnsi="Arial"/>
            <w:sz w:val="16"/>
            <w:szCs w:val="16"/>
            <w:u w:val="single" w:color="auto"/>
            <w:color w:val="0000FF"/>
          </w:rPr>
          <w:t>Amended and Restated Change in Control Agreement between Winnebago</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color w:val="000000"/>
          </w:rPr>
          <w:t xml:space="preserve">10ae. </w:t>
        </w:r>
        <w:r>
          <w:rPr>
            <w:rFonts w:ascii="Arial" w:cs="Arial" w:eastAsia="Arial" w:hAnsi="Arial"/>
            <w:sz w:val="16"/>
            <w:szCs w:val="16"/>
            <w:u w:val="single" w:color="auto"/>
            <w:color w:val="0000FF"/>
          </w:rPr>
          <w:t>Industries, Inc. and Donald Clark effective September 1, 2019.*</w:t>
        </w:r>
      </w:hyperlink>
    </w:p>
    <w:p>
      <w:pPr>
        <w:spacing w:after="0" w:line="162" w:lineRule="exact"/>
        <w:rPr>
          <w:sz w:val="20"/>
          <w:szCs w:val="20"/>
          <w:color w:val="auto"/>
        </w:rPr>
      </w:pPr>
    </w:p>
    <w:p>
      <w:pPr>
        <w:ind w:left="980"/>
        <w:spacing w:after="0"/>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Commitment Letter dated September 15, 2019, by and among Winnebago</w:t>
        </w:r>
      </w:hyperlink>
    </w:p>
    <w:p>
      <w:pPr>
        <w:ind w:left="1300" w:right="280" w:hanging="395"/>
        <w:spacing w:after="0" w:line="181" w:lineRule="auto"/>
        <w:rPr>
          <w:rFonts w:ascii="Arial" w:cs="Arial" w:eastAsia="Arial" w:hAnsi="Arial"/>
          <w:sz w:val="14"/>
          <w:szCs w:val="14"/>
          <w:u w:val="single" w:color="auto"/>
          <w:color w:val="0000FF"/>
        </w:rPr>
      </w:pPr>
      <w:hyperlink r:id="rId136">
        <w:r>
          <w:rPr>
            <w:rFonts w:ascii="Arial" w:cs="Arial" w:eastAsia="Arial" w:hAnsi="Arial"/>
            <w:sz w:val="27"/>
            <w:szCs w:val="27"/>
            <w:color w:val="000000"/>
            <w:vertAlign w:val="subscript"/>
          </w:rPr>
          <w:t>10af.</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Industries, Inc., Goldman Sachs Bank USA, Bank of Montreal, and BMO</w:t>
        </w:r>
      </w:hyperlink>
      <w:r>
        <w:rPr>
          <w:rFonts w:ascii="Arial" w:cs="Arial" w:eastAsia="Arial" w:hAnsi="Arial"/>
          <w:sz w:val="14"/>
          <w:szCs w:val="14"/>
          <w:color w:val="0000FF"/>
        </w:rPr>
        <w:t xml:space="preserve"> </w:t>
      </w:r>
      <w:hyperlink r:id="rId136">
        <w:r>
          <w:rPr>
            <w:rFonts w:ascii="Arial" w:cs="Arial" w:eastAsia="Arial" w:hAnsi="Arial"/>
            <w:sz w:val="14"/>
            <w:szCs w:val="14"/>
            <w:u w:val="single" w:color="auto"/>
            <w:color w:val="0000FF"/>
          </w:rPr>
          <w:t>Capital Markets Corp.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506210" cy="4800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6506210" cy="480060"/>
                    </a:xfrm>
                    <a:prstGeom prst="rect">
                      <a:avLst/>
                    </a:prstGeom>
                    <a:noFill/>
                  </pic:spPr>
                </pic:pic>
              </a:graphicData>
            </a:graphic>
          </wp:anchor>
        </w:drawing>
      </w:r>
    </w:p>
    <w:p>
      <w:pPr>
        <w:spacing w:after="0" w:line="164" w:lineRule="exact"/>
        <w:rPr>
          <w:sz w:val="20"/>
          <w:szCs w:val="20"/>
          <w:color w:val="auto"/>
        </w:rPr>
      </w:pPr>
    </w:p>
    <w:p>
      <w:pPr>
        <w:jc w:val="right"/>
        <w:ind w:left="860" w:right="80"/>
        <w:spacing w:after="0" w:line="186" w:lineRule="auto"/>
        <w:rPr>
          <w:rFonts w:ascii="Arial" w:cs="Arial" w:eastAsia="Arial" w:hAnsi="Arial"/>
          <w:sz w:val="15"/>
          <w:szCs w:val="15"/>
          <w:u w:val="single" w:color="auto"/>
          <w:color w:val="0000FF"/>
        </w:rPr>
      </w:pPr>
      <w:hyperlink r:id="rId138">
        <w:r>
          <w:rPr>
            <w:rFonts w:ascii="Arial" w:cs="Arial" w:eastAsia="Arial" w:hAnsi="Arial"/>
            <w:sz w:val="15"/>
            <w:szCs w:val="15"/>
            <w:u w:val="single" w:color="auto"/>
            <w:color w:val="0000FF"/>
          </w:rPr>
          <w:t>Amended and Restated Credit Agreement dated as of October 22, 2019 among</w:t>
        </w:r>
      </w:hyperlink>
      <w:r>
        <w:rPr>
          <w:rFonts w:ascii="Arial" w:cs="Arial" w:eastAsia="Arial" w:hAnsi="Arial"/>
          <w:sz w:val="15"/>
          <w:szCs w:val="15"/>
          <w:u w:val="single" w:color="auto"/>
          <w:color w:val="0000FF"/>
        </w:rPr>
        <w:t xml:space="preserve"> </w:t>
      </w:r>
      <w:hyperlink r:id="rId138">
        <w:r>
          <w:rPr>
            <w:rFonts w:ascii="Arial" w:cs="Arial" w:eastAsia="Arial" w:hAnsi="Arial"/>
            <w:sz w:val="29"/>
            <w:szCs w:val="29"/>
            <w:color w:val="000000"/>
            <w:vertAlign w:val="subscript"/>
          </w:rPr>
          <w:t>10ag.</w:t>
        </w:r>
        <w:r>
          <w:rPr>
            <w:rFonts w:ascii="Arial" w:cs="Arial" w:eastAsia="Arial" w:hAnsi="Arial"/>
            <w:sz w:val="15"/>
            <w:szCs w:val="15"/>
            <w:color w:val="0000FF"/>
          </w:rPr>
          <w:t xml:space="preserve"> </w:t>
        </w:r>
        <w:r>
          <w:rPr>
            <w:rFonts w:ascii="Arial" w:cs="Arial" w:eastAsia="Arial" w:hAnsi="Arial"/>
            <w:sz w:val="15"/>
            <w:szCs w:val="15"/>
            <w:u w:val="single" w:color="auto"/>
            <w:color w:val="0000FF"/>
          </w:rPr>
          <w:t>Winnebago Industries, Inc., Winnebago of Indiana, LLC and Grand Design</w:t>
        </w:r>
      </w:hyperlink>
      <w:r>
        <w:rPr>
          <w:rFonts w:ascii="Arial" w:cs="Arial" w:eastAsia="Arial" w:hAnsi="Arial"/>
          <w:sz w:val="15"/>
          <w:szCs w:val="15"/>
          <w:color w:val="0000FF"/>
        </w:rPr>
        <w:t xml:space="preserve"> </w:t>
      </w:r>
      <w:hyperlink r:id="rId138">
        <w:r>
          <w:rPr>
            <w:rFonts w:ascii="Arial" w:cs="Arial" w:eastAsia="Arial" w:hAnsi="Arial"/>
            <w:sz w:val="15"/>
            <w:szCs w:val="15"/>
            <w:u w:val="single" w:color="auto"/>
            <w:color w:val="0000FF"/>
          </w:rPr>
          <w:t>RV, LLC, the other loan parties party thereto from time to time, the lenders</w:t>
        </w:r>
      </w:hyperlink>
    </w:p>
    <w:p>
      <w:pPr>
        <w:spacing w:after="0" w:line="1" w:lineRule="exact"/>
        <w:rPr>
          <w:rFonts w:ascii="Arial" w:cs="Arial" w:eastAsia="Arial" w:hAnsi="Arial"/>
          <w:sz w:val="15"/>
          <w:szCs w:val="15"/>
          <w:u w:val="single" w:color="auto"/>
          <w:color w:val="0000FF"/>
        </w:rPr>
      </w:pPr>
    </w:p>
    <w:p>
      <w:pPr>
        <w:ind w:left="1300"/>
        <w:spacing w:after="0"/>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party thereto from time to time and JPMorgan Chase Bank, N.A.</w:t>
        </w:r>
      </w:hyperlink>
    </w:p>
    <w:p>
      <w:pPr>
        <w:spacing w:after="0" w:line="46" w:lineRule="exact"/>
        <w:rPr>
          <w:rFonts w:ascii="Arial" w:cs="Arial" w:eastAsia="Arial" w:hAnsi="Arial"/>
          <w:sz w:val="15"/>
          <w:szCs w:val="15"/>
          <w:u w:val="single" w:color="auto"/>
          <w:color w:val="0000FF"/>
        </w:rPr>
      </w:pPr>
    </w:p>
    <w:p>
      <w:pPr>
        <w:ind w:left="860" w:right="40" w:firstLine="117"/>
        <w:spacing w:after="0" w:line="192" w:lineRule="auto"/>
        <w:rPr>
          <w:rFonts w:ascii="Arial" w:cs="Arial" w:eastAsia="Arial" w:hAnsi="Arial"/>
          <w:sz w:val="15"/>
          <w:szCs w:val="15"/>
          <w:color w:val="0000FF"/>
        </w:rPr>
      </w:pPr>
      <w:hyperlink r:id="rId139">
        <w:r>
          <w:rPr>
            <w:rFonts w:ascii="Arial" w:cs="Arial" w:eastAsia="Arial" w:hAnsi="Arial"/>
            <w:sz w:val="15"/>
            <w:szCs w:val="15"/>
            <w:u w:val="single" w:color="auto"/>
            <w:color w:val="0000FF"/>
          </w:rPr>
          <w:t>Purchase Agreement, dated October 29, 2019, by and among Winnebago</w:t>
        </w:r>
      </w:hyperlink>
      <w:r>
        <w:rPr>
          <w:rFonts w:ascii="Arial" w:cs="Arial" w:eastAsia="Arial" w:hAnsi="Arial"/>
          <w:sz w:val="15"/>
          <w:szCs w:val="15"/>
          <w:u w:val="single" w:color="auto"/>
          <w:color w:val="0000FF"/>
        </w:rPr>
        <w:t xml:space="preserve"> </w:t>
      </w:r>
      <w:hyperlink r:id="rId139">
        <w:r>
          <w:rPr>
            <w:rFonts w:ascii="Arial" w:cs="Arial" w:eastAsia="Arial" w:hAnsi="Arial"/>
            <w:sz w:val="29"/>
            <w:szCs w:val="29"/>
            <w:color w:val="000000"/>
            <w:vertAlign w:val="superscript"/>
          </w:rPr>
          <w:t>10ah.</w:t>
        </w:r>
        <w:r>
          <w:rPr>
            <w:rFonts w:ascii="Arial" w:cs="Arial" w:eastAsia="Arial" w:hAnsi="Arial"/>
            <w:sz w:val="15"/>
            <w:szCs w:val="15"/>
            <w:color w:val="0000FF"/>
          </w:rPr>
          <w:t xml:space="preserve"> </w:t>
        </w:r>
        <w:r>
          <w:rPr>
            <w:rFonts w:ascii="Arial" w:cs="Arial" w:eastAsia="Arial" w:hAnsi="Arial"/>
            <w:sz w:val="15"/>
            <w:szCs w:val="15"/>
            <w:u w:val="single" w:color="auto"/>
            <w:color w:val="0000FF"/>
          </w:rPr>
          <w:t>Industries, Inc., Goldman Sachs &amp; Co. LLC and BMO Capital Markets Corp.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-8890</wp:posOffset>
            </wp:positionV>
            <wp:extent cx="6506210" cy="257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6506210" cy="257175"/>
                    </a:xfrm>
                    <a:prstGeom prst="rect">
                      <a:avLst/>
                    </a:prstGeom>
                    <a:noFill/>
                  </pic:spPr>
                </pic:pic>
              </a:graphicData>
            </a:graphic>
          </wp:anchor>
        </w:drawing>
      </w:r>
    </w:p>
    <w:p>
      <w:pPr>
        <w:ind w:left="900" w:right="160" w:firstLine="63"/>
        <w:spacing w:after="0" w:line="183" w:lineRule="auto"/>
        <w:rPr>
          <w:rFonts w:ascii="Arial" w:cs="Arial" w:eastAsia="Arial" w:hAnsi="Arial"/>
          <w:sz w:val="16"/>
          <w:szCs w:val="16"/>
          <w:color w:val="0000FF"/>
        </w:rPr>
      </w:pPr>
      <w:hyperlink r:id="rId141">
        <w:r>
          <w:rPr>
            <w:rFonts w:ascii="Arial" w:cs="Arial" w:eastAsia="Arial" w:hAnsi="Arial"/>
            <w:sz w:val="16"/>
            <w:szCs w:val="16"/>
            <w:u w:val="single" w:color="auto"/>
            <w:color w:val="0000FF"/>
          </w:rPr>
          <w:t>Base Convertible Bond Hedge Confirmation, dated October 29, 2019, between</w:t>
        </w:r>
      </w:hyperlink>
      <w:r>
        <w:rPr>
          <w:rFonts w:ascii="Arial" w:cs="Arial" w:eastAsia="Arial" w:hAnsi="Arial"/>
          <w:sz w:val="16"/>
          <w:szCs w:val="16"/>
          <w:u w:val="single" w:color="auto"/>
          <w:color w:val="0000FF"/>
        </w:rPr>
        <w:t xml:space="preserve"> </w:t>
      </w:r>
      <w:hyperlink r:id="rId141">
        <w:r>
          <w:rPr>
            <w:rFonts w:ascii="Arial" w:cs="Arial" w:eastAsia="Arial" w:hAnsi="Arial"/>
            <w:sz w:val="30"/>
            <w:szCs w:val="30"/>
            <w:color w:val="000000"/>
            <w:vertAlign w:val="superscript"/>
          </w:rPr>
          <w:t>10ai.</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Winnebago Industries, Inc., and Goldman Sachs &amp; Co. LLC.</w:t>
        </w:r>
      </w:hyperlink>
    </w:p>
    <w:p>
      <w:pPr>
        <w:spacing w:after="0" w:line="2" w:lineRule="exact"/>
        <w:rPr>
          <w:sz w:val="20"/>
          <w:szCs w:val="20"/>
          <w:color w:val="auto"/>
        </w:rPr>
      </w:pPr>
    </w:p>
    <w:p>
      <w:pPr>
        <w:ind w:left="900" w:right="160" w:firstLine="63"/>
        <w:spacing w:after="0" w:line="183" w:lineRule="auto"/>
        <w:rPr>
          <w:rFonts w:ascii="Arial" w:cs="Arial" w:eastAsia="Arial" w:hAnsi="Arial"/>
          <w:sz w:val="16"/>
          <w:szCs w:val="16"/>
          <w:color w:val="0000FF"/>
        </w:rPr>
      </w:pPr>
      <w:hyperlink r:id="rId142">
        <w:r>
          <w:rPr>
            <w:rFonts w:ascii="Arial" w:cs="Arial" w:eastAsia="Arial" w:hAnsi="Arial"/>
            <w:sz w:val="16"/>
            <w:szCs w:val="16"/>
            <w:u w:val="single" w:color="auto"/>
            <w:color w:val="0000FF"/>
          </w:rPr>
          <w:t>Base Convertible Bond Hedge Confirmation, dated October 29, 2019, between</w:t>
        </w:r>
      </w:hyperlink>
      <w:r>
        <w:rPr>
          <w:rFonts w:ascii="Arial" w:cs="Arial" w:eastAsia="Arial" w:hAnsi="Arial"/>
          <w:sz w:val="16"/>
          <w:szCs w:val="16"/>
          <w:u w:val="single" w:color="auto"/>
          <w:color w:val="0000FF"/>
        </w:rPr>
        <w:t xml:space="preserve"> </w:t>
      </w:r>
      <w:hyperlink r:id="rId142">
        <w:r>
          <w:rPr>
            <w:rFonts w:ascii="Arial" w:cs="Arial" w:eastAsia="Arial" w:hAnsi="Arial"/>
            <w:sz w:val="30"/>
            <w:szCs w:val="30"/>
            <w:color w:val="000000"/>
            <w:vertAlign w:val="superscript"/>
          </w:rPr>
          <w:t>10aj.</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Winnebago Industries, Inc., and Bank of Montreal.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506210" cy="257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6506210" cy="257175"/>
                    </a:xfrm>
                    <a:prstGeom prst="rect">
                      <a:avLst/>
                    </a:prstGeom>
                    <a:noFill/>
                  </pic:spPr>
                </pic:pic>
              </a:graphicData>
            </a:graphic>
          </wp:anchor>
        </w:drawing>
      </w:r>
    </w:p>
    <w:p>
      <w:pPr>
        <w:jc w:val="both"/>
        <w:ind w:left="860" w:right="460" w:firstLine="108"/>
        <w:spacing w:after="0" w:line="192" w:lineRule="auto"/>
        <w:rPr>
          <w:rFonts w:ascii="Arial" w:cs="Arial" w:eastAsia="Arial" w:hAnsi="Arial"/>
          <w:sz w:val="15"/>
          <w:szCs w:val="15"/>
          <w:color w:val="0000FF"/>
        </w:rPr>
      </w:pPr>
      <w:hyperlink r:id="rId144">
        <w:r>
          <w:rPr>
            <w:rFonts w:ascii="Arial" w:cs="Arial" w:eastAsia="Arial" w:hAnsi="Arial"/>
            <w:sz w:val="15"/>
            <w:szCs w:val="15"/>
            <w:u w:val="single" w:color="auto"/>
            <w:color w:val="0000FF"/>
          </w:rPr>
          <w:t>Additional Convertible Bond Hedge Confirmation, dated October 30, 2019,</w:t>
        </w:r>
      </w:hyperlink>
      <w:r>
        <w:rPr>
          <w:rFonts w:ascii="Arial" w:cs="Arial" w:eastAsia="Arial" w:hAnsi="Arial"/>
          <w:sz w:val="15"/>
          <w:szCs w:val="15"/>
          <w:u w:val="single" w:color="auto"/>
          <w:color w:val="0000FF"/>
        </w:rPr>
        <w:t xml:space="preserve"> </w:t>
      </w:r>
      <w:hyperlink r:id="rId144">
        <w:r>
          <w:rPr>
            <w:rFonts w:ascii="Arial" w:cs="Arial" w:eastAsia="Arial" w:hAnsi="Arial"/>
            <w:sz w:val="29"/>
            <w:szCs w:val="29"/>
            <w:color w:val="000000"/>
            <w:vertAlign w:val="superscript"/>
          </w:rPr>
          <w:t>10ak.</w:t>
        </w:r>
        <w:r>
          <w:rPr>
            <w:rFonts w:ascii="Arial" w:cs="Arial" w:eastAsia="Arial" w:hAnsi="Arial"/>
            <w:sz w:val="15"/>
            <w:szCs w:val="15"/>
            <w:color w:val="0000FF"/>
          </w:rPr>
          <w:t xml:space="preserve"> </w:t>
        </w:r>
        <w:r>
          <w:rPr>
            <w:rFonts w:ascii="Arial" w:cs="Arial" w:eastAsia="Arial" w:hAnsi="Arial"/>
            <w:sz w:val="15"/>
            <w:szCs w:val="15"/>
            <w:u w:val="single" w:color="auto"/>
            <w:color w:val="0000FF"/>
          </w:rPr>
          <w:t>between Winnebago Industries, Inc., and Goldman Sachs &amp; Co. LLC.</w:t>
        </w:r>
      </w:hyperlink>
    </w:p>
    <w:p>
      <w:pPr>
        <w:ind w:left="900" w:right="460" w:firstLine="63"/>
        <w:spacing w:after="0" w:line="187" w:lineRule="auto"/>
        <w:rPr>
          <w:rFonts w:ascii="Arial" w:cs="Arial" w:eastAsia="Arial" w:hAnsi="Arial"/>
          <w:sz w:val="16"/>
          <w:szCs w:val="16"/>
          <w:color w:val="0000FF"/>
        </w:rPr>
      </w:pPr>
      <w:hyperlink r:id="rId145">
        <w:r>
          <w:rPr>
            <w:rFonts w:ascii="Arial" w:cs="Arial" w:eastAsia="Arial" w:hAnsi="Arial"/>
            <w:sz w:val="16"/>
            <w:szCs w:val="16"/>
            <w:u w:val="single" w:color="auto"/>
            <w:color w:val="0000FF"/>
          </w:rPr>
          <w:t>Additional Convertible Bond Hedge Confirmation, dated October 30, 2019,</w:t>
        </w:r>
      </w:hyperlink>
      <w:r>
        <w:rPr>
          <w:rFonts w:ascii="Arial" w:cs="Arial" w:eastAsia="Arial" w:hAnsi="Arial"/>
          <w:sz w:val="16"/>
          <w:szCs w:val="16"/>
          <w:u w:val="single" w:color="auto"/>
          <w:color w:val="0000FF"/>
        </w:rPr>
        <w:t xml:space="preserve"> </w:t>
      </w:r>
      <w:hyperlink r:id="rId145">
        <w:r>
          <w:rPr>
            <w:rFonts w:ascii="Arial" w:cs="Arial" w:eastAsia="Arial" w:hAnsi="Arial"/>
            <w:sz w:val="32"/>
            <w:szCs w:val="32"/>
            <w:color w:val="000000"/>
            <w:vertAlign w:val="superscript"/>
          </w:rPr>
          <w:t>10al.</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between Winnebago Industries, Inc., and Bank of Montreal.</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23495</wp:posOffset>
            </wp:positionV>
            <wp:extent cx="16884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20" w:type="dxa"/>
            <w:vAlign w:val="bottom"/>
          </w:tcPr>
          <w:p>
            <w:pPr>
              <w:spacing w:after="0"/>
              <w:rPr>
                <w:sz w:val="20"/>
                <w:szCs w:val="20"/>
                <w:color w:val="auto"/>
              </w:rPr>
            </w:pPr>
            <w:r>
              <w:rPr>
                <w:rFonts w:ascii="Arial" w:cs="Arial" w:eastAsia="Arial" w:hAnsi="Arial"/>
                <w:sz w:val="16"/>
                <w:szCs w:val="16"/>
                <w:b w:val="1"/>
                <w:bCs w:val="1"/>
                <w:color w:val="auto"/>
              </w:rPr>
              <w:t>Form</w:t>
            </w:r>
          </w:p>
        </w:tc>
        <w:tc>
          <w:tcPr>
            <w:tcW w:w="840" w:type="dxa"/>
            <w:vAlign w:val="bottom"/>
          </w:tcPr>
          <w:p>
            <w:pPr>
              <w:jc w:val="right"/>
              <w:ind w:right="199"/>
              <w:spacing w:after="0"/>
              <w:rPr>
                <w:sz w:val="20"/>
                <w:szCs w:val="20"/>
                <w:color w:val="auto"/>
              </w:rPr>
            </w:pPr>
            <w:r>
              <w:rPr>
                <w:rFonts w:ascii="Arial" w:cs="Arial" w:eastAsia="Arial" w:hAnsi="Arial"/>
                <w:sz w:val="16"/>
                <w:szCs w:val="16"/>
                <w:b w:val="1"/>
                <w:bCs w:val="1"/>
                <w:color w:val="auto"/>
              </w:rPr>
              <w:t>Exhibit</w:t>
            </w:r>
          </w:p>
        </w:tc>
        <w:tc>
          <w:tcPr>
            <w:tcW w:w="2160" w:type="dxa"/>
            <w:vAlign w:val="bottom"/>
            <w:gridSpan w:val="2"/>
          </w:tcPr>
          <w:p>
            <w:pPr>
              <w:ind w:left="40"/>
              <w:spacing w:after="0"/>
              <w:rPr>
                <w:sz w:val="20"/>
                <w:szCs w:val="20"/>
                <w:color w:val="auto"/>
              </w:rPr>
            </w:pPr>
            <w:r>
              <w:rPr>
                <w:rFonts w:ascii="Arial" w:cs="Arial" w:eastAsia="Arial" w:hAnsi="Arial"/>
                <w:sz w:val="16"/>
                <w:szCs w:val="16"/>
                <w:b w:val="1"/>
                <w:bCs w:val="1"/>
                <w:color w:val="auto"/>
              </w:rPr>
              <w:t>Filing Date  Filed Herewith</w:t>
            </w:r>
          </w:p>
        </w:tc>
      </w:tr>
      <w:tr>
        <w:trPr>
          <w:trHeight w:val="439"/>
        </w:trPr>
        <w:tc>
          <w:tcPr>
            <w:tcW w:w="720" w:type="dxa"/>
            <w:vAlign w:val="bottom"/>
          </w:tcPr>
          <w:p>
            <w:pPr>
              <w:ind w:left="440"/>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10/05/2016</w:t>
            </w:r>
          </w:p>
        </w:tc>
        <w:tc>
          <w:tcPr>
            <w:tcW w:w="920" w:type="dxa"/>
            <w:vAlign w:val="bottom"/>
            <w:tcBorders>
              <w:top w:val="single" w:sz="8" w:color="auto"/>
            </w:tcBorders>
          </w:tcPr>
          <w:p>
            <w:pPr>
              <w:spacing w:after="0"/>
              <w:rPr>
                <w:sz w:val="24"/>
                <w:szCs w:val="24"/>
                <w:color w:val="auto"/>
              </w:rPr>
            </w:pPr>
          </w:p>
        </w:tc>
      </w:tr>
    </w:tbl>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696"/>
        </w:trPr>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w:t>
            </w:r>
          </w:p>
        </w:tc>
        <w:tc>
          <w:tcPr>
            <w:tcW w:w="20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10/05/2016</w:t>
            </w:r>
          </w:p>
        </w:tc>
      </w:tr>
      <w:tr>
        <w:trPr>
          <w:trHeight w:val="492"/>
        </w:trPr>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615"/>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10/05/2016</w:t>
            </w:r>
          </w:p>
        </w:tc>
      </w:tr>
      <w:tr>
        <w:trPr>
          <w:trHeight w:val="864"/>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10/05/2016</w:t>
            </w:r>
          </w:p>
        </w:tc>
      </w:tr>
      <w:tr>
        <w:trPr>
          <w:trHeight w:val="621"/>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99.2</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11/14/2016</w:t>
            </w:r>
          </w:p>
        </w:tc>
      </w:tr>
      <w:tr>
        <w:trPr>
          <w:trHeight w:val="621"/>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12/12/2017</w:t>
            </w:r>
          </w:p>
        </w:tc>
      </w:tr>
      <w:tr>
        <w:trPr>
          <w:trHeight w:val="756"/>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10/23/2019</w:t>
            </w:r>
          </w:p>
        </w:tc>
      </w:tr>
      <w:tr>
        <w:trPr>
          <w:trHeight w:val="675"/>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10-Q</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99.4</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12/29/2016</w:t>
            </w:r>
          </w:p>
        </w:tc>
      </w:tr>
      <w:tr>
        <w:trPr>
          <w:trHeight w:val="540"/>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10-Q</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99.5</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12/29/2016</w:t>
            </w:r>
          </w:p>
        </w:tc>
      </w:tr>
      <w:tr>
        <w:trPr>
          <w:trHeight w:val="540"/>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06/24/2019</w:t>
            </w:r>
          </w:p>
        </w:tc>
      </w:tr>
      <w:tr>
        <w:trPr>
          <w:trHeight w:val="540"/>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10.2</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06/24/2019</w:t>
            </w:r>
          </w:p>
        </w:tc>
      </w:tr>
      <w:tr>
        <w:trPr>
          <w:trHeight w:val="621"/>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09/16/2019</w:t>
            </w:r>
          </w:p>
        </w:tc>
      </w:tr>
      <w:tr>
        <w:trPr>
          <w:trHeight w:val="729"/>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10/23/2019</w:t>
            </w:r>
          </w:p>
        </w:tc>
      </w:tr>
      <w:tr>
        <w:trPr>
          <w:trHeight w:val="580"/>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11/04/2019</w:t>
            </w:r>
          </w:p>
        </w:tc>
      </w:tr>
      <w:tr>
        <w:trPr>
          <w:trHeight w:val="405"/>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10.2</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11/04/2019</w:t>
            </w:r>
          </w:p>
        </w:tc>
      </w:tr>
      <w:tr>
        <w:trPr>
          <w:trHeight w:val="405"/>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11/04/2019</w:t>
            </w:r>
          </w:p>
        </w:tc>
      </w:tr>
      <w:tr>
        <w:trPr>
          <w:trHeight w:val="405"/>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11/04/2019</w:t>
            </w:r>
          </w:p>
        </w:tc>
      </w:tr>
      <w:tr>
        <w:trPr>
          <w:trHeight w:val="405"/>
        </w:trPr>
        <w:tc>
          <w:tcPr>
            <w:tcW w:w="1020" w:type="dxa"/>
            <w:vAlign w:val="bottom"/>
          </w:tcPr>
          <w:p>
            <w:pPr>
              <w:jc w:val="right"/>
              <w:ind w:right="159"/>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10.5</w:t>
            </w:r>
          </w:p>
        </w:tc>
        <w:tc>
          <w:tcPr>
            <w:tcW w:w="2040" w:type="dxa"/>
            <w:vAlign w:val="bottom"/>
          </w:tcPr>
          <w:p>
            <w:pPr>
              <w:jc w:val="right"/>
              <w:ind w:right="959"/>
              <w:spacing w:after="0"/>
              <w:rPr>
                <w:sz w:val="20"/>
                <w:szCs w:val="20"/>
                <w:color w:val="auto"/>
              </w:rPr>
            </w:pPr>
            <w:r>
              <w:rPr>
                <w:rFonts w:ascii="Arial" w:cs="Arial" w:eastAsia="Arial" w:hAnsi="Arial"/>
                <w:sz w:val="16"/>
                <w:szCs w:val="16"/>
                <w:color w:val="auto"/>
              </w:rPr>
              <w:t>11/04/2019</w:t>
            </w:r>
          </w:p>
        </w:tc>
      </w:tr>
    </w:tbl>
    <w:p>
      <w:pPr>
        <w:spacing w:after="0" w:line="340" w:lineRule="exact"/>
        <w:rPr>
          <w:sz w:val="20"/>
          <w:szCs w:val="20"/>
          <w:color w:val="auto"/>
        </w:rPr>
      </w:pPr>
    </w:p>
    <w:p>
      <w:pPr>
        <w:sectPr>
          <w:pgSz w:w="11900" w:h="16838" w:orient="portrait"/>
          <w:cols w:equalWidth="0" w:num="2">
            <w:col w:w="6760" w:space="20"/>
            <w:col w:w="3800"/>
          </w:cols>
          <w:pgMar w:left="320" w:top="141" w:right="99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41" w:right="99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 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506210"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6506210" cy="265430"/>
                    </a:xfrm>
                    <a:prstGeom prst="rect">
                      <a:avLst/>
                    </a:prstGeom>
                    <a:noFill/>
                  </pic:spPr>
                </pic:pic>
              </a:graphicData>
            </a:graphic>
          </wp:anchor>
        </w:drawing>
      </w:r>
    </w:p>
    <w:p>
      <w:pPr>
        <w:spacing w:after="0" w:line="46" w:lineRule="exact"/>
        <w:rPr>
          <w:sz w:val="20"/>
          <w:szCs w:val="20"/>
          <w:color w:val="auto"/>
        </w:rPr>
      </w:pPr>
    </w:p>
    <w:p>
      <w:pPr>
        <w:ind w:left="800" w:right="460" w:firstLine="162"/>
        <w:spacing w:after="0" w:line="183" w:lineRule="auto"/>
        <w:rPr>
          <w:rFonts w:ascii="Arial" w:cs="Arial" w:eastAsia="Arial" w:hAnsi="Arial"/>
          <w:sz w:val="16"/>
          <w:szCs w:val="16"/>
          <w:color w:val="0000FF"/>
        </w:rPr>
      </w:pPr>
      <w:hyperlink r:id="rId149">
        <w:r>
          <w:rPr>
            <w:rFonts w:ascii="Arial" w:cs="Arial" w:eastAsia="Arial" w:hAnsi="Arial"/>
            <w:sz w:val="16"/>
            <w:szCs w:val="16"/>
            <w:u w:val="single" w:color="auto"/>
            <w:color w:val="0000FF"/>
          </w:rPr>
          <w:t>Base Warrant Confirmation, dated October 29, 2019, between Winnebago</w:t>
        </w:r>
      </w:hyperlink>
      <w:r>
        <w:rPr>
          <w:rFonts w:ascii="Arial" w:cs="Arial" w:eastAsia="Arial" w:hAnsi="Arial"/>
          <w:sz w:val="16"/>
          <w:szCs w:val="16"/>
          <w:u w:val="single" w:color="auto"/>
          <w:color w:val="0000FF"/>
        </w:rPr>
        <w:t xml:space="preserve"> </w:t>
      </w:r>
      <w:hyperlink r:id="rId149"/>
      <w:r>
        <w:rPr>
          <w:rFonts w:ascii="Arial" w:cs="Arial" w:eastAsia="Arial" w:hAnsi="Arial"/>
          <w:sz w:val="30"/>
          <w:szCs w:val="30"/>
          <w:color w:val="000000"/>
          <w:vertAlign w:val="superscript"/>
        </w:rPr>
        <w:t>10am.</w:t>
      </w:r>
      <w:r>
        <w:rPr>
          <w:rFonts w:ascii="Arial" w:cs="Arial" w:eastAsia="Arial" w:hAnsi="Arial"/>
          <w:sz w:val="16"/>
          <w:szCs w:val="16"/>
          <w:color w:val="0000FF"/>
        </w:rPr>
        <w:t xml:space="preserve"> </w:t>
      </w:r>
      <w:hyperlink r:id="rId149">
        <w:r>
          <w:rPr>
            <w:rFonts w:ascii="Arial" w:cs="Arial" w:eastAsia="Arial" w:hAnsi="Arial"/>
            <w:sz w:val="16"/>
            <w:szCs w:val="16"/>
            <w:u w:val="single" w:color="auto"/>
            <w:color w:val="0000FF"/>
          </w:rPr>
          <w:t>Industries, Inc., and Goldman Sachs &amp; Co. LLC.</w:t>
        </w:r>
      </w:hyperlink>
    </w:p>
    <w:p>
      <w:pPr>
        <w:spacing w:after="0" w:line="2" w:lineRule="exact"/>
        <w:rPr>
          <w:rFonts w:ascii="Arial" w:cs="Arial" w:eastAsia="Arial" w:hAnsi="Arial"/>
          <w:sz w:val="16"/>
          <w:szCs w:val="16"/>
          <w:u w:val="single" w:color="auto"/>
          <w:color w:val="0000FF"/>
        </w:rPr>
      </w:pPr>
    </w:p>
    <w:p>
      <w:pPr>
        <w:ind w:left="860" w:right="460" w:firstLine="117"/>
        <w:spacing w:after="0" w:line="183" w:lineRule="auto"/>
        <w:rPr>
          <w:rFonts w:ascii="Arial" w:cs="Arial" w:eastAsia="Arial" w:hAnsi="Arial"/>
          <w:sz w:val="16"/>
          <w:szCs w:val="16"/>
          <w:color w:val="0000FF"/>
        </w:rPr>
      </w:pPr>
      <w:hyperlink r:id="rId150">
        <w:r>
          <w:rPr>
            <w:rFonts w:ascii="Arial" w:cs="Arial" w:eastAsia="Arial" w:hAnsi="Arial"/>
            <w:sz w:val="16"/>
            <w:szCs w:val="16"/>
            <w:u w:val="single" w:color="auto"/>
            <w:color w:val="0000FF"/>
          </w:rPr>
          <w:t>Base Warrant Confirmation, dated October 29, 2019, between Winnebago</w:t>
        </w:r>
      </w:hyperlink>
      <w:r>
        <w:rPr>
          <w:rFonts w:ascii="Arial" w:cs="Arial" w:eastAsia="Arial" w:hAnsi="Arial"/>
          <w:sz w:val="16"/>
          <w:szCs w:val="16"/>
          <w:u w:val="single" w:color="auto"/>
          <w:color w:val="0000FF"/>
        </w:rPr>
        <w:t xml:space="preserve"> </w:t>
      </w:r>
      <w:hyperlink r:id="rId150">
        <w:r>
          <w:rPr>
            <w:rFonts w:ascii="Arial" w:cs="Arial" w:eastAsia="Arial" w:hAnsi="Arial"/>
            <w:sz w:val="30"/>
            <w:szCs w:val="30"/>
            <w:color w:val="000000"/>
            <w:vertAlign w:val="superscript"/>
          </w:rPr>
          <w:t>10an.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Industries, Inc., and Bank of Montreal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506210"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6506210" cy="257175"/>
                    </a:xfrm>
                    <a:prstGeom prst="rect">
                      <a:avLst/>
                    </a:prstGeom>
                    <a:noFill/>
                  </pic:spPr>
                </pic:pic>
              </a:graphicData>
            </a:graphic>
          </wp:anchor>
        </w:drawing>
      </w:r>
    </w:p>
    <w:p>
      <w:pPr>
        <w:ind w:left="860" w:right="120" w:firstLine="117"/>
        <w:spacing w:after="0" w:line="183" w:lineRule="auto"/>
        <w:rPr>
          <w:rFonts w:ascii="Arial" w:cs="Arial" w:eastAsia="Arial" w:hAnsi="Arial"/>
          <w:sz w:val="16"/>
          <w:szCs w:val="16"/>
          <w:color w:val="0000FF"/>
        </w:rPr>
      </w:pPr>
      <w:hyperlink r:id="rId152">
        <w:r>
          <w:rPr>
            <w:rFonts w:ascii="Arial" w:cs="Arial" w:eastAsia="Arial" w:hAnsi="Arial"/>
            <w:sz w:val="16"/>
            <w:szCs w:val="16"/>
            <w:u w:val="single" w:color="auto"/>
            <w:color w:val="0000FF"/>
          </w:rPr>
          <w:t>Additional Warrant Confirmation, dated October 30, 2019, between Winnebago</w:t>
        </w:r>
      </w:hyperlink>
      <w:r>
        <w:rPr>
          <w:rFonts w:ascii="Arial" w:cs="Arial" w:eastAsia="Arial" w:hAnsi="Arial"/>
          <w:sz w:val="16"/>
          <w:szCs w:val="16"/>
          <w:u w:val="single" w:color="auto"/>
          <w:color w:val="0000FF"/>
        </w:rPr>
        <w:t xml:space="preserve"> </w:t>
      </w:r>
      <w:hyperlink r:id="rId152">
        <w:r>
          <w:rPr>
            <w:rFonts w:ascii="Arial" w:cs="Arial" w:eastAsia="Arial" w:hAnsi="Arial"/>
            <w:sz w:val="30"/>
            <w:szCs w:val="30"/>
            <w:color w:val="000000"/>
            <w:vertAlign w:val="superscript"/>
          </w:rPr>
          <w:t>10ao.</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Industries, Inc., and Goldman Sachs &amp; Co. LLC.</w:t>
        </w:r>
      </w:hyperlink>
    </w:p>
    <w:p>
      <w:pPr>
        <w:spacing w:after="0" w:line="2" w:lineRule="exact"/>
        <w:rPr>
          <w:sz w:val="20"/>
          <w:szCs w:val="20"/>
          <w:color w:val="auto"/>
        </w:rPr>
      </w:pPr>
    </w:p>
    <w:p>
      <w:pPr>
        <w:ind w:left="860" w:right="120" w:firstLine="117"/>
        <w:spacing w:after="0" w:line="183" w:lineRule="auto"/>
        <w:rPr>
          <w:rFonts w:ascii="Arial" w:cs="Arial" w:eastAsia="Arial" w:hAnsi="Arial"/>
          <w:sz w:val="16"/>
          <w:szCs w:val="16"/>
          <w:color w:val="0000FF"/>
        </w:rPr>
      </w:pPr>
      <w:hyperlink r:id="rId153">
        <w:r>
          <w:rPr>
            <w:rFonts w:ascii="Arial" w:cs="Arial" w:eastAsia="Arial" w:hAnsi="Arial"/>
            <w:sz w:val="16"/>
            <w:szCs w:val="16"/>
            <w:u w:val="single" w:color="auto"/>
            <w:color w:val="0000FF"/>
          </w:rPr>
          <w:t>Additional Warrant Confirmation, dated October 30, 2019, between Winnebago</w:t>
        </w:r>
      </w:hyperlink>
      <w:r>
        <w:rPr>
          <w:rFonts w:ascii="Arial" w:cs="Arial" w:eastAsia="Arial" w:hAnsi="Arial"/>
          <w:sz w:val="16"/>
          <w:szCs w:val="16"/>
          <w:u w:val="single" w:color="auto"/>
          <w:color w:val="0000FF"/>
        </w:rPr>
        <w:t xml:space="preserve"> </w:t>
      </w:r>
      <w:hyperlink r:id="rId153">
        <w:r>
          <w:rPr>
            <w:rFonts w:ascii="Arial" w:cs="Arial" w:eastAsia="Arial" w:hAnsi="Arial"/>
            <w:sz w:val="30"/>
            <w:szCs w:val="30"/>
            <w:color w:val="000000"/>
            <w:vertAlign w:val="superscript"/>
          </w:rPr>
          <w:t>10ap.</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Industries, Inc., and Bank of Montreal.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506210" cy="3689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6506210" cy="368935"/>
                    </a:xfrm>
                    <a:prstGeom prst="rect">
                      <a:avLst/>
                    </a:prstGeom>
                    <a:noFill/>
                  </pic:spPr>
                </pic:pic>
              </a:graphicData>
            </a:graphic>
          </wp:anchor>
        </w:drawing>
      </w:r>
    </w:p>
    <w:p>
      <w:pPr>
        <w:ind w:left="860" w:right="640" w:firstLine="117"/>
        <w:spacing w:after="0" w:line="228" w:lineRule="auto"/>
        <w:rPr>
          <w:rFonts w:ascii="Arial" w:cs="Arial" w:eastAsia="Arial" w:hAnsi="Arial"/>
          <w:sz w:val="16"/>
          <w:szCs w:val="16"/>
          <w:color w:val="000000"/>
        </w:rPr>
      </w:pPr>
      <w:hyperlink r:id="rId155">
        <w:r>
          <w:rPr>
            <w:rFonts w:ascii="Arial" w:cs="Arial" w:eastAsia="Arial" w:hAnsi="Arial"/>
            <w:sz w:val="16"/>
            <w:szCs w:val="16"/>
            <w:u w:val="single" w:color="auto"/>
            <w:color w:val="0000FF"/>
          </w:rPr>
          <w:t>Standstill Agreement dated as of September 15, 2019, by and among</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color w:val="000000"/>
          </w:rPr>
          <w:t xml:space="preserve">10aq. </w:t>
        </w:r>
        <w:r>
          <w:rPr>
            <w:rFonts w:ascii="Arial" w:cs="Arial" w:eastAsia="Arial" w:hAnsi="Arial"/>
            <w:sz w:val="16"/>
            <w:szCs w:val="16"/>
            <w:u w:val="single" w:color="auto"/>
            <w:color w:val="0000FF"/>
          </w:rPr>
          <w:t>Winnebago Industries, Inc. and each of the investors named on the</w:t>
        </w:r>
      </w:hyperlink>
    </w:p>
    <w:p>
      <w:pPr>
        <w:spacing w:after="0" w:line="1" w:lineRule="exact"/>
        <w:rPr>
          <w:sz w:val="20"/>
          <w:szCs w:val="20"/>
          <w:color w:val="auto"/>
        </w:rPr>
      </w:pPr>
    </w:p>
    <w:p>
      <w:pPr>
        <w:ind w:left="1300"/>
        <w:spacing w:after="0"/>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signature pages thereto.</w:t>
        </w:r>
      </w:hyperlink>
    </w:p>
    <w:p>
      <w:pPr>
        <w:spacing w:after="0" w:line="37" w:lineRule="exact"/>
        <w:rPr>
          <w:sz w:val="20"/>
          <w:szCs w:val="20"/>
          <w:color w:val="auto"/>
        </w:rPr>
      </w:pPr>
    </w:p>
    <w:p>
      <w:pPr>
        <w:ind w:left="980"/>
        <w:spacing w:after="0"/>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Lock-Up Letter Agreement dated September 15, 2019, by and among</w:t>
        </w:r>
      </w:hyperlink>
    </w:p>
    <w:p>
      <w:pPr>
        <w:ind w:left="1300" w:right="80" w:hanging="395"/>
        <w:spacing w:after="0" w:line="242" w:lineRule="auto"/>
        <w:rPr>
          <w:rFonts w:ascii="Arial" w:cs="Arial" w:eastAsia="Arial" w:hAnsi="Arial"/>
          <w:sz w:val="16"/>
          <w:szCs w:val="16"/>
          <w:u w:val="single" w:color="auto"/>
          <w:color w:val="0000FF"/>
        </w:rPr>
      </w:pPr>
      <w:hyperlink r:id="rId156">
        <w:r>
          <w:rPr>
            <w:rFonts w:ascii="Arial" w:cs="Arial" w:eastAsia="Arial" w:hAnsi="Arial"/>
            <w:sz w:val="16"/>
            <w:szCs w:val="16"/>
            <w:color w:val="auto"/>
          </w:rPr>
          <w:t xml:space="preserve">10ar. </w:t>
        </w:r>
        <w:r>
          <w:rPr>
            <w:rFonts w:ascii="Arial" w:cs="Arial" w:eastAsia="Arial" w:hAnsi="Arial"/>
            <w:sz w:val="16"/>
            <w:szCs w:val="16"/>
            <w:u w:val="single" w:color="auto"/>
            <w:color w:val="0000FF"/>
          </w:rPr>
          <w:t>Winnebago Industries, Inc. and each of the parties named on the signature</w:t>
        </w:r>
      </w:hyperlink>
      <w:r>
        <w:rPr>
          <w:rFonts w:ascii="Arial" w:cs="Arial" w:eastAsia="Arial" w:hAnsi="Arial"/>
          <w:sz w:val="16"/>
          <w:szCs w:val="16"/>
          <w:color w:val="auto"/>
        </w:rPr>
        <w:t xml:space="preserve"> </w:t>
      </w:r>
      <w:hyperlink r:id="rId156">
        <w:r>
          <w:rPr>
            <w:rFonts w:ascii="Arial" w:cs="Arial" w:eastAsia="Arial" w:hAnsi="Arial"/>
            <w:sz w:val="16"/>
            <w:szCs w:val="16"/>
            <w:u w:val="single" w:color="auto"/>
            <w:color w:val="0000FF"/>
          </w:rPr>
          <w:t>pages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12065</wp:posOffset>
            </wp:positionV>
            <wp:extent cx="6506210" cy="5918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7">
                      <a:extLst>
                        <a:ext uri="{28A0092B-C50C-407E-A947-70E740481C1C}"/>
                      </a:extLst>
                    </a:blip>
                    <a:srcRect/>
                    <a:stretch>
                      <a:fillRect/>
                    </a:stretch>
                  </pic:blipFill>
                  <pic:spPr bwMode="auto">
                    <a:xfrm>
                      <a:off x="0" y="0"/>
                      <a:ext cx="6506210" cy="591820"/>
                    </a:xfrm>
                    <a:prstGeom prst="rect">
                      <a:avLst/>
                    </a:prstGeom>
                    <a:noFill/>
                  </pic:spPr>
                </pic:pic>
              </a:graphicData>
            </a:graphic>
          </wp:anchor>
        </w:drawing>
      </w:r>
    </w:p>
    <w:p>
      <w:pPr>
        <w:spacing w:after="0" w:line="14" w:lineRule="exact"/>
        <w:rPr>
          <w:sz w:val="20"/>
          <w:szCs w:val="20"/>
          <w:color w:val="auto"/>
        </w:rPr>
      </w:pPr>
    </w:p>
    <w:p>
      <w:pPr>
        <w:jc w:val="right"/>
        <w:ind w:left="980" w:right="380"/>
        <w:spacing w:after="0" w:line="228" w:lineRule="auto"/>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Amendment No. 1 to Amended and Restated Credit Agreement dated as of</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November 15, 2019 among Winnebago Industries, Inc., Winnebago of</w:t>
        </w:r>
      </w:hyperlink>
    </w:p>
    <w:p>
      <w:pPr>
        <w:spacing w:after="0" w:line="1" w:lineRule="exact"/>
        <w:rPr>
          <w:sz w:val="20"/>
          <w:szCs w:val="20"/>
          <w:color w:val="auto"/>
        </w:rPr>
      </w:pPr>
    </w:p>
    <w:p>
      <w:pPr>
        <w:ind w:left="1300" w:right="60" w:hanging="431"/>
        <w:spacing w:after="0" w:line="237" w:lineRule="auto"/>
        <w:rPr>
          <w:rFonts w:ascii="Arial" w:cs="Arial" w:eastAsia="Arial" w:hAnsi="Arial"/>
          <w:sz w:val="16"/>
          <w:szCs w:val="16"/>
          <w:u w:val="single" w:color="auto"/>
          <w:color w:val="0000FF"/>
        </w:rPr>
      </w:pPr>
      <w:hyperlink r:id="rId158">
        <w:r>
          <w:rPr>
            <w:rFonts w:ascii="Arial" w:cs="Arial" w:eastAsia="Arial" w:hAnsi="Arial"/>
            <w:sz w:val="16"/>
            <w:szCs w:val="16"/>
            <w:color w:val="auto"/>
          </w:rPr>
          <w:t xml:space="preserve">10as. </w:t>
        </w:r>
        <w:r>
          <w:rPr>
            <w:rFonts w:ascii="Arial" w:cs="Arial" w:eastAsia="Arial" w:hAnsi="Arial"/>
            <w:sz w:val="16"/>
            <w:szCs w:val="16"/>
            <w:u w:val="single" w:color="auto"/>
            <w:color w:val="0000FF"/>
          </w:rPr>
          <w:t>Indiana, LLC and Grand Design RV, LLC, Newmar Corporation, the other</w:t>
        </w:r>
      </w:hyperlink>
      <w:r>
        <w:rPr>
          <w:rFonts w:ascii="Arial" w:cs="Arial" w:eastAsia="Arial" w:hAnsi="Arial"/>
          <w:sz w:val="16"/>
          <w:szCs w:val="16"/>
          <w:color w:val="auto"/>
        </w:rPr>
        <w:t xml:space="preserve"> </w:t>
      </w:r>
      <w:hyperlink r:id="rId158">
        <w:r>
          <w:rPr>
            <w:rFonts w:ascii="Arial" w:cs="Arial" w:eastAsia="Arial" w:hAnsi="Arial"/>
            <w:sz w:val="16"/>
            <w:szCs w:val="16"/>
            <w:u w:val="single" w:color="auto"/>
            <w:color w:val="0000FF"/>
          </w:rPr>
          <w:t>loan parties thereto from time to time, the lenders party thereto from time to</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time and JPMorgan Chase Bank, N.A.</w:t>
        </w:r>
      </w:hyperlink>
    </w:p>
    <w:p>
      <w:pPr>
        <w:spacing w:after="0" w:line="35" w:lineRule="exact"/>
        <w:rPr>
          <w:rFonts w:ascii="Arial" w:cs="Arial" w:eastAsia="Arial" w:hAnsi="Arial"/>
          <w:sz w:val="16"/>
          <w:szCs w:val="16"/>
          <w:color w:val="auto"/>
        </w:rPr>
      </w:pPr>
    </w:p>
    <w:p>
      <w:pPr>
        <w:ind w:left="900" w:right="80" w:firstLine="72"/>
        <w:spacing w:after="0" w:line="183" w:lineRule="auto"/>
        <w:rPr>
          <w:rFonts w:ascii="Arial" w:cs="Arial" w:eastAsia="Arial" w:hAnsi="Arial"/>
          <w:sz w:val="16"/>
          <w:szCs w:val="16"/>
          <w:color w:val="0000FF"/>
        </w:rPr>
      </w:pPr>
      <w:hyperlink r:id="rId159">
        <w:r>
          <w:rPr>
            <w:rFonts w:ascii="Arial" w:cs="Arial" w:eastAsia="Arial" w:hAnsi="Arial"/>
            <w:sz w:val="16"/>
            <w:szCs w:val="16"/>
            <w:u w:val="single" w:color="auto"/>
            <w:color w:val="0000FF"/>
          </w:rPr>
          <w:t>First Restated and Amended Lease Agreement (Main Facility) dated October 4,</w:t>
        </w:r>
      </w:hyperlink>
      <w:r>
        <w:rPr>
          <w:rFonts w:ascii="Arial" w:cs="Arial" w:eastAsia="Arial" w:hAnsi="Arial"/>
          <w:sz w:val="16"/>
          <w:szCs w:val="16"/>
          <w:u w:val="single" w:color="auto"/>
          <w:color w:val="0000FF"/>
        </w:rPr>
        <w:t xml:space="preserve"> </w:t>
      </w:r>
      <w:hyperlink r:id="rId159">
        <w:r>
          <w:rPr>
            <w:rFonts w:ascii="Arial" w:cs="Arial" w:eastAsia="Arial" w:hAnsi="Arial"/>
            <w:sz w:val="30"/>
            <w:szCs w:val="30"/>
            <w:color w:val="000000"/>
            <w:vertAlign w:val="superscript"/>
          </w:rPr>
          <w:t>10at.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2019 by and between Three Oaks, LLC and Grand Design RV,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506210" cy="3689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6506210" cy="368935"/>
                    </a:xfrm>
                    <a:prstGeom prst="rect">
                      <a:avLst/>
                    </a:prstGeom>
                    <a:noFill/>
                  </pic:spPr>
                </pic:pic>
              </a:graphicData>
            </a:graphic>
          </wp:anchor>
        </w:drawing>
      </w:r>
    </w:p>
    <w:p>
      <w:pPr>
        <w:ind w:left="860" w:right="160" w:firstLine="117"/>
        <w:spacing w:after="0" w:line="228" w:lineRule="auto"/>
        <w:rPr>
          <w:rFonts w:ascii="Arial" w:cs="Arial" w:eastAsia="Arial" w:hAnsi="Arial"/>
          <w:sz w:val="16"/>
          <w:szCs w:val="16"/>
          <w:color w:val="000000"/>
        </w:rPr>
      </w:pPr>
      <w:hyperlink r:id="rId161">
        <w:r>
          <w:rPr>
            <w:rFonts w:ascii="Arial" w:cs="Arial" w:eastAsia="Arial" w:hAnsi="Arial"/>
            <w:sz w:val="16"/>
            <w:szCs w:val="16"/>
            <w:u w:val="single" w:color="auto"/>
            <w:color w:val="0000FF"/>
          </w:rPr>
          <w:t>Second Restated and Amended Lease Agreement (Expansion Facility) dated</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color w:val="000000"/>
          </w:rPr>
          <w:t xml:space="preserve">10au. </w:t>
        </w:r>
        <w:r>
          <w:rPr>
            <w:rFonts w:ascii="Arial" w:cs="Arial" w:eastAsia="Arial" w:hAnsi="Arial"/>
            <w:sz w:val="16"/>
            <w:szCs w:val="16"/>
            <w:u w:val="single" w:color="auto"/>
            <w:color w:val="0000FF"/>
          </w:rPr>
          <w:t>October 4, 2019 by and between Three Oaks, LLC and Grand Design RV,</w:t>
        </w:r>
      </w:hyperlink>
    </w:p>
    <w:p>
      <w:pPr>
        <w:spacing w:after="0" w:line="1" w:lineRule="exact"/>
        <w:rPr>
          <w:sz w:val="20"/>
          <w:szCs w:val="20"/>
          <w:color w:val="auto"/>
        </w:rPr>
      </w:pPr>
    </w:p>
    <w:p>
      <w:pPr>
        <w:ind w:left="1300"/>
        <w:spacing w:after="0"/>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LLC.</w:t>
        </w:r>
      </w:hyperlink>
    </w:p>
    <w:p>
      <w:pPr>
        <w:spacing w:after="0" w:line="46" w:lineRule="exact"/>
        <w:rPr>
          <w:sz w:val="20"/>
          <w:szCs w:val="20"/>
          <w:color w:val="auto"/>
        </w:rPr>
      </w:pPr>
    </w:p>
    <w:p>
      <w:pPr>
        <w:ind w:left="1300" w:hanging="323"/>
        <w:spacing w:after="0" w:line="228" w:lineRule="auto"/>
        <w:rPr>
          <w:rFonts w:ascii="Arial" w:cs="Arial" w:eastAsia="Arial" w:hAnsi="Arial"/>
          <w:sz w:val="16"/>
          <w:szCs w:val="16"/>
          <w:u w:val="single" w:color="auto"/>
          <w:color w:val="0000FF"/>
        </w:rPr>
      </w:pPr>
      <w:hyperlink r:id="rId162">
        <w:r>
          <w:rPr>
            <w:rFonts w:ascii="Arial" w:cs="Arial" w:eastAsia="Arial" w:hAnsi="Arial"/>
            <w:sz w:val="16"/>
            <w:szCs w:val="16"/>
            <w:u w:val="single" w:color="auto"/>
            <w:color w:val="0000FF"/>
          </w:rPr>
          <w:t>Amendment No. 2 to Amended and Restated Credit Agreement, dated as of July</w:t>
        </w:r>
      </w:hyperlink>
      <w:r>
        <w:rPr>
          <w:rFonts w:ascii="Arial" w:cs="Arial" w:eastAsia="Arial" w:hAnsi="Arial"/>
          <w:sz w:val="16"/>
          <w:szCs w:val="16"/>
          <w:u w:val="single" w:color="auto"/>
          <w:color w:val="0000FF"/>
        </w:rPr>
        <w:t xml:space="preserve"> </w:t>
      </w:r>
      <w:hyperlink r:id="rId162">
        <w:r>
          <w:rPr>
            <w:rFonts w:ascii="Arial" w:cs="Arial" w:eastAsia="Arial" w:hAnsi="Arial"/>
            <w:sz w:val="16"/>
            <w:szCs w:val="16"/>
            <w:u w:val="single" w:color="auto"/>
            <w:color w:val="0000FF"/>
          </w:rPr>
          <w:t>8, 2020, among Winnebago Industries, Inc., Winnebago of Indiana, LLC,</w:t>
        </w:r>
      </w:hyperlink>
    </w:p>
    <w:p>
      <w:pPr>
        <w:spacing w:after="0" w:line="1" w:lineRule="exact"/>
        <w:rPr>
          <w:sz w:val="20"/>
          <w:szCs w:val="20"/>
          <w:color w:val="auto"/>
        </w:rPr>
      </w:pPr>
    </w:p>
    <w:p>
      <w:pPr>
        <w:jc w:val="both"/>
        <w:ind w:left="1300" w:right="40" w:hanging="419"/>
        <w:spacing w:after="0" w:line="237" w:lineRule="auto"/>
        <w:rPr>
          <w:rFonts w:ascii="Arial" w:cs="Arial" w:eastAsia="Arial" w:hAnsi="Arial"/>
          <w:sz w:val="16"/>
          <w:szCs w:val="16"/>
          <w:u w:val="single" w:color="auto"/>
          <w:color w:val="0000FF"/>
        </w:rPr>
      </w:pPr>
      <w:hyperlink r:id="rId162">
        <w:r>
          <w:rPr>
            <w:rFonts w:ascii="Arial" w:cs="Arial" w:eastAsia="Arial" w:hAnsi="Arial"/>
            <w:sz w:val="16"/>
            <w:szCs w:val="16"/>
            <w:color w:val="auto"/>
          </w:rPr>
          <w:t xml:space="preserve">10av. </w:t>
        </w:r>
        <w:r>
          <w:rPr>
            <w:rFonts w:ascii="Arial" w:cs="Arial" w:eastAsia="Arial" w:hAnsi="Arial"/>
            <w:sz w:val="16"/>
            <w:szCs w:val="16"/>
            <w:u w:val="single" w:color="auto"/>
            <w:color w:val="0000FF"/>
          </w:rPr>
          <w:t>Grand Design RV, LLC, Newmar Corporation, the other loan parties thereto</w:t>
        </w:r>
      </w:hyperlink>
      <w:r>
        <w:rPr>
          <w:rFonts w:ascii="Arial" w:cs="Arial" w:eastAsia="Arial" w:hAnsi="Arial"/>
          <w:sz w:val="16"/>
          <w:szCs w:val="16"/>
          <w:color w:val="auto"/>
        </w:rPr>
        <w:t xml:space="preserve"> </w:t>
      </w:r>
      <w:hyperlink r:id="rId162">
        <w:r>
          <w:rPr>
            <w:rFonts w:ascii="Arial" w:cs="Arial" w:eastAsia="Arial" w:hAnsi="Arial"/>
            <w:sz w:val="16"/>
            <w:szCs w:val="16"/>
            <w:u w:val="single" w:color="auto"/>
            <w:color w:val="0000FF"/>
          </w:rPr>
          <w:t>from time to time, the lenders party thereto from time to time and JPMorgan</w:t>
        </w:r>
      </w:hyperlink>
      <w:r>
        <w:rPr>
          <w:rFonts w:ascii="Arial" w:cs="Arial" w:eastAsia="Arial" w:hAnsi="Arial"/>
          <w:sz w:val="16"/>
          <w:szCs w:val="16"/>
          <w:u w:val="single" w:color="auto"/>
          <w:color w:val="0000FF"/>
        </w:rPr>
        <w:t xml:space="preserve"> </w:t>
      </w:r>
      <w:hyperlink r:id="rId162">
        <w:r>
          <w:rPr>
            <w:rFonts w:ascii="Arial" w:cs="Arial" w:eastAsia="Arial" w:hAnsi="Arial"/>
            <w:sz w:val="16"/>
            <w:szCs w:val="16"/>
            <w:u w:val="single" w:color="auto"/>
            <w:color w:val="0000FF"/>
          </w:rPr>
          <w:t>Chase Bank, N.A., as administrative agent</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210820</wp:posOffset>
            </wp:positionH>
            <wp:positionV relativeFrom="paragraph">
              <wp:posOffset>12700</wp:posOffset>
            </wp:positionV>
            <wp:extent cx="6506210" cy="368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6506210" cy="368300"/>
                    </a:xfrm>
                    <a:prstGeom prst="rect">
                      <a:avLst/>
                    </a:prstGeom>
                    <a:noFill/>
                  </pic:spPr>
                </pic:pic>
              </a:graphicData>
            </a:graphic>
          </wp:anchor>
        </w:drawing>
      </w:r>
    </w:p>
    <w:p>
      <w:pPr>
        <w:spacing w:after="0" w:line="15" w:lineRule="exact"/>
        <w:rPr>
          <w:rFonts w:ascii="Arial" w:cs="Arial" w:eastAsia="Arial" w:hAnsi="Arial"/>
          <w:sz w:val="16"/>
          <w:szCs w:val="16"/>
          <w:color w:val="auto"/>
        </w:rPr>
      </w:pPr>
    </w:p>
    <w:p>
      <w:pPr>
        <w:ind w:left="840" w:right="380" w:firstLine="135"/>
        <w:spacing w:after="0" w:line="228" w:lineRule="auto"/>
        <w:rPr>
          <w:rFonts w:ascii="Arial" w:cs="Arial" w:eastAsia="Arial" w:hAnsi="Arial"/>
          <w:sz w:val="16"/>
          <w:szCs w:val="16"/>
          <w:color w:val="000000"/>
        </w:rPr>
      </w:pPr>
      <w:hyperlink r:id="rId164">
        <w:r>
          <w:rPr>
            <w:rFonts w:ascii="Arial" w:cs="Arial" w:eastAsia="Arial" w:hAnsi="Arial"/>
            <w:sz w:val="16"/>
            <w:szCs w:val="16"/>
            <w:u w:val="single" w:color="auto"/>
            <w:color w:val="0000FF"/>
          </w:rPr>
          <w:t>Intercreditor Agreement, dated as of July 8, 2020, among JPMorgan Chase</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color w:val="000000"/>
          </w:rPr>
          <w:t xml:space="preserve">10aw. </w:t>
        </w:r>
        <w:r>
          <w:rPr>
            <w:rFonts w:ascii="Arial" w:cs="Arial" w:eastAsia="Arial" w:hAnsi="Arial"/>
            <w:sz w:val="16"/>
            <w:szCs w:val="16"/>
            <w:u w:val="single" w:color="auto"/>
            <w:color w:val="0000FF"/>
          </w:rPr>
          <w:t>Bank, N.A., U.S. Bank National Association, as collateral trustee,</w:t>
        </w:r>
      </w:hyperlink>
    </w:p>
    <w:p>
      <w:pPr>
        <w:spacing w:after="0" w:line="1" w:lineRule="exact"/>
        <w:rPr>
          <w:sz w:val="20"/>
          <w:szCs w:val="20"/>
          <w:color w:val="auto"/>
        </w:rPr>
      </w:pPr>
    </w:p>
    <w:p>
      <w:pPr>
        <w:ind w:left="1300"/>
        <w:spacing w:after="0"/>
        <w:rPr>
          <w:rFonts w:ascii="Arial" w:cs="Arial" w:eastAsia="Arial" w:hAnsi="Arial"/>
          <w:sz w:val="16"/>
          <w:szCs w:val="16"/>
          <w:u w:val="single" w:color="auto"/>
          <w:color w:val="0000FF"/>
        </w:rPr>
      </w:pPr>
      <w:hyperlink r:id="rId164">
        <w:r>
          <w:rPr>
            <w:rFonts w:ascii="Arial" w:cs="Arial" w:eastAsia="Arial" w:hAnsi="Arial"/>
            <w:sz w:val="16"/>
            <w:szCs w:val="16"/>
            <w:u w:val="single" w:color="auto"/>
            <w:color w:val="0000FF"/>
          </w:rPr>
          <w:t>Winnebago Industries, Inc. and certain of its subsidiaries party thereto.</w:t>
        </w:r>
      </w:hyperlink>
    </w:p>
    <w:p>
      <w:pPr>
        <w:ind w:left="980"/>
        <w:spacing w:after="0" w:line="188" w:lineRule="auto"/>
        <w:rPr>
          <w:rFonts w:ascii="Arial" w:cs="Arial" w:eastAsia="Arial" w:hAnsi="Arial"/>
          <w:sz w:val="14"/>
          <w:szCs w:val="14"/>
          <w:u w:val="single" w:color="auto"/>
          <w:color w:val="0000FF"/>
        </w:rPr>
      </w:pPr>
      <w:hyperlink w:anchor="page79">
        <w:r>
          <w:rPr>
            <w:rFonts w:ascii="Arial" w:cs="Arial" w:eastAsia="Arial" w:hAnsi="Arial"/>
            <w:sz w:val="14"/>
            <w:szCs w:val="14"/>
            <w:u w:val="single" w:color="auto"/>
            <w:color w:val="0000FF"/>
          </w:rPr>
          <w:t>List of Subsidiaries.</w:t>
        </w:r>
      </w:hyperlink>
    </w:p>
    <w:p>
      <w:pPr>
        <w:ind w:left="10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62230</wp:posOffset>
            </wp:positionV>
            <wp:extent cx="650621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6506210" cy="240030"/>
                    </a:xfrm>
                    <a:prstGeom prst="rect">
                      <a:avLst/>
                    </a:prstGeom>
                    <a:noFill/>
                  </pic:spPr>
                </pic:pic>
              </a:graphicData>
            </a:graphic>
          </wp:anchor>
        </w:drawing>
      </w:r>
    </w:p>
    <w:p>
      <w:pPr>
        <w:ind w:left="980"/>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Consent of Independent Registered Public Accounting Firm.</w:t>
        </w:r>
      </w:hyperlink>
    </w:p>
    <w:p>
      <w:pPr>
        <w:ind w:left="1080"/>
        <w:spacing w:after="0"/>
        <w:rPr>
          <w:sz w:val="20"/>
          <w:szCs w:val="20"/>
          <w:color w:val="auto"/>
        </w:rPr>
      </w:pPr>
      <w:r>
        <w:rPr>
          <w:rFonts w:ascii="Arial" w:cs="Arial" w:eastAsia="Arial" w:hAnsi="Arial"/>
          <w:sz w:val="16"/>
          <w:szCs w:val="16"/>
          <w:color w:val="auto"/>
        </w:rPr>
        <w:t>23</w:t>
      </w:r>
    </w:p>
    <w:p>
      <w:pPr>
        <w:spacing w:after="0" w:line="113" w:lineRule="exact"/>
        <w:rPr>
          <w:sz w:val="20"/>
          <w:szCs w:val="20"/>
          <w:color w:val="auto"/>
        </w:rPr>
      </w:pPr>
    </w:p>
    <w:p>
      <w:pPr>
        <w:ind w:left="940" w:right="540" w:firstLine="27"/>
        <w:spacing w:after="0" w:line="232" w:lineRule="auto"/>
        <w:rPr>
          <w:rFonts w:ascii="Arial" w:cs="Arial" w:eastAsia="Arial" w:hAnsi="Arial"/>
          <w:sz w:val="16"/>
          <w:szCs w:val="16"/>
          <w:color w:val="000000"/>
        </w:rPr>
      </w:pPr>
      <w:hyperlink w:anchor="page81">
        <w:r>
          <w:rPr>
            <w:rFonts w:ascii="Arial" w:cs="Arial" w:eastAsia="Arial" w:hAnsi="Arial"/>
            <w:sz w:val="16"/>
            <w:szCs w:val="16"/>
            <w:u w:val="single" w:color="auto"/>
            <w:color w:val="0000FF"/>
          </w:rPr>
          <w:t>Certification by the Chief Executive Officer pursuant to Section 302 of the</w:t>
        </w:r>
      </w:hyperlink>
      <w:r>
        <w:rPr>
          <w:rFonts w:ascii="Arial" w:cs="Arial" w:eastAsia="Arial" w:hAnsi="Arial"/>
          <w:sz w:val="16"/>
          <w:szCs w:val="16"/>
          <w:u w:val="single" w:color="auto"/>
          <w:color w:val="0000FF"/>
        </w:rPr>
        <w:t xml:space="preserve"> </w:t>
      </w:r>
      <w:hyperlink w:anchor="page81">
        <w:r>
          <w:rPr>
            <w:rFonts w:ascii="Arial" w:cs="Arial" w:eastAsia="Arial" w:hAnsi="Arial"/>
            <w:sz w:val="16"/>
            <w:szCs w:val="16"/>
            <w:color w:val="000000"/>
          </w:rPr>
          <w:t xml:space="preserve">31.1 </w:t>
        </w:r>
        <w:r>
          <w:rPr>
            <w:rFonts w:ascii="Arial" w:cs="Arial" w:eastAsia="Arial" w:hAnsi="Arial"/>
            <w:sz w:val="16"/>
            <w:szCs w:val="16"/>
            <w:u w:val="single" w:color="auto"/>
            <w:color w:val="0000FF"/>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506210" cy="3429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6506210" cy="342900"/>
                    </a:xfrm>
                    <a:prstGeom prst="rect">
                      <a:avLst/>
                    </a:prstGeom>
                    <a:noFill/>
                  </pic:spPr>
                </pic:pic>
              </a:graphicData>
            </a:graphic>
          </wp:anchor>
        </w:drawing>
      </w:r>
    </w:p>
    <w:p>
      <w:pPr>
        <w:spacing w:after="0" w:line="164" w:lineRule="exact"/>
        <w:rPr>
          <w:sz w:val="20"/>
          <w:szCs w:val="20"/>
          <w:color w:val="auto"/>
        </w:rPr>
      </w:pPr>
    </w:p>
    <w:p>
      <w:pPr>
        <w:ind w:left="940" w:right="580" w:firstLine="27"/>
        <w:spacing w:after="0" w:line="232" w:lineRule="auto"/>
        <w:rPr>
          <w:rFonts w:ascii="Arial" w:cs="Arial" w:eastAsia="Arial" w:hAnsi="Arial"/>
          <w:sz w:val="16"/>
          <w:szCs w:val="16"/>
          <w:color w:val="000000"/>
        </w:rPr>
      </w:pPr>
      <w:hyperlink w:anchor="page82">
        <w:r>
          <w:rPr>
            <w:rFonts w:ascii="Arial" w:cs="Arial" w:eastAsia="Arial" w:hAnsi="Arial"/>
            <w:sz w:val="16"/>
            <w:szCs w:val="16"/>
            <w:u w:val="single" w:color="auto"/>
            <w:color w:val="0000FF"/>
          </w:rPr>
          <w:t>Certification by the Chief Financial Officer pursuant to Section 302 of the</w:t>
        </w:r>
      </w:hyperlink>
      <w:r>
        <w:rPr>
          <w:rFonts w:ascii="Arial" w:cs="Arial" w:eastAsia="Arial" w:hAnsi="Arial"/>
          <w:sz w:val="16"/>
          <w:szCs w:val="16"/>
          <w:u w:val="single" w:color="auto"/>
          <w:color w:val="0000FF"/>
        </w:rPr>
        <w:t xml:space="preserve"> </w:t>
      </w:r>
      <w:hyperlink w:anchor="page82">
        <w:r>
          <w:rPr>
            <w:rFonts w:ascii="Arial" w:cs="Arial" w:eastAsia="Arial" w:hAnsi="Arial"/>
            <w:sz w:val="16"/>
            <w:szCs w:val="16"/>
            <w:color w:val="000000"/>
          </w:rPr>
          <w:t xml:space="preserve">31.2 </w:t>
        </w:r>
        <w:r>
          <w:rPr>
            <w:rFonts w:ascii="Arial" w:cs="Arial" w:eastAsia="Arial" w:hAnsi="Arial"/>
            <w:sz w:val="16"/>
            <w:szCs w:val="16"/>
            <w:u w:val="single" w:color="auto"/>
            <w:color w:val="0000FF"/>
          </w:rPr>
          <w:t>Sarbanes-Oxley Act of 2002.</w:t>
        </w:r>
      </w:hyperlink>
    </w:p>
    <w:p>
      <w:pPr>
        <w:spacing w:after="0" w:line="184" w:lineRule="exact"/>
        <w:rPr>
          <w:sz w:val="20"/>
          <w:szCs w:val="20"/>
          <w:color w:val="auto"/>
        </w:rPr>
      </w:pPr>
    </w:p>
    <w:p>
      <w:pPr>
        <w:ind w:left="940" w:firstLine="27"/>
        <w:spacing w:after="0" w:line="232" w:lineRule="auto"/>
        <w:rPr>
          <w:rFonts w:ascii="Arial" w:cs="Arial" w:eastAsia="Arial" w:hAnsi="Arial"/>
          <w:sz w:val="16"/>
          <w:szCs w:val="16"/>
          <w:color w:val="000000"/>
        </w:rPr>
      </w:pPr>
      <w:hyperlink w:anchor="page83">
        <w:r>
          <w:rPr>
            <w:rFonts w:ascii="Arial" w:cs="Arial" w:eastAsia="Arial" w:hAnsi="Arial"/>
            <w:sz w:val="16"/>
            <w:szCs w:val="16"/>
            <w:u w:val="single" w:color="auto"/>
            <w:color w:val="0000FF"/>
          </w:rPr>
          <w:t>Certification by the Chief Executive Officer pursuant to Section 1350, as adopted</w:t>
        </w:r>
      </w:hyperlink>
      <w:r>
        <w:rPr>
          <w:rFonts w:ascii="Arial" w:cs="Arial" w:eastAsia="Arial" w:hAnsi="Arial"/>
          <w:sz w:val="16"/>
          <w:szCs w:val="16"/>
          <w:u w:val="single" w:color="auto"/>
          <w:color w:val="0000FF"/>
        </w:rPr>
        <w:t xml:space="preserve"> </w:t>
      </w:r>
      <w:hyperlink w:anchor="page83">
        <w:r>
          <w:rPr>
            <w:rFonts w:ascii="Arial" w:cs="Arial" w:eastAsia="Arial" w:hAnsi="Arial"/>
            <w:sz w:val="16"/>
            <w:szCs w:val="16"/>
            <w:color w:val="000000"/>
          </w:rPr>
          <w:t xml:space="preserve">32.1 </w:t>
        </w:r>
        <w:r>
          <w:rPr>
            <w:rFonts w:ascii="Arial" w:cs="Arial" w:eastAsia="Arial" w:hAnsi="Arial"/>
            <w:sz w:val="16"/>
            <w:szCs w:val="16"/>
            <w:u w:val="single" w:color="auto"/>
            <w:color w:val="0000FF"/>
          </w:rPr>
          <w:t>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506210" cy="342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6506210" cy="342900"/>
                    </a:xfrm>
                    <a:prstGeom prst="rect">
                      <a:avLst/>
                    </a:prstGeom>
                    <a:noFill/>
                  </pic:spPr>
                </pic:pic>
              </a:graphicData>
            </a:graphic>
          </wp:anchor>
        </w:drawing>
      </w:r>
    </w:p>
    <w:p>
      <w:pPr>
        <w:spacing w:after="0" w:line="164" w:lineRule="exact"/>
        <w:rPr>
          <w:sz w:val="20"/>
          <w:szCs w:val="20"/>
          <w:color w:val="auto"/>
        </w:rPr>
      </w:pPr>
    </w:p>
    <w:p>
      <w:pPr>
        <w:ind w:left="940" w:right="60" w:firstLine="27"/>
        <w:spacing w:after="0" w:line="232" w:lineRule="auto"/>
        <w:rPr>
          <w:rFonts w:ascii="Arial" w:cs="Arial" w:eastAsia="Arial" w:hAnsi="Arial"/>
          <w:sz w:val="16"/>
          <w:szCs w:val="16"/>
          <w:color w:val="000000"/>
        </w:rPr>
      </w:pPr>
      <w:hyperlink w:anchor="page84">
        <w:r>
          <w:rPr>
            <w:rFonts w:ascii="Arial" w:cs="Arial" w:eastAsia="Arial" w:hAnsi="Arial"/>
            <w:sz w:val="16"/>
            <w:szCs w:val="16"/>
            <w:u w:val="single" w:color="auto"/>
            <w:color w:val="0000FF"/>
          </w:rPr>
          <w:t>Certification by the Chief Financial Officer pursuant to Section 1350, as adopted</w:t>
        </w:r>
      </w:hyperlink>
      <w:r>
        <w:rPr>
          <w:rFonts w:ascii="Arial" w:cs="Arial" w:eastAsia="Arial" w:hAnsi="Arial"/>
          <w:sz w:val="16"/>
          <w:szCs w:val="16"/>
          <w:u w:val="single" w:color="auto"/>
          <w:color w:val="0000FF"/>
        </w:rPr>
        <w:t xml:space="preserve"> </w:t>
      </w:r>
      <w:hyperlink w:anchor="page84">
        <w:r>
          <w:rPr>
            <w:rFonts w:ascii="Arial" w:cs="Arial" w:eastAsia="Arial" w:hAnsi="Arial"/>
            <w:sz w:val="16"/>
            <w:szCs w:val="16"/>
            <w:color w:val="000000"/>
          </w:rPr>
          <w:t xml:space="preserve">32.2 </w:t>
        </w:r>
        <w:r>
          <w:rPr>
            <w:rFonts w:ascii="Arial" w:cs="Arial" w:eastAsia="Arial" w:hAnsi="Arial"/>
            <w:sz w:val="16"/>
            <w:szCs w:val="16"/>
            <w:u w:val="single" w:color="auto"/>
            <w:color w:val="0000FF"/>
          </w:rPr>
          <w:t>pursuant to Section 906 of the Sarbanes-Oxley Act of 2002.</w:t>
        </w:r>
      </w:hyperlink>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XBRL Instance Document** - the instance document does not appear in the</w:t>
      </w:r>
    </w:p>
    <w:p>
      <w:pPr>
        <w:ind w:left="1300" w:right="60" w:hanging="620"/>
        <w:spacing w:after="0" w:line="232" w:lineRule="auto"/>
        <w:rPr>
          <w:sz w:val="20"/>
          <w:szCs w:val="20"/>
          <w:color w:val="auto"/>
        </w:rPr>
      </w:pPr>
      <w:r>
        <w:rPr>
          <w:rFonts w:ascii="Arial" w:cs="Arial" w:eastAsia="Arial" w:hAnsi="Arial"/>
          <w:sz w:val="16"/>
          <w:szCs w:val="16"/>
          <w:color w:val="auto"/>
        </w:rPr>
        <w:t>101.INS Interactive Data File becuase its XBRL tags are embedded within the Inline XBRL document (furnished herewith).</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101.SCHInline XBRL Taxonomy Extension Schema Document**</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101.CALInline XBRL Taxonomy Extension Calculation Linkbase Document**</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101.DEFInline XBRL Taxonomy Extension Definitions Linkbase Document**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16884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Form</w:t>
            </w:r>
          </w:p>
        </w:tc>
        <w:tc>
          <w:tcPr>
            <w:tcW w:w="840" w:type="dxa"/>
            <w:vAlign w:val="bottom"/>
          </w:tcPr>
          <w:p>
            <w:pPr>
              <w:jc w:val="right"/>
              <w:ind w:right="199"/>
              <w:spacing w:after="0"/>
              <w:rPr>
                <w:sz w:val="20"/>
                <w:szCs w:val="20"/>
                <w:color w:val="auto"/>
              </w:rPr>
            </w:pPr>
            <w:r>
              <w:rPr>
                <w:rFonts w:ascii="Arial" w:cs="Arial" w:eastAsia="Arial" w:hAnsi="Arial"/>
                <w:sz w:val="16"/>
                <w:szCs w:val="16"/>
                <w:b w:val="1"/>
                <w:bCs w:val="1"/>
                <w:color w:val="auto"/>
              </w:rPr>
              <w:t>Exhibit</w:t>
            </w:r>
          </w:p>
        </w:tc>
        <w:tc>
          <w:tcPr>
            <w:tcW w:w="2160" w:type="dxa"/>
            <w:vAlign w:val="bottom"/>
            <w:gridSpan w:val="2"/>
          </w:tcPr>
          <w:p>
            <w:pPr>
              <w:ind w:left="40"/>
              <w:spacing w:after="0"/>
              <w:rPr>
                <w:sz w:val="20"/>
                <w:szCs w:val="20"/>
                <w:color w:val="auto"/>
              </w:rPr>
            </w:pPr>
            <w:r>
              <w:rPr>
                <w:rFonts w:ascii="Arial" w:cs="Arial" w:eastAsia="Arial" w:hAnsi="Arial"/>
                <w:sz w:val="16"/>
                <w:szCs w:val="16"/>
                <w:b w:val="1"/>
                <w:bCs w:val="1"/>
                <w:color w:val="auto"/>
              </w:rPr>
              <w:t>Filing Date  Filed Herewith</w:t>
            </w:r>
          </w:p>
        </w:tc>
      </w:tr>
      <w:tr>
        <w:trPr>
          <w:trHeight w:val="290"/>
        </w:trPr>
        <w:tc>
          <w:tcPr>
            <w:tcW w:w="72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11/04/2019</w:t>
            </w:r>
          </w:p>
        </w:tc>
        <w:tc>
          <w:tcPr>
            <w:tcW w:w="920" w:type="dxa"/>
            <w:vAlign w:val="bottom"/>
            <w:tcBorders>
              <w:top w:val="single" w:sz="8" w:color="auto"/>
            </w:tcBorders>
          </w:tcPr>
          <w:p>
            <w:pPr>
              <w:spacing w:after="0"/>
              <w:rPr>
                <w:sz w:val="24"/>
                <w:szCs w:val="24"/>
                <w:color w:val="auto"/>
              </w:rPr>
            </w:pPr>
          </w:p>
        </w:tc>
      </w:tr>
      <w:tr>
        <w:trPr>
          <w:trHeight w:val="418"/>
        </w:trPr>
        <w:tc>
          <w:tcPr>
            <w:tcW w:w="72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11/04/2019</w:t>
            </w:r>
          </w:p>
        </w:tc>
        <w:tc>
          <w:tcPr>
            <w:tcW w:w="920" w:type="dxa"/>
            <w:vAlign w:val="bottom"/>
          </w:tcPr>
          <w:p>
            <w:pPr>
              <w:spacing w:after="0"/>
              <w:rPr>
                <w:sz w:val="24"/>
                <w:szCs w:val="24"/>
                <w:color w:val="auto"/>
              </w:rPr>
            </w:pPr>
          </w:p>
        </w:tc>
      </w:tr>
      <w:tr>
        <w:trPr>
          <w:trHeight w:val="405"/>
        </w:trPr>
        <w:tc>
          <w:tcPr>
            <w:tcW w:w="72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11/04/2019</w:t>
            </w:r>
          </w:p>
        </w:tc>
        <w:tc>
          <w:tcPr>
            <w:tcW w:w="920" w:type="dxa"/>
            <w:vAlign w:val="bottom"/>
          </w:tcPr>
          <w:p>
            <w:pPr>
              <w:spacing w:after="0"/>
              <w:rPr>
                <w:sz w:val="24"/>
                <w:szCs w:val="24"/>
                <w:color w:val="auto"/>
              </w:rPr>
            </w:pPr>
          </w:p>
        </w:tc>
      </w:tr>
      <w:tr>
        <w:trPr>
          <w:trHeight w:val="405"/>
        </w:trPr>
        <w:tc>
          <w:tcPr>
            <w:tcW w:w="72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10.9</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11/04/2019</w:t>
            </w:r>
          </w:p>
        </w:tc>
        <w:tc>
          <w:tcPr>
            <w:tcW w:w="920" w:type="dxa"/>
            <w:vAlign w:val="bottom"/>
          </w:tcPr>
          <w:p>
            <w:pPr>
              <w:spacing w:after="0"/>
              <w:rPr>
                <w:sz w:val="24"/>
                <w:szCs w:val="24"/>
                <w:color w:val="auto"/>
              </w:rPr>
            </w:pPr>
          </w:p>
        </w:tc>
      </w:tr>
      <w:tr>
        <w:trPr>
          <w:trHeight w:val="486"/>
        </w:trPr>
        <w:tc>
          <w:tcPr>
            <w:tcW w:w="72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11/8/2019</w:t>
            </w:r>
          </w:p>
        </w:tc>
        <w:tc>
          <w:tcPr>
            <w:tcW w:w="920" w:type="dxa"/>
            <w:vAlign w:val="bottom"/>
          </w:tcPr>
          <w:p>
            <w:pPr>
              <w:spacing w:after="0"/>
              <w:rPr>
                <w:sz w:val="24"/>
                <w:szCs w:val="24"/>
                <w:color w:val="auto"/>
              </w:rPr>
            </w:pPr>
          </w:p>
        </w:tc>
      </w:tr>
      <w:tr>
        <w:trPr>
          <w:trHeight w:val="581"/>
        </w:trPr>
        <w:tc>
          <w:tcPr>
            <w:tcW w:w="72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11/8/2019</w:t>
            </w:r>
          </w:p>
        </w:tc>
        <w:tc>
          <w:tcPr>
            <w:tcW w:w="920" w:type="dxa"/>
            <w:vAlign w:val="bottom"/>
          </w:tcPr>
          <w:p>
            <w:pPr>
              <w:spacing w:after="0"/>
              <w:rPr>
                <w:sz w:val="24"/>
                <w:szCs w:val="24"/>
                <w:color w:val="auto"/>
              </w:rPr>
            </w:pPr>
          </w:p>
        </w:tc>
      </w:tr>
      <w:tr>
        <w:trPr>
          <w:trHeight w:val="756"/>
        </w:trPr>
        <w:tc>
          <w:tcPr>
            <w:tcW w:w="720" w:type="dxa"/>
            <w:vAlign w:val="bottom"/>
          </w:tcPr>
          <w:p>
            <w:pPr>
              <w:jc w:val="right"/>
              <w:spacing w:after="0"/>
              <w:rPr>
                <w:sz w:val="20"/>
                <w:szCs w:val="20"/>
                <w:color w:val="auto"/>
              </w:rPr>
            </w:pPr>
            <w:r>
              <w:rPr>
                <w:rFonts w:ascii="Arial" w:cs="Arial" w:eastAsia="Arial" w:hAnsi="Arial"/>
                <w:sz w:val="16"/>
                <w:szCs w:val="16"/>
                <w:color w:val="auto"/>
              </w:rPr>
              <w:t>10-Q</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12/20/2019</w:t>
            </w:r>
          </w:p>
        </w:tc>
        <w:tc>
          <w:tcPr>
            <w:tcW w:w="920" w:type="dxa"/>
            <w:vAlign w:val="bottom"/>
          </w:tcPr>
          <w:p>
            <w:pPr>
              <w:spacing w:after="0"/>
              <w:rPr>
                <w:sz w:val="24"/>
                <w:szCs w:val="24"/>
                <w:color w:val="auto"/>
              </w:rPr>
            </w:pPr>
          </w:p>
        </w:tc>
      </w:tr>
      <w:tr>
        <w:trPr>
          <w:trHeight w:val="675"/>
        </w:trPr>
        <w:tc>
          <w:tcPr>
            <w:tcW w:w="720" w:type="dxa"/>
            <w:vAlign w:val="bottom"/>
          </w:tcPr>
          <w:p>
            <w:pPr>
              <w:jc w:val="right"/>
              <w:spacing w:after="0"/>
              <w:rPr>
                <w:sz w:val="20"/>
                <w:szCs w:val="20"/>
                <w:color w:val="auto"/>
              </w:rPr>
            </w:pPr>
            <w:r>
              <w:rPr>
                <w:rFonts w:ascii="Arial" w:cs="Arial" w:eastAsia="Arial" w:hAnsi="Arial"/>
                <w:sz w:val="16"/>
                <w:szCs w:val="16"/>
                <w:color w:val="auto"/>
              </w:rPr>
              <w:t>10-Q</w:t>
            </w:r>
          </w:p>
        </w:tc>
        <w:tc>
          <w:tcPr>
            <w:tcW w:w="840" w:type="dxa"/>
            <w:vAlign w:val="bottom"/>
          </w:tcPr>
          <w:p>
            <w:pPr>
              <w:jc w:val="right"/>
              <w:spacing w:after="0"/>
              <w:rPr>
                <w:sz w:val="20"/>
                <w:szCs w:val="20"/>
                <w:color w:val="auto"/>
              </w:rPr>
            </w:pPr>
            <w:r>
              <w:rPr>
                <w:rFonts w:ascii="Arial" w:cs="Arial" w:eastAsia="Arial" w:hAnsi="Arial"/>
                <w:sz w:val="16"/>
                <w:szCs w:val="16"/>
                <w:color w:val="auto"/>
              </w:rPr>
              <w:t>10.14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12/20/2019</w:t>
            </w:r>
          </w:p>
        </w:tc>
        <w:tc>
          <w:tcPr>
            <w:tcW w:w="920" w:type="dxa"/>
            <w:vAlign w:val="bottom"/>
          </w:tcPr>
          <w:p>
            <w:pPr>
              <w:spacing w:after="0"/>
              <w:rPr>
                <w:sz w:val="24"/>
                <w:szCs w:val="24"/>
                <w:color w:val="auto"/>
              </w:rPr>
            </w:pPr>
          </w:p>
        </w:tc>
      </w:tr>
      <w:tr>
        <w:trPr>
          <w:trHeight w:val="486"/>
        </w:trPr>
        <w:tc>
          <w:tcPr>
            <w:tcW w:w="720" w:type="dxa"/>
            <w:vAlign w:val="bottom"/>
          </w:tcPr>
          <w:p>
            <w:pPr>
              <w:jc w:val="right"/>
              <w:spacing w:after="0"/>
              <w:rPr>
                <w:sz w:val="20"/>
                <w:szCs w:val="20"/>
                <w:color w:val="auto"/>
              </w:rPr>
            </w:pPr>
            <w:r>
              <w:rPr>
                <w:rFonts w:ascii="Arial" w:cs="Arial" w:eastAsia="Arial" w:hAnsi="Arial"/>
                <w:sz w:val="16"/>
                <w:szCs w:val="16"/>
                <w:color w:val="auto"/>
              </w:rPr>
              <w:t>10-Q</w:t>
            </w:r>
          </w:p>
        </w:tc>
        <w:tc>
          <w:tcPr>
            <w:tcW w:w="840" w:type="dxa"/>
            <w:vAlign w:val="bottom"/>
          </w:tcPr>
          <w:p>
            <w:pPr>
              <w:jc w:val="right"/>
              <w:spacing w:after="0"/>
              <w:rPr>
                <w:sz w:val="20"/>
                <w:szCs w:val="20"/>
                <w:color w:val="auto"/>
              </w:rPr>
            </w:pPr>
            <w:r>
              <w:rPr>
                <w:rFonts w:ascii="Arial" w:cs="Arial" w:eastAsia="Arial" w:hAnsi="Arial"/>
                <w:sz w:val="16"/>
                <w:szCs w:val="16"/>
                <w:color w:val="auto"/>
              </w:rPr>
              <w:t>10.15</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12/20/2019</w:t>
            </w:r>
          </w:p>
        </w:tc>
        <w:tc>
          <w:tcPr>
            <w:tcW w:w="920" w:type="dxa"/>
            <w:vAlign w:val="bottom"/>
          </w:tcPr>
          <w:p>
            <w:pPr>
              <w:spacing w:after="0"/>
              <w:rPr>
                <w:sz w:val="24"/>
                <w:szCs w:val="24"/>
                <w:color w:val="auto"/>
              </w:rPr>
            </w:pPr>
          </w:p>
        </w:tc>
      </w:tr>
      <w:tr>
        <w:trPr>
          <w:trHeight w:val="756"/>
        </w:trPr>
        <w:tc>
          <w:tcPr>
            <w:tcW w:w="72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7/9/2020</w:t>
            </w:r>
          </w:p>
        </w:tc>
        <w:tc>
          <w:tcPr>
            <w:tcW w:w="920" w:type="dxa"/>
            <w:vAlign w:val="bottom"/>
          </w:tcPr>
          <w:p>
            <w:pPr>
              <w:spacing w:after="0"/>
              <w:rPr>
                <w:sz w:val="24"/>
                <w:szCs w:val="24"/>
                <w:color w:val="auto"/>
              </w:rPr>
            </w:pPr>
          </w:p>
        </w:tc>
      </w:tr>
      <w:tr>
        <w:trPr>
          <w:trHeight w:val="756"/>
        </w:trPr>
        <w:tc>
          <w:tcPr>
            <w:tcW w:w="720" w:type="dxa"/>
            <w:vAlign w:val="bottom"/>
          </w:tcPr>
          <w:p>
            <w:pPr>
              <w:jc w:val="right"/>
              <w:spacing w:after="0"/>
              <w:rPr>
                <w:sz w:val="20"/>
                <w:szCs w:val="20"/>
                <w:color w:val="auto"/>
              </w:rPr>
            </w:pPr>
            <w:r>
              <w:rPr>
                <w:rFonts w:ascii="Arial" w:cs="Arial" w:eastAsia="Arial" w:hAnsi="Arial"/>
                <w:sz w:val="16"/>
                <w:szCs w:val="16"/>
                <w:color w:val="auto"/>
              </w:rPr>
              <w:t>8-K</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7/9/2020</w:t>
            </w:r>
          </w:p>
        </w:tc>
        <w:tc>
          <w:tcPr>
            <w:tcW w:w="920" w:type="dxa"/>
            <w:vAlign w:val="bottom"/>
          </w:tcPr>
          <w:p>
            <w:pPr>
              <w:spacing w:after="0"/>
              <w:rPr>
                <w:sz w:val="24"/>
                <w:szCs w:val="24"/>
                <w:color w:val="auto"/>
              </w:rPr>
            </w:pPr>
          </w:p>
        </w:tc>
      </w:tr>
    </w:tbl>
    <w:p>
      <w:pPr>
        <w:spacing w:after="0" w:line="29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X</w:t>
      </w:r>
    </w:p>
    <w:p>
      <w:pPr>
        <w:spacing w:after="0" w:line="275"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6740" w:space="120"/>
            <w:col w:w="3720"/>
          </w:cols>
          <w:pgMar w:left="320" w:top="141" w:right="99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23495</wp:posOffset>
            </wp:positionV>
            <wp:extent cx="16884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53" w:lineRule="exact"/>
        <w:rPr>
          <w:sz w:val="20"/>
          <w:szCs w:val="20"/>
          <w:color w:val="auto"/>
        </w:rPr>
      </w:pPr>
    </w:p>
    <w:p>
      <w:pPr>
        <w:ind w:left="20"/>
        <w:spacing w:after="0"/>
        <w:tabs>
          <w:tab w:leader="none" w:pos="6840" w:val="left"/>
          <w:tab w:leader="none" w:pos="7580" w:val="left"/>
          <w:tab w:leader="none" w:pos="8440" w:val="left"/>
        </w:tabs>
        <w:rPr>
          <w:sz w:val="20"/>
          <w:szCs w:val="20"/>
          <w:color w:val="auto"/>
        </w:rPr>
      </w:pPr>
      <w:r>
        <w:rPr>
          <w:rFonts w:ascii="Arial" w:cs="Arial" w:eastAsia="Arial" w:hAnsi="Arial"/>
          <w:sz w:val="16"/>
          <w:szCs w:val="16"/>
          <w:b w:val="1"/>
          <w:bCs w:val="1"/>
          <w:color w:val="auto"/>
        </w:rPr>
        <w:t>Exhibit No. Exhibit Description</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Filing Date  File</w:t>
      </w:r>
      <w:r>
        <w:rPr>
          <w:rFonts w:ascii="Arial" w:cs="Arial" w:eastAsia="Arial" w:hAnsi="Arial"/>
          <w:sz w:val="16"/>
          <w:szCs w:val="16"/>
          <w:b w:val="1"/>
          <w:bCs w:val="1"/>
          <w:u w:val="single" w:color="auto"/>
          <w:color w:val="auto"/>
        </w:rPr>
        <w:t>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40976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101.LABInline XBRL Taxonomy Extension Label Linkbase Document**</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101.PREInline XBRL Taxonomy Extension Presentation Linkbase Document**</w:t>
      </w:r>
    </w:p>
    <w:p>
      <w:pPr>
        <w:spacing w:after="0" w:line="32" w:lineRule="exact"/>
        <w:rPr>
          <w:sz w:val="20"/>
          <w:szCs w:val="20"/>
          <w:color w:val="auto"/>
        </w:rPr>
      </w:pPr>
    </w:p>
    <w:p>
      <w:pPr>
        <w:ind w:left="980" w:right="3820" w:hanging="17"/>
        <w:spacing w:after="0" w:line="211" w:lineRule="auto"/>
        <w:rPr>
          <w:sz w:val="20"/>
          <w:szCs w:val="20"/>
          <w:color w:val="auto"/>
        </w:rPr>
      </w:pPr>
      <w:r>
        <w:rPr>
          <w:rFonts w:ascii="Arial" w:cs="Arial" w:eastAsia="Arial" w:hAnsi="Arial"/>
          <w:sz w:val="16"/>
          <w:szCs w:val="16"/>
          <w:color w:val="auto"/>
        </w:rPr>
        <w:t>The cover page from the Winnebago Industries, Inc. Annual Report on Form 10-104 K for the fiscal year ended August 28, 2021, formatted in Inline XBRL</w:t>
      </w:r>
    </w:p>
    <w:p>
      <w:pPr>
        <w:ind w:left="1300"/>
        <w:spacing w:after="0"/>
        <w:rPr>
          <w:sz w:val="20"/>
          <w:szCs w:val="20"/>
          <w:color w:val="auto"/>
        </w:rPr>
      </w:pPr>
      <w:r>
        <w:rPr>
          <w:rFonts w:ascii="Arial" w:cs="Arial" w:eastAsia="Arial" w:hAnsi="Arial"/>
          <w:sz w:val="16"/>
          <w:szCs w:val="16"/>
          <w:color w:val="auto"/>
        </w:rPr>
        <w:t>(included as Exhibit 101).</w:t>
      </w:r>
    </w:p>
    <w:p>
      <w:pPr>
        <w:spacing w:after="0" w:line="113"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41" w:right="105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86"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 w:right="1440"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WINNEBAGO INDUSTRIES, INC.</w:t>
      </w:r>
    </w:p>
    <w:p>
      <w:pPr>
        <w:spacing w:after="0" w:line="232" w:lineRule="exact"/>
        <w:rPr>
          <w:sz w:val="20"/>
          <w:szCs w:val="20"/>
          <w:color w:val="auto"/>
        </w:rPr>
      </w:pPr>
    </w:p>
    <w:p>
      <w:pPr>
        <w:ind w:left="5000"/>
        <w:spacing w:after="0"/>
        <w:tabs>
          <w:tab w:leader="none" w:pos="5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20955</wp:posOffset>
            </wp:positionV>
            <wp:extent cx="36175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Michael J. Happe</w:t>
      </w:r>
    </w:p>
    <w:p>
      <w:pPr>
        <w:spacing w:after="0" w:line="24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President, Chief Executive Officer</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(Principal Executive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Date: October 20, 2021</w:t>
      </w:r>
    </w:p>
    <w:p>
      <w:pPr>
        <w:spacing w:after="0" w:line="200" w:lineRule="exact"/>
        <w:rPr>
          <w:sz w:val="20"/>
          <w:szCs w:val="20"/>
          <w:color w:val="auto"/>
        </w:rPr>
      </w:pP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20, 2021, by the following persons on behalf of the Registrant and in the capacities indicated.</w:t>
      </w:r>
    </w:p>
    <w:tbl>
      <w:tblPr>
        <w:tblLayout w:type="fixed"/>
        <w:tblInd w:w="0" w:type="dxa"/>
        <w:tblCellMar>
          <w:top w:w="0" w:type="dxa"/>
          <w:left w:w="0" w:type="dxa"/>
          <w:bottom w:w="0" w:type="dxa"/>
          <w:right w:w="0" w:type="dxa"/>
        </w:tblCellMar>
      </w:tblPr>
      <w:tr>
        <w:trPr>
          <w:trHeight w:val="182"/>
        </w:trPr>
        <w:tc>
          <w:tcPr>
            <w:tcW w:w="4660" w:type="dxa"/>
            <w:vAlign w:val="bottom"/>
            <w:gridSpan w:val="3"/>
          </w:tcPr>
          <w:p>
            <w:pPr>
              <w:ind w:left="1960"/>
              <w:spacing w:after="0" w:line="181" w:lineRule="exact"/>
              <w:rPr>
                <w:sz w:val="20"/>
                <w:szCs w:val="20"/>
                <w:color w:val="auto"/>
              </w:rPr>
            </w:pPr>
            <w:r>
              <w:rPr>
                <w:rFonts w:ascii="Arial" w:cs="Arial" w:eastAsia="Arial" w:hAnsi="Arial"/>
                <w:sz w:val="16"/>
                <w:szCs w:val="16"/>
                <w:b w:val="1"/>
                <w:bCs w:val="1"/>
                <w:color w:val="auto"/>
              </w:rPr>
              <w:t>Signature</w:t>
            </w:r>
          </w:p>
        </w:tc>
        <w:tc>
          <w:tcPr>
            <w:tcW w:w="4360" w:type="dxa"/>
            <w:vAlign w:val="bottom"/>
            <w:gridSpan w:val="3"/>
          </w:tcPr>
          <w:p>
            <w:pPr>
              <w:ind w:left="860"/>
              <w:spacing w:after="0" w:line="181" w:lineRule="exact"/>
              <w:rPr>
                <w:sz w:val="20"/>
                <w:szCs w:val="20"/>
                <w:color w:val="auto"/>
              </w:rPr>
            </w:pPr>
            <w:r>
              <w:rPr>
                <w:rFonts w:ascii="Arial" w:cs="Arial" w:eastAsia="Arial" w:hAnsi="Arial"/>
                <w:sz w:val="16"/>
                <w:szCs w:val="16"/>
                <w:b w:val="1"/>
                <w:bCs w:val="1"/>
                <w:color w:val="auto"/>
              </w:rPr>
              <w:t>Capacity</w:t>
            </w:r>
          </w:p>
        </w:tc>
      </w:tr>
      <w:tr>
        <w:trPr>
          <w:trHeight w:val="487"/>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Michael J. Happe</w:t>
            </w:r>
          </w:p>
        </w:tc>
        <w:tc>
          <w:tcPr>
            <w:tcW w:w="740" w:type="dxa"/>
            <w:vAlign w:val="bottom"/>
            <w:tcBorders>
              <w:top w:val="single" w:sz="8" w:color="auto"/>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r>
      <w:tr>
        <w:trPr>
          <w:trHeight w:val="163"/>
        </w:trPr>
        <w:tc>
          <w:tcPr>
            <w:tcW w:w="4660" w:type="dxa"/>
            <w:vAlign w:val="bottom"/>
            <w:gridSpan w:val="3"/>
          </w:tcPr>
          <w:p>
            <w:pPr>
              <w:ind w:left="20"/>
              <w:spacing w:after="0" w:line="164" w:lineRule="exact"/>
              <w:rPr>
                <w:sz w:val="20"/>
                <w:szCs w:val="20"/>
                <w:color w:val="auto"/>
              </w:rPr>
            </w:pPr>
            <w:r>
              <w:rPr>
                <w:rFonts w:ascii="Arial" w:cs="Arial" w:eastAsia="Arial" w:hAnsi="Arial"/>
                <w:sz w:val="16"/>
                <w:szCs w:val="16"/>
                <w:color w:val="auto"/>
              </w:rPr>
              <w:t>Michael J. Happe</w:t>
            </w:r>
          </w:p>
        </w:tc>
        <w:tc>
          <w:tcPr>
            <w:tcW w:w="4360" w:type="dxa"/>
            <w:vAlign w:val="bottom"/>
            <w:gridSpan w:val="3"/>
          </w:tcPr>
          <w:p>
            <w:pPr>
              <w:ind w:left="860"/>
              <w:spacing w:after="0" w:line="164" w:lineRule="exact"/>
              <w:rPr>
                <w:sz w:val="20"/>
                <w:szCs w:val="20"/>
                <w:color w:val="auto"/>
              </w:rPr>
            </w:pPr>
            <w:r>
              <w:rPr>
                <w:rFonts w:ascii="Arial" w:cs="Arial" w:eastAsia="Arial" w:hAnsi="Arial"/>
                <w:sz w:val="16"/>
                <w:szCs w:val="16"/>
                <w:color w:val="auto"/>
              </w:rPr>
              <w:t>Chief Executive Officer, President</w:t>
            </w:r>
          </w:p>
        </w:tc>
      </w:tr>
      <w:tr>
        <w:trPr>
          <w:trHeight w:val="195"/>
        </w:trPr>
        <w:tc>
          <w:tcPr>
            <w:tcW w:w="1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(Principal Executive Officer)</w:t>
            </w:r>
          </w:p>
        </w:tc>
      </w:tr>
      <w:tr>
        <w:trPr>
          <w:trHeight w:val="432"/>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Bryan L. Hughes</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63"/>
        </w:trPr>
        <w:tc>
          <w:tcPr>
            <w:tcW w:w="4660" w:type="dxa"/>
            <w:vAlign w:val="bottom"/>
            <w:gridSpan w:val="3"/>
          </w:tcPr>
          <w:p>
            <w:pPr>
              <w:ind w:left="20"/>
              <w:spacing w:after="0" w:line="164" w:lineRule="exact"/>
              <w:rPr>
                <w:sz w:val="20"/>
                <w:szCs w:val="20"/>
                <w:color w:val="auto"/>
              </w:rPr>
            </w:pPr>
            <w:r>
              <w:rPr>
                <w:rFonts w:ascii="Arial" w:cs="Arial" w:eastAsia="Arial" w:hAnsi="Arial"/>
                <w:sz w:val="16"/>
                <w:szCs w:val="16"/>
                <w:color w:val="auto"/>
              </w:rPr>
              <w:t>Bryan L. Hughes</w:t>
            </w:r>
          </w:p>
        </w:tc>
        <w:tc>
          <w:tcPr>
            <w:tcW w:w="4360" w:type="dxa"/>
            <w:vAlign w:val="bottom"/>
            <w:gridSpan w:val="3"/>
          </w:tcPr>
          <w:p>
            <w:pPr>
              <w:ind w:left="860"/>
              <w:spacing w:after="0" w:line="164" w:lineRule="exact"/>
              <w:rPr>
                <w:sz w:val="20"/>
                <w:szCs w:val="20"/>
                <w:color w:val="auto"/>
              </w:rPr>
            </w:pPr>
            <w:r>
              <w:rPr>
                <w:rFonts w:ascii="Arial" w:cs="Arial" w:eastAsia="Arial" w:hAnsi="Arial"/>
                <w:sz w:val="16"/>
                <w:szCs w:val="16"/>
                <w:color w:val="auto"/>
              </w:rPr>
              <w:t>Chief Financial Officer and Senior Vice President</w:t>
            </w:r>
          </w:p>
        </w:tc>
      </w:tr>
      <w:tr>
        <w:trPr>
          <w:trHeight w:val="195"/>
        </w:trPr>
        <w:tc>
          <w:tcPr>
            <w:tcW w:w="1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(Principal Financial and Accounting Officer)</w:t>
            </w:r>
          </w:p>
        </w:tc>
      </w:tr>
      <w:tr>
        <w:trPr>
          <w:trHeight w:val="435"/>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Sara E. Armbruster</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6"/>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Sara E. Armbruster</w:t>
            </w: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35"/>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Maria F. Blase</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6"/>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Maria F. Blase</w:t>
            </w: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35"/>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Christopher J. Braun</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7"/>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Christopher J. Braun</w:t>
            </w: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35"/>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Kevin E. Bryant</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7"/>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Kevin E. Bryant</w:t>
            </w: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35"/>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Robert M. Chiusano</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6"/>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Robert M. Chiusano</w:t>
            </w: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35"/>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William C. Fisher</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7"/>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William C. Fisher</w:t>
            </w: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35"/>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David W. Miles</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7"/>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David W. Miles</w:t>
            </w: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35"/>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Richard D. Moss</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7"/>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Richard D. Moss</w:t>
            </w: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35"/>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John M. Murabito</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6"/>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John M. Murabito</w:t>
            </w: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r>
        <w:trPr>
          <w:trHeight w:val="435"/>
        </w:trPr>
        <w:tc>
          <w:tcPr>
            <w:tcW w:w="4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/s/ Jacqueline D. Woods</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6"/>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Jacqueline D. Woods</w:t>
            </w:r>
          </w:p>
        </w:tc>
        <w:tc>
          <w:tcPr>
            <w:tcW w:w="4360" w:type="dxa"/>
            <w:vAlign w:val="bottom"/>
            <w:gridSpan w:val="3"/>
          </w:tcPr>
          <w:p>
            <w:pPr>
              <w:ind w:left="860"/>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ectPr>
          <w:pgSz w:w="11900" w:h="16838" w:orient="portrait"/>
          <w:cols w:equalWidth="0" w:num="1">
            <w:col w:w="11020"/>
          </w:cols>
          <w:pgMar w:left="320" w:top="14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020"/>
          </w:cols>
          <w:pgMar w:left="320" w:top="141" w:right="55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6"/>
          <w:szCs w:val="16"/>
          <w:b w:val="1"/>
          <w:bCs w:val="1"/>
          <w:color w:val="auto"/>
        </w:rPr>
        <w:t>Exhibit 4a</w:t>
      </w: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DESCRIPTION OF SECURITIES</w:t>
      </w:r>
    </w:p>
    <w:p>
      <w:pPr>
        <w:spacing w:after="0" w:line="1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summary of the general terms and provisions of the capital stock of Winnebago Industries, Inc. (the “</w:t>
      </w:r>
      <w:r>
        <w:rPr>
          <w:rFonts w:ascii="Arial" w:cs="Arial" w:eastAsia="Arial" w:hAnsi="Arial"/>
          <w:sz w:val="16"/>
          <w:szCs w:val="16"/>
          <w:u w:val="single" w:color="auto"/>
          <w:color w:val="auto"/>
        </w:rPr>
        <w:t>Company</w:t>
      </w:r>
      <w:r>
        <w:rPr>
          <w:rFonts w:ascii="Arial" w:cs="Arial" w:eastAsia="Arial" w:hAnsi="Arial"/>
          <w:sz w:val="16"/>
          <w:szCs w:val="16"/>
          <w:color w:val="auto"/>
        </w:rPr>
        <w:t>”) set forth below does not purport to be complete and is subject to and qualified by reference to the Company’s Amended and Restated Articles of Incorporation (as amended, the “</w:t>
      </w:r>
      <w:r>
        <w:rPr>
          <w:rFonts w:ascii="Arial" w:cs="Arial" w:eastAsia="Arial" w:hAnsi="Arial"/>
          <w:sz w:val="16"/>
          <w:szCs w:val="16"/>
          <w:u w:val="single" w:color="auto"/>
          <w:color w:val="auto"/>
        </w:rPr>
        <w:t>Articles</w:t>
      </w:r>
      <w:r>
        <w:rPr>
          <w:rFonts w:ascii="Arial" w:cs="Arial" w:eastAsia="Arial" w:hAnsi="Arial"/>
          <w:sz w:val="16"/>
          <w:szCs w:val="16"/>
          <w:color w:val="auto"/>
        </w:rPr>
        <w:t>”) and Amended By-Laws (“</w:t>
      </w:r>
      <w:r>
        <w:rPr>
          <w:rFonts w:ascii="Arial" w:cs="Arial" w:eastAsia="Arial" w:hAnsi="Arial"/>
          <w:sz w:val="16"/>
          <w:szCs w:val="16"/>
          <w:u w:val="single" w:color="auto"/>
          <w:color w:val="auto"/>
        </w:rPr>
        <w:t>By-Laws</w:t>
      </w:r>
      <w:r>
        <w:rPr>
          <w:rFonts w:ascii="Arial" w:cs="Arial" w:eastAsia="Arial" w:hAnsi="Arial"/>
          <w:sz w:val="16"/>
          <w:szCs w:val="16"/>
          <w:color w:val="auto"/>
        </w:rPr>
        <w:t>,” and together with the Articles, the “</w:t>
      </w:r>
      <w:r>
        <w:rPr>
          <w:rFonts w:ascii="Arial" w:cs="Arial" w:eastAsia="Arial" w:hAnsi="Arial"/>
          <w:sz w:val="16"/>
          <w:szCs w:val="16"/>
          <w:u w:val="single" w:color="auto"/>
          <w:color w:val="auto"/>
        </w:rPr>
        <w:t>Charter Documents</w:t>
      </w:r>
      <w:r>
        <w:rPr>
          <w:rFonts w:ascii="Arial" w:cs="Arial" w:eastAsia="Arial" w:hAnsi="Arial"/>
          <w:sz w:val="16"/>
          <w:szCs w:val="16"/>
          <w:color w:val="auto"/>
        </w:rPr>
        <w:t>”), each of which is incorporated herein by reference and attached as an exhibit to the Company’s most recent Annual Report on Form 10-K filed with the Securities and Exchange Commission. For additional information, please read the Company’s Charter Documents and the applicable provisions of the Iowa Business Corporation Act (the “</w:t>
      </w:r>
      <w:r>
        <w:rPr>
          <w:rFonts w:ascii="Arial" w:cs="Arial" w:eastAsia="Arial" w:hAnsi="Arial"/>
          <w:sz w:val="16"/>
          <w:szCs w:val="16"/>
          <w:u w:val="single" w:color="auto"/>
          <w:color w:val="auto"/>
        </w:rPr>
        <w:t>IBCA</w:t>
      </w:r>
      <w:r>
        <w:rPr>
          <w:rFonts w:ascii="Arial" w:cs="Arial" w:eastAsia="Arial" w:hAnsi="Arial"/>
          <w:sz w:val="16"/>
          <w:szCs w:val="16"/>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w:t>
      </w:r>
    </w:p>
    <w:p>
      <w:pPr>
        <w:spacing w:after="0" w:line="26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Under the Articles, the Company is authorized to issue (i) 120,000,000 shares of common stock, par value $.50 per share and (ii) 10,000,000 shares of preferred stock, par value $.01 per share. In 2000, the Company created a series of preferred stock designated as “Series A Preferred Stock” in connection with a shareholder rights plan. The number of shares constituting such series is 300,000. The shareholder rights plan expired in 2010, and no shares of such Series A Preferred Stock and no shares of any other preferred stock are currently outstanding. Without shareholder approval, the Company may issue preferred stock in the future in such series as may be designated by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In creating any such series, the Board has the authority to fix the rights and preferences of each series with respect to, among other things, the dividend rate, redemption provisions, liquidation preferences, sinking fund provisions, conversion rights and voting rights. The terms of any series of preferred stock that the Company may issue in the future may provide the holders of such preferred stock with rights that are senior to the rights of the holders of the Company’s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6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Each outstanding share of the Company’s common stock is entitled to one vote per share held of record on all matters submitted to a vote of shareholders and, except as otherwise required by law or in any certificate of designation creating a series of preferred stock, will vote together as a single class with the holders of any outstanding preferred stock and any other capital stock having general voting rights on all matters submitted to a vote of shareholders of the Company. At a meeting of shareholders at which a quorum is present, all questions other than the election of directors shall be decided by determining if the votes cast by shareholders favoring the action exceed the votes cast by shareholders opposing the action, unless the matter is one upon which a different vote is required by express provision of Iowa law, the New York Stock Exchange or the Charter Documents. Directors will be elected by a plurality of the votes of the shares present at a meeting at which a quorum is present. The Board has adopted a policy that, in any uncontested election of directors, if a nominee receives less than a majority of the votes cast for such nominee, then the nominee shall still be elected; provided, however, that the nominee must tender his or her resignation to the Board and the Board shall only not accept such resignation for, in its judgment, a compelling reason. Holders of shares of common stock do not have cumulative voting rights with respect to the election of directors or any other matter.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Rights</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Holders of the Company’s common stock are entitled to receive dividends or other distributions when, as and if declared by the Board. The right of the Board to declare dividends, however, is subject to the possible prior rights of holders of preferred stock that may be issued in the future, and the availability of sufficient funds under Iowa law to pay dividends. Whenever any dividends or other distributions payable on any outstanding preferred stock are in arrears, no dividends or other distributions may be declared or paid on the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Preemptive Rights</w:t>
      </w:r>
    </w:p>
    <w:p>
      <w:pPr>
        <w:spacing w:after="0" w:line="21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holders of the Company’s common stock do not have preemptive rights to purchase or subscribe for any of the Company’s capital stock or other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Rights</w:t>
      </w:r>
    </w:p>
    <w:p>
      <w:pPr>
        <w:spacing w:after="0" w:line="21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the event of any liquidation, dissolution or winding up of the Company, subject to the rights of the holders of preferred stock that may be issued in the future, the holders of shares of the Company’s common stock are entitled to receive any of its remaining assets available for distribution to the Company’s shareholders ratably in proportion to the number of shares of common stock held by them.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is listed on the New York Stock Exchange under the symbol “WGO.”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Measures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1" w:right="339" w:bottom="1440" w:gutter="0" w:footer="0" w:header="0"/>
        </w:sectPr>
      </w:pPr>
    </w:p>
    <w:bookmarkStart w:id="71" w:name="page72"/>
    <w:bookmarkEnd w:id="71"/>
    <w:p>
      <w:pPr>
        <w:spacing w:after="0" w:line="260" w:lineRule="auto"/>
        <w:rPr>
          <w:sz w:val="20"/>
          <w:szCs w:val="20"/>
          <w:color w:val="auto"/>
        </w:rPr>
      </w:pPr>
      <w:r>
        <w:rPr>
          <w:rFonts w:ascii="Arial" w:cs="Arial" w:eastAsia="Arial" w:hAnsi="Arial"/>
          <w:sz w:val="16"/>
          <w:szCs w:val="16"/>
          <w:color w:val="auto"/>
        </w:rPr>
        <w:t>Certain provisions of the Charter Documents and Iowa law, as well as other actions that the Company has taken, could make the Company’s acquisition by a third party, a change in its incumbent management or a similar change in control more difficult, including:</w:t>
      </w:r>
    </w:p>
    <w:p>
      <w:pPr>
        <w:spacing w:after="0" w:line="222"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acquisition of the Company by means of a tender or exchange offer;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acquisition of the Company by means of a proxy contest or otherwise; or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removal of a majority or all of the Company’s incumbent officers and directors.</w:t>
      </w:r>
    </w:p>
    <w:p>
      <w:pPr>
        <w:spacing w:after="0" w:line="19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These provisions, which are summarized below, are likely to discourage certain types of coercive takeover practices and inadequate takeover bids. These provisions are also designed to encourage persons seeking to acquire control of the Company to first negotiate with the Board. The Company believes that these provisions help to protect its potential ability to negotiate with the proponent of an unfriendly or unsolicited proposal to acquire or restructure the Company, and that this benefit outweighs the potential disadvantages of discouraging such a proposal because the Company’s ability to negotiate with the proponent could result in an improvement of the terms of the proposal. The existence of these provisions which are described below could limit the price that investors might otherwise pay in the future for the Company’s common stock. The description below is intended as a summary only and is qualified in its entirety by reference to Iowa law and the Charter Documents.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Articles of Incorporation, By-laws and Iowa Law</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Authorized But Unissued Capital Stock</w:t>
      </w:r>
    </w:p>
    <w:p>
      <w:pPr>
        <w:spacing w:after="0" w:line="26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Company has shares of common stock, including treasury shares, and preferred stock available for future issuance without shareholder approval, subject to any limitations imposed by the listing standards of the New York Stock Exchange. The Company may utilize these additional shares for a variety of corporate purposes, including for future public offerings to raise additional capital or facilitate corporate acquisitions or for payment as a dividend on its capital stock. The existence of unissued and unreserved common stock and preferred stock may enable the Board to issue shares to persons friendly to current management or to issue preferred stock with terms that could have the effect of making it more difficult for a third party to acquire, or could discourage a third party from seeking to acquire, a controlling interest in the Company by means of a merger, tender offer, proxy contest or otherwise. In addition, if the Company issues preferred stock, the issuance could adversely affect the likelihood that common shareholders will receive dividend payments and payments upon liquidation.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Blank Check Preferred Stock</w:t>
      </w:r>
    </w:p>
    <w:p>
      <w:pPr>
        <w:spacing w:after="0" w:line="26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Board, without shareholder approval, has the authority under the Articles to issue preferred stock with rights superior to the rights of the holders of common stock. As a result, preferred stock could be issued quickly and easily, could impair the rights of holders of common stock and could be issued with terms calculated to delay or prevent a change in control or make removal of management more difficult.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Number of Directors; Removal; Filling Vacancies</w:t>
      </w:r>
    </w:p>
    <w:p>
      <w:pPr>
        <w:spacing w:after="0" w:line="264"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Articles provide that (i) the number of directors shall be not more than 15 and not less than three, the precise number to be determined by resolution of the Board from time to time and (ii) shareholders may remove directors only for cause. Iowa law provides that a director cannot be removed by written consent of shareholders unless written consents are obtained from the holders of all the outstanding shares entitled to vote on the removal of the director. Iowa law further provides that vacancies on the Board may be filled by the remaining directors, even if there is less than a quorum of director votes to fill such vacancy. These provisions may make it more difficult for shareholders to remove a director or fill a director vacancy.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Action</w:t>
      </w:r>
    </w:p>
    <w:p>
      <w:pPr>
        <w:spacing w:after="0" w:line="26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Iowa law provides that shareholders may act outside of a meeting by written consent only if one or more written consents describing the action taken are signed by the holders of outstanding shares having not less than 90% of the votes entitled to be cast at a meeting at which all shares entitled to vote on the action were present and voted. The Company’s shareholders can only call a special shareholders’ meeting if the holders of not less than 50% of all votes entitled to be cast on any issue proposed to be considered at the proposed special meeting sign, date and deliver one or more written demands that describe the purpose or purposes for which the special meeting is to be held. These provisions may prevent shareholders from taking action outside of an annual meeting because of the ownership threshold required to call a shareholder meeting or act by written consent.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Requirements for Advance Notification of Shareholder Nominations and Proposals</w:t>
      </w:r>
    </w:p>
    <w:p>
      <w:pPr>
        <w:spacing w:after="0" w:line="264"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Company’s By-Laws provide that a shareholder seeking to bring business before an annual meeting of shareholders, or to nominate candidates for election as directors at an annual meeting of shareholders, must provide timely notice of this intention in writing. To be timely, a shareholder must generally deliver the notice in writing to the Corporate Secretary at the Company’s principal executive offices not less than 90 days and not more than 120 days prior to the first anniversary of the preceding year’s annual meeting, subject to certain exceptions. The By-Laws also specify requirements as to the form and content of the</w:t>
      </w:r>
    </w:p>
    <w:p>
      <w:pPr>
        <w:sectPr>
          <w:pgSz w:w="11900" w:h="16838" w:orient="portrait"/>
          <w:cols w:equalWidth="0" w:num="1">
            <w:col w:w="11240"/>
          </w:cols>
          <w:pgMar w:left="320" w:top="1154"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154" w:right="339" w:bottom="1440" w:gutter="0" w:footer="0" w:header="0"/>
          <w:type w:val="continuous"/>
        </w:sectPr>
      </w:pPr>
    </w:p>
    <w:bookmarkStart w:id="72" w:name="page73"/>
    <w:bookmarkEnd w:id="72"/>
    <w:p>
      <w:pPr>
        <w:ind w:right="220"/>
        <w:spacing w:after="0" w:line="260" w:lineRule="auto"/>
        <w:rPr>
          <w:sz w:val="20"/>
          <w:szCs w:val="20"/>
          <w:color w:val="auto"/>
        </w:rPr>
      </w:pPr>
      <w:r>
        <w:rPr>
          <w:rFonts w:ascii="Arial" w:cs="Arial" w:eastAsia="Arial" w:hAnsi="Arial"/>
          <w:sz w:val="16"/>
          <w:szCs w:val="16"/>
          <w:color w:val="auto"/>
        </w:rPr>
        <w:t>shareholder’s notice. These provisions could delay shareholder actions that are favored by the holders of a majority of the Company’s outstanding shares until the next annual shareholders’ meeting.</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Classified Board of Directors</w:t>
      </w:r>
    </w:p>
    <w:p>
      <w:pPr>
        <w:spacing w:after="0" w:line="26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Company’s Board is divided into three classes, as nearly equal in number as is reasonably possible, serving staggered terms. One class of directors is elected at each annual meeting to serve a term of three years.</w:t>
      </w:r>
    </w:p>
    <w:p>
      <w:pPr>
        <w:spacing w:after="0" w:line="16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Under the Articles, amendments to the staggered board provisions require the affirmative vote of the holders of 75% of all issued and outstanding shares of the Company entitled to vote thereon and voting together as a single class. The effect of a classified board of directors may be to make it more difficult to acquire control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Iowa Business Combination Statute</w:t>
      </w:r>
    </w:p>
    <w:p>
      <w:pPr>
        <w:spacing w:after="0" w:line="26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Company is subject to the provisions of Section 490.1110 of the IBCA (the “Business Combination Statute”). Under the Business Combination Statute, certain “business combinations” between an Iowa corporation whose stock is publicly traded and an “interested shareholder” (as defined in the IBCA) are prohibited for a three-year period following the date that such a shareholder became an interested shareholder, unless: (i) prior to the time the shareholder became an interested shareholder, the board of directors of the corporation approved either the business combination or the transaction which resulted in the shareholder becoming an interested shareholder; (ii) at or subsequent to the time the shareholder became an interested shareholder, the business combination is approved by the board of directors and authorized at an annual or special meeting of shareholders (which approval shall not be by written consent) by the affirmative vote of at least 66-2/3% of the outstanding voting stock which is not owned by the interested shareholder; or (iii) upon consummation of the transaction that made it an interested shareholder, the interested shareholder owned at least 85% of the voting stock of the corporation outstanding at the commencement of the transaction. The term “business combination” is defined broadly to include mergers or consolidations between an Iowa corporation and an “interested shareholder,” asset sales and other transactions with an “interested shareholder” involving the assets or stock of the corporation or its majority-owned subsidiaries, and transactions which increase an interested shareholder’s percentage ownership of stock.</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911" w:right="37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10t.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FY22-FY24 LTIP/PSU</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WINNEBAGO INDUSTRIES,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2019 OMNIBUS INCENTIVE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Performance Stock Unit Agreement</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Winnebago Industries,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2019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an award of Performance Stock Units to you, the Participant named below. The terms and conditions of this Award are set forth in this Performance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consisting of this cover page, the Terms and Conditions on the following pages and the attached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149860</wp:posOffset>
            </wp:positionV>
            <wp:extent cx="7080885" cy="24860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7080885" cy="2486025"/>
                    </a:xfrm>
                    <a:prstGeom prst="rect">
                      <a:avLst/>
                    </a:prstGeom>
                    <a:noFill/>
                  </pic:spPr>
                </pic:pic>
              </a:graphicData>
            </a:graphic>
          </wp:anchor>
        </w:drawing>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Target Number of Performance Stock Units:</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Maximum Number of Performance Stock</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Units:</w:t>
      </w:r>
    </w:p>
    <w:p>
      <w:pPr>
        <w:spacing w:after="0" w:line="38" w:lineRule="exact"/>
        <w:rPr>
          <w:sz w:val="20"/>
          <w:szCs w:val="20"/>
          <w:color w:val="auto"/>
        </w:rPr>
      </w:pPr>
    </w:p>
    <w:tbl>
      <w:tblPr>
        <w:tblLayout w:type="fixed"/>
        <w:tblInd w:w="200" w:type="dxa"/>
        <w:tblCellMar>
          <w:top w:w="0" w:type="dxa"/>
          <w:left w:w="0" w:type="dxa"/>
          <w:bottom w:w="0" w:type="dxa"/>
          <w:right w:w="0" w:type="dxa"/>
        </w:tblCellMar>
      </w:tblPr>
      <w:tr>
        <w:trPr>
          <w:trHeight w:val="283"/>
        </w:trPr>
        <w:tc>
          <w:tcPr>
            <w:tcW w:w="2680" w:type="dxa"/>
            <w:vAlign w:val="bottom"/>
          </w:tcPr>
          <w:p>
            <w:pPr>
              <w:spacing w:after="0"/>
              <w:rPr>
                <w:sz w:val="20"/>
                <w:szCs w:val="20"/>
                <w:color w:val="auto"/>
              </w:rPr>
            </w:pPr>
            <w:r>
              <w:rPr>
                <w:rFonts w:ascii="Arial" w:cs="Arial" w:eastAsia="Arial" w:hAnsi="Arial"/>
                <w:sz w:val="20"/>
                <w:szCs w:val="20"/>
                <w:color w:val="auto"/>
              </w:rPr>
              <w:t>Grant Date:</w:t>
            </w:r>
          </w:p>
        </w:tc>
        <w:tc>
          <w:tcPr>
            <w:tcW w:w="8300" w:type="dxa"/>
            <w:vAlign w:val="bottom"/>
            <w:gridSpan w:val="5"/>
          </w:tcPr>
          <w:p>
            <w:pPr>
              <w:ind w:left="1060"/>
              <w:spacing w:after="0"/>
              <w:rPr>
                <w:sz w:val="20"/>
                <w:szCs w:val="20"/>
                <w:color w:val="auto"/>
              </w:rPr>
            </w:pPr>
            <w:r>
              <w:rPr>
                <w:rFonts w:ascii="Arial" w:cs="Arial" w:eastAsia="Arial" w:hAnsi="Arial"/>
                <w:sz w:val="22"/>
                <w:szCs w:val="22"/>
                <w:color w:val="auto"/>
              </w:rPr>
              <w:t>October 12, 2021</w:t>
            </w:r>
          </w:p>
        </w:tc>
        <w:tc>
          <w:tcPr>
            <w:tcW w:w="0" w:type="dxa"/>
            <w:vAlign w:val="bottom"/>
          </w:tcPr>
          <w:p>
            <w:pPr>
              <w:spacing w:after="0"/>
              <w:rPr>
                <w:sz w:val="1"/>
                <w:szCs w:val="1"/>
                <w:color w:val="auto"/>
              </w:rPr>
            </w:pPr>
          </w:p>
        </w:tc>
      </w:tr>
      <w:tr>
        <w:trPr>
          <w:trHeight w:val="257"/>
        </w:trPr>
        <w:tc>
          <w:tcPr>
            <w:tcW w:w="2680" w:type="dxa"/>
            <w:vAlign w:val="bottom"/>
          </w:tcPr>
          <w:p>
            <w:pPr>
              <w:spacing w:after="0"/>
              <w:rPr>
                <w:sz w:val="20"/>
                <w:szCs w:val="20"/>
                <w:color w:val="auto"/>
              </w:rPr>
            </w:pPr>
            <w:r>
              <w:rPr>
                <w:rFonts w:ascii="Arial" w:cs="Arial" w:eastAsia="Arial" w:hAnsi="Arial"/>
                <w:sz w:val="20"/>
                <w:szCs w:val="20"/>
                <w:color w:val="auto"/>
              </w:rPr>
              <w:t>Performance Period:</w:t>
            </w:r>
          </w:p>
        </w:tc>
        <w:tc>
          <w:tcPr>
            <w:tcW w:w="8300" w:type="dxa"/>
            <w:vAlign w:val="bottom"/>
            <w:gridSpan w:val="5"/>
          </w:tcPr>
          <w:p>
            <w:pPr>
              <w:ind w:left="1060"/>
              <w:spacing w:after="0"/>
              <w:rPr>
                <w:sz w:val="20"/>
                <w:szCs w:val="20"/>
                <w:color w:val="auto"/>
              </w:rPr>
            </w:pPr>
            <w:r>
              <w:rPr>
                <w:rFonts w:ascii="Arial" w:cs="Arial" w:eastAsia="Arial" w:hAnsi="Arial"/>
                <w:sz w:val="20"/>
                <w:szCs w:val="20"/>
                <w:color w:val="auto"/>
                <w:w w:val="90"/>
              </w:rPr>
              <w:t>August 29, 2021 – August 31, 2024, which may include one or more periods of time within</w:t>
            </w:r>
          </w:p>
        </w:tc>
        <w:tc>
          <w:tcPr>
            <w:tcW w:w="0" w:type="dxa"/>
            <w:vAlign w:val="bottom"/>
          </w:tcPr>
          <w:p>
            <w:pPr>
              <w:spacing w:after="0"/>
              <w:rPr>
                <w:sz w:val="1"/>
                <w:szCs w:val="1"/>
                <w:color w:val="auto"/>
              </w:rPr>
            </w:pPr>
          </w:p>
        </w:tc>
      </w:tr>
      <w:tr>
        <w:trPr>
          <w:trHeight w:val="250"/>
        </w:trPr>
        <w:tc>
          <w:tcPr>
            <w:tcW w:w="2680" w:type="dxa"/>
            <w:vAlign w:val="bottom"/>
          </w:tcPr>
          <w:p>
            <w:pPr>
              <w:spacing w:after="0"/>
              <w:rPr>
                <w:sz w:val="21"/>
                <w:szCs w:val="21"/>
                <w:color w:val="auto"/>
              </w:rPr>
            </w:pPr>
          </w:p>
        </w:tc>
        <w:tc>
          <w:tcPr>
            <w:tcW w:w="8300" w:type="dxa"/>
            <w:vAlign w:val="bottom"/>
            <w:gridSpan w:val="5"/>
          </w:tcPr>
          <w:p>
            <w:pPr>
              <w:ind w:left="1060"/>
              <w:spacing w:after="0"/>
              <w:rPr>
                <w:sz w:val="20"/>
                <w:szCs w:val="20"/>
                <w:color w:val="auto"/>
              </w:rPr>
            </w:pPr>
            <w:r>
              <w:rPr>
                <w:rFonts w:ascii="Arial" w:cs="Arial" w:eastAsia="Arial" w:hAnsi="Arial"/>
                <w:sz w:val="20"/>
                <w:szCs w:val="20"/>
                <w:color w:val="auto"/>
              </w:rPr>
              <w:t>such Performance Period (each, a “Sub-Performance Period”)</w:t>
            </w:r>
          </w:p>
        </w:tc>
        <w:tc>
          <w:tcPr>
            <w:tcW w:w="0" w:type="dxa"/>
            <w:vAlign w:val="bottom"/>
          </w:tcPr>
          <w:p>
            <w:pPr>
              <w:spacing w:after="0"/>
              <w:rPr>
                <w:sz w:val="1"/>
                <w:szCs w:val="1"/>
                <w:color w:val="auto"/>
              </w:rPr>
            </w:pPr>
          </w:p>
        </w:tc>
      </w:tr>
      <w:tr>
        <w:trPr>
          <w:trHeight w:val="283"/>
        </w:trPr>
        <w:tc>
          <w:tcPr>
            <w:tcW w:w="2680" w:type="dxa"/>
            <w:vAlign w:val="bottom"/>
          </w:tcPr>
          <w:p>
            <w:pPr>
              <w:spacing w:after="0"/>
              <w:rPr>
                <w:sz w:val="20"/>
                <w:szCs w:val="20"/>
                <w:color w:val="auto"/>
              </w:rPr>
            </w:pPr>
            <w:r>
              <w:rPr>
                <w:rFonts w:ascii="Arial" w:cs="Arial" w:eastAsia="Arial" w:hAnsi="Arial"/>
                <w:sz w:val="20"/>
                <w:szCs w:val="20"/>
                <w:color w:val="auto"/>
              </w:rPr>
              <w:t>Vesting Schedule:</w:t>
            </w:r>
          </w:p>
        </w:tc>
        <w:tc>
          <w:tcPr>
            <w:tcW w:w="8300" w:type="dxa"/>
            <w:vAlign w:val="bottom"/>
            <w:gridSpan w:val="5"/>
            <w:vMerge w:val="restart"/>
          </w:tcPr>
          <w:p>
            <w:pPr>
              <w:ind w:left="1060"/>
              <w:spacing w:after="0"/>
              <w:rPr>
                <w:sz w:val="20"/>
                <w:szCs w:val="20"/>
                <w:color w:val="auto"/>
              </w:rPr>
            </w:pPr>
            <w:r>
              <w:rPr>
                <w:rFonts w:ascii="Arial" w:cs="Arial" w:eastAsia="Arial" w:hAnsi="Arial"/>
                <w:sz w:val="20"/>
                <w:szCs w:val="20"/>
                <w:color w:val="auto"/>
                <w:w w:val="92"/>
              </w:rPr>
              <w:t>The number of Units determined in accordance with Exhibit 1 to have been earned as of</w:t>
            </w:r>
          </w:p>
        </w:tc>
        <w:tc>
          <w:tcPr>
            <w:tcW w:w="0" w:type="dxa"/>
            <w:vAlign w:val="bottom"/>
          </w:tcPr>
          <w:p>
            <w:pPr>
              <w:spacing w:after="0"/>
              <w:rPr>
                <w:sz w:val="1"/>
                <w:szCs w:val="1"/>
                <w:color w:val="auto"/>
              </w:rPr>
            </w:pPr>
          </w:p>
        </w:tc>
      </w:tr>
      <w:tr>
        <w:trPr>
          <w:trHeight w:val="63"/>
        </w:trPr>
        <w:tc>
          <w:tcPr>
            <w:tcW w:w="2680" w:type="dxa"/>
            <w:vAlign w:val="bottom"/>
          </w:tcPr>
          <w:p>
            <w:pPr>
              <w:spacing w:after="0"/>
              <w:rPr>
                <w:sz w:val="5"/>
                <w:szCs w:val="5"/>
                <w:color w:val="auto"/>
              </w:rPr>
            </w:pPr>
          </w:p>
        </w:tc>
        <w:tc>
          <w:tcPr>
            <w:tcW w:w="83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680" w:type="dxa"/>
            <w:vAlign w:val="bottom"/>
          </w:tcPr>
          <w:p>
            <w:pPr>
              <w:spacing w:after="0"/>
              <w:rPr>
                <w:sz w:val="20"/>
                <w:szCs w:val="20"/>
                <w:color w:val="auto"/>
              </w:rPr>
            </w:pPr>
          </w:p>
        </w:tc>
        <w:tc>
          <w:tcPr>
            <w:tcW w:w="8300" w:type="dxa"/>
            <w:vAlign w:val="bottom"/>
            <w:gridSpan w:val="5"/>
          </w:tcPr>
          <w:p>
            <w:pPr>
              <w:ind w:left="1060"/>
              <w:spacing w:after="0"/>
              <w:rPr>
                <w:sz w:val="20"/>
                <w:szCs w:val="20"/>
                <w:color w:val="auto"/>
              </w:rPr>
            </w:pPr>
            <w:r>
              <w:rPr>
                <w:rFonts w:ascii="Arial" w:cs="Arial" w:eastAsia="Arial" w:hAnsi="Arial"/>
                <w:sz w:val="20"/>
                <w:szCs w:val="20"/>
                <w:color w:val="auto"/>
                <w:w w:val="89"/>
              </w:rPr>
              <w:t>the end of the Performance Period will vest* on the date the Company’s Human Resources</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19"/>
                <w:szCs w:val="19"/>
                <w:color w:val="auto"/>
              </w:rPr>
            </w:pPr>
          </w:p>
        </w:tc>
        <w:tc>
          <w:tcPr>
            <w:tcW w:w="8300" w:type="dxa"/>
            <w:vAlign w:val="bottom"/>
            <w:gridSpan w:val="5"/>
          </w:tcPr>
          <w:p>
            <w:pPr>
              <w:ind w:left="1060"/>
              <w:spacing w:after="0"/>
              <w:rPr>
                <w:sz w:val="20"/>
                <w:szCs w:val="20"/>
                <w:color w:val="auto"/>
              </w:rPr>
            </w:pPr>
            <w:r>
              <w:rPr>
                <w:rFonts w:ascii="Arial" w:cs="Arial" w:eastAsia="Arial" w:hAnsi="Arial"/>
                <w:sz w:val="20"/>
                <w:szCs w:val="20"/>
                <w:color w:val="auto"/>
                <w:w w:val="91"/>
              </w:rPr>
              <w:t>Committee certifies such performance results, which shall be no later than the 10th day of</w:t>
            </w:r>
          </w:p>
        </w:tc>
        <w:tc>
          <w:tcPr>
            <w:tcW w:w="0" w:type="dxa"/>
            <w:vAlign w:val="bottom"/>
          </w:tcPr>
          <w:p>
            <w:pPr>
              <w:spacing w:after="0"/>
              <w:rPr>
                <w:sz w:val="1"/>
                <w:szCs w:val="1"/>
                <w:color w:val="auto"/>
              </w:rPr>
            </w:pPr>
          </w:p>
        </w:tc>
      </w:tr>
      <w:tr>
        <w:trPr>
          <w:trHeight w:val="250"/>
        </w:trPr>
        <w:tc>
          <w:tcPr>
            <w:tcW w:w="2680" w:type="dxa"/>
            <w:vAlign w:val="bottom"/>
          </w:tcPr>
          <w:p>
            <w:pPr>
              <w:spacing w:after="0"/>
              <w:rPr>
                <w:sz w:val="21"/>
                <w:szCs w:val="21"/>
                <w:color w:val="auto"/>
              </w:rPr>
            </w:pPr>
          </w:p>
        </w:tc>
        <w:tc>
          <w:tcPr>
            <w:tcW w:w="8300" w:type="dxa"/>
            <w:vAlign w:val="bottom"/>
            <w:gridSpan w:val="5"/>
          </w:tcPr>
          <w:p>
            <w:pPr>
              <w:ind w:left="1060"/>
              <w:spacing w:after="0"/>
              <w:rPr>
                <w:sz w:val="20"/>
                <w:szCs w:val="20"/>
                <w:color w:val="auto"/>
              </w:rPr>
            </w:pPr>
            <w:r>
              <w:rPr>
                <w:rFonts w:ascii="Arial" w:cs="Arial" w:eastAsia="Arial" w:hAnsi="Arial"/>
                <w:sz w:val="20"/>
                <w:szCs w:val="20"/>
                <w:color w:val="auto"/>
              </w:rPr>
              <w:t>the third calendar month following the end of the Performance Period.</w:t>
            </w:r>
          </w:p>
        </w:tc>
        <w:tc>
          <w:tcPr>
            <w:tcW w:w="0" w:type="dxa"/>
            <w:vAlign w:val="bottom"/>
          </w:tcPr>
          <w:p>
            <w:pPr>
              <w:spacing w:after="0"/>
              <w:rPr>
                <w:sz w:val="1"/>
                <w:szCs w:val="1"/>
                <w:color w:val="auto"/>
              </w:rPr>
            </w:pPr>
          </w:p>
        </w:tc>
      </w:tr>
      <w:tr>
        <w:trPr>
          <w:trHeight w:val="391"/>
        </w:trPr>
        <w:tc>
          <w:tcPr>
            <w:tcW w:w="2680" w:type="dxa"/>
            <w:vAlign w:val="bottom"/>
          </w:tcPr>
          <w:p>
            <w:pPr>
              <w:spacing w:after="0"/>
              <w:rPr>
                <w:sz w:val="20"/>
                <w:szCs w:val="20"/>
                <w:color w:val="auto"/>
              </w:rPr>
            </w:pPr>
            <w:r>
              <w:rPr>
                <w:rFonts w:ascii="Arial" w:cs="Arial" w:eastAsia="Arial" w:hAnsi="Arial"/>
                <w:sz w:val="20"/>
                <w:szCs w:val="20"/>
                <w:color w:val="auto"/>
              </w:rPr>
              <w:t>Performance Goals:</w:t>
            </w:r>
          </w:p>
        </w:tc>
        <w:tc>
          <w:tcPr>
            <w:tcW w:w="8300" w:type="dxa"/>
            <w:vAlign w:val="bottom"/>
            <w:gridSpan w:val="5"/>
            <w:vMerge w:val="restart"/>
          </w:tcPr>
          <w:p>
            <w:pPr>
              <w:ind w:left="1060"/>
              <w:spacing w:after="0"/>
              <w:rPr>
                <w:sz w:val="20"/>
                <w:szCs w:val="20"/>
                <w:color w:val="auto"/>
              </w:rPr>
            </w:pPr>
            <w:r>
              <w:rPr>
                <w:rFonts w:ascii="Arial" w:cs="Arial" w:eastAsia="Arial" w:hAnsi="Arial"/>
                <w:sz w:val="20"/>
                <w:szCs w:val="20"/>
                <w:color w:val="auto"/>
              </w:rPr>
              <w:t>See Exhibit 1</w:t>
            </w:r>
          </w:p>
        </w:tc>
        <w:tc>
          <w:tcPr>
            <w:tcW w:w="0" w:type="dxa"/>
            <w:vAlign w:val="bottom"/>
          </w:tcPr>
          <w:p>
            <w:pPr>
              <w:spacing w:after="0"/>
              <w:rPr>
                <w:sz w:val="1"/>
                <w:szCs w:val="1"/>
                <w:color w:val="auto"/>
              </w:rPr>
            </w:pPr>
          </w:p>
        </w:tc>
      </w:tr>
      <w:tr>
        <w:trPr>
          <w:trHeight w:val="64"/>
        </w:trPr>
        <w:tc>
          <w:tcPr>
            <w:tcW w:w="2680" w:type="dxa"/>
            <w:vAlign w:val="bottom"/>
          </w:tcPr>
          <w:p>
            <w:pPr>
              <w:spacing w:after="0"/>
              <w:rPr>
                <w:sz w:val="5"/>
                <w:szCs w:val="5"/>
                <w:color w:val="auto"/>
              </w:rPr>
            </w:pPr>
          </w:p>
        </w:tc>
        <w:tc>
          <w:tcPr>
            <w:tcW w:w="83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Assumes your service has been continuous from the Grant Date to the vesting date.</w:t>
      </w:r>
    </w:p>
    <w:p>
      <w:pPr>
        <w:spacing w:after="0" w:line="200" w:lineRule="exact"/>
        <w:rPr>
          <w:sz w:val="20"/>
          <w:szCs w:val="20"/>
          <w:color w:val="auto"/>
        </w:rPr>
      </w:pPr>
    </w:p>
    <w:p>
      <w:pPr>
        <w:spacing w:after="0" w:line="309" w:lineRule="exact"/>
        <w:rPr>
          <w:sz w:val="20"/>
          <w:szCs w:val="20"/>
          <w:color w:val="auto"/>
        </w:rPr>
      </w:pPr>
    </w:p>
    <w:p>
      <w:pPr>
        <w:jc w:val="both"/>
        <w:ind w:firstLine="198"/>
        <w:spacing w:after="0" w:line="255" w:lineRule="auto"/>
        <w:rPr>
          <w:sz w:val="20"/>
          <w:szCs w:val="20"/>
          <w:color w:val="auto"/>
        </w:rPr>
      </w:pPr>
      <w:r>
        <w:rPr>
          <w:rFonts w:ascii="Arial" w:cs="Arial" w:eastAsia="Arial" w:hAnsi="Arial"/>
          <w:sz w:val="20"/>
          <w:szCs w:val="20"/>
          <w:color w:val="auto"/>
        </w:rPr>
        <w:t>By signing below or otherwise evidencing your acceptance of this Agreement in a manner approved by the Company, you agree to all of the terms and conditions contained in this Agreement and in the Plan document. You acknowledge that you have received and reviewed these documents.</w:t>
      </w:r>
    </w:p>
    <w:p>
      <w:pPr>
        <w:spacing w:after="0" w:line="200" w:lineRule="exact"/>
        <w:rPr>
          <w:sz w:val="20"/>
          <w:szCs w:val="20"/>
          <w:color w:val="auto"/>
        </w:rPr>
      </w:pPr>
    </w:p>
    <w:p>
      <w:pPr>
        <w:spacing w:after="0" w:line="252"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20"/>
          <w:szCs w:val="20"/>
          <w:color w:val="auto"/>
        </w:rPr>
        <w:t>WINNEBAGO INDUSTRIES, INC.</w:t>
      </w: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48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1814830" cy="82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-24765</wp:posOffset>
            </wp:positionV>
            <wp:extent cx="7537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ind w:left="4100"/>
        <w:spacing w:after="0"/>
        <w:rPr>
          <w:sz w:val="20"/>
          <w:szCs w:val="20"/>
          <w:color w:val="auto"/>
        </w:rPr>
      </w:pPr>
      <w:r>
        <w:rPr>
          <w:rFonts w:ascii="Arial" w:cs="Arial" w:eastAsia="Arial" w:hAnsi="Arial"/>
          <w:sz w:val="20"/>
          <w:szCs w:val="20"/>
          <w:b w:val="1"/>
          <w:bCs w:val="1"/>
          <w:color w:val="auto"/>
        </w:rPr>
        <w:t>WINNEBAGO INDUSTRIES,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2019 OMNIBUS INCENTIVE PLAN</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Performance Stock Unit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and Conditions</w:t>
      </w:r>
    </w:p>
    <w:p>
      <w:pPr>
        <w:spacing w:after="0" w:line="256" w:lineRule="exact"/>
        <w:rPr>
          <w:sz w:val="20"/>
          <w:szCs w:val="20"/>
          <w:color w:val="auto"/>
        </w:rPr>
      </w:pPr>
    </w:p>
    <w:p>
      <w:pPr>
        <w:ind w:right="380" w:firstLine="8"/>
        <w:spacing w:after="0" w:line="281" w:lineRule="auto"/>
        <w:tabs>
          <w:tab w:leader="none" w:pos="346" w:val="left"/>
        </w:tabs>
        <w:numPr>
          <w:ilvl w:val="0"/>
          <w:numId w:val="43"/>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Defined Terms</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this Agreement, the definitions of terms contained in the Plan hereby are incorporated by reference,</w:t>
      </w:r>
      <w:r>
        <w:rPr>
          <w:rFonts w:ascii="Arial" w:cs="Arial" w:eastAsia="Arial" w:hAnsi="Arial"/>
          <w:sz w:val="20"/>
          <w:szCs w:val="20"/>
          <w:b w:val="1"/>
          <w:bCs w:val="1"/>
          <w:color w:val="auto"/>
        </w:rPr>
        <w:t xml:space="preserve"> </w:t>
      </w:r>
      <w:r>
        <w:rPr>
          <w:rFonts w:ascii="Arial" w:cs="Arial" w:eastAsia="Arial" w:hAnsi="Arial"/>
          <w:sz w:val="20"/>
          <w:szCs w:val="20"/>
          <w:color w:val="auto"/>
        </w:rPr>
        <w:t>except to the extent that any such term is specifically defined in this Agreement.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shall have the meaning set forth in your change in control agreement, if applicable.</w:t>
      </w:r>
    </w:p>
    <w:p>
      <w:pPr>
        <w:spacing w:after="0" w:line="216" w:lineRule="exact"/>
        <w:rPr>
          <w:sz w:val="20"/>
          <w:szCs w:val="20"/>
          <w:color w:val="auto"/>
        </w:rPr>
      </w:pPr>
    </w:p>
    <w:p>
      <w:pPr>
        <w:jc w:val="both"/>
        <w:ind w:firstLine="8"/>
        <w:spacing w:after="0" w:line="256" w:lineRule="auto"/>
        <w:tabs>
          <w:tab w:leader="none" w:pos="360" w:val="left"/>
        </w:tabs>
        <w:numPr>
          <w:ilvl w:val="0"/>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Award of Performance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hereby confirms the grant to you, as of the Grant Date and subject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conditions of this Agreement and the Plan, of an award of Performance Stock Units (the “Units”) in an amount initially equal to the Target Number of Performance Stock Units specified on the cover page of this Agreement. The number of Units that may actually be earned and become eligible to vest pursuant to this Award can be between 0% and 200% of the Target Number of Performance Stock Units, but may not exceed the Maximum Number of Performance Stock Units specified on the cover page of this Agreement. Each Unit that is earned as a result of the performance goals specified in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to this Agreement having been satisfied and which thereafter vests represents the right to receive one share of the Company’s common stock (each, a “Share”). Prior to their settlement or forfeiture in accordance with the terms of this Agreement, the Units granted to you will be credited to a performance stock unit account in your name maintained by the Company. This account will be unfunded and maintained for book-keeping purposes only, with the Units simply representing an unfunded and unsecured contingent obligation of the Company.</w:t>
      </w:r>
    </w:p>
    <w:p>
      <w:pPr>
        <w:spacing w:after="0" w:line="207" w:lineRule="exact"/>
        <w:rPr>
          <w:rFonts w:ascii="Arial" w:cs="Arial" w:eastAsia="Arial" w:hAnsi="Arial"/>
          <w:sz w:val="19"/>
          <w:szCs w:val="19"/>
          <w:color w:val="auto"/>
        </w:rPr>
      </w:pPr>
    </w:p>
    <w:p>
      <w:pPr>
        <w:jc w:val="both"/>
        <w:ind w:firstLine="8"/>
        <w:spacing w:after="0" w:line="277"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Applicable to Units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Award nor the Units subject to this Award may be sold, assigned, transferred, exchanged</w:t>
      </w:r>
      <w:r>
        <w:rPr>
          <w:rFonts w:ascii="Arial" w:cs="Arial" w:eastAsia="Arial" w:hAnsi="Arial"/>
          <w:sz w:val="18"/>
          <w:szCs w:val="18"/>
          <w:b w:val="1"/>
          <w:bCs w:val="1"/>
          <w:color w:val="auto"/>
        </w:rPr>
        <w:t xml:space="preserve"> </w:t>
      </w:r>
      <w:r>
        <w:rPr>
          <w:rFonts w:ascii="Arial" w:cs="Arial" w:eastAsia="Arial" w:hAnsi="Arial"/>
          <w:sz w:val="18"/>
          <w:szCs w:val="18"/>
          <w:color w:val="auto"/>
        </w:rPr>
        <w:t>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the Award immediately prior to its transfer. Any attempted transfer in violation of this Section 3 shall be void and without effect. The Units and your right to receive Shares in settlement of any Units under this Agreement shall be subject to forfeiture except to extent the Units have been earned and thereafter vest as provided in Section 5a.</w:t>
      </w:r>
    </w:p>
    <w:p>
      <w:pPr>
        <w:spacing w:after="0" w:line="186" w:lineRule="exact"/>
        <w:rPr>
          <w:rFonts w:ascii="Arial" w:cs="Arial" w:eastAsia="Arial" w:hAnsi="Arial"/>
          <w:sz w:val="18"/>
          <w:szCs w:val="18"/>
          <w:color w:val="auto"/>
        </w:rPr>
      </w:pPr>
    </w:p>
    <w:p>
      <w:pPr>
        <w:jc w:val="both"/>
        <w:ind w:firstLine="8"/>
        <w:spacing w:after="0" w:line="272" w:lineRule="auto"/>
        <w:tabs>
          <w:tab w:leader="none" w:pos="373" w:val="left"/>
        </w:tabs>
        <w:numPr>
          <w:ilvl w:val="0"/>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No Shareholder Rights</w:t>
      </w:r>
      <w:r>
        <w:rPr>
          <w:rFonts w:ascii="Arial" w:cs="Arial" w:eastAsia="Arial" w:hAnsi="Arial"/>
          <w:sz w:val="19"/>
          <w:szCs w:val="19"/>
          <w:color w:val="auto"/>
        </w:rPr>
        <w:t>. The Units subject to this Award do not entitle you to any rights of a holder of the Company’s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not have any of the rights of a shareholder of the Company in connection with any Units granted or earned pursuant to this Agreement unless and until Shares are issued to you in settlement of earned and vested Units as provided in Section 6.</w:t>
      </w:r>
    </w:p>
    <w:p>
      <w:pPr>
        <w:spacing w:after="0" w:line="188" w:lineRule="exact"/>
        <w:rPr>
          <w:rFonts w:ascii="Arial" w:cs="Arial" w:eastAsia="Arial" w:hAnsi="Arial"/>
          <w:sz w:val="19"/>
          <w:szCs w:val="19"/>
          <w:color w:val="auto"/>
        </w:rPr>
      </w:pPr>
    </w:p>
    <w:p>
      <w:pPr>
        <w:jc w:val="both"/>
        <w:ind w:firstLine="8"/>
        <w:spacing w:after="0" w:line="253" w:lineRule="auto"/>
        <w:tabs>
          <w:tab w:leader="none" w:pos="346"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 and Forfeiture of Units</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this Agreement, “Vesting Date” means any date, including the Scheduled Vesting Date</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below), on which Units subject to this Agreement vest as provided in this Section 5. Subject in all cases to Section 16(i) of the Plan, the Units shall vest at the earliest of the following times and to the degree specified.</w:t>
      </w:r>
    </w:p>
    <w:p>
      <w:pPr>
        <w:spacing w:after="0" w:line="210" w:lineRule="exact"/>
        <w:rPr>
          <w:rFonts w:ascii="Arial" w:cs="Arial" w:eastAsia="Arial" w:hAnsi="Arial"/>
          <w:sz w:val="20"/>
          <w:szCs w:val="20"/>
          <w:color w:val="auto"/>
        </w:rPr>
      </w:pPr>
    </w:p>
    <w:p>
      <w:pPr>
        <w:jc w:val="both"/>
        <w:ind w:right="20" w:firstLine="656"/>
        <w:spacing w:after="0" w:line="342" w:lineRule="auto"/>
        <w:tabs>
          <w:tab w:leader="none" w:pos="1065"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Scheduled Vesting</w:t>
      </w:r>
      <w:r>
        <w:rPr>
          <w:rFonts w:ascii="Arial" w:cs="Arial" w:eastAsia="Arial" w:hAnsi="Arial"/>
          <w:sz w:val="16"/>
          <w:szCs w:val="16"/>
          <w:color w:val="auto"/>
        </w:rPr>
        <w:t xml:space="preserve">. The number of Units that have been earned during the Performance Period, as determined by the Committee in accordance with </w:t>
      </w:r>
      <w:r>
        <w:rPr>
          <w:rFonts w:ascii="Arial" w:cs="Arial" w:eastAsia="Arial" w:hAnsi="Arial"/>
          <w:sz w:val="16"/>
          <w:szCs w:val="16"/>
          <w:u w:val="single" w:color="auto"/>
          <w:color w:val="auto"/>
        </w:rPr>
        <w:t>Exhibit 1</w:t>
      </w:r>
      <w:r>
        <w:rPr>
          <w:rFonts w:ascii="Arial" w:cs="Arial" w:eastAsia="Arial" w:hAnsi="Arial"/>
          <w:sz w:val="16"/>
          <w:szCs w:val="16"/>
          <w:color w:val="auto"/>
        </w:rPr>
        <w:t>, will vest on the Scheduled Vesting Date, so long as your Service has been continuous from the Grant Date to the Scheduled Vesting Date. For these purposes, the “Scheduled Vesting Date” means the date the Committee certifies (i) the degree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PSU Agreement (2019 Omnibus Plan – FY22-24 LTIP)</w:t>
      </w:r>
      <w:r>
        <w:rPr>
          <w:sz w:val="20"/>
          <w:szCs w:val="20"/>
          <w:color w:val="auto"/>
        </w:rPr>
        <w:tab/>
      </w:r>
      <w:r>
        <w:rPr>
          <w:rFonts w:ascii="Arial" w:cs="Arial" w:eastAsia="Arial" w:hAnsi="Arial"/>
          <w:sz w:val="13"/>
          <w:szCs w:val="13"/>
          <w:color w:val="auto"/>
        </w:rPr>
        <w:t>Page 2</w:t>
      </w:r>
    </w:p>
    <w:p>
      <w:pPr>
        <w:sectPr>
          <w:pgSz w:w="11900" w:h="16838" w:orient="portrait"/>
          <w:cols w:equalWidth="0" w:num="1">
            <w:col w:w="11240"/>
          </w:cols>
          <w:pgMar w:left="320" w:top="1426" w:right="339" w:bottom="1440" w:gutter="0" w:footer="0" w:header="0"/>
        </w:sectPr>
      </w:pPr>
    </w:p>
    <w:bookmarkStart w:id="75" w:name="page76"/>
    <w:bookmarkEnd w:id="75"/>
    <w:p>
      <w:pPr>
        <w:jc w:val="both"/>
        <w:spacing w:after="0" w:line="250" w:lineRule="auto"/>
        <w:rPr>
          <w:sz w:val="20"/>
          <w:szCs w:val="20"/>
          <w:color w:val="auto"/>
        </w:rPr>
      </w:pPr>
      <w:r>
        <w:rPr>
          <w:rFonts w:ascii="Arial" w:cs="Arial" w:eastAsia="Arial" w:hAnsi="Arial"/>
          <w:sz w:val="20"/>
          <w:szCs w:val="20"/>
          <w:color w:val="auto"/>
        </w:rPr>
        <w:t xml:space="preserve">the applicable performance goals for the Performance Period have been satisfied, and (ii) the number of Units that have been earned during the Performance Period as determined in accordance </w:t>
      </w:r>
      <w:r>
        <w:rPr>
          <w:rFonts w:ascii="Arial" w:cs="Arial" w:eastAsia="Arial" w:hAnsi="Arial"/>
          <w:sz w:val="20"/>
          <w:szCs w:val="20"/>
          <w:u w:val="single" w:color="auto"/>
          <w:color w:val="auto"/>
        </w:rPr>
        <w:t>Exhibit 1</w:t>
      </w:r>
      <w:r>
        <w:rPr>
          <w:rFonts w:ascii="Arial" w:cs="Arial" w:eastAsia="Arial" w:hAnsi="Arial"/>
          <w:sz w:val="20"/>
          <w:szCs w:val="20"/>
          <w:color w:val="auto"/>
        </w:rPr>
        <w:t>, which certification shall occur no later than the 10th day of the third calendar month following the end of the Performance Period.</w:t>
      </w:r>
    </w:p>
    <w:p>
      <w:pPr>
        <w:spacing w:after="0" w:line="213" w:lineRule="exact"/>
        <w:rPr>
          <w:sz w:val="20"/>
          <w:szCs w:val="20"/>
          <w:color w:val="auto"/>
        </w:rPr>
      </w:pPr>
    </w:p>
    <w:p>
      <w:pPr>
        <w:jc w:val="both"/>
        <w:ind w:firstLine="656"/>
        <w:spacing w:after="0" w:line="243" w:lineRule="auto"/>
        <w:tabs>
          <w:tab w:leader="none" w:pos="1103"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If your Service terminates by reason of your death or Disability prior to the Scheduled Vesting Date, then as of the date of your termination of Service, a number of Units shall vest determined as follows (i) the number of Units earned based on the actual level of performance for any Sub-Performance Period that has concluded prior to your termination of Service, plus (ii) either (A) the Target Number of Performance Stock Units allocated to the Performance Period or any Sub-Performance Period that has not concluded prior to your termination of Service or (B) in the discretion of the Committee upon its determination of the actual level of performance (if determinable) through the date of your termination of Service, the number of Units specified by the Committee as having been earned based on such performance.</w:t>
      </w:r>
    </w:p>
    <w:p>
      <w:pPr>
        <w:spacing w:after="0" w:line="219" w:lineRule="exact"/>
        <w:rPr>
          <w:rFonts w:ascii="Arial" w:cs="Arial" w:eastAsia="Arial" w:hAnsi="Arial"/>
          <w:sz w:val="20"/>
          <w:szCs w:val="20"/>
          <w:color w:val="auto"/>
        </w:rPr>
      </w:pPr>
    </w:p>
    <w:p>
      <w:pPr>
        <w:jc w:val="both"/>
        <w:ind w:firstLine="656"/>
        <w:spacing w:after="0" w:line="250" w:lineRule="auto"/>
        <w:tabs>
          <w:tab w:leader="none" w:pos="1079"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a Change in Control occurs after the Grant Date but before the Scheduled Vesting Date and your Service continues to the date of the Change in Control, the provisions of Section 12 of the Plan shall apply, including those providing for benefits upon termination of Service for Good Reason.</w:t>
      </w:r>
    </w:p>
    <w:p>
      <w:pPr>
        <w:spacing w:after="0" w:line="212" w:lineRule="exact"/>
        <w:rPr>
          <w:rFonts w:ascii="Arial" w:cs="Arial" w:eastAsia="Arial" w:hAnsi="Arial"/>
          <w:sz w:val="20"/>
          <w:szCs w:val="20"/>
          <w:color w:val="auto"/>
        </w:rPr>
      </w:pPr>
    </w:p>
    <w:p>
      <w:pPr>
        <w:jc w:val="both"/>
        <w:ind w:firstLine="656"/>
        <w:spacing w:after="0" w:line="263" w:lineRule="auto"/>
        <w:tabs>
          <w:tab w:leader="none" w:pos="1090"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If, due to Retirement, your Service terminates at least twelve (12) months after the Grant Date and prior to the end of the Performance Period, then your Units shall remain outstanding and eligible to vest on the Scheduled Vesting Date, and the number of Units vesting on the Scheduled Vesting Date will equal the number of Units that would have vested pursuant to this Agreement if your termination of Service had not occurred. For this purpose, Retirement means any termination of employment (other than by the Company for Cause or due to death or Disability) at or after age sixty-five (65) or at or after age fifty-five (55) with ten (10) or more years of continuous Service to the Company and its Affiliates, with Service measured from your most recent date of hire</w:t>
      </w:r>
      <w:r>
        <w:rPr>
          <w:rFonts w:ascii="Arial" w:cs="Arial" w:eastAsia="Arial" w:hAnsi="Arial"/>
          <w:sz w:val="20"/>
          <w:szCs w:val="20"/>
          <w:color w:val="auto"/>
        </w:rPr>
        <w:t>.</w:t>
      </w:r>
    </w:p>
    <w:p>
      <w:pPr>
        <w:spacing w:after="0" w:line="197" w:lineRule="exact"/>
        <w:rPr>
          <w:rFonts w:ascii="Arial" w:cs="Arial" w:eastAsia="Arial" w:hAnsi="Arial"/>
          <w:sz w:val="19"/>
          <w:szCs w:val="19"/>
          <w:color w:val="auto"/>
        </w:rPr>
      </w:pPr>
    </w:p>
    <w:p>
      <w:pPr>
        <w:jc w:val="both"/>
        <w:ind w:firstLine="656"/>
        <w:spacing w:after="0" w:line="269" w:lineRule="auto"/>
        <w:tabs>
          <w:tab w:leader="none" w:pos="1106"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Forfeiture of Unvested Units</w:t>
      </w:r>
      <w:r>
        <w:rPr>
          <w:rFonts w:ascii="Arial" w:cs="Arial" w:eastAsia="Arial" w:hAnsi="Arial"/>
          <w:sz w:val="19"/>
          <w:szCs w:val="19"/>
          <w:color w:val="auto"/>
        </w:rPr>
        <w:t>. To the extent any of Sections 5(a) through (d) is applicable to this Award, any Units that do not vest on the Vesting Date as provided therein shall immediately be forfeited. If your Service terminates prior to the Scheduled Vesting Date under circumstances other than as set forth in Sections 5(b) and 5(d), all unvested Units shall immediately be forfeited.</w:t>
      </w:r>
    </w:p>
    <w:p>
      <w:pPr>
        <w:spacing w:after="0" w:line="190" w:lineRule="exact"/>
        <w:rPr>
          <w:rFonts w:ascii="Arial" w:cs="Arial" w:eastAsia="Arial" w:hAnsi="Arial"/>
          <w:sz w:val="19"/>
          <w:szCs w:val="19"/>
          <w:color w:val="auto"/>
        </w:rPr>
      </w:pPr>
    </w:p>
    <w:p>
      <w:pPr>
        <w:jc w:val="both"/>
        <w:ind w:firstLine="8"/>
        <w:spacing w:after="0" w:line="263" w:lineRule="auto"/>
        <w:tabs>
          <w:tab w:leader="none" w:pos="346"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Units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practicable after any date on which Units vest (but no later than the 15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the third calendar month</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Vesting Date), the Company shall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201" w:lineRule="exact"/>
        <w:rPr>
          <w:rFonts w:ascii="Arial" w:cs="Arial" w:eastAsia="Arial" w:hAnsi="Arial"/>
          <w:sz w:val="18"/>
          <w:szCs w:val="18"/>
          <w:color w:val="auto"/>
        </w:rPr>
      </w:pPr>
    </w:p>
    <w:p>
      <w:pPr>
        <w:jc w:val="both"/>
        <w:ind w:firstLine="8"/>
        <w:spacing w:after="0" w:line="248" w:lineRule="auto"/>
        <w:tabs>
          <w:tab w:leader="none" w:pos="400"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color w:val="auto"/>
        </w:rPr>
        <w:t>. If the Company pays cash dividends on its Shares while any Units subject to this Agreement are outstanding,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then on the date this Award vests pursuant to Section 5 above, the Total Dividend Equivalent Amount will be credited to your performance stock unit account in cash. The “Total Dividend Equivalent Amount” will be determined by multiplying the number of underlying Units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PSU Agreement (2019 Omnibus Plan – FY22-24 LTIP)</w:t>
      </w:r>
      <w:r>
        <w:rPr>
          <w:sz w:val="20"/>
          <w:szCs w:val="20"/>
          <w:color w:val="auto"/>
        </w:rPr>
        <w:tab/>
      </w:r>
      <w:r>
        <w:rPr>
          <w:rFonts w:ascii="Arial" w:cs="Arial" w:eastAsia="Arial" w:hAnsi="Arial"/>
          <w:sz w:val="13"/>
          <w:szCs w:val="13"/>
          <w:color w:val="auto"/>
        </w:rPr>
        <w:t>Page 3</w:t>
      </w:r>
    </w:p>
    <w:p>
      <w:pPr>
        <w:sectPr>
          <w:pgSz w:w="11900" w:h="16838" w:orient="portrait"/>
          <w:cols w:equalWidth="0" w:num="1">
            <w:col w:w="11240"/>
          </w:cols>
          <w:pgMar w:left="320" w:top="1419" w:right="339" w:bottom="1440" w:gutter="0" w:footer="0" w:header="0"/>
        </w:sectPr>
      </w:pPr>
    </w:p>
    <w:bookmarkStart w:id="76" w:name="page77"/>
    <w:bookmarkEnd w:id="76"/>
    <w:p>
      <w:pPr>
        <w:jc w:val="both"/>
        <w:spacing w:after="0" w:line="282" w:lineRule="auto"/>
        <w:rPr>
          <w:sz w:val="20"/>
          <w:szCs w:val="20"/>
          <w:color w:val="auto"/>
        </w:rPr>
      </w:pPr>
      <w:r>
        <w:rPr>
          <w:rFonts w:ascii="Arial" w:cs="Arial" w:eastAsia="Arial" w:hAnsi="Arial"/>
          <w:sz w:val="18"/>
          <w:szCs w:val="18"/>
          <w:color w:val="auto"/>
        </w:rPr>
        <w:t>to have vested as of the Vesting Date by the per share amount of each cash dividend paid on the Company’s common stock with a record date and payment date occurring between the Grant Date and the Vesting Date, and adding those products together. The Total Dividend Equivalent Amount so credited will be fully vested and subject to settlement at the same time as the underlying Units as provided in Section 6 above. Any dividend equivalents accrued on Units that are forfeited in accordance with this Agreement shall also be forfeited.</w:t>
      </w:r>
    </w:p>
    <w:p>
      <w:pPr>
        <w:spacing w:after="0" w:line="182" w:lineRule="exact"/>
        <w:rPr>
          <w:sz w:val="20"/>
          <w:szCs w:val="20"/>
          <w:color w:val="auto"/>
        </w:rPr>
      </w:pPr>
    </w:p>
    <w:p>
      <w:pPr>
        <w:jc w:val="both"/>
        <w:ind w:firstLine="8"/>
        <w:spacing w:after="0" w:line="256" w:lineRule="auto"/>
        <w:tabs>
          <w:tab w:leader="none" w:pos="373"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 and Withholding</w:t>
      </w:r>
      <w:r>
        <w:rPr>
          <w:rFonts w:ascii="Arial" w:cs="Arial" w:eastAsia="Arial" w:hAnsi="Arial"/>
          <w:sz w:val="19"/>
          <w:szCs w:val="19"/>
          <w:color w:val="auto"/>
        </w:rPr>
        <w:t>. No Shares will be delivered to you in settlement of vested Units, and no payment of any vested</w:t>
      </w:r>
      <w:r>
        <w:rPr>
          <w:rFonts w:ascii="Arial" w:cs="Arial" w:eastAsia="Arial" w:hAnsi="Arial"/>
          <w:sz w:val="19"/>
          <w:szCs w:val="19"/>
          <w:b w:val="1"/>
          <w:bCs w:val="1"/>
          <w:color w:val="auto"/>
        </w:rPr>
        <w:t xml:space="preserve"> </w:t>
      </w:r>
      <w:r>
        <w:rPr>
          <w:rFonts w:ascii="Arial" w:cs="Arial" w:eastAsia="Arial" w:hAnsi="Arial"/>
          <w:sz w:val="19"/>
          <w:szCs w:val="19"/>
          <w:color w:val="auto"/>
        </w:rPr>
        <w:t>Total Dividend Equivalent Amount will be made, unless you have made arrangements acceptable to the Company for payment of any federal, state, local or foreign withholding taxes that may be due as a result of the delivery of the Shares and any such payment. You hereby authorize the Company (or any Affiliate) to withhold from the Total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spacing w:after="0" w:line="207" w:lineRule="exact"/>
        <w:rPr>
          <w:rFonts w:ascii="Arial" w:cs="Arial" w:eastAsia="Arial" w:hAnsi="Arial"/>
          <w:sz w:val="19"/>
          <w:szCs w:val="19"/>
          <w:color w:val="auto"/>
        </w:rPr>
      </w:pPr>
    </w:p>
    <w:p>
      <w:pPr>
        <w:jc w:val="both"/>
        <w:ind w:firstLine="8"/>
        <w:spacing w:after="0" w:line="275" w:lineRule="auto"/>
        <w:tabs>
          <w:tab w:leader="none" w:pos="481"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Every notice or other communication relating to this Agreement shall be in writing and shall be mailed to or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62"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Additional Provisions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656"/>
        <w:spacing w:after="0" w:line="250" w:lineRule="auto"/>
        <w:tabs>
          <w:tab w:leader="none" w:pos="1160"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auto"/>
        </w:rPr>
        <w:t>No Right to Continued Service</w:t>
      </w:r>
      <w:r>
        <w:rPr>
          <w:rFonts w:ascii="Arial" w:cs="Arial" w:eastAsia="Arial" w:hAnsi="Arial"/>
          <w:sz w:val="20"/>
          <w:szCs w:val="20"/>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212" w:lineRule="exact"/>
        <w:rPr>
          <w:rFonts w:ascii="Arial" w:cs="Arial" w:eastAsia="Arial" w:hAnsi="Arial"/>
          <w:sz w:val="20"/>
          <w:szCs w:val="20"/>
          <w:color w:val="auto"/>
        </w:rPr>
      </w:pPr>
    </w:p>
    <w:p>
      <w:pPr>
        <w:jc w:val="both"/>
        <w:ind w:firstLine="656"/>
        <w:spacing w:after="0" w:line="250" w:lineRule="auto"/>
        <w:tabs>
          <w:tab w:leader="none" w:pos="1279"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auto"/>
        </w:rPr>
        <w:t>Governing Plan Document</w:t>
      </w:r>
      <w:r>
        <w:rPr>
          <w:rFonts w:ascii="Arial" w:cs="Arial" w:eastAsia="Arial" w:hAnsi="Arial"/>
          <w:sz w:val="20"/>
          <w:szCs w:val="20"/>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212" w:lineRule="exact"/>
        <w:rPr>
          <w:rFonts w:ascii="Arial" w:cs="Arial" w:eastAsia="Arial" w:hAnsi="Arial"/>
          <w:sz w:val="20"/>
          <w:szCs w:val="20"/>
          <w:color w:val="auto"/>
        </w:rPr>
      </w:pPr>
    </w:p>
    <w:p>
      <w:pPr>
        <w:ind w:right="20" w:firstLine="656"/>
        <w:spacing w:after="0" w:line="316" w:lineRule="auto"/>
        <w:tabs>
          <w:tab w:leader="none" w:pos="1079"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156" w:lineRule="exact"/>
        <w:rPr>
          <w:rFonts w:ascii="Arial" w:cs="Arial" w:eastAsia="Arial" w:hAnsi="Arial"/>
          <w:sz w:val="18"/>
          <w:szCs w:val="18"/>
          <w:color w:val="auto"/>
        </w:rPr>
      </w:pPr>
    </w:p>
    <w:p>
      <w:pPr>
        <w:ind w:firstLine="656"/>
        <w:spacing w:after="0" w:line="260" w:lineRule="auto"/>
        <w:tabs>
          <w:tab w:leader="none" w:pos="1090"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shall be severable and if any provision of this Agreement is found by any court to be unenforceable, in whole or in part, the remainder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PSU Agreement (2019 Omnibus Plan – FY22-24 LTIP)</w:t>
      </w:r>
      <w:r>
        <w:rPr>
          <w:sz w:val="20"/>
          <w:szCs w:val="20"/>
          <w:color w:val="auto"/>
        </w:rPr>
        <w:tab/>
      </w:r>
      <w:r>
        <w:rPr>
          <w:rFonts w:ascii="Arial" w:cs="Arial" w:eastAsia="Arial" w:hAnsi="Arial"/>
          <w:sz w:val="13"/>
          <w:szCs w:val="13"/>
          <w:color w:val="auto"/>
        </w:rPr>
        <w:t>Page 4</w:t>
      </w:r>
    </w:p>
    <w:p>
      <w:pPr>
        <w:sectPr>
          <w:pgSz w:w="11900" w:h="16838" w:orient="portrait"/>
          <w:cols w:equalWidth="0" w:num="1">
            <w:col w:w="11240"/>
          </w:cols>
          <w:pgMar w:left="320" w:top="1419" w:right="339" w:bottom="1440" w:gutter="0" w:footer="0" w:header="0"/>
        </w:sectPr>
      </w:pPr>
    </w:p>
    <w:bookmarkStart w:id="77" w:name="page78"/>
    <w:bookmarkEnd w:id="77"/>
    <w:p>
      <w:pPr>
        <w:spacing w:after="0" w:line="316" w:lineRule="auto"/>
        <w:rPr>
          <w:sz w:val="20"/>
          <w:szCs w:val="20"/>
          <w:color w:val="auto"/>
        </w:rPr>
      </w:pPr>
      <w:r>
        <w:rPr>
          <w:rFonts w:ascii="Arial" w:cs="Arial" w:eastAsia="Arial" w:hAnsi="Arial"/>
          <w:sz w:val="18"/>
          <w:szCs w:val="18"/>
          <w:color w:val="auto"/>
        </w:rPr>
        <w:t>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57" w:lineRule="exact"/>
        <w:rPr>
          <w:sz w:val="20"/>
          <w:szCs w:val="20"/>
          <w:color w:val="auto"/>
        </w:rPr>
      </w:pPr>
    </w:p>
    <w:p>
      <w:pPr>
        <w:ind w:firstLine="656"/>
        <w:spacing w:after="0" w:line="260" w:lineRule="auto"/>
        <w:tabs>
          <w:tab w:leader="none" w:pos="1065"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 successors and assigns of the Company.</w:t>
      </w:r>
    </w:p>
    <w:p>
      <w:pPr>
        <w:spacing w:after="0" w:line="203" w:lineRule="exact"/>
        <w:rPr>
          <w:rFonts w:ascii="Arial" w:cs="Arial" w:eastAsia="Arial" w:hAnsi="Arial"/>
          <w:sz w:val="20"/>
          <w:szCs w:val="20"/>
          <w:color w:val="auto"/>
        </w:rPr>
      </w:pPr>
    </w:p>
    <w:p>
      <w:pPr>
        <w:jc w:val="both"/>
        <w:ind w:left="660" w:hanging="4"/>
        <w:spacing w:after="0" w:line="260" w:lineRule="auto"/>
        <w:tabs>
          <w:tab w:leader="none" w:pos="105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The award of Units as provided in this Agreement and any issuance of Shares or payment pursuant to this Agreement are intended to be exempt from Section 409A of the Code under the short-term deferral exception specified in Treas. Reg. § 1.409A-l(b)(4). However, 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spacing w:after="0" w:line="207" w:lineRule="exact"/>
        <w:rPr>
          <w:rFonts w:ascii="Arial" w:cs="Arial" w:eastAsia="Arial" w:hAnsi="Arial"/>
          <w:sz w:val="19"/>
          <w:szCs w:val="19"/>
          <w:color w:val="auto"/>
        </w:rPr>
      </w:pPr>
    </w:p>
    <w:p>
      <w:pPr>
        <w:jc w:val="both"/>
        <w:ind w:firstLine="656"/>
        <w:spacing w:after="0" w:line="246" w:lineRule="auto"/>
        <w:tabs>
          <w:tab w:leader="none" w:pos="1103"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deliver any documents related to this Performance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83" w:lineRule="exact"/>
        <w:rPr>
          <w:rFonts w:ascii="Arial" w:cs="Arial" w:eastAsia="Arial" w:hAnsi="Arial"/>
          <w:sz w:val="20"/>
          <w:szCs w:val="20"/>
          <w:color w:val="auto"/>
        </w:rPr>
      </w:pPr>
    </w:p>
    <w:p>
      <w:pPr>
        <w:jc w:val="both"/>
        <w:ind w:firstLine="656"/>
        <w:spacing w:after="0" w:line="273" w:lineRule="auto"/>
        <w:tabs>
          <w:tab w:leader="none" w:pos="110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Forfeiture and Compensation Recovery</w:t>
      </w:r>
      <w:r>
        <w:rPr>
          <w:rFonts w:ascii="Arial" w:cs="Arial" w:eastAsia="Arial" w:hAnsi="Arial"/>
          <w:sz w:val="18"/>
          <w:szCs w:val="18"/>
          <w:color w:val="auto"/>
        </w:rPr>
        <w:t>. To the extent that this Award and any compensation associated herewith is considered “incentive-based compensation” within the meaning and subject to the requirements of Section 10D of the Exchange Act, this Award and any compensation associated herewith shall be subject to potential forfeiture or recovery by the Company or other action in accordance with the Company’s Executive Officer Incentive Compensation Recovery Policy, as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are then listed, or as otherwise required by law. This Agreement may be unilaterally amended by the Committee to comply with any such compensation recovery policy.</w:t>
      </w:r>
    </w:p>
    <w:p>
      <w:pPr>
        <w:spacing w:after="0" w:line="195"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color w:val="auto"/>
        </w:rPr>
        <w:t>PSU Agreement (2019 Omnibus Plan – FY22-24 LTIP)</w:t>
      </w:r>
      <w:r>
        <w:rPr>
          <w:sz w:val="20"/>
          <w:szCs w:val="20"/>
          <w:color w:val="auto"/>
        </w:rPr>
        <w:tab/>
      </w:r>
      <w:r>
        <w:rPr>
          <w:rFonts w:ascii="Arial" w:cs="Arial" w:eastAsia="Arial" w:hAnsi="Arial"/>
          <w:sz w:val="13"/>
          <w:szCs w:val="13"/>
          <w:color w:val="auto"/>
        </w:rPr>
        <w:t>Page 5</w:t>
      </w:r>
    </w:p>
    <w:p>
      <w:pPr>
        <w:sectPr>
          <w:pgSz w:w="11900" w:h="16838" w:orient="portrait"/>
          <w:cols w:equalWidth="0" w:num="1">
            <w:col w:w="11240"/>
          </w:cols>
          <w:pgMar w:left="320" w:top="1419"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ind w:left="1380"/>
              <w:spacing w:after="0"/>
              <w:rPr>
                <w:sz w:val="20"/>
                <w:szCs w:val="20"/>
                <w:color w:val="auto"/>
              </w:rPr>
            </w:pPr>
            <w:r>
              <w:rPr>
                <w:rFonts w:ascii="Arial" w:cs="Arial" w:eastAsia="Arial" w:hAnsi="Arial"/>
                <w:sz w:val="16"/>
                <w:szCs w:val="16"/>
                <w:b w:val="1"/>
                <w:bCs w:val="1"/>
                <w:color w:val="auto"/>
                <w:w w:val="97"/>
              </w:rPr>
              <w:t>Exhibit 21</w:t>
            </w:r>
          </w:p>
        </w:tc>
      </w:tr>
      <w:tr>
        <w:trPr>
          <w:trHeight w:val="406"/>
        </w:trPr>
        <w:tc>
          <w:tcPr>
            <w:tcW w:w="3360" w:type="dxa"/>
            <w:vAlign w:val="bottom"/>
          </w:tcPr>
          <w:p>
            <w:pPr>
              <w:spacing w:after="0"/>
              <w:rPr>
                <w:sz w:val="24"/>
                <w:szCs w:val="24"/>
                <w:color w:val="auto"/>
              </w:rPr>
            </w:pPr>
          </w:p>
        </w:tc>
        <w:tc>
          <w:tcPr>
            <w:tcW w:w="5740" w:type="dxa"/>
            <w:vAlign w:val="bottom"/>
            <w:gridSpan w:val="4"/>
          </w:tcPr>
          <w:p>
            <w:pPr>
              <w:jc w:val="center"/>
              <w:ind w:right="1220"/>
              <w:spacing w:after="0"/>
              <w:rPr>
                <w:sz w:val="20"/>
                <w:szCs w:val="20"/>
                <w:color w:val="auto"/>
              </w:rPr>
            </w:pPr>
            <w:r>
              <w:rPr>
                <w:rFonts w:ascii="Arial" w:cs="Arial" w:eastAsia="Arial" w:hAnsi="Arial"/>
                <w:sz w:val="16"/>
                <w:szCs w:val="16"/>
                <w:b w:val="1"/>
                <w:bCs w:val="1"/>
                <w:color w:val="auto"/>
              </w:rPr>
              <w:t>SUBSIDIARIES OF THE REGISTRANT</w:t>
            </w:r>
          </w:p>
        </w:tc>
        <w:tc>
          <w:tcPr>
            <w:tcW w:w="2140" w:type="dxa"/>
            <w:vAlign w:val="bottom"/>
          </w:tcPr>
          <w:p>
            <w:pPr>
              <w:spacing w:after="0"/>
              <w:rPr>
                <w:sz w:val="24"/>
                <w:szCs w:val="24"/>
                <w:color w:val="auto"/>
              </w:rPr>
            </w:pPr>
          </w:p>
        </w:tc>
      </w:tr>
      <w:tr>
        <w:trPr>
          <w:trHeight w:val="215"/>
        </w:trPr>
        <w:tc>
          <w:tcPr>
            <w:tcW w:w="3360" w:type="dxa"/>
            <w:vAlign w:val="bottom"/>
          </w:tcPr>
          <w:p>
            <w:pPr>
              <w:spacing w:after="0"/>
              <w:rPr>
                <w:sz w:val="18"/>
                <w:szCs w:val="18"/>
                <w:color w:val="auto"/>
              </w:rPr>
            </w:pPr>
          </w:p>
        </w:tc>
        <w:tc>
          <w:tcPr>
            <w:tcW w:w="5740" w:type="dxa"/>
            <w:vAlign w:val="bottom"/>
            <w:gridSpan w:val="4"/>
          </w:tcPr>
          <w:p>
            <w:pPr>
              <w:jc w:val="center"/>
              <w:ind w:right="1200"/>
              <w:spacing w:after="0"/>
              <w:rPr>
                <w:sz w:val="20"/>
                <w:szCs w:val="20"/>
                <w:color w:val="auto"/>
              </w:rPr>
            </w:pPr>
            <w:r>
              <w:rPr>
                <w:rFonts w:ascii="Arial" w:cs="Arial" w:eastAsia="Arial" w:hAnsi="Arial"/>
                <w:sz w:val="16"/>
                <w:szCs w:val="16"/>
                <w:b w:val="1"/>
                <w:bCs w:val="1"/>
                <w:color w:val="auto"/>
              </w:rPr>
              <w:t>at August 28, 2021</w:t>
            </w:r>
          </w:p>
        </w:tc>
        <w:tc>
          <w:tcPr>
            <w:tcW w:w="2140" w:type="dxa"/>
            <w:vAlign w:val="bottom"/>
          </w:tcPr>
          <w:p>
            <w:pPr>
              <w:spacing w:after="0"/>
              <w:rPr>
                <w:sz w:val="18"/>
                <w:szCs w:val="18"/>
                <w:color w:val="auto"/>
              </w:rPr>
            </w:pPr>
          </w:p>
        </w:tc>
      </w:tr>
      <w:tr>
        <w:trPr>
          <w:trHeight w:val="229"/>
        </w:trPr>
        <w:tc>
          <w:tcPr>
            <w:tcW w:w="3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Jurisdiction of</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 of</w:t>
            </w:r>
          </w:p>
        </w:tc>
      </w:tr>
      <w:tr>
        <w:trPr>
          <w:trHeight w:val="21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Corporation</w:t>
            </w:r>
          </w:p>
        </w:tc>
        <w:tc>
          <w:tcPr>
            <w:tcW w:w="33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w:t>
            </w:r>
          </w:p>
        </w:tc>
        <w:tc>
          <w:tcPr>
            <w:tcW w:w="14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Winnebago Industries, Inc.</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Iowa</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Parent</w:t>
            </w: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Winnebago of Indiana, LLC</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rPr>
              <w:t>Iowa</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Grand Design RV, LLC</w:t>
            </w:r>
          </w:p>
        </w:tc>
        <w:tc>
          <w:tcPr>
            <w:tcW w:w="3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Indiana</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Winnebago Industries Holdco, LLC</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Octavius Corporation</w:t>
            </w:r>
          </w:p>
        </w:tc>
        <w:tc>
          <w:tcPr>
            <w:tcW w:w="3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Chris-Craft Limited</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Jersey Channel Islands</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Chris-Craft USA, Inc.</w:t>
            </w:r>
          </w:p>
        </w:tc>
        <w:tc>
          <w:tcPr>
            <w:tcW w:w="3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CC Marine Brand Acquisition LLC</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Chris Craft Corporation</w:t>
            </w:r>
          </w:p>
        </w:tc>
        <w:tc>
          <w:tcPr>
            <w:tcW w:w="3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CC Property Acquisition LLC</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6"/>
                <w:szCs w:val="16"/>
                <w:color w:val="auto"/>
              </w:rPr>
              <w:t>Delaware</w:t>
            </w:r>
          </w:p>
        </w:tc>
        <w:tc>
          <w:tcPr>
            <w:tcW w:w="214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Newmar Corporation</w:t>
            </w:r>
          </w:p>
        </w:tc>
        <w:tc>
          <w:tcPr>
            <w:tcW w:w="3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Indiana</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40"/>
          </w:cols>
          <w:pgMar w:left="320" w:top="93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55" w:lineRule="exact"/>
        <w:rPr>
          <w:sz w:val="20"/>
          <w:szCs w:val="20"/>
          <w:color w:val="auto"/>
        </w:rPr>
      </w:pPr>
    </w:p>
    <w:p>
      <w:pPr>
        <w:ind w:right="140"/>
        <w:spacing w:after="0" w:line="221" w:lineRule="auto"/>
        <w:rPr>
          <w:sz w:val="20"/>
          <w:szCs w:val="20"/>
          <w:color w:val="auto"/>
        </w:rPr>
      </w:pPr>
      <w:r>
        <w:rPr>
          <w:rFonts w:ascii="Arial" w:cs="Arial" w:eastAsia="Arial" w:hAnsi="Arial"/>
          <w:sz w:val="16"/>
          <w:szCs w:val="16"/>
          <w:color w:val="auto"/>
        </w:rPr>
        <w:t>We consent to the incorporation by reference in Registration Statement Nos. 333-31595, 333-47123, 333-113246, 333-194854, 333-222261 and 333-232220 on Form S-8 and No. 333-215641 on Form S-3 of our reports dated October 20, 2021, relating to the financial statements of Winnebago Industries, Inc. and subsidiaries and the effectiveness of Winnebago Industries, Inc. and subsidiaries’ internal control over financial reporting appearing in this Annual Report on Form 10-K of Winnebago Industries, Inc. for the year ended August 28, 2021.</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20, 2021</w:t>
      </w:r>
    </w:p>
    <w:p>
      <w:pPr>
        <w:sectPr>
          <w:pgSz w:w="11900" w:h="16838" w:orient="portrait"/>
          <w:cols w:equalWidth="0" w:num="1">
            <w:col w:w="11240"/>
          </w:cols>
          <w:pgMar w:left="320" w:top="93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45"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8" w:lineRule="exact"/>
        <w:rPr>
          <w:rFonts w:ascii="Arial" w:cs="Arial" w:eastAsia="Arial" w:hAnsi="Arial"/>
          <w:sz w:val="16"/>
          <w:szCs w:val="16"/>
          <w:color w:val="auto"/>
        </w:rPr>
      </w:pPr>
    </w:p>
    <w:p>
      <w:pPr>
        <w:ind w:left="340" w:right="40" w:hanging="332"/>
        <w:spacing w:after="0" w:line="260"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2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28" w:lineRule="exact"/>
        <w:rPr>
          <w:rFonts w:ascii="Arial" w:cs="Arial" w:eastAsia="Arial" w:hAnsi="Arial"/>
          <w:sz w:val="16"/>
          <w:szCs w:val="16"/>
          <w:color w:val="auto"/>
        </w:rPr>
      </w:pPr>
    </w:p>
    <w:p>
      <w:pPr>
        <w:ind w:left="660" w:right="4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right="200" w:hanging="328"/>
        <w:spacing w:after="0" w:line="260" w:lineRule="auto"/>
        <w:tabs>
          <w:tab w:leader="none" w:pos="651"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222"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40" w:hanging="328"/>
        <w:spacing w:after="0" w:line="260"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40" w:hanging="328"/>
        <w:spacing w:after="0" w:line="260"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ind w:left="680"/>
        <w:spacing w:after="0"/>
        <w:tabs>
          <w:tab w:leader="none" w:pos="1580" w:val="left"/>
          <w:tab w:leader="none" w:pos="6440" w:val="left"/>
          <w:tab w:leader="none" w:pos="72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20955</wp:posOffset>
            </wp:positionV>
            <wp:extent cx="25374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2"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Michael J. Happe</w:t>
      </w:r>
    </w:p>
    <w:p>
      <w:pPr>
        <w:spacing w:after="0" w:line="32"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President, Chief Executive Officer</w:t>
      </w:r>
    </w:p>
    <w:p>
      <w:pPr>
        <w:sectPr>
          <w:pgSz w:w="11900" w:h="16838" w:orient="portrait"/>
          <w:cols w:equalWidth="0" w:num="1">
            <w:col w:w="11240"/>
          </w:cols>
          <w:pgMar w:left="320" w:top="972"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28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8" w:lineRule="exact"/>
        <w:rPr>
          <w:rFonts w:ascii="Arial" w:cs="Arial" w:eastAsia="Arial" w:hAnsi="Arial"/>
          <w:sz w:val="16"/>
          <w:szCs w:val="16"/>
          <w:color w:val="auto"/>
        </w:rPr>
      </w:pPr>
    </w:p>
    <w:p>
      <w:pPr>
        <w:ind w:left="340" w:right="40" w:hanging="332"/>
        <w:spacing w:after="0" w:line="260"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20" w:hanging="328"/>
        <w:spacing w:after="0" w:line="253"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28" w:lineRule="exact"/>
        <w:rPr>
          <w:rFonts w:ascii="Arial" w:cs="Arial" w:eastAsia="Arial" w:hAnsi="Arial"/>
          <w:sz w:val="16"/>
          <w:szCs w:val="16"/>
          <w:color w:val="auto"/>
        </w:rPr>
      </w:pPr>
    </w:p>
    <w:p>
      <w:pPr>
        <w:ind w:left="660" w:right="40" w:hanging="328"/>
        <w:spacing w:after="0" w:line="253"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right="200" w:hanging="328"/>
        <w:spacing w:after="0" w:line="260" w:lineRule="auto"/>
        <w:tabs>
          <w:tab w:leader="none" w:pos="651"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222"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40" w:hanging="328"/>
        <w:spacing w:after="0" w:line="260"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40" w:hanging="328"/>
        <w:spacing w:after="0" w:line="260"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ind w:left="520"/>
        <w:spacing w:after="0"/>
        <w:tabs>
          <w:tab w:leader="none" w:pos="1200" w:val="left"/>
          <w:tab w:leader="none" w:pos="6200" w:val="left"/>
          <w:tab w:leader="none" w:pos="69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20955</wp:posOffset>
            </wp:positionV>
            <wp:extent cx="24345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2"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Bryan L. Hughes</w:t>
      </w:r>
    </w:p>
    <w:p>
      <w:pPr>
        <w:spacing w:after="0" w:line="10"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Senior Vice President, Chief Financial Officer</w:t>
      </w:r>
    </w:p>
    <w:p>
      <w:pPr>
        <w:ind w:left="694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93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32.1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20" w:hanging="328"/>
        <w:spacing w:after="0" w:line="260"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Annual Report on Form 10-K for the year ended August 28, 2021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0"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20955</wp:posOffset>
            </wp:positionV>
            <wp:extent cx="27000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Michael J. Happe</w:t>
      </w:r>
    </w:p>
    <w:p>
      <w:pPr>
        <w:spacing w:after="0" w:line="3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President, Chief Executive Officer</w:t>
      </w:r>
    </w:p>
    <w:p>
      <w:pPr>
        <w:sectPr>
          <w:pgSz w:w="11900" w:h="16838" w:orient="portrait"/>
          <w:cols w:equalWidth="0" w:num="1">
            <w:col w:w="11240"/>
          </w:cols>
          <w:pgMar w:left="320" w:top="972"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32.2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20" w:hanging="328"/>
        <w:spacing w:after="0" w:line="260"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Annual Report on Form 10-K for the year ended August 28, 2021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0"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20955</wp:posOffset>
            </wp:positionV>
            <wp:extent cx="27000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Bryan L. Hughes</w:t>
      </w:r>
    </w:p>
    <w:p>
      <w:pPr>
        <w:spacing w:after="0" w:line="10"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Senior Vice President, Chief Financial Officer</w:t>
      </w:r>
    </w:p>
    <w:p>
      <w:pPr>
        <w:ind w:left="700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amp;"/>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3"/>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3"/>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2"/>
    </w:lvl>
    <w:lvl w:ilvl="1">
      <w:lvlJc w:val="left"/>
      <w:lvlText w:val="(%2)"/>
      <w:numFmt w:val="lowerLetter"/>
      <w:start w:val="1"/>
    </w:lvl>
  </w:abstractNum>
  <w:abstractNum w:abstractNumId="44">
    <w:nsid w:val="32FFF902"/>
    <w:multiLevelType w:val="hybridMultilevel"/>
    <w:lvl w:ilvl="0">
      <w:lvlJc w:val="left"/>
      <w:lvlText w:val="%1"/>
      <w:numFmt w:val="decimal"/>
      <w:start w:val="1"/>
    </w:lvl>
    <w:lvl w:ilvl="1">
      <w:lvlJc w:val="left"/>
      <w:lvlText w:val="(%2)"/>
      <w:numFmt w:val="lowerLetter"/>
      <w:start w:val="2"/>
    </w:lvl>
  </w:abstractNum>
  <w:abstractNum w:abstractNumId="45">
    <w:nsid w:val="684A481A"/>
    <w:multiLevelType w:val="hybridMultilevel"/>
    <w:lvl w:ilvl="0">
      <w:lvlJc w:val="left"/>
      <w:lvlText w:val="%1."/>
      <w:numFmt w:val="decimal"/>
      <w:start w:val="6"/>
    </w:lvl>
    <w:lvl w:ilvl="1">
      <w:lvlJc w:val="left"/>
      <w:lvlText w:val="%2"/>
      <w:numFmt w:val="lowerLetter"/>
      <w:start w:val="1"/>
    </w:lvl>
  </w:abstractNum>
  <w:abstractNum w:abstractNumId="46">
    <w:nsid w:val="579478FE"/>
    <w:multiLevelType w:val="hybridMultilevel"/>
    <w:lvl w:ilvl="0">
      <w:lvlJc w:val="left"/>
      <w:lvlText w:val="%1."/>
      <w:numFmt w:val="decimal"/>
      <w:start w:val="8"/>
    </w:lvl>
    <w:lvl w:ilvl="1">
      <w:lvlJc w:val="left"/>
      <w:lvlText w:val="(%2)"/>
      <w:numFmt w:val="lowerLetter"/>
      <w:start w:val="1"/>
    </w:lvl>
  </w:abstractNum>
  <w:abstractNum w:abstractNumId="47">
    <w:nsid w:val="749ABB43"/>
    <w:multiLevelType w:val="hybridMultilevel"/>
    <w:lvl w:ilvl="0">
      <w:lvlJc w:val="left"/>
      <w:lvlText w:val="(%1)"/>
      <w:numFmt w:val="lowerLetter"/>
      <w:start w:val="5"/>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4" Type="http://schemas.openxmlformats.org/officeDocument/2006/relationships/image" Target="media/image73.png"/><Relationship Id="rId86" Type="http://schemas.openxmlformats.org/officeDocument/2006/relationships/image" Target="media/image74.png"/><Relationship Id="rId88" Type="http://schemas.openxmlformats.org/officeDocument/2006/relationships/image" Target="media/image75.png"/><Relationship Id="rId90"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9"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5" Type="http://schemas.openxmlformats.org/officeDocument/2006/relationships/image" Target="media/image82.png"/><Relationship Id="rId108" Type="http://schemas.openxmlformats.org/officeDocument/2006/relationships/image" Target="media/image83.png"/><Relationship Id="rId111" Type="http://schemas.openxmlformats.org/officeDocument/2006/relationships/image" Target="media/image84.png"/><Relationship Id="rId115"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4" Type="http://schemas.openxmlformats.org/officeDocument/2006/relationships/image" Target="media/image89.png"/><Relationship Id="rId127" Type="http://schemas.openxmlformats.org/officeDocument/2006/relationships/image" Target="media/image90.png"/><Relationship Id="rId131" Type="http://schemas.openxmlformats.org/officeDocument/2006/relationships/image" Target="media/image91.png"/><Relationship Id="rId134" Type="http://schemas.openxmlformats.org/officeDocument/2006/relationships/image" Target="media/image92.png"/><Relationship Id="rId137" Type="http://schemas.openxmlformats.org/officeDocument/2006/relationships/image" Target="media/image93.png"/><Relationship Id="rId140" Type="http://schemas.openxmlformats.org/officeDocument/2006/relationships/image" Target="media/image94.png"/><Relationship Id="rId143"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51" Type="http://schemas.openxmlformats.org/officeDocument/2006/relationships/image" Target="media/image99.png"/><Relationship Id="rId154" Type="http://schemas.openxmlformats.org/officeDocument/2006/relationships/image" Target="media/image100.png"/><Relationship Id="rId157" Type="http://schemas.openxmlformats.org/officeDocument/2006/relationships/image" Target="media/image101.png"/><Relationship Id="rId160" Type="http://schemas.openxmlformats.org/officeDocument/2006/relationships/image" Target="media/image102.png"/><Relationship Id="rId163"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79" Type="http://schemas.openxmlformats.org/officeDocument/2006/relationships/hyperlink" Target="http://www.sec.gov/Archives/edgar/data/107687/000010768719000017/ex2120198-k0916.htm" TargetMode="External"/><Relationship Id="rId80" Type="http://schemas.openxmlformats.org/officeDocument/2006/relationships/hyperlink" Target="https://www.sec.gov/Archives/edgar/data/107687/000010768721000030/wgo-deltaxxpurchaseagreeme.htm" TargetMode="External"/><Relationship Id="rId82" Type="http://schemas.openxmlformats.org/officeDocument/2006/relationships/hyperlink" Target="http://www.sec.gov/Archives/edgar/data/107687/000010768718000026/exhibit3aarticlesofincor.htm" TargetMode="External"/><Relationship Id="rId83" Type="http://schemas.openxmlformats.org/officeDocument/2006/relationships/hyperlink" Target="http://www.sec.gov/Archives/edgar/data/107687/000010768716000075/exh31by-lawsasamended3x16x.htm" TargetMode="External"/><Relationship Id="rId85" Type="http://schemas.openxmlformats.org/officeDocument/2006/relationships/hyperlink" Target="https://www.sec.gov/Archives/edgar/data/107687/000010768721000035/winnebagoindustriesinc-byl.htm" TargetMode="External"/><Relationship Id="rId87" Type="http://schemas.openxmlformats.org/officeDocument/2006/relationships/hyperlink" Target="https://www.sec.gov/Archives/edgar/data/107687/000110465919059604/a19-21005_2ex4d1.htm#Exhibit4_1_114535" TargetMode="External"/><Relationship Id="rId89" Type="http://schemas.openxmlformats.org/officeDocument/2006/relationships/hyperlink" Target="https://www.sec.gov/Archives/edgar/data/107687/000110465920082433/tm2024371d1_ex4-1.htm" TargetMode="External"/><Relationship Id="rId91" Type="http://schemas.openxmlformats.org/officeDocument/2006/relationships/hyperlink" Target="http://www.sec.gov/Archives/edgar/data/107687/0000897101-95-000449.txt" TargetMode="External"/><Relationship Id="rId92" Type="http://schemas.openxmlformats.org/officeDocument/2006/relationships/hyperlink" Target="http://www.sec.gov/Archives/edgar/data/107687/000089710101500122/winnebago010807_ex10-i.txt" TargetMode="External"/><Relationship Id="rId93" Type="http://schemas.openxmlformats.org/officeDocument/2006/relationships/hyperlink" Target="http://www.sec.gov/Archives/edgar/data/107687/000010768711000049/exh10bbexecdefcompplan.htm" TargetMode="External"/><Relationship Id="rId94" Type="http://schemas.openxmlformats.org/officeDocument/2006/relationships/hyperlink" Target="http://www.sec.gov/Archives/edgar/data/107687/000010768711000029/exh1012004incentivecompens.htm" TargetMode="External"/><Relationship Id="rId97" Type="http://schemas.openxmlformats.org/officeDocument/2006/relationships/hyperlink" Target="http://www.sec.gov/Archives/edgar/data/107687/000010768713000055/exh1012014omnibusequityper.htm" TargetMode="External"/><Relationship Id="rId98" Type="http://schemas.openxmlformats.org/officeDocument/2006/relationships/hyperlink" Target="http://www.sec.gov/Archives/edgar/data/107687/000010768718000029/wgo2018proxy.htm" TargetMode="External"/><Relationship Id="rId100" Type="http://schemas.openxmlformats.org/officeDocument/2006/relationships/hyperlink" Target="http://www.sec.gov/Archives/edgar/data/107687/000010768713000040/wgo2013q3exh101.htm" TargetMode="External"/><Relationship Id="rId103" Type="http://schemas.openxmlformats.org/officeDocument/2006/relationships/hyperlink" Target="http://www.sec.gov/Archives/edgar/data/107687/000010768717000091/ex9922018-2020officersltin.htm" TargetMode="External"/><Relationship Id="rId104" Type="http://schemas.openxmlformats.org/officeDocument/2006/relationships/hyperlink" Target="http://www.sec.gov/Archives/edgar/data/107687/000010768718000038/a2019q1exh10boptions.htm" TargetMode="External"/><Relationship Id="rId106" Type="http://schemas.openxmlformats.org/officeDocument/2006/relationships/hyperlink" Target="http://www.sec.gov/Archives/edgar/data/107687/000010768718000038/a2019q1exh10crsuexecutives.htm" TargetMode="External"/><Relationship Id="rId107" Type="http://schemas.openxmlformats.org/officeDocument/2006/relationships/hyperlink" Target="http://www.sec.gov/Archives/edgar/data/107687/000010768718000038/a2019q1exh10dpsu.htm" TargetMode="External"/><Relationship Id="rId109" Type="http://schemas.openxmlformats.org/officeDocument/2006/relationships/hyperlink" Target="http://www.sec.gov/Archives/edgar/data/107687/000010768718000038/a2019q1exh10ersudirector.htm" TargetMode="External"/><Relationship Id="rId110" Type="http://schemas.openxmlformats.org/officeDocument/2006/relationships/hyperlink" Target="https://www.sec.gov/Archives/edgar/data/107687/000010768719000024/happecicnovember2018.htm" TargetMode="External"/><Relationship Id="rId112" Type="http://schemas.openxmlformats.org/officeDocument/2006/relationships/hyperlink" Target="http://www.sec.gov/Archives/edgar/data/107687/000010768718000038/a2019q1exh10fcic.htm" TargetMode="External"/><Relationship Id="rId113" Type="http://schemas.openxmlformats.org/officeDocument/2006/relationships/hyperlink" Target="http://www.sec.gov/Archives/edgar/data/107687/000089710109002143/wgo094796_ex10z.htm" TargetMode="External"/><Relationship Id="rId114" Type="http://schemas.openxmlformats.org/officeDocument/2006/relationships/hyperlink" Target="https://www.sec.gov/Archives/edgar/data/107687/000010768720000035/fy21aipplandocforeltfi.htm" TargetMode="External"/><Relationship Id="rId116" Type="http://schemas.openxmlformats.org/officeDocument/2006/relationships/hyperlink" Target="https://www.sec.gov/Archives/edgar/data/107687/000010768720000035/psuawardagreementspeci.htm" TargetMode="External"/><Relationship Id="rId117" Type="http://schemas.openxmlformats.org/officeDocument/2006/relationships/hyperlink" Target="https://www.sec.gov/Archives/edgar/data/107687/000010768720000035/psuawardagreementfy21-.htm" TargetMode="External"/><Relationship Id="rId121" Type="http://schemas.openxmlformats.org/officeDocument/2006/relationships/hyperlink" Target="http://www.sec.gov/Archives/edgar/data/107687/000010768716000120/exh101non-compnonxsolicita.htm" TargetMode="External"/><Relationship Id="rId122" Type="http://schemas.openxmlformats.org/officeDocument/2006/relationships/hyperlink" Target="http://www.sec.gov/Archives/edgar/data/107687/000010768716000120/exh102non-solicitationandc.htm" TargetMode="External"/><Relationship Id="rId123" Type="http://schemas.openxmlformats.org/officeDocument/2006/relationships/hyperlink" Target="http://www.sec.gov/Archives/edgar/data/107687/000010768716000120/exh103registrationrights.htm" TargetMode="External"/><Relationship Id="rId125" Type="http://schemas.openxmlformats.org/officeDocument/2006/relationships/hyperlink" Target="http://www.sec.gov/Archives/edgar/data/107687/000010768716000120/exh109clarkemploymentagree.htm" TargetMode="External"/><Relationship Id="rId126" Type="http://schemas.openxmlformats.org/officeDocument/2006/relationships/hyperlink" Target="http://www.sec.gov/Archives/edgar/data/107687/000010768716000138/exh992loanagreement2016.htm" TargetMode="External"/><Relationship Id="rId128" Type="http://schemas.openxmlformats.org/officeDocument/2006/relationships/hyperlink" Target="http://www.sec.gov/Archives/edgar/data/107687/000010768717000118/exh101amendmentno1toloanag.htm" TargetMode="External"/><Relationship Id="rId129" Type="http://schemas.openxmlformats.org/officeDocument/2006/relationships/hyperlink" Target="http://www.sec.gov/Archives/edgar/data/107687/000010768719000022/wgoamendedandrestatedcre.htm" TargetMode="External"/><Relationship Id="rId130" Type="http://schemas.openxmlformats.org/officeDocument/2006/relationships/hyperlink" Target="http://www.sec.gov/Archives/edgar/data/107687/000010768716000160/exh994leaseagreementmainfa.htm" TargetMode="External"/><Relationship Id="rId132" Type="http://schemas.openxmlformats.org/officeDocument/2006/relationships/hyperlink" Target="http://www.sec.gov/Archives/edgar/data/107687/000010768716000160/exh995leaseagreementexpans.htm" TargetMode="External"/><Relationship Id="rId133" Type="http://schemas.openxmlformats.org/officeDocument/2006/relationships/hyperlink" Target="http://www.sec.gov/Archives/edgar/data/107687/000010768719000015/employmentagreementdclar.htm" TargetMode="External"/><Relationship Id="rId135" Type="http://schemas.openxmlformats.org/officeDocument/2006/relationships/hyperlink" Target="http://www.sec.gov/Archives/edgar/data/107687/000010768719000015/changeincontrolagreement.htm" TargetMode="External"/><Relationship Id="rId136" Type="http://schemas.openxmlformats.org/officeDocument/2006/relationships/hyperlink" Target="http://www.sec.gov/Archives/edgar/data/107687/000010768719000017/ex10120198-k0916.htm" TargetMode="External"/><Relationship Id="rId138" Type="http://schemas.openxmlformats.org/officeDocument/2006/relationships/hyperlink" Target="https://www.sec.gov/Archives/edgar/data/107687/000010768719000022/wgoamendedandrestatedcre.htm" TargetMode="External"/><Relationship Id="rId139" Type="http://schemas.openxmlformats.org/officeDocument/2006/relationships/hyperlink" Target="https://www.sec.gov/Archives/edgar/data/107687/000110465919059604/a19-21005_2ex10d1.htm#Exhibit10_1_034908" TargetMode="External"/><Relationship Id="rId141" Type="http://schemas.openxmlformats.org/officeDocument/2006/relationships/hyperlink" Target="https://www.sec.gov/Archives/edgar/data/107687/000110465919059604/a19-21005_2ex10d2.htm#Exhibit10_2_040203" TargetMode="External"/><Relationship Id="rId142" Type="http://schemas.openxmlformats.org/officeDocument/2006/relationships/hyperlink" Target="https://www.sec.gov/Archives/edgar/data/107687/000110465919059604/a19-21005_2ex10d3.htm#Exhibit10_3_041616" TargetMode="External"/><Relationship Id="rId144" Type="http://schemas.openxmlformats.org/officeDocument/2006/relationships/hyperlink" Target="https://www.sec.gov/Archives/edgar/data/107687/000110465919059604/a19-21005_2ex10d4.htm#Exhibit10_5_074927" TargetMode="External"/><Relationship Id="rId145" Type="http://schemas.openxmlformats.org/officeDocument/2006/relationships/hyperlink" Target="https://www.sec.gov/Archives/edgar/data/107687/000110465919059604/a19-21005_2ex10d5.htm#Exhibit10_45_010935" TargetMode="External"/><Relationship Id="rId149" Type="http://schemas.openxmlformats.org/officeDocument/2006/relationships/hyperlink" Target="https://www.sec.gov/Archives/edgar/data/107687/000110465919059604/a19-21005_2ex10d6.htm#Exhibit10_6_042233" TargetMode="External"/><Relationship Id="rId150" Type="http://schemas.openxmlformats.org/officeDocument/2006/relationships/hyperlink" Target="https://www.sec.gov/Archives/edgar/data/107687/000110465919059604/a19-21005_2ex10d7.htm#Exhibit10_7_043941" TargetMode="External"/><Relationship Id="rId152" Type="http://schemas.openxmlformats.org/officeDocument/2006/relationships/hyperlink" Target="https://www.sec.gov/Archives/edgar/data/107687/000110465919059604/a19-21005_2ex10d8.htm#Exhibit10_8_085444" TargetMode="External"/><Relationship Id="rId153" Type="http://schemas.openxmlformats.org/officeDocument/2006/relationships/hyperlink" Target="https://www.sec.gov/Archives/edgar/data/107687/000110465919059604/a19-21005_2ex10d9.htm#Exhibit10_9_105341" TargetMode="External"/><Relationship Id="rId155" Type="http://schemas.openxmlformats.org/officeDocument/2006/relationships/hyperlink" Target="https://www.sec.gov/Archives/edgar/data/107687/000110465919061779/a19-21005_4ex10d1.htm#Exhibit10_1_041337" TargetMode="External"/><Relationship Id="rId156" Type="http://schemas.openxmlformats.org/officeDocument/2006/relationships/hyperlink" Target="https://www.sec.gov/Archives/edgar/data/107687/000110465919061779/a19-21005_4ex10d2.htm#Exhibit10_2_052712" TargetMode="External"/><Relationship Id="rId158" Type="http://schemas.openxmlformats.org/officeDocument/2006/relationships/hyperlink" Target="https://www.sec.gov/Archives/edgar/data/107687/000010768719000036/amendmentno1toaandrcredi.htm" TargetMode="External"/><Relationship Id="rId159" Type="http://schemas.openxmlformats.org/officeDocument/2006/relationships/hyperlink" Target="https://www.sec.gov/Archives/edgar/data/107687/000010768719000036/firstrestatedandamendedl.htm" TargetMode="External"/><Relationship Id="rId161" Type="http://schemas.openxmlformats.org/officeDocument/2006/relationships/hyperlink" Target="https://www.sec.gov/Archives/edgar/data/107687/000010768719000036/secondrestatedandamended.htm" TargetMode="External"/><Relationship Id="rId162" Type="http://schemas.openxmlformats.org/officeDocument/2006/relationships/hyperlink" Target="https://www.sec.gov/Archives/edgar/data/107687/000110465920082433/tm2024371d1_ex10-1.htm" TargetMode="External"/><Relationship Id="rId164" Type="http://schemas.openxmlformats.org/officeDocument/2006/relationships/hyperlink" Target="https://www.sec.gov/Archives/edgar/data/107687/000110465920082433/tm2024371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2021-10-20T15:10:02Z</dcterms:created>
  <dcterms:modified xsi:type="dcterms:W3CDTF">2021-10-20T15:10:02Z</dcterms:modified>
</cp:coreProperties>
</file>