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233680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20,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1249680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14605</wp:posOffset>
            </wp:positionV>
            <wp:extent cx="2400935" cy="1012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0935" cy="1012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20"/>
          </w:cols>
          <w:pgMar w:left="240" w:top="676"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Winnebago Industries, Inc. is filing herewith a press release issued on December 20, 2012, as Exhibit 99.1 which is incorporated by reference herein. The press release was issued to report earnings for the first quarter of Fiscal 2013 ended December 1, 2012.</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December 20, 2012.</w:t>
      </w:r>
    </w:p>
    <w:p>
      <w:pPr>
        <w:sectPr>
          <w:pgSz w:w="11900" w:h="16838" w:orient="portrait"/>
          <w:cols w:equalWidth="0" w:num="1">
            <w:col w:w="11020"/>
          </w:cols>
          <w:pgMar w:left="240" w:top="571" w:right="6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70" w:lineRule="exact"/>
        <w:rPr>
          <w:sz w:val="20"/>
          <w:szCs w:val="20"/>
          <w:color w:val="auto"/>
        </w:rPr>
      </w:pPr>
    </w:p>
    <w:p>
      <w:pPr>
        <w:ind w:left="40"/>
        <w:spacing w:after="0"/>
        <w:tabs>
          <w:tab w:leader="none" w:pos="600" w:val="left"/>
          <w:tab w:leader="none" w:pos="3440" w:val="left"/>
          <w:tab w:leader="none" w:pos="4100" w:val="left"/>
        </w:tabs>
        <w:rPr>
          <w:sz w:val="20"/>
          <w:szCs w:val="20"/>
          <w:color w:val="auto"/>
        </w:rPr>
      </w:pPr>
      <w:r>
        <w:rPr>
          <w:rFonts w:ascii="Arial" w:cs="Arial" w:eastAsia="Arial" w:hAnsi="Arial"/>
          <w:sz w:val="16"/>
          <w:szCs w:val="16"/>
          <w:color w:val="auto"/>
        </w:rPr>
        <w:t>Date:</w:t>
        <w:tab/>
        <w:t>December 20, 2012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19050</wp:posOffset>
            </wp:positionV>
            <wp:extent cx="3129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6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Name:</w:t>
        <w:tab/>
        <w:t>Randy J. Potts</w:t>
      </w:r>
    </w:p>
    <w:p>
      <w:pPr>
        <w:spacing w:after="0" w:line="8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of the Board, Chief Executive Officer and President</w:t>
      </w:r>
    </w:p>
    <w:p>
      <w:pPr>
        <w:sectPr>
          <w:pgSz w:w="11900" w:h="16838" w:orient="portrait"/>
          <w:cols w:equalWidth="0" w:num="1">
            <w:col w:w="11220"/>
          </w:cols>
          <w:pgMar w:left="240" w:top="571" w:right="439" w:bottom="1440" w:gutter="0" w:footer="0" w:header="0"/>
        </w:sectPr>
      </w:pPr>
    </w:p>
    <w:bookmarkStart w:id="3" w:name="page4"/>
    <w:bookmarkEnd w:id="3"/>
    <w:p>
      <w:pPr>
        <w:ind w:left="4260"/>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7"/>
          <w:szCs w:val="17"/>
          <w:b w:val="1"/>
          <w:bCs w:val="1"/>
          <w:color w:val="auto"/>
        </w:rPr>
        <w:t>Description</w:t>
      </w:r>
    </w:p>
    <w:p>
      <w:pPr>
        <w:spacing w:after="0" w:line="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 xml:space="preserve">Press release of Winnebago Industries, Inc. dated </w:t>
      </w:r>
      <w:r>
        <w:rPr>
          <w:rFonts w:ascii="Arial" w:cs="Arial" w:eastAsia="Arial" w:hAnsi="Arial"/>
          <w:sz w:val="16"/>
          <w:szCs w:val="16"/>
          <w:color w:val="auto"/>
        </w:rPr>
        <w:t>December 20, 2012</w:t>
      </w:r>
      <w:r>
        <w:rPr>
          <w:rFonts w:ascii="Arial" w:cs="Arial" w:eastAsia="Arial" w:hAnsi="Arial"/>
          <w:sz w:val="18"/>
          <w:szCs w:val="18"/>
          <w:color w:val="auto"/>
        </w:rPr>
        <w:t>.</w:t>
      </w:r>
    </w:p>
    <w:p>
      <w:pPr>
        <w:sectPr>
          <w:pgSz w:w="11900" w:h="16838" w:orient="portrait"/>
          <w:cols w:equalWidth="0" w:num="1">
            <w:col w:w="9559"/>
          </w:cols>
          <w:pgMar w:left="900" w:top="580" w:right="1440" w:bottom="1440" w:gutter="0" w:footer="0" w:header="0"/>
        </w:sectPr>
      </w:pPr>
    </w:p>
    <w:bookmarkStart w:id="4" w:name="page5"/>
    <w:bookmarkEnd w:id="4"/>
    <w:p>
      <w:pPr>
        <w:ind w:left="40"/>
        <w:spacing w:after="0"/>
        <w:rPr>
          <w:sz w:val="20"/>
          <w:szCs w:val="20"/>
          <w:color w:val="auto"/>
        </w:rPr>
      </w:pPr>
      <w:r>
        <w:rPr>
          <w:sz w:val="1"/>
          <w:szCs w:val="1"/>
          <w:color w:val="auto"/>
        </w:rPr>
        <w:drawing>
          <wp:inline distT="0" distB="0" distL="0" distR="0">
            <wp:extent cx="1209040" cy="488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9040" cy="488950"/>
                    </a:xfrm>
                    <a:prstGeom prst="rect">
                      <a:avLst/>
                    </a:prstGeom>
                    <a:noFill/>
                    <a:ln>
                      <a:noFill/>
                    </a:ln>
                  </pic:spPr>
                </pic:pic>
              </a:graphicData>
            </a:graphic>
          </wp:inline>
        </w:drawing>
      </w:r>
      <w:r>
        <w:rPr>
          <w:rFonts w:ascii="Arial" w:cs="Arial" w:eastAsia="Arial" w:hAnsi="Arial"/>
          <w:sz w:val="86"/>
          <w:szCs w:val="86"/>
          <w:b w:val="1"/>
          <w:bCs w:val="1"/>
          <w:color w:val="auto"/>
        </w:rPr>
        <w:t xml:space="preserve"> News Release</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Contact: Sheila Davis - PR/IR Mgr. - 641-585-6803 - sdavis@winnebagoind.com</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WINNEBAGO INDUSTRIES REPORTS RESULTS FOR</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FIRST QUARTER OF FISCAL 2013</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 First Quarter Revenues Up 48%; Operating Income Exceeding Entire Fiscal 2012 --</w:t>
      </w:r>
    </w:p>
    <w:p>
      <w:pPr>
        <w:spacing w:after="0" w:line="19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FOREST CITY, IOWA, December 20, 2012 - Winnebago Industries, Inc. (NYSE:WGO), a leading United States (U.S.) recreation vehicle manufacturer, today reported financial results for the Company's first quarter of Fiscal 2013.</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Revenues for the 14-week first quarter ended December 1, 2012 were $193.6 million an increase of 46.8%, versus $131.8 million for the 13-week first quarter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Fiscal 2012. Included within consolidated revenues for the first quarter of Fiscal 2013 was $12.1 million associated with towable products, compared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$10.1 million for the first quarter of Fiscal 2012. The Company reported an operating income of $9.9 million for the quarter, versus $627,000 for the first quarter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Fiscal 2012. Net income for the first quarter of Fiscal 2013 was $7.4 million, or $0.26 per diluted share, versus $1.0 million, or $0.04 per diluted share for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first quarter of Fiscal 2012.</w:t>
      </w:r>
    </w:p>
    <w:p>
      <w:pPr>
        <w:spacing w:after="0" w:line="194"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first quarter was positively impacted by an additional week of operating performance (i.e. 14-week quarter) as well as higher weekly production rates due to robust demand which resulted in increased motorhome deliveries and improved gross margins due to better overhead cost absorption.</w:t>
      </w:r>
    </w:p>
    <w:p>
      <w:pPr>
        <w:spacing w:after="0" w:line="16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“Winnebago Industries' results for the first quarter of Fiscal 2013 were outstanding,” said Winnebago Industries' Chairman, CEO and President Randy Potts. "Calendar year-to-date through October, we are growing at the wholesale and retail level at a faster rate than the overall industry due to the popularity of our products and the strength of our dealer network. We received very positive reception to our products at the recent National RV Show, which was held November 27-29, 2012 in Louisville, KY. There was particular excitement for our newly introduced Winnebago Minnie Winnie and Itasca Spirit motorhomes that provide an economical entry into our Class C lineup, as well as the new Winnebago Ultralite towable entry introduced at the show."</w:t>
      </w:r>
    </w:p>
    <w:p>
      <w:pPr>
        <w:spacing w:after="0" w:line="176"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During the first quarter of Fiscal 2013, the Company repurchased approximately 594,000 shares of the Company's common stock for $7.2 million, with calendar year-to-date cumulative repurchases of 1.2 million shares at an average price of $11.34 per share. "Given our improved financial performance and positive outlook, we felt the additional shares repurchased in our first quarter continued to enhance shareholder value," said Winnebago Industries' Vice President, Chief Financial Officer Sarah Nielsen. "Through these efforts, we have reduced the total outstanding shares by nearly 4% this calendar year."</w:t>
      </w:r>
    </w:p>
    <w:p>
      <w:pPr>
        <w:spacing w:after="0" w:line="176"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Potts continued, "We are extremely pleased with the growing demand for our products, as evidenced in our sales order backlog, particularly as this is traditionally a seasonally slower time of year for our business. In light of such a strong order position, we are currently in a much better business environment and as a result, less sales incentives are necessary. We have continued to increase our production schedule and have hired additional employees to meet this improved demand during the last two fiscal quarters. Although we are ramping up production, we do face various constraints in the near-term that will impact our ability to immediately deliver product such as fewer production days due to the holidays, Class A gas chassis availability and the timing of production start for select new products. These are certainly better business challenges to face in a much improved market for our products than the difficult environment we endured for the past few years."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w:t>
      </w:r>
    </w:p>
    <w:p>
      <w:pPr>
        <w:spacing w:after="0" w:line="25"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 xml:space="preserve">Winnebago Industries, Inc. will conduct a conference call in conjunction with this release at 9 a.m. Central Time today, Thursday, December 20, 2012.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ectPr>
          <w:pgSz w:w="11900" w:h="16838" w:orient="portrait"/>
          <w:cols w:equalWidth="0" w:num="1">
            <w:col w:w="11400"/>
          </w:cols>
          <w:pgMar w:left="240" w:top="733" w:right="25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About Winnebago Industries</w:t>
      </w:r>
    </w:p>
    <w:p>
      <w:pPr>
        <w:spacing w:after="0" w:line="20"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builds quality motorhomes, travel trailers and fifth wheel products under the Winnebago, Itasca, Era and SunnyBrook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18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300"/>
          </w:cols>
          <w:pgMar w:left="240" w:top="581"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U</w:t>
      </w:r>
      <w:r>
        <w:rPr>
          <w:rFonts w:ascii="Arial" w:cs="Arial" w:eastAsia="Arial" w:hAnsi="Arial"/>
          <w:sz w:val="18"/>
          <w:szCs w:val="18"/>
          <w:b w:val="1"/>
          <w:bCs w:val="1"/>
          <w:color w:val="auto"/>
        </w:rPr>
        <w:t>naudited 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Quarter</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Ended</w:t>
            </w: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December 1, 2012</w:t>
            </w:r>
          </w:p>
        </w:tc>
        <w:tc>
          <w:tcPr>
            <w:tcW w:w="84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November 26, 2011</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193,554</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9"/>
              </w:rPr>
              <w:t>100.0%</w:t>
            </w: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131,837</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8"/>
              </w:rPr>
              <w:t>100.0 %</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172,807</w:t>
            </w:r>
          </w:p>
        </w:tc>
        <w:tc>
          <w:tcPr>
            <w:tcW w:w="2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89.3%</w:t>
            </w:r>
          </w:p>
        </w:tc>
        <w:tc>
          <w:tcPr>
            <w:tcW w:w="4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123,341</w:t>
            </w:r>
          </w:p>
        </w:tc>
        <w:tc>
          <w:tcPr>
            <w:tcW w:w="2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93.6 %</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20,747</w:t>
            </w:r>
          </w:p>
        </w:tc>
        <w:tc>
          <w:tcPr>
            <w:tcW w:w="22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10.7%</w:t>
            </w:r>
          </w:p>
        </w:tc>
        <w:tc>
          <w:tcPr>
            <w:tcW w:w="4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8,496</w:t>
            </w:r>
          </w:p>
        </w:tc>
        <w:tc>
          <w:tcPr>
            <w:tcW w:w="22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6.4 %</w:t>
            </w:r>
          </w:p>
        </w:tc>
        <w:tc>
          <w:tcPr>
            <w:tcW w:w="0" w:type="dxa"/>
            <w:vAlign w:val="bottom"/>
          </w:tcPr>
          <w:p>
            <w:pPr>
              <w:spacing w:after="0"/>
              <w:rPr>
                <w:sz w:val="1"/>
                <w:szCs w:val="1"/>
                <w:color w:val="auto"/>
              </w:rPr>
            </w:pPr>
          </w:p>
        </w:tc>
      </w:tr>
      <w:tr>
        <w:trPr>
          <w:trHeight w:val="254"/>
        </w:trPr>
        <w:tc>
          <w:tcPr>
            <w:tcW w:w="46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4,961</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2.6%</w:t>
            </w:r>
          </w:p>
        </w:tc>
        <w:tc>
          <w:tcPr>
            <w:tcW w:w="4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4,162</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60"/>
        </w:trPr>
        <w:tc>
          <w:tcPr>
            <w:tcW w:w="462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5,812</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3.0%</w:t>
            </w: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3,707</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73"/>
        </w:trPr>
        <w:tc>
          <w:tcPr>
            <w:tcW w:w="4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Loss on sale of asset held for sale</w:t>
            </w: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3"/>
                <w:szCs w:val="23"/>
                <w:color w:val="auto"/>
              </w:rPr>
            </w:pPr>
          </w:p>
        </w:tc>
        <w:tc>
          <w:tcPr>
            <w:tcW w:w="1840" w:type="dxa"/>
            <w:vAlign w:val="bottom"/>
            <w:gridSpan w:val="3"/>
            <w:shd w:val="clear" w:color="auto" w:fill="CCEEFF"/>
          </w:tcPr>
          <w:p>
            <w:pPr>
              <w:jc w:val="right"/>
              <w:ind w:right="12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10,801</w:t>
            </w:r>
          </w:p>
        </w:tc>
        <w:tc>
          <w:tcPr>
            <w:tcW w:w="22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5.6%</w:t>
            </w:r>
          </w:p>
        </w:tc>
        <w:tc>
          <w:tcPr>
            <w:tcW w:w="42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7,869</w:t>
            </w:r>
          </w:p>
        </w:tc>
        <w:tc>
          <w:tcPr>
            <w:tcW w:w="22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9,946</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5.1%</w:t>
            </w:r>
          </w:p>
        </w:tc>
        <w:tc>
          <w:tcPr>
            <w:tcW w:w="4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627</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Non-operating income</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614</w:t>
            </w:r>
          </w:p>
        </w:tc>
        <w:tc>
          <w:tcPr>
            <w:tcW w:w="2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0.3%</w:t>
            </w:r>
          </w:p>
        </w:tc>
        <w:tc>
          <w:tcPr>
            <w:tcW w:w="4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257</w:t>
            </w:r>
          </w:p>
        </w:tc>
        <w:tc>
          <w:tcPr>
            <w:tcW w:w="2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10,560</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5.5%</w:t>
            </w:r>
          </w:p>
        </w:tc>
        <w:tc>
          <w:tcPr>
            <w:tcW w:w="4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884</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(benefit) for taxes</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3,169</w:t>
            </w:r>
          </w:p>
        </w:tc>
        <w:tc>
          <w:tcPr>
            <w:tcW w:w="2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w:t>
            </w:r>
          </w:p>
        </w:tc>
        <w:tc>
          <w:tcPr>
            <w:tcW w:w="4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(151)</w:t>
            </w:r>
          </w:p>
        </w:tc>
        <w:tc>
          <w:tcPr>
            <w:tcW w:w="2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7,391</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3.8%</w:t>
            </w:r>
          </w:p>
        </w:tc>
        <w:tc>
          <w:tcPr>
            <w:tcW w:w="4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1,035</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40"/>
              <w:spacing w:after="0"/>
              <w:rPr>
                <w:sz w:val="20"/>
                <w:szCs w:val="20"/>
                <w:color w:val="auto"/>
              </w:rPr>
            </w:pPr>
            <w:r>
              <w:rPr>
                <w:rFonts w:ascii="Arial" w:cs="Arial" w:eastAsia="Arial" w:hAnsi="Arial"/>
                <w:sz w:val="16"/>
                <w:szCs w:val="16"/>
                <w:color w:val="auto"/>
              </w:rPr>
              <w:t>Income per common share:</w:t>
            </w: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6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0.04</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620" w:type="dxa"/>
            <w:vAlign w:val="bottom"/>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0.26</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0.04</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620" w:type="dxa"/>
            <w:vAlign w:val="bottom"/>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28,301</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29,138</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28,361</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29,212</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pacing w:after="0" w:line="162"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The fiscal quarters ended December 1, 2012 and November 26, 2011 contained 14 weeks and 13 weeks, respectively.</w:t>
      </w:r>
    </w:p>
    <w:p>
      <w:pPr>
        <w:sectPr>
          <w:pgSz w:w="11900" w:h="16838" w:orient="portrait"/>
          <w:cols w:equalWidth="0" w:num="1">
            <w:col w:w="11420"/>
          </w:cols>
          <w:pgMar w:left="240" w:top="10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1,</w:t>
            </w:r>
          </w:p>
        </w:tc>
        <w:tc>
          <w:tcPr>
            <w:tcW w:w="24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25,</w:t>
            </w:r>
          </w:p>
        </w:tc>
      </w:tr>
      <w:tr>
        <w:trPr>
          <w:trHeight w:val="228"/>
        </w:trPr>
        <w:tc>
          <w:tcPr>
            <w:tcW w:w="7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2012</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44,075</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62,683</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Receivables, net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24,643</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22,726</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106,363</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87,094</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7,818</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4,509</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1,603</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1,603</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8,482</w:t>
            </w:r>
          </w:p>
        </w:tc>
        <w:tc>
          <w:tcPr>
            <w:tcW w:w="3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8,453</w:t>
            </w:r>
          </w:p>
        </w:tc>
      </w:tr>
      <w:tr>
        <w:trPr>
          <w:trHeight w:val="247"/>
        </w:trPr>
        <w:tc>
          <w:tcPr>
            <w:tcW w:w="79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193,234</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187,068</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20,127</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19,978</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Assets held for sale</w:t>
            </w:r>
          </w:p>
        </w:tc>
        <w:tc>
          <w:tcPr>
            <w:tcW w:w="200" w:type="dxa"/>
            <w:vAlign w:val="bottom"/>
          </w:tcPr>
          <w:p>
            <w:pPr>
              <w:spacing w:after="0"/>
              <w:rPr>
                <w:sz w:val="22"/>
                <w:szCs w:val="22"/>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550</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8,823</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9,074</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Investment in life insurance</w:t>
            </w:r>
          </w:p>
        </w:tc>
        <w:tc>
          <w:tcPr>
            <w:tcW w:w="20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24,296</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23,127</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30,531</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30,520</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1,228</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1,228</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Amortizable intangible assets</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620</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641</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12,912</w:t>
            </w: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13,886</w:t>
            </w:r>
          </w:p>
        </w:tc>
      </w:tr>
      <w:tr>
        <w:trPr>
          <w:trHeight w:val="24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291,771</w:t>
            </w: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286,072</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67"/>
        </w:trPr>
        <w:tc>
          <w:tcPr>
            <w:tcW w:w="7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LIABILITIES AND STOCKHOLDERS' EQUITY</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28,536</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24,920</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3,402</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348</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expenses</w:t>
            </w: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34,783</w:t>
            </w:r>
          </w:p>
        </w:tc>
        <w:tc>
          <w:tcPr>
            <w:tcW w:w="3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35,750</w:t>
            </w:r>
          </w:p>
        </w:tc>
      </w:tr>
      <w:tr>
        <w:trPr>
          <w:trHeight w:val="250"/>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66,721</w:t>
            </w:r>
          </w:p>
        </w:tc>
        <w:tc>
          <w:tcPr>
            <w:tcW w:w="3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61,018</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Unrecognized tax benefits</w:t>
            </w:r>
          </w:p>
        </w:tc>
        <w:tc>
          <w:tcPr>
            <w:tcW w:w="20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5,076</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5,228</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 benefits</w:t>
            </w: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74,426</w:t>
            </w:r>
          </w:p>
        </w:tc>
        <w:tc>
          <w:tcPr>
            <w:tcW w:w="3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75,135</w:t>
            </w:r>
          </w:p>
        </w:tc>
      </w:tr>
      <w:tr>
        <w:trPr>
          <w:trHeight w:val="250"/>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long-term liabilities</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79,502</w:t>
            </w:r>
          </w:p>
        </w:tc>
        <w:tc>
          <w:tcPr>
            <w:tcW w:w="3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80,363</w:t>
            </w:r>
          </w:p>
        </w:tc>
      </w:tr>
      <w:tr>
        <w:trPr>
          <w:trHeight w:val="25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145,548</w:t>
            </w:r>
          </w:p>
        </w:tc>
        <w:tc>
          <w:tcPr>
            <w:tcW w:w="3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144,691</w:t>
            </w:r>
          </w:p>
        </w:tc>
      </w:tr>
      <w:tr>
        <w:trPr>
          <w:trHeight w:val="240"/>
        </w:trPr>
        <w:tc>
          <w:tcPr>
            <w:tcW w:w="790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291,771</w:t>
            </w:r>
          </w:p>
        </w:tc>
        <w:tc>
          <w:tcPr>
            <w:tcW w:w="34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286,072</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80" w:type="dxa"/>
            <w:vAlign w:val="bottom"/>
            <w:gridSpan w:val="3"/>
          </w:tcPr>
          <w:p>
            <w:pPr>
              <w:jc w:val="right"/>
              <w:ind w:right="979"/>
              <w:spacing w:after="0"/>
              <w:rPr>
                <w:sz w:val="20"/>
                <w:szCs w:val="20"/>
                <w:color w:val="auto"/>
              </w:rPr>
            </w:pPr>
            <w:r>
              <w:rPr>
                <w:rFonts w:ascii="Arial" w:cs="Arial" w:eastAsia="Arial" w:hAnsi="Arial"/>
                <w:sz w:val="16"/>
                <w:szCs w:val="16"/>
                <w:b w:val="1"/>
                <w:bCs w:val="1"/>
                <w:color w:val="auto"/>
              </w:rPr>
              <w:t>Quarter</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Ended</w:t>
            </w:r>
          </w:p>
        </w:tc>
      </w:tr>
      <w:tr>
        <w:trPr>
          <w:trHeight w:val="189"/>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1,</w:t>
            </w:r>
          </w:p>
        </w:tc>
        <w:tc>
          <w:tcPr>
            <w:tcW w:w="26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auto"/>
              </w:rPr>
              <w:t>November 26,</w:t>
            </w:r>
          </w:p>
        </w:tc>
      </w:tr>
      <w:tr>
        <w:trPr>
          <w:trHeight w:val="228"/>
        </w:trPr>
        <w:tc>
          <w:tcPr>
            <w:tcW w:w="8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2012</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2011</w:t>
            </w:r>
          </w:p>
        </w:tc>
      </w:tr>
      <w:tr>
        <w:trPr>
          <w:trHeight w:val="270"/>
        </w:trPr>
        <w:tc>
          <w:tcPr>
            <w:tcW w:w="8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33"/>
        </w:trPr>
        <w:tc>
          <w:tcPr>
            <w:tcW w:w="802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7,391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1,035</w:t>
            </w:r>
          </w:p>
        </w:tc>
      </w:tr>
      <w:tr>
        <w:trPr>
          <w:trHeight w:val="280"/>
        </w:trPr>
        <w:tc>
          <w:tcPr>
            <w:tcW w:w="8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33"/>
        </w:trPr>
        <w:tc>
          <w:tcPr>
            <w:tcW w:w="80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1,147</w:t>
            </w:r>
          </w:p>
        </w:tc>
        <w:tc>
          <w:tcPr>
            <w:tcW w:w="26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1,311</w:t>
            </w:r>
          </w:p>
        </w:tc>
      </w:tr>
      <w:tr>
        <w:trPr>
          <w:trHeight w:val="253"/>
        </w:trPr>
        <w:tc>
          <w:tcPr>
            <w:tcW w:w="8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352</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328</w:t>
            </w:r>
          </w:p>
        </w:tc>
      </w:tr>
      <w:tr>
        <w:trPr>
          <w:trHeight w:val="233"/>
        </w:trPr>
        <w:tc>
          <w:tcPr>
            <w:tcW w:w="8020" w:type="dxa"/>
            <w:vAlign w:val="bottom"/>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22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221</w:t>
            </w:r>
          </w:p>
        </w:tc>
        <w:tc>
          <w:tcPr>
            <w:tcW w:w="26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294</w:t>
            </w:r>
          </w:p>
        </w:tc>
      </w:tr>
      <w:tr>
        <w:trPr>
          <w:trHeight w:val="253"/>
        </w:trPr>
        <w:tc>
          <w:tcPr>
            <w:tcW w:w="8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687</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177</w:t>
            </w:r>
          </w:p>
        </w:tc>
      </w:tr>
      <w:tr>
        <w:trPr>
          <w:trHeight w:val="233"/>
        </w:trPr>
        <w:tc>
          <w:tcPr>
            <w:tcW w:w="802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22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10</w:t>
            </w:r>
          </w:p>
        </w:tc>
      </w:tr>
      <w:tr>
        <w:trPr>
          <w:trHeight w:val="253"/>
        </w:trPr>
        <w:tc>
          <w:tcPr>
            <w:tcW w:w="8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 including valuation allowance</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(677)</w:t>
            </w:r>
          </w:p>
        </w:tc>
      </w:tr>
      <w:tr>
        <w:trPr>
          <w:trHeight w:val="233"/>
        </w:trPr>
        <w:tc>
          <w:tcPr>
            <w:tcW w:w="8020" w:type="dxa"/>
            <w:vAlign w:val="bottom"/>
          </w:tcPr>
          <w:p>
            <w:pPr>
              <w:ind w:left="280"/>
              <w:spacing w:after="0"/>
              <w:rPr>
                <w:sz w:val="20"/>
                <w:szCs w:val="20"/>
                <w:color w:val="auto"/>
              </w:rPr>
            </w:pPr>
            <w:r>
              <w:rPr>
                <w:rFonts w:ascii="Arial" w:cs="Arial" w:eastAsia="Arial" w:hAnsi="Arial"/>
                <w:sz w:val="16"/>
                <w:szCs w:val="16"/>
                <w:color w:val="auto"/>
              </w:rPr>
              <w:t>Gain on life insurance</w:t>
            </w:r>
          </w:p>
        </w:tc>
        <w:tc>
          <w:tcPr>
            <w:tcW w:w="22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(509)</w:t>
            </w:r>
          </w:p>
        </w:tc>
        <w:tc>
          <w:tcPr>
            <w:tcW w:w="26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(195)</w:t>
            </w:r>
          </w:p>
        </w:tc>
      </w:tr>
      <w:tr>
        <w:trPr>
          <w:trHeight w:val="253"/>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in cash surrender value of life insurance policies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(256)</w:t>
            </w:r>
          </w:p>
        </w:tc>
      </w:tr>
      <w:tr>
        <w:trPr>
          <w:trHeight w:val="233"/>
        </w:trPr>
        <w:tc>
          <w:tcPr>
            <w:tcW w:w="8020" w:type="dxa"/>
            <w:vAlign w:val="bottom"/>
          </w:tcPr>
          <w:p>
            <w:pPr>
              <w:ind w:left="220"/>
              <w:spacing w:after="0"/>
              <w:rPr>
                <w:sz w:val="20"/>
                <w:szCs w:val="20"/>
                <w:color w:val="auto"/>
              </w:rPr>
            </w:pPr>
            <w:r>
              <w:rPr>
                <w:rFonts w:ascii="Arial" w:cs="Arial" w:eastAsia="Arial" w:hAnsi="Arial"/>
                <w:sz w:val="16"/>
                <w:szCs w:val="16"/>
                <w:color w:val="auto"/>
              </w:rPr>
              <w:t>(Gain) loss on disposal of property</w:t>
            </w:r>
          </w:p>
        </w:tc>
        <w:tc>
          <w:tcPr>
            <w:tcW w:w="22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6</w:t>
            </w:r>
          </w:p>
        </w:tc>
      </w:tr>
      <w:tr>
        <w:trPr>
          <w:trHeight w:val="253"/>
        </w:trPr>
        <w:tc>
          <w:tcPr>
            <w:tcW w:w="8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w:t>
            </w:r>
          </w:p>
        </w:tc>
      </w:tr>
      <w:tr>
        <w:trPr>
          <w:trHeight w:val="260"/>
        </w:trPr>
        <w:tc>
          <w:tcPr>
            <w:tcW w:w="8020" w:type="dxa"/>
            <w:vAlign w:val="bottom"/>
          </w:tcPr>
          <w:p>
            <w:pPr>
              <w:ind w:left="40"/>
              <w:spacing w:after="0"/>
              <w:rPr>
                <w:sz w:val="20"/>
                <w:szCs w:val="20"/>
                <w:color w:val="auto"/>
              </w:rPr>
            </w:pPr>
            <w:r>
              <w:rPr>
                <w:rFonts w:ascii="Arial" w:cs="Arial" w:eastAsia="Arial" w:hAnsi="Arial"/>
                <w:sz w:val="16"/>
                <w:szCs w:val="16"/>
                <w:color w:val="auto"/>
              </w:rPr>
              <w:t>Change in assets and liabilities:</w:t>
            </w: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3"/>
        </w:trPr>
        <w:tc>
          <w:tcPr>
            <w:tcW w:w="8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(19,621)</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3,647</w:t>
            </w:r>
          </w:p>
        </w:tc>
      </w:tr>
      <w:tr>
        <w:trPr>
          <w:trHeight w:val="233"/>
        </w:trPr>
        <w:tc>
          <w:tcPr>
            <w:tcW w:w="8020" w:type="dxa"/>
            <w:vAlign w:val="bottom"/>
          </w:tcPr>
          <w:p>
            <w:pPr>
              <w:ind w:left="280"/>
              <w:spacing w:after="0"/>
              <w:rPr>
                <w:sz w:val="20"/>
                <w:szCs w:val="20"/>
                <w:color w:val="auto"/>
              </w:rPr>
            </w:pPr>
            <w:r>
              <w:rPr>
                <w:rFonts w:ascii="Arial" w:cs="Arial" w:eastAsia="Arial" w:hAnsi="Arial"/>
                <w:sz w:val="16"/>
                <w:szCs w:val="16"/>
                <w:color w:val="auto"/>
              </w:rPr>
              <w:t>Receivables, prepaid and other assets</w:t>
            </w:r>
          </w:p>
        </w:tc>
        <w:tc>
          <w:tcPr>
            <w:tcW w:w="22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(4,107)</w:t>
            </w:r>
          </w:p>
        </w:tc>
        <w:tc>
          <w:tcPr>
            <w:tcW w:w="26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4,525</w:t>
            </w:r>
          </w:p>
        </w:tc>
      </w:tr>
      <w:tr>
        <w:trPr>
          <w:trHeight w:val="253"/>
        </w:trPr>
        <w:tc>
          <w:tcPr>
            <w:tcW w:w="80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Income taxes and unrecognized tax benefits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3,195</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495</w:t>
            </w:r>
          </w:p>
        </w:tc>
      </w:tr>
      <w:tr>
        <w:trPr>
          <w:trHeight w:val="233"/>
        </w:trPr>
        <w:tc>
          <w:tcPr>
            <w:tcW w:w="8020" w:type="dxa"/>
            <w:vAlign w:val="bottom"/>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2,521</w:t>
            </w:r>
          </w:p>
        </w:tc>
        <w:tc>
          <w:tcPr>
            <w:tcW w:w="26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(8,597)</w:t>
            </w:r>
          </w:p>
        </w:tc>
      </w:tr>
      <w:tr>
        <w:trPr>
          <w:trHeight w:val="246"/>
        </w:trPr>
        <w:tc>
          <w:tcPr>
            <w:tcW w:w="8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(1,177)</w:t>
            </w:r>
          </w:p>
        </w:tc>
        <w:tc>
          <w:tcPr>
            <w:tcW w:w="2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(959)</w:t>
            </w:r>
          </w:p>
        </w:tc>
      </w:tr>
      <w:tr>
        <w:trPr>
          <w:trHeight w:val="237"/>
        </w:trPr>
        <w:tc>
          <w:tcPr>
            <w:tcW w:w="8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(10,323)</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1,160</w:t>
            </w:r>
          </w:p>
        </w:tc>
      </w:tr>
      <w:tr>
        <w:trPr>
          <w:trHeight w:val="284"/>
        </w:trPr>
        <w:tc>
          <w:tcPr>
            <w:tcW w:w="8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0"/>
        </w:trPr>
        <w:tc>
          <w:tcPr>
            <w:tcW w:w="80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3"/>
        </w:trPr>
        <w:tc>
          <w:tcPr>
            <w:tcW w:w="8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the sale of investments, at par</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500</w:t>
            </w:r>
          </w:p>
        </w:tc>
      </w:tr>
      <w:tr>
        <w:trPr>
          <w:trHeight w:val="233"/>
        </w:trPr>
        <w:tc>
          <w:tcPr>
            <w:tcW w:w="8020" w:type="dxa"/>
            <w:vAlign w:val="bottom"/>
          </w:tcPr>
          <w:p>
            <w:pPr>
              <w:ind w:left="280"/>
              <w:spacing w:after="0"/>
              <w:rPr>
                <w:sz w:val="20"/>
                <w:szCs w:val="20"/>
                <w:color w:val="auto"/>
              </w:rPr>
            </w:pPr>
            <w:r>
              <w:rPr>
                <w:rFonts w:ascii="Arial" w:cs="Arial" w:eastAsia="Arial" w:hAnsi="Arial"/>
                <w:sz w:val="16"/>
                <w:szCs w:val="16"/>
                <w:color w:val="auto"/>
              </w:rPr>
              <w:t>Proceeds from life insurance</w:t>
            </w:r>
          </w:p>
        </w:tc>
        <w:tc>
          <w:tcPr>
            <w:tcW w:w="22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974</w:t>
            </w:r>
          </w:p>
        </w:tc>
        <w:tc>
          <w:tcPr>
            <w:tcW w:w="26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643</w:t>
            </w:r>
          </w:p>
        </w:tc>
      </w:tr>
      <w:tr>
        <w:trPr>
          <w:trHeight w:val="253"/>
        </w:trPr>
        <w:tc>
          <w:tcPr>
            <w:tcW w:w="8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(1,273)</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(456)</w:t>
            </w:r>
          </w:p>
        </w:tc>
      </w:tr>
      <w:tr>
        <w:trPr>
          <w:trHeight w:val="233"/>
        </w:trPr>
        <w:tc>
          <w:tcPr>
            <w:tcW w:w="8020" w:type="dxa"/>
            <w:vAlign w:val="bottom"/>
          </w:tcPr>
          <w:p>
            <w:pPr>
              <w:ind w:left="280"/>
              <w:spacing w:after="0"/>
              <w:rPr>
                <w:sz w:val="20"/>
                <w:szCs w:val="20"/>
                <w:color w:val="auto"/>
              </w:rPr>
            </w:pPr>
            <w:r>
              <w:rPr>
                <w:rFonts w:ascii="Arial" w:cs="Arial" w:eastAsia="Arial" w:hAnsi="Arial"/>
                <w:sz w:val="16"/>
                <w:szCs w:val="16"/>
                <w:color w:val="auto"/>
              </w:rPr>
              <w:t>Proceeds from the sale of property</w:t>
            </w:r>
          </w:p>
        </w:tc>
        <w:tc>
          <w:tcPr>
            <w:tcW w:w="22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566</w:t>
            </w:r>
          </w:p>
        </w:tc>
        <w:tc>
          <w:tcPr>
            <w:tcW w:w="26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53"/>
        </w:trPr>
        <w:tc>
          <w:tcPr>
            <w:tcW w:w="8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of COLI borrowings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(1,371)</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37"/>
        </w:trPr>
        <w:tc>
          <w:tcPr>
            <w:tcW w:w="80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129</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112</w:t>
            </w:r>
          </w:p>
        </w:tc>
      </w:tr>
      <w:tr>
        <w:trPr>
          <w:trHeight w:val="237"/>
        </w:trPr>
        <w:tc>
          <w:tcPr>
            <w:tcW w:w="8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2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(975)</w:t>
            </w:r>
          </w:p>
        </w:tc>
        <w:tc>
          <w:tcPr>
            <w:tcW w:w="2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799</w:t>
            </w:r>
          </w:p>
        </w:tc>
      </w:tr>
      <w:tr>
        <w:trPr>
          <w:trHeight w:val="284"/>
        </w:trPr>
        <w:tc>
          <w:tcPr>
            <w:tcW w:w="8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8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33"/>
        </w:trPr>
        <w:tc>
          <w:tcPr>
            <w:tcW w:w="8020" w:type="dxa"/>
            <w:vAlign w:val="bottom"/>
          </w:tcPr>
          <w:p>
            <w:pPr>
              <w:ind w:left="280"/>
              <w:spacing w:after="0"/>
              <w:rPr>
                <w:sz w:val="20"/>
                <w:szCs w:val="20"/>
                <w:color w:val="auto"/>
              </w:rPr>
            </w:pPr>
            <w:r>
              <w:rPr>
                <w:rFonts w:ascii="Arial" w:cs="Arial" w:eastAsia="Arial" w:hAnsi="Arial"/>
                <w:sz w:val="16"/>
                <w:szCs w:val="16"/>
                <w:color w:val="auto"/>
              </w:rPr>
              <w:t>Payments for purchase of common stock</w:t>
            </w:r>
          </w:p>
        </w:tc>
        <w:tc>
          <w:tcPr>
            <w:tcW w:w="22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(7,177)</w:t>
            </w:r>
          </w:p>
        </w:tc>
        <w:tc>
          <w:tcPr>
            <w:tcW w:w="26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46"/>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2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w:t>
            </w:r>
          </w:p>
        </w:tc>
      </w:tr>
      <w:tr>
        <w:trPr>
          <w:trHeight w:val="237"/>
        </w:trPr>
        <w:tc>
          <w:tcPr>
            <w:tcW w:w="8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(7,310)</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33</w:t>
            </w:r>
          </w:p>
        </w:tc>
      </w:tr>
      <w:tr>
        <w:trPr>
          <w:trHeight w:val="284"/>
        </w:trPr>
        <w:tc>
          <w:tcPr>
            <w:tcW w:w="8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33"/>
        </w:trPr>
        <w:tc>
          <w:tcPr>
            <w:tcW w:w="802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2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(18,608)</w:t>
            </w:r>
          </w:p>
        </w:tc>
        <w:tc>
          <w:tcPr>
            <w:tcW w:w="26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1,992</w:t>
            </w:r>
          </w:p>
        </w:tc>
      </w:tr>
      <w:tr>
        <w:trPr>
          <w:trHeight w:val="246"/>
        </w:trPr>
        <w:tc>
          <w:tcPr>
            <w:tcW w:w="8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62,683</w:t>
            </w:r>
          </w:p>
        </w:tc>
        <w:tc>
          <w:tcPr>
            <w:tcW w:w="2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69,307</w:t>
            </w:r>
          </w:p>
        </w:tc>
      </w:tr>
      <w:tr>
        <w:trPr>
          <w:trHeight w:val="280"/>
        </w:trPr>
        <w:tc>
          <w:tcPr>
            <w:tcW w:w="8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44,075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71,299</w:t>
            </w:r>
          </w:p>
        </w:tc>
      </w:tr>
      <w:tr>
        <w:trPr>
          <w:trHeight w:val="267"/>
        </w:trPr>
        <w:tc>
          <w:tcPr>
            <w:tcW w:w="8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0"/>
        </w:trPr>
        <w:tc>
          <w:tcPr>
            <w:tcW w:w="8020" w:type="dxa"/>
            <w:vAlign w:val="bottom"/>
          </w:tcPr>
          <w:p>
            <w:pPr>
              <w:ind w:left="40"/>
              <w:spacing w:after="0"/>
              <w:rPr>
                <w:sz w:val="20"/>
                <w:szCs w:val="20"/>
                <w:color w:val="auto"/>
              </w:rPr>
            </w:pPr>
            <w:r>
              <w:rPr>
                <w:rFonts w:ascii="Arial" w:cs="Arial" w:eastAsia="Arial" w:hAnsi="Arial"/>
                <w:sz w:val="16"/>
                <w:szCs w:val="16"/>
                <w:color w:val="auto"/>
              </w:rPr>
              <w:t>Supplemental cash flow disclosure:</w:t>
            </w: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3"/>
        </w:trPr>
        <w:tc>
          <w:tcPr>
            <w:tcW w:w="8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paid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w:t>
            </w:r>
          </w:p>
        </w:tc>
      </w:tr>
    </w:tbl>
    <w:p>
      <w:pPr>
        <w:spacing w:after="0" w:line="165"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The fiscal quarters ended December 1, 2012 and November 26, 2011 contained 14 weeks and 13 weeks, respectively.</w:t>
      </w:r>
    </w:p>
    <w:p>
      <w:pPr>
        <w:sectPr>
          <w:pgSz w:w="11900" w:h="16838" w:orient="portrait"/>
          <w:cols w:equalWidth="0" w:num="1">
            <w:col w:w="11420"/>
          </w:cols>
          <w:pgMar w:left="240" w:top="57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Deliveries</w:t>
      </w:r>
    </w:p>
    <w:p>
      <w:pPr>
        <w:spacing w:after="0" w:line="163" w:lineRule="exact"/>
        <w:rPr>
          <w:sz w:val="20"/>
          <w:szCs w:val="20"/>
          <w:color w:val="auto"/>
        </w:rPr>
      </w:pPr>
    </w:p>
    <w:tbl>
      <w:tblPr>
        <w:tblLayout w:type="fixed"/>
        <w:tblInd w:w="140" w:type="dxa"/>
        <w:tblCellMar>
          <w:top w:w="0" w:type="dxa"/>
          <w:left w:w="0" w:type="dxa"/>
          <w:bottom w:w="0" w:type="dxa"/>
          <w:right w:w="0" w:type="dxa"/>
        </w:tblCellMar>
      </w:tblPr>
      <w:tr>
        <w:trPr>
          <w:trHeight w:val="252"/>
        </w:trPr>
        <w:tc>
          <w:tcPr>
            <w:tcW w:w="248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6"/>
                <w:szCs w:val="16"/>
                <w:b w:val="1"/>
                <w:bCs w:val="1"/>
                <w:color w:val="auto"/>
              </w:rPr>
              <w:t>Quarter</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Ended</w:t>
            </w:r>
          </w:p>
        </w:tc>
        <w:tc>
          <w:tcPr>
            <w:tcW w:w="12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1040" w:type="dxa"/>
            <w:vAlign w:val="bottom"/>
            <w:tcBorders>
              <w:bottom w:val="single" w:sz="8" w:color="auto"/>
            </w:tcBorders>
          </w:tcPr>
          <w:p>
            <w:pPr>
              <w:spacing w:after="0"/>
              <w:rPr>
                <w:sz w:val="21"/>
                <w:szCs w:val="21"/>
                <w:color w:val="auto"/>
              </w:rPr>
            </w:pPr>
          </w:p>
        </w:tc>
      </w:tr>
      <w:tr>
        <w:trPr>
          <w:trHeight w:val="191"/>
        </w:trPr>
        <w:tc>
          <w:tcPr>
            <w:tcW w:w="2480" w:type="dxa"/>
            <w:vAlign w:val="bottom"/>
          </w:tcPr>
          <w:p>
            <w:pPr>
              <w:spacing w:after="0"/>
              <w:rPr>
                <w:sz w:val="16"/>
                <w:szCs w:val="16"/>
                <w:color w:val="auto"/>
              </w:rPr>
            </w:pPr>
          </w:p>
        </w:tc>
        <w:tc>
          <w:tcPr>
            <w:tcW w:w="1500" w:type="dxa"/>
            <w:vAlign w:val="bottom"/>
          </w:tcPr>
          <w:p>
            <w:pPr>
              <w:jc w:val="right"/>
              <w:ind w:right="279"/>
              <w:spacing w:after="0"/>
              <w:rPr>
                <w:sz w:val="20"/>
                <w:szCs w:val="20"/>
                <w:color w:val="auto"/>
              </w:rPr>
            </w:pPr>
            <w:r>
              <w:rPr>
                <w:rFonts w:ascii="Arial" w:cs="Arial" w:eastAsia="Arial" w:hAnsi="Arial"/>
                <w:sz w:val="16"/>
                <w:szCs w:val="16"/>
                <w:b w:val="1"/>
                <w:bCs w:val="1"/>
                <w:color w:val="auto"/>
              </w:rPr>
              <w:t>December 1,</w:t>
            </w:r>
          </w:p>
        </w:tc>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Product</w:t>
            </w:r>
          </w:p>
        </w:tc>
        <w:tc>
          <w:tcPr>
            <w:tcW w:w="1520" w:type="dxa"/>
            <w:vAlign w:val="bottom"/>
          </w:tcPr>
          <w:p>
            <w:pPr>
              <w:jc w:val="right"/>
              <w:ind w:right="239"/>
              <w:spacing w:after="0"/>
              <w:rPr>
                <w:sz w:val="20"/>
                <w:szCs w:val="20"/>
                <w:color w:val="auto"/>
              </w:rPr>
            </w:pPr>
            <w:r>
              <w:rPr>
                <w:rFonts w:ascii="Arial" w:cs="Arial" w:eastAsia="Arial" w:hAnsi="Arial"/>
                <w:sz w:val="16"/>
                <w:szCs w:val="16"/>
                <w:b w:val="1"/>
                <w:bCs w:val="1"/>
                <w:color w:val="auto"/>
              </w:rPr>
              <w:t>November 26,</w:t>
            </w:r>
          </w:p>
        </w:tc>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Product</w:t>
            </w:r>
          </w:p>
        </w:tc>
        <w:tc>
          <w:tcPr>
            <w:tcW w:w="1820" w:type="dxa"/>
            <w:vAlign w:val="bottom"/>
          </w:tcPr>
          <w:p>
            <w:pPr>
              <w:spacing w:after="0"/>
              <w:rPr>
                <w:sz w:val="16"/>
                <w:szCs w:val="16"/>
                <w:color w:val="auto"/>
              </w:rPr>
            </w:pPr>
          </w:p>
        </w:tc>
        <w:tc>
          <w:tcPr>
            <w:tcW w:w="104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34"/>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(In units)</w:t>
            </w:r>
          </w:p>
        </w:tc>
        <w:tc>
          <w:tcPr>
            <w:tcW w:w="15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2012</w:t>
            </w:r>
          </w:p>
        </w:tc>
        <w:tc>
          <w:tcPr>
            <w:tcW w:w="1400" w:type="dxa"/>
            <w:vAlign w:val="bottom"/>
            <w:gridSpan w:val="2"/>
          </w:tcPr>
          <w:p>
            <w:pPr>
              <w:ind w:left="22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(2)</w:t>
            </w:r>
          </w:p>
        </w:tc>
        <w:tc>
          <w:tcPr>
            <w:tcW w:w="15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400" w:type="dxa"/>
            <w:vAlign w:val="bottom"/>
            <w:gridSpan w:val="2"/>
          </w:tcPr>
          <w:p>
            <w:pPr>
              <w:ind w:left="22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(2)</w:t>
            </w:r>
          </w:p>
        </w:tc>
        <w:tc>
          <w:tcPr>
            <w:tcW w:w="1820" w:type="dxa"/>
            <w:vAlign w:val="bottom"/>
          </w:tcPr>
          <w:p>
            <w:pPr>
              <w:jc w:val="right"/>
              <w:ind w:right="798"/>
              <w:spacing w:after="0"/>
              <w:rPr>
                <w:sz w:val="20"/>
                <w:szCs w:val="20"/>
                <w:color w:val="auto"/>
              </w:rPr>
            </w:pPr>
            <w:r>
              <w:rPr>
                <w:rFonts w:ascii="Arial" w:cs="Arial" w:eastAsia="Arial" w:hAnsi="Arial"/>
                <w:sz w:val="16"/>
                <w:szCs w:val="16"/>
                <w:b w:val="1"/>
                <w:bCs w:val="1"/>
                <w:color w:val="auto"/>
              </w:rPr>
              <w:t>Units</w:t>
            </w:r>
          </w:p>
        </w:tc>
        <w:tc>
          <w:tcPr>
            <w:tcW w:w="1040" w:type="dxa"/>
            <w:vAlign w:val="bottom"/>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 gas</w:t>
            </w:r>
          </w:p>
        </w:tc>
        <w:tc>
          <w:tcPr>
            <w:tcW w:w="15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620</w:t>
            </w:r>
          </w:p>
        </w:tc>
        <w:tc>
          <w:tcPr>
            <w:tcW w:w="12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40.4%</w:t>
            </w:r>
          </w:p>
        </w:tc>
        <w:tc>
          <w:tcPr>
            <w:tcW w:w="20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381</w:t>
            </w:r>
          </w:p>
        </w:tc>
        <w:tc>
          <w:tcPr>
            <w:tcW w:w="12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36.6%</w:t>
            </w:r>
          </w:p>
        </w:tc>
        <w:tc>
          <w:tcPr>
            <w:tcW w:w="200" w:type="dxa"/>
            <w:vAlign w:val="bottom"/>
            <w:tcBorders>
              <w:top w:val="single" w:sz="8" w:color="CCEEFF"/>
            </w:tcBorders>
            <w:shd w:val="clear" w:color="auto" w:fill="CCEEFF"/>
          </w:tcPr>
          <w:p>
            <w:pPr>
              <w:spacing w:after="0"/>
              <w:rPr>
                <w:sz w:val="21"/>
                <w:szCs w:val="21"/>
                <w:color w:val="auto"/>
              </w:rPr>
            </w:pPr>
          </w:p>
        </w:tc>
        <w:tc>
          <w:tcPr>
            <w:tcW w:w="1820" w:type="dxa"/>
            <w:vAlign w:val="bottom"/>
            <w:tcBorders>
              <w:top w:val="single" w:sz="8" w:color="auto"/>
            </w:tcBorders>
            <w:shd w:val="clear" w:color="auto" w:fill="CCEEFF"/>
          </w:tcPr>
          <w:p>
            <w:pPr>
              <w:jc w:val="right"/>
              <w:ind w:right="678"/>
              <w:spacing w:after="0"/>
              <w:rPr>
                <w:sz w:val="20"/>
                <w:szCs w:val="20"/>
                <w:color w:val="auto"/>
              </w:rPr>
            </w:pPr>
            <w:r>
              <w:rPr>
                <w:rFonts w:ascii="Arial" w:cs="Arial" w:eastAsia="Arial" w:hAnsi="Arial"/>
                <w:sz w:val="16"/>
                <w:szCs w:val="16"/>
                <w:color w:val="auto"/>
              </w:rPr>
              <w:t>239</w:t>
            </w:r>
          </w:p>
        </w:tc>
        <w:tc>
          <w:tcPr>
            <w:tcW w:w="10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62.7 %</w:t>
            </w:r>
          </w:p>
        </w:tc>
      </w:tr>
      <w:tr>
        <w:trPr>
          <w:trHeight w:val="264"/>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Class A diesel</w:t>
            </w: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345</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22.5%</w:t>
            </w:r>
          </w:p>
        </w:tc>
        <w:tc>
          <w:tcPr>
            <w:tcW w:w="2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232</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22.3%</w:t>
            </w:r>
          </w:p>
        </w:tc>
        <w:tc>
          <w:tcPr>
            <w:tcW w:w="20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678"/>
              <w:spacing w:after="0"/>
              <w:rPr>
                <w:sz w:val="20"/>
                <w:szCs w:val="20"/>
                <w:color w:val="auto"/>
              </w:rPr>
            </w:pPr>
            <w:r>
              <w:rPr>
                <w:rFonts w:ascii="Arial" w:cs="Arial" w:eastAsia="Arial" w:hAnsi="Arial"/>
                <w:sz w:val="16"/>
                <w:szCs w:val="16"/>
                <w:color w:val="auto"/>
              </w:rPr>
              <w:t>113</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48.7 %</w:t>
            </w:r>
          </w:p>
        </w:tc>
      </w:tr>
      <w:tr>
        <w:trPr>
          <w:trHeight w:val="257"/>
        </w:trPr>
        <w:tc>
          <w:tcPr>
            <w:tcW w:w="2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Class A</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965</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62.9%</w:t>
            </w: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613</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58.9%</w:t>
            </w: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678"/>
              <w:spacing w:after="0"/>
              <w:rPr>
                <w:sz w:val="20"/>
                <w:szCs w:val="20"/>
                <w:color w:val="auto"/>
              </w:rPr>
            </w:pPr>
            <w:r>
              <w:rPr>
                <w:rFonts w:ascii="Arial" w:cs="Arial" w:eastAsia="Arial" w:hAnsi="Arial"/>
                <w:sz w:val="16"/>
                <w:szCs w:val="16"/>
                <w:color w:val="auto"/>
              </w:rPr>
              <w:t>352</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57.4 %</w:t>
            </w:r>
          </w:p>
        </w:tc>
      </w:tr>
      <w:tr>
        <w:trPr>
          <w:trHeight w:val="260"/>
        </w:trPr>
        <w:tc>
          <w:tcPr>
            <w:tcW w:w="2480" w:type="dxa"/>
            <w:vAlign w:val="bottom"/>
          </w:tcPr>
          <w:p>
            <w:pPr>
              <w:ind w:left="20"/>
              <w:spacing w:after="0"/>
              <w:rPr>
                <w:sz w:val="20"/>
                <w:szCs w:val="20"/>
                <w:color w:val="auto"/>
              </w:rPr>
            </w:pPr>
            <w:r>
              <w:rPr>
                <w:rFonts w:ascii="Arial" w:cs="Arial" w:eastAsia="Arial" w:hAnsi="Arial"/>
                <w:sz w:val="16"/>
                <w:szCs w:val="16"/>
                <w:color w:val="auto"/>
              </w:rPr>
              <w:t>Class B</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90</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5.9%</w:t>
            </w:r>
          </w:p>
        </w:tc>
        <w:tc>
          <w:tcPr>
            <w:tcW w:w="200" w:type="dxa"/>
            <w:vAlign w:val="bottom"/>
          </w:tcPr>
          <w:p>
            <w:pPr>
              <w:spacing w:after="0"/>
              <w:rPr>
                <w:sz w:val="22"/>
                <w:szCs w:val="22"/>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79</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22"/>
                <w:szCs w:val="22"/>
                <w:color w:val="auto"/>
              </w:rPr>
            </w:pPr>
          </w:p>
        </w:tc>
        <w:tc>
          <w:tcPr>
            <w:tcW w:w="1820" w:type="dxa"/>
            <w:vAlign w:val="bottom"/>
          </w:tcPr>
          <w:p>
            <w:pPr>
              <w:jc w:val="right"/>
              <w:ind w:right="678"/>
              <w:spacing w:after="0"/>
              <w:rPr>
                <w:sz w:val="20"/>
                <w:szCs w:val="20"/>
                <w:color w:val="auto"/>
              </w:rPr>
            </w:pPr>
            <w:r>
              <w:rPr>
                <w:rFonts w:ascii="Arial" w:cs="Arial" w:eastAsia="Arial" w:hAnsi="Arial"/>
                <w:sz w:val="16"/>
                <w:szCs w:val="16"/>
                <w:color w:val="auto"/>
              </w:rPr>
              <w:t>11</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13.9 %</w:t>
            </w:r>
          </w:p>
        </w:tc>
      </w:tr>
      <w:tr>
        <w:trPr>
          <w:trHeight w:val="273"/>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479</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31.2%</w:t>
            </w:r>
          </w:p>
        </w:tc>
        <w:tc>
          <w:tcPr>
            <w:tcW w:w="200" w:type="dxa"/>
            <w:vAlign w:val="bottom"/>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348</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33.5%</w:t>
            </w:r>
          </w:p>
        </w:tc>
        <w:tc>
          <w:tcPr>
            <w:tcW w:w="200" w:type="dxa"/>
            <w:vAlign w:val="bottom"/>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6"/>
                <w:szCs w:val="16"/>
                <w:color w:val="auto"/>
              </w:rPr>
              <w:t>131</w:t>
            </w: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37.6 %</w:t>
            </w:r>
          </w:p>
        </w:tc>
      </w:tr>
      <w:tr>
        <w:trPr>
          <w:trHeight w:val="280"/>
        </w:trPr>
        <w:tc>
          <w:tcPr>
            <w:tcW w:w="24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motorhomes</w:t>
            </w: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1,534</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1,040</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right"/>
              <w:ind w:right="678"/>
              <w:spacing w:after="0"/>
              <w:rPr>
                <w:sz w:val="20"/>
                <w:szCs w:val="20"/>
                <w:color w:val="auto"/>
              </w:rPr>
            </w:pPr>
            <w:r>
              <w:rPr>
                <w:rFonts w:ascii="Arial" w:cs="Arial" w:eastAsia="Arial" w:hAnsi="Arial"/>
                <w:sz w:val="16"/>
                <w:szCs w:val="16"/>
                <w:color w:val="auto"/>
              </w:rPr>
              <w:t>494</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47.5 %</w:t>
            </w:r>
          </w:p>
        </w:tc>
      </w:tr>
      <w:tr>
        <w:trPr>
          <w:trHeight w:val="173"/>
        </w:trPr>
        <w:tc>
          <w:tcPr>
            <w:tcW w:w="24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60"/>
        </w:trPr>
        <w:tc>
          <w:tcPr>
            <w:tcW w:w="2480" w:type="dxa"/>
            <w:vAlign w:val="bottom"/>
          </w:tcPr>
          <w:p>
            <w:pPr>
              <w:ind w:left="20"/>
              <w:spacing w:after="0"/>
              <w:rPr>
                <w:sz w:val="20"/>
                <w:szCs w:val="20"/>
                <w:color w:val="auto"/>
              </w:rPr>
            </w:pPr>
            <w:r>
              <w:rPr>
                <w:rFonts w:ascii="Arial" w:cs="Arial" w:eastAsia="Arial" w:hAnsi="Arial"/>
                <w:sz w:val="16"/>
                <w:szCs w:val="16"/>
                <w:color w:val="auto"/>
              </w:rPr>
              <w:t>Travel trailer</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408</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73.2%</w:t>
            </w:r>
          </w:p>
        </w:tc>
        <w:tc>
          <w:tcPr>
            <w:tcW w:w="200" w:type="dxa"/>
            <w:vAlign w:val="bottom"/>
          </w:tcPr>
          <w:p>
            <w:pPr>
              <w:spacing w:after="0"/>
              <w:rPr>
                <w:sz w:val="22"/>
                <w:szCs w:val="22"/>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267</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61.4%</w:t>
            </w:r>
          </w:p>
        </w:tc>
        <w:tc>
          <w:tcPr>
            <w:tcW w:w="200" w:type="dxa"/>
            <w:vAlign w:val="bottom"/>
          </w:tcPr>
          <w:p>
            <w:pPr>
              <w:spacing w:after="0"/>
              <w:rPr>
                <w:sz w:val="22"/>
                <w:szCs w:val="22"/>
                <w:color w:val="auto"/>
              </w:rPr>
            </w:pPr>
          </w:p>
        </w:tc>
        <w:tc>
          <w:tcPr>
            <w:tcW w:w="1820" w:type="dxa"/>
            <w:vAlign w:val="bottom"/>
          </w:tcPr>
          <w:p>
            <w:pPr>
              <w:jc w:val="right"/>
              <w:ind w:right="678"/>
              <w:spacing w:after="0"/>
              <w:rPr>
                <w:sz w:val="20"/>
                <w:szCs w:val="20"/>
                <w:color w:val="auto"/>
              </w:rPr>
            </w:pPr>
            <w:r>
              <w:rPr>
                <w:rFonts w:ascii="Arial" w:cs="Arial" w:eastAsia="Arial" w:hAnsi="Arial"/>
                <w:sz w:val="16"/>
                <w:szCs w:val="16"/>
                <w:color w:val="auto"/>
              </w:rPr>
              <w:t>141</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52.8 %</w:t>
            </w:r>
          </w:p>
        </w:tc>
      </w:tr>
      <w:tr>
        <w:trPr>
          <w:trHeight w:val="273"/>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Fifth wheel</w:t>
            </w: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149</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26.8%</w:t>
            </w:r>
          </w:p>
        </w:tc>
        <w:tc>
          <w:tcPr>
            <w:tcW w:w="200" w:type="dxa"/>
            <w:vAlign w:val="bottom"/>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168</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38.6%</w:t>
            </w:r>
          </w:p>
        </w:tc>
        <w:tc>
          <w:tcPr>
            <w:tcW w:w="200" w:type="dxa"/>
            <w:vAlign w:val="bottom"/>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638"/>
              <w:spacing w:after="0"/>
              <w:rPr>
                <w:sz w:val="20"/>
                <w:szCs w:val="20"/>
                <w:color w:val="auto"/>
              </w:rPr>
            </w:pPr>
            <w:r>
              <w:rPr>
                <w:rFonts w:ascii="Arial" w:cs="Arial" w:eastAsia="Arial" w:hAnsi="Arial"/>
                <w:sz w:val="16"/>
                <w:szCs w:val="16"/>
                <w:color w:val="auto"/>
              </w:rPr>
              <w:t>(19)</w:t>
            </w: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(11.3)%</w:t>
            </w:r>
          </w:p>
        </w:tc>
      </w:tr>
      <w:tr>
        <w:trPr>
          <w:trHeight w:val="240"/>
        </w:trPr>
        <w:tc>
          <w:tcPr>
            <w:tcW w:w="2480" w:type="dxa"/>
            <w:vAlign w:val="bottom"/>
          </w:tcPr>
          <w:p>
            <w:pPr>
              <w:ind w:left="200"/>
              <w:spacing w:after="0"/>
              <w:rPr>
                <w:sz w:val="20"/>
                <w:szCs w:val="20"/>
                <w:color w:val="auto"/>
              </w:rPr>
            </w:pPr>
            <w:r>
              <w:rPr>
                <w:rFonts w:ascii="Arial" w:cs="Arial" w:eastAsia="Arial" w:hAnsi="Arial"/>
                <w:sz w:val="16"/>
                <w:szCs w:val="16"/>
                <w:color w:val="auto"/>
              </w:rPr>
              <w:t>Total towables</w:t>
            </w: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557</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20"/>
                <w:szCs w:val="20"/>
                <w:color w:val="auto"/>
              </w:rPr>
            </w:pPr>
          </w:p>
        </w:tc>
        <w:tc>
          <w:tcPr>
            <w:tcW w:w="15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435</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20"/>
                <w:szCs w:val="20"/>
                <w:color w:val="auto"/>
              </w:rPr>
            </w:pPr>
          </w:p>
        </w:tc>
        <w:tc>
          <w:tcPr>
            <w:tcW w:w="1820" w:type="dxa"/>
            <w:vAlign w:val="bottom"/>
            <w:tcBorders>
              <w:bottom w:val="single" w:sz="8" w:color="auto"/>
            </w:tcBorders>
          </w:tcPr>
          <w:p>
            <w:pPr>
              <w:jc w:val="right"/>
              <w:ind w:right="678"/>
              <w:spacing w:after="0"/>
              <w:rPr>
                <w:sz w:val="20"/>
                <w:szCs w:val="20"/>
                <w:color w:val="auto"/>
              </w:rPr>
            </w:pPr>
            <w:r>
              <w:rPr>
                <w:rFonts w:ascii="Arial" w:cs="Arial" w:eastAsia="Arial" w:hAnsi="Arial"/>
                <w:sz w:val="16"/>
                <w:szCs w:val="16"/>
                <w:color w:val="auto"/>
              </w:rPr>
              <w:t>122</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28.0 %</w:t>
            </w:r>
          </w:p>
        </w:tc>
      </w:tr>
      <w:tr>
        <w:trPr>
          <w:trHeight w:val="20"/>
        </w:trPr>
        <w:tc>
          <w:tcPr>
            <w:tcW w:w="24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The fiscal quarters ended December 1, 2012 and November 26, 2011 contained 14 weeks and 13 weeks, respectively.</w:t>
      </w:r>
    </w:p>
    <w:p>
      <w:pPr>
        <w:spacing w:after="0" w:line="3" w:lineRule="exact"/>
        <w:rPr>
          <w:rFonts w:ascii="Arial" w:cs="Arial" w:eastAsia="Arial" w:hAnsi="Arial"/>
          <w:sz w:val="21"/>
          <w:szCs w:val="21"/>
          <w:color w:val="auto"/>
          <w:vertAlign w:val="superscript"/>
        </w:rPr>
      </w:pPr>
    </w:p>
    <w:p>
      <w:pPr>
        <w:ind w:left="140" w:hanging="132"/>
        <w:spacing w:after="0" w:line="224"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Backlog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As Of</w:t>
            </w:r>
          </w:p>
        </w:tc>
        <w:tc>
          <w:tcPr>
            <w:tcW w:w="1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19"/>
                <w:szCs w:val="19"/>
                <w:color w:val="auto"/>
              </w:rPr>
            </w:pPr>
          </w:p>
        </w:tc>
      </w:tr>
      <w:tr>
        <w:trPr>
          <w:trHeight w:val="264"/>
        </w:trPr>
        <w:tc>
          <w:tcPr>
            <w:tcW w:w="3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gridSpan w:val="2"/>
          </w:tcPr>
          <w:p>
            <w:pPr>
              <w:jc w:val="right"/>
              <w:ind w:right="322"/>
              <w:spacing w:after="0"/>
              <w:rPr>
                <w:sz w:val="20"/>
                <w:szCs w:val="20"/>
                <w:color w:val="auto"/>
              </w:rPr>
            </w:pPr>
            <w:r>
              <w:rPr>
                <w:rFonts w:ascii="Arial" w:cs="Arial" w:eastAsia="Arial" w:hAnsi="Arial"/>
                <w:sz w:val="16"/>
                <w:szCs w:val="16"/>
                <w:b w:val="1"/>
                <w:bCs w:val="1"/>
                <w:color w:val="auto"/>
              </w:rPr>
              <w:t>December 1, 2012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4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November 26, 2011</w:t>
            </w: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4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70"/>
        </w:trPr>
        <w:tc>
          <w:tcPr>
            <w:tcW w:w="3180" w:type="dxa"/>
            <w:vAlign w:val="bottom"/>
            <w:tcBorders>
              <w:bottom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Units</w:t>
            </w:r>
          </w:p>
        </w:tc>
        <w:tc>
          <w:tcPr>
            <w:tcW w:w="1080" w:type="dxa"/>
            <w:vAlign w:val="bottom"/>
            <w:tcBorders>
              <w:top w:val="single" w:sz="8" w:color="auto"/>
              <w:bottom w:val="single" w:sz="8" w:color="auto"/>
            </w:tcBorders>
          </w:tcPr>
          <w:p>
            <w:pPr>
              <w:jc w:val="right"/>
              <w:ind w:right="462"/>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 xml:space="preserve"> (1)</w:t>
            </w:r>
          </w:p>
        </w:tc>
        <w:tc>
          <w:tcPr>
            <w:tcW w:w="22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Units</w:t>
            </w:r>
          </w:p>
        </w:tc>
        <w:tc>
          <w:tcPr>
            <w:tcW w:w="1220" w:type="dxa"/>
            <w:vAlign w:val="bottom"/>
            <w:tcBorders>
              <w:top w:val="single" w:sz="8" w:color="auto"/>
              <w:bottom w:val="single" w:sz="8" w:color="auto"/>
            </w:tcBorders>
          </w:tcPr>
          <w:p>
            <w:pPr>
              <w:jc w:val="right"/>
              <w:ind w:right="482"/>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 xml:space="preserve"> (1)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Units</w:t>
            </w: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884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213</w:t>
            </w:r>
          </w:p>
        </w:tc>
        <w:tc>
          <w:tcPr>
            <w:tcW w:w="12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671</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315.0 %</w:t>
            </w:r>
          </w:p>
        </w:tc>
      </w:tr>
      <w:tr>
        <w:trPr>
          <w:trHeight w:val="264"/>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389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172</w:t>
            </w:r>
          </w:p>
        </w:tc>
        <w:tc>
          <w:tcPr>
            <w:tcW w:w="12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217</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126.2 %</w:t>
            </w:r>
          </w:p>
        </w:tc>
      </w:tr>
      <w:tr>
        <w:trPr>
          <w:trHeight w:val="257"/>
        </w:trPr>
        <w:tc>
          <w:tcPr>
            <w:tcW w:w="3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1,273</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385</w:t>
            </w:r>
          </w:p>
        </w:tc>
        <w:tc>
          <w:tcPr>
            <w:tcW w:w="12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888</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230.6 %</w:t>
            </w:r>
          </w:p>
        </w:tc>
      </w:tr>
      <w:tr>
        <w:trPr>
          <w:trHeight w:val="260"/>
        </w:trPr>
        <w:tc>
          <w:tcPr>
            <w:tcW w:w="3180" w:type="dxa"/>
            <w:vAlign w:val="bottom"/>
          </w:tcPr>
          <w:p>
            <w:pPr>
              <w:ind w:left="40"/>
              <w:spacing w:after="0"/>
              <w:rPr>
                <w:sz w:val="20"/>
                <w:szCs w:val="20"/>
                <w:color w:val="auto"/>
              </w:rPr>
            </w:pPr>
            <w:r>
              <w:rPr>
                <w:rFonts w:ascii="Arial" w:cs="Arial" w:eastAsia="Arial" w:hAnsi="Arial"/>
                <w:sz w:val="16"/>
                <w:szCs w:val="16"/>
                <w:color w:val="auto"/>
              </w:rPr>
              <w:t>Class B</w:t>
            </w:r>
          </w:p>
        </w:tc>
        <w:tc>
          <w:tcPr>
            <w:tcW w:w="260" w:type="dxa"/>
            <w:vAlign w:val="bottom"/>
          </w:tcPr>
          <w:p>
            <w:pPr>
              <w:spacing w:after="0"/>
              <w:rPr>
                <w:sz w:val="22"/>
                <w:szCs w:val="22"/>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111</w:t>
            </w:r>
          </w:p>
        </w:tc>
        <w:tc>
          <w:tcPr>
            <w:tcW w:w="1080" w:type="dxa"/>
            <w:vAlign w:val="bottom"/>
          </w:tcPr>
          <w:p>
            <w:pPr>
              <w:jc w:val="right"/>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47</w:t>
            </w:r>
          </w:p>
        </w:tc>
        <w:tc>
          <w:tcPr>
            <w:tcW w:w="1220" w:type="dxa"/>
            <w:vAlign w:val="bottom"/>
          </w:tcPr>
          <w:p>
            <w:pPr>
              <w:jc w:val="right"/>
              <w:ind w:right="202"/>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599"/>
              <w:spacing w:after="0"/>
              <w:rPr>
                <w:sz w:val="20"/>
                <w:szCs w:val="20"/>
                <w:color w:val="auto"/>
              </w:rPr>
            </w:pPr>
            <w:r>
              <w:rPr>
                <w:rFonts w:ascii="Arial" w:cs="Arial" w:eastAsia="Arial" w:hAnsi="Arial"/>
                <w:sz w:val="16"/>
                <w:szCs w:val="16"/>
                <w:color w:val="auto"/>
              </w:rPr>
              <w:t>64</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136.2 %</w:t>
            </w:r>
          </w:p>
        </w:tc>
      </w:tr>
      <w:tr>
        <w:trPr>
          <w:trHeight w:val="273"/>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734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2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186</w:t>
            </w:r>
          </w:p>
        </w:tc>
        <w:tc>
          <w:tcPr>
            <w:tcW w:w="122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548</w:t>
            </w: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294.6 %</w:t>
            </w:r>
          </w:p>
        </w:tc>
      </w:tr>
      <w:tr>
        <w:trPr>
          <w:trHeight w:val="283"/>
        </w:trPr>
        <w:tc>
          <w:tcPr>
            <w:tcW w:w="31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motorhome backlog</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2,118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618</w:t>
            </w:r>
          </w:p>
        </w:tc>
        <w:tc>
          <w:tcPr>
            <w:tcW w:w="12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1,500</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242.7 %</w:t>
            </w:r>
          </w:p>
        </w:tc>
      </w:tr>
      <w:tr>
        <w:trPr>
          <w:trHeight w:val="170"/>
        </w:trPr>
        <w:tc>
          <w:tcPr>
            <w:tcW w:w="3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60"/>
        </w:trPr>
        <w:tc>
          <w:tcPr>
            <w:tcW w:w="318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260" w:type="dxa"/>
            <w:vAlign w:val="bottom"/>
          </w:tcPr>
          <w:p>
            <w:pPr>
              <w:spacing w:after="0"/>
              <w:rPr>
                <w:sz w:val="22"/>
                <w:szCs w:val="22"/>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557</w:t>
            </w:r>
          </w:p>
        </w:tc>
        <w:tc>
          <w:tcPr>
            <w:tcW w:w="1080" w:type="dxa"/>
            <w:vAlign w:val="bottom"/>
          </w:tcPr>
          <w:p>
            <w:pPr>
              <w:jc w:val="right"/>
              <w:spacing w:after="0"/>
              <w:rPr>
                <w:sz w:val="20"/>
                <w:szCs w:val="20"/>
                <w:color w:val="auto"/>
              </w:rPr>
            </w:pPr>
            <w:r>
              <w:rPr>
                <w:rFonts w:ascii="Arial" w:cs="Arial" w:eastAsia="Arial" w:hAnsi="Arial"/>
                <w:sz w:val="16"/>
                <w:szCs w:val="16"/>
                <w:color w:val="auto"/>
              </w:rPr>
              <w:t>81.1%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280</w:t>
            </w:r>
          </w:p>
        </w:tc>
        <w:tc>
          <w:tcPr>
            <w:tcW w:w="1220" w:type="dxa"/>
            <w:vAlign w:val="bottom"/>
          </w:tcPr>
          <w:p>
            <w:pPr>
              <w:jc w:val="right"/>
              <w:ind w:right="202"/>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599"/>
              <w:spacing w:after="0"/>
              <w:rPr>
                <w:sz w:val="20"/>
                <w:szCs w:val="20"/>
                <w:color w:val="auto"/>
              </w:rPr>
            </w:pPr>
            <w:r>
              <w:rPr>
                <w:rFonts w:ascii="Arial" w:cs="Arial" w:eastAsia="Arial" w:hAnsi="Arial"/>
                <w:sz w:val="16"/>
                <w:szCs w:val="16"/>
                <w:color w:val="auto"/>
              </w:rPr>
              <w:t>277</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98.9 %</w:t>
            </w:r>
          </w:p>
        </w:tc>
      </w:tr>
      <w:tr>
        <w:trPr>
          <w:trHeight w:val="273"/>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130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2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180</w:t>
            </w:r>
          </w:p>
        </w:tc>
        <w:tc>
          <w:tcPr>
            <w:tcW w:w="122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(50)</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(27.8)%</w:t>
            </w:r>
          </w:p>
        </w:tc>
      </w:tr>
      <w:tr>
        <w:trPr>
          <w:trHeight w:val="283"/>
        </w:trPr>
        <w:tc>
          <w:tcPr>
            <w:tcW w:w="3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 xml:space="preserve">Total towable backlog </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687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460</w:t>
            </w:r>
          </w:p>
        </w:tc>
        <w:tc>
          <w:tcPr>
            <w:tcW w:w="12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227</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49.3 %</w:t>
            </w:r>
          </w:p>
        </w:tc>
      </w:tr>
      <w:tr>
        <w:trPr>
          <w:trHeight w:val="170"/>
        </w:trPr>
        <w:tc>
          <w:tcPr>
            <w:tcW w:w="3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60"/>
        </w:trPr>
        <w:tc>
          <w:tcPr>
            <w:tcW w:w="4500" w:type="dxa"/>
            <w:vAlign w:val="bottom"/>
            <w:gridSpan w:val="3"/>
          </w:tcPr>
          <w:p>
            <w:pPr>
              <w:ind w:left="40"/>
              <w:spacing w:after="0"/>
              <w:rPr>
                <w:sz w:val="20"/>
                <w:szCs w:val="20"/>
                <w:color w:val="auto"/>
              </w:rPr>
            </w:pPr>
            <w:r>
              <w:rPr>
                <w:rFonts w:ascii="Arial" w:cs="Arial" w:eastAsia="Arial" w:hAnsi="Arial"/>
                <w:sz w:val="16"/>
                <w:szCs w:val="16"/>
                <w:color w:val="auto"/>
              </w:rPr>
              <w:t>Total approximate backlog revenue dollars (in 000's):</w:t>
            </w: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226,457</w:t>
            </w:r>
          </w:p>
        </w:tc>
        <w:tc>
          <w:tcPr>
            <w:tcW w:w="108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70,546</w:t>
            </w: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155,911</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221.0 %</w:t>
            </w:r>
          </w:p>
        </w:tc>
      </w:tr>
      <w:tr>
        <w:trPr>
          <w:trHeight w:val="251"/>
        </w:trPr>
        <w:tc>
          <w:tcPr>
            <w:tcW w:w="3180" w:type="dxa"/>
            <w:vAlign w:val="bottom"/>
          </w:tcPr>
          <w:p>
            <w:pPr>
              <w:ind w:left="40"/>
              <w:spacing w:after="0"/>
              <w:rPr>
                <w:sz w:val="20"/>
                <w:szCs w:val="20"/>
                <w:color w:val="auto"/>
              </w:rPr>
            </w:pPr>
            <w:r>
              <w:rPr>
                <w:rFonts w:ascii="Arial" w:cs="Arial" w:eastAsia="Arial" w:hAnsi="Arial"/>
                <w:sz w:val="16"/>
                <w:szCs w:val="16"/>
                <w:color w:val="auto"/>
              </w:rPr>
              <w:t>Towable</w:t>
            </w:r>
          </w:p>
        </w:tc>
        <w:tc>
          <w:tcPr>
            <w:tcW w:w="260" w:type="dxa"/>
            <w:vAlign w:val="bottom"/>
          </w:tcPr>
          <w:p>
            <w:pPr>
              <w:spacing w:after="0"/>
              <w:rPr>
                <w:sz w:val="21"/>
                <w:szCs w:val="21"/>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14,049</w:t>
            </w: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10,381</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ind w:right="599"/>
              <w:spacing w:after="0"/>
              <w:rPr>
                <w:sz w:val="20"/>
                <w:szCs w:val="20"/>
                <w:color w:val="auto"/>
              </w:rPr>
            </w:pPr>
            <w:r>
              <w:rPr>
                <w:rFonts w:ascii="Arial" w:cs="Arial" w:eastAsia="Arial" w:hAnsi="Arial"/>
                <w:sz w:val="16"/>
                <w:szCs w:val="16"/>
                <w:color w:val="auto"/>
              </w:rPr>
              <w:t>3,668</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35.3 %</w:t>
            </w:r>
          </w:p>
        </w:tc>
      </w:tr>
    </w:tbl>
    <w:p>
      <w:pPr>
        <w:spacing w:after="0" w:line="19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ind w:left="340" w:right="640" w:hanging="332"/>
        <w:spacing w:after="0" w:line="218"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Our backlog includes all accepted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Dealer Inventory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20" w:type="dxa"/>
            <w:vAlign w:val="bottom"/>
          </w:tcPr>
          <w:p>
            <w:pPr>
              <w:spacing w:after="0"/>
              <w:rPr>
                <w:sz w:val="19"/>
                <w:szCs w:val="19"/>
                <w:color w:val="auto"/>
              </w:rPr>
            </w:pPr>
          </w:p>
        </w:tc>
        <w:tc>
          <w:tcPr>
            <w:tcW w:w="306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6"/>
                <w:szCs w:val="16"/>
                <w:b w:val="1"/>
                <w:bCs w:val="1"/>
                <w:color w:val="auto"/>
              </w:rPr>
              <w:t>Units As Of</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98"/>
        </w:trPr>
        <w:tc>
          <w:tcPr>
            <w:tcW w:w="5920" w:type="dxa"/>
            <w:vAlign w:val="bottom"/>
          </w:tcPr>
          <w:p>
            <w:pPr>
              <w:spacing w:after="0"/>
              <w:rPr>
                <w:sz w:val="17"/>
                <w:szCs w:val="17"/>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December 1,</w:t>
            </w:r>
          </w:p>
        </w:tc>
        <w:tc>
          <w:tcPr>
            <w:tcW w:w="1580" w:type="dxa"/>
            <w:vAlign w:val="bottom"/>
            <w:gridSpan w:val="2"/>
          </w:tcPr>
          <w:p>
            <w:pPr>
              <w:ind w:left="180"/>
              <w:spacing w:after="0"/>
              <w:rPr>
                <w:sz w:val="20"/>
                <w:szCs w:val="20"/>
                <w:color w:val="auto"/>
              </w:rPr>
            </w:pPr>
            <w:r>
              <w:rPr>
                <w:rFonts w:ascii="Arial" w:cs="Arial" w:eastAsia="Arial" w:hAnsi="Arial"/>
                <w:sz w:val="16"/>
                <w:szCs w:val="16"/>
                <w:b w:val="1"/>
                <w:bCs w:val="1"/>
                <w:color w:val="auto"/>
              </w:rPr>
              <w:t>November 26,</w:t>
            </w:r>
          </w:p>
        </w:tc>
        <w:tc>
          <w:tcPr>
            <w:tcW w:w="16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8"/>
        </w:trPr>
        <w:tc>
          <w:tcPr>
            <w:tcW w:w="59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19"/>
                <w:szCs w:val="19"/>
                <w:color w:val="auto"/>
              </w:rPr>
            </w:pPr>
          </w:p>
        </w:tc>
      </w:tr>
      <w:tr>
        <w:trPr>
          <w:trHeight w:val="257"/>
        </w:trPr>
        <w:tc>
          <w:tcPr>
            <w:tcW w:w="5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1,945</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100</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w:t>
            </w:r>
          </w:p>
        </w:tc>
      </w:tr>
      <w:tr>
        <w:trPr>
          <w:trHeight w:val="251"/>
        </w:trPr>
        <w:tc>
          <w:tcPr>
            <w:tcW w:w="5920" w:type="dxa"/>
            <w:vAlign w:val="bottom"/>
          </w:tcPr>
          <w:p>
            <w:pPr>
              <w:ind w:left="40"/>
              <w:spacing w:after="0"/>
              <w:rPr>
                <w:sz w:val="20"/>
                <w:szCs w:val="20"/>
                <w:color w:val="auto"/>
              </w:rPr>
            </w:pPr>
            <w:r>
              <w:rPr>
                <w:rFonts w:ascii="Arial" w:cs="Arial" w:eastAsia="Arial" w:hAnsi="Arial"/>
                <w:sz w:val="16"/>
                <w:szCs w:val="16"/>
                <w:color w:val="auto"/>
              </w:rPr>
              <w:t>Towables</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1,555</w:t>
            </w:r>
          </w:p>
        </w:tc>
        <w:tc>
          <w:tcPr>
            <w:tcW w:w="100" w:type="dxa"/>
            <w:vAlign w:val="bottom"/>
          </w:tcPr>
          <w:p>
            <w:pPr>
              <w:spacing w:after="0"/>
              <w:rPr>
                <w:sz w:val="21"/>
                <w:szCs w:val="21"/>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1,146</w:t>
            </w:r>
          </w:p>
        </w:tc>
        <w:tc>
          <w:tcPr>
            <w:tcW w:w="100" w:type="dxa"/>
            <w:vAlign w:val="bottom"/>
          </w:tcPr>
          <w:p>
            <w:pPr>
              <w:spacing w:after="0"/>
              <w:rPr>
                <w:sz w:val="21"/>
                <w:szCs w:val="21"/>
                <w:color w:val="auto"/>
              </w:rPr>
            </w:pPr>
          </w:p>
        </w:tc>
        <w:tc>
          <w:tcPr>
            <w:tcW w:w="1600" w:type="dxa"/>
            <w:vAlign w:val="bottom"/>
          </w:tcPr>
          <w:p>
            <w:pPr>
              <w:jc w:val="right"/>
              <w:ind w:right="499"/>
              <w:spacing w:after="0"/>
              <w:rPr>
                <w:sz w:val="20"/>
                <w:szCs w:val="20"/>
                <w:color w:val="auto"/>
              </w:rPr>
            </w:pPr>
            <w:r>
              <w:rPr>
                <w:rFonts w:ascii="Arial" w:cs="Arial" w:eastAsia="Arial" w:hAnsi="Arial"/>
                <w:sz w:val="16"/>
                <w:szCs w:val="16"/>
                <w:color w:val="auto"/>
              </w:rPr>
              <w:t>409</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35.7%</w:t>
            </w: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2019-12-09T07:44:48Z</dcterms:created>
  <dcterms:modified xsi:type="dcterms:W3CDTF">2019-12-09T07:44:48Z</dcterms:modified>
</cp:coreProperties>
</file>