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20, 2007</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480" w:type="dxa"/>
        <w:tblCellMar>
          <w:top w:w="0" w:type="dxa"/>
          <w:left w:w="0" w:type="dxa"/>
          <w:bottom w:w="0" w:type="dxa"/>
          <w:right w:w="0" w:type="dxa"/>
        </w:tblCellMar>
      </w:tblPr>
      <w:tr>
        <w:trPr>
          <w:trHeight w:val="256"/>
        </w:trPr>
        <w:tc>
          <w:tcPr>
            <w:tcW w:w="3560" w:type="dxa"/>
            <w:vAlign w:val="bottom"/>
          </w:tcPr>
          <w:p>
            <w:pPr>
              <w:jc w:val="center"/>
              <w:ind w:right="622"/>
              <w:spacing w:after="0"/>
              <w:rPr>
                <w:sz w:val="20"/>
                <w:szCs w:val="20"/>
                <w:color w:val="auto"/>
              </w:rPr>
            </w:pPr>
            <w:r>
              <w:rPr>
                <w:rFonts w:ascii="Arial" w:cs="Arial" w:eastAsia="Arial" w:hAnsi="Arial"/>
                <w:sz w:val="22"/>
                <w:szCs w:val="22"/>
                <w:color w:val="auto"/>
                <w:w w:val="94"/>
              </w:rPr>
              <w:t>Iowa</w:t>
            </w:r>
          </w:p>
        </w:tc>
        <w:tc>
          <w:tcPr>
            <w:tcW w:w="3280" w:type="dxa"/>
            <w:vAlign w:val="bottom"/>
          </w:tcPr>
          <w:p>
            <w:pPr>
              <w:jc w:val="right"/>
              <w:ind w:right="1042"/>
              <w:spacing w:after="0"/>
              <w:rPr>
                <w:sz w:val="20"/>
                <w:szCs w:val="20"/>
                <w:color w:val="auto"/>
              </w:rPr>
            </w:pPr>
            <w:r>
              <w:rPr>
                <w:rFonts w:ascii="Arial" w:cs="Arial" w:eastAsia="Arial" w:hAnsi="Arial"/>
                <w:sz w:val="22"/>
                <w:szCs w:val="22"/>
                <w:color w:val="auto"/>
              </w:rPr>
              <w:t>001-06403</w:t>
            </w:r>
          </w:p>
        </w:tc>
        <w:tc>
          <w:tcPr>
            <w:tcW w:w="2840" w:type="dxa"/>
            <w:vAlign w:val="bottom"/>
          </w:tcPr>
          <w:p>
            <w:pPr>
              <w:jc w:val="right"/>
              <w:ind w:right="22"/>
              <w:spacing w:after="0"/>
              <w:rPr>
                <w:sz w:val="20"/>
                <w:szCs w:val="20"/>
                <w:color w:val="auto"/>
              </w:rPr>
            </w:pPr>
            <w:r>
              <w:rPr>
                <w:rFonts w:ascii="Arial" w:cs="Arial" w:eastAsia="Arial" w:hAnsi="Arial"/>
                <w:sz w:val="22"/>
                <w:szCs w:val="22"/>
                <w:color w:val="auto"/>
              </w:rPr>
              <w:t>42-0802678</w:t>
            </w:r>
          </w:p>
        </w:tc>
      </w:tr>
      <w:tr>
        <w:trPr>
          <w:trHeight w:val="216"/>
        </w:trPr>
        <w:tc>
          <w:tcPr>
            <w:tcW w:w="3560" w:type="dxa"/>
            <w:vAlign w:val="bottom"/>
          </w:tcPr>
          <w:p>
            <w:pPr>
              <w:jc w:val="center"/>
              <w:ind w:right="602"/>
              <w:spacing w:after="0"/>
              <w:rPr>
                <w:sz w:val="20"/>
                <w:szCs w:val="20"/>
                <w:color w:val="auto"/>
              </w:rPr>
            </w:pPr>
            <w:r>
              <w:rPr>
                <w:rFonts w:ascii="Arial" w:cs="Arial" w:eastAsia="Arial" w:hAnsi="Arial"/>
                <w:sz w:val="18"/>
                <w:szCs w:val="18"/>
                <w:color w:val="auto"/>
                <w:w w:val="88"/>
              </w:rPr>
              <w:t>(State or Other Jurisdiction</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284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r>
      <w:tr>
        <w:trPr>
          <w:trHeight w:val="222"/>
        </w:trPr>
        <w:tc>
          <w:tcPr>
            <w:tcW w:w="3560" w:type="dxa"/>
            <w:vAlign w:val="bottom"/>
          </w:tcPr>
          <w:p>
            <w:pPr>
              <w:jc w:val="center"/>
              <w:ind w:right="622"/>
              <w:spacing w:after="0"/>
              <w:rPr>
                <w:sz w:val="20"/>
                <w:szCs w:val="20"/>
                <w:color w:val="auto"/>
              </w:rPr>
            </w:pPr>
            <w:r>
              <w:rPr>
                <w:rFonts w:ascii="Arial" w:cs="Arial" w:eastAsia="Arial" w:hAnsi="Arial"/>
                <w:sz w:val="18"/>
                <w:szCs w:val="18"/>
                <w:color w:val="auto"/>
                <w:w w:val="91"/>
              </w:rPr>
              <w:t>of Incorporation)</w:t>
            </w: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560" w:type="dxa"/>
            <w:vAlign w:val="bottom"/>
          </w:tcPr>
          <w:p>
            <w:pPr>
              <w:jc w:val="center"/>
              <w:ind w:right="622"/>
              <w:spacing w:after="0"/>
              <w:rPr>
                <w:sz w:val="20"/>
                <w:szCs w:val="20"/>
                <w:color w:val="auto"/>
              </w:rPr>
            </w:pPr>
            <w:r>
              <w:rPr>
                <w:rFonts w:ascii="Arial" w:cs="Arial" w:eastAsia="Arial" w:hAnsi="Arial"/>
                <w:sz w:val="22"/>
                <w:szCs w:val="22"/>
                <w:color w:val="auto"/>
                <w:w w:val="89"/>
              </w:rPr>
              <w:t>P.O. Box 152, Forest City, Iowa</w:t>
            </w:r>
          </w:p>
        </w:tc>
        <w:tc>
          <w:tcPr>
            <w:tcW w:w="3280" w:type="dxa"/>
            <w:vAlign w:val="bottom"/>
          </w:tcPr>
          <w:p>
            <w:pPr>
              <w:spacing w:after="0"/>
              <w:rPr>
                <w:sz w:val="24"/>
                <w:szCs w:val="24"/>
                <w:color w:val="auto"/>
              </w:rPr>
            </w:pPr>
          </w:p>
        </w:tc>
        <w:tc>
          <w:tcPr>
            <w:tcW w:w="284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60" w:type="dxa"/>
            <w:vAlign w:val="bottom"/>
          </w:tcPr>
          <w:p>
            <w:pPr>
              <w:jc w:val="center"/>
              <w:ind w:right="602"/>
              <w:spacing w:after="0"/>
              <w:rPr>
                <w:sz w:val="20"/>
                <w:szCs w:val="20"/>
                <w:color w:val="auto"/>
              </w:rPr>
            </w:pPr>
            <w:r>
              <w:rPr>
                <w:rFonts w:ascii="Arial" w:cs="Arial" w:eastAsia="Arial" w:hAnsi="Arial"/>
                <w:sz w:val="18"/>
                <w:szCs w:val="18"/>
                <w:color w:val="auto"/>
                <w:w w:val="90"/>
              </w:rPr>
              <w:t>(Address of Principal Executive Offices)</w:t>
            </w: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1"/>
              </w:rPr>
              <w:t>(Zip Code)</w:t>
            </w:r>
          </w:p>
        </w:tc>
      </w:tr>
      <w:tr>
        <w:trPr>
          <w:trHeight w:val="471"/>
        </w:trPr>
        <w:tc>
          <w:tcPr>
            <w:tcW w:w="6840" w:type="dxa"/>
            <w:vAlign w:val="bottom"/>
            <w:gridSpan w:val="2"/>
          </w:tcPr>
          <w:p>
            <w:pPr>
              <w:ind w:left="2320"/>
              <w:spacing w:after="0"/>
              <w:rPr>
                <w:sz w:val="20"/>
                <w:szCs w:val="20"/>
                <w:color w:val="auto"/>
              </w:rPr>
            </w:pPr>
            <w:r>
              <w:rPr>
                <w:rFonts w:ascii="Arial" w:cs="Arial" w:eastAsia="Arial" w:hAnsi="Arial"/>
                <w:sz w:val="22"/>
                <w:szCs w:val="22"/>
                <w:color w:val="auto"/>
                <w:w w:val="89"/>
              </w:rPr>
              <w:t>Registrant’s telephone number, including area code</w:t>
            </w:r>
          </w:p>
        </w:tc>
        <w:tc>
          <w:tcPr>
            <w:tcW w:w="2840" w:type="dxa"/>
            <w:vAlign w:val="bottom"/>
          </w:tcPr>
          <w:p>
            <w:pPr>
              <w:jc w:val="right"/>
              <w:ind w:right="1442"/>
              <w:spacing w:after="0"/>
              <w:rPr>
                <w:sz w:val="20"/>
                <w:szCs w:val="20"/>
                <w:color w:val="auto"/>
              </w:rPr>
            </w:pPr>
            <w:r>
              <w:rPr>
                <w:rFonts w:ascii="Arial" w:cs="Arial" w:eastAsia="Arial" w:hAnsi="Arial"/>
                <w:sz w:val="22"/>
                <w:szCs w:val="22"/>
                <w:color w:val="auto"/>
                <w:w w:val="93"/>
              </w:rPr>
              <w:t>641-585-3535</w:t>
            </w:r>
          </w:p>
        </w:tc>
      </w:tr>
    </w:tbl>
    <w:p>
      <w:pPr>
        <w:spacing w:after="0" w:line="198"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1260" w:hanging="1242"/>
        <w:spacing w:after="0" w:line="235" w:lineRule="auto"/>
        <w:tabs>
          <w:tab w:leader="none" w:pos="124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p>
    <w:p>
      <w:pPr>
        <w:spacing w:after="0" w:line="199" w:lineRule="exact"/>
        <w:rPr>
          <w:sz w:val="24"/>
          <w:szCs w:val="24"/>
          <w:color w:val="auto"/>
        </w:rPr>
      </w:pPr>
    </w:p>
    <w:p>
      <w:pPr>
        <w:jc w:val="both"/>
        <w:ind w:firstLine="790"/>
        <w:spacing w:after="0" w:line="273" w:lineRule="auto"/>
        <w:tabs>
          <w:tab w:leader="none" w:pos="1244"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On June 20, 2007, the Board of Directors of Winnebago Industries, Inc.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upon the recommendation of the Human Resources Committee (the </w:t>
      </w:r>
      <w:r>
        <w:rPr>
          <w:rFonts w:ascii="Arial" w:cs="Arial" w:eastAsia="Arial" w:hAnsi="Arial"/>
          <w:sz w:val="19"/>
          <w:szCs w:val="19"/>
          <w:i w:val="1"/>
          <w:iCs w:val="1"/>
          <w:color w:val="auto"/>
        </w:rPr>
        <w:t>“Committee”</w:t>
      </w:r>
      <w:r>
        <w:rPr>
          <w:rFonts w:ascii="Arial" w:cs="Arial" w:eastAsia="Arial" w:hAnsi="Arial"/>
          <w:sz w:val="19"/>
          <w:szCs w:val="19"/>
          <w:color w:val="auto"/>
        </w:rPr>
        <w:t xml:space="preserve">), approved effective August 26, 2007, the beginning of the Company’s 2008 fiscal year, (i) the Officers Incentive Compensation Plan—Fiscal Period 2008 (the </w:t>
      </w:r>
      <w:r>
        <w:rPr>
          <w:rFonts w:ascii="Arial" w:cs="Arial" w:eastAsia="Arial" w:hAnsi="Arial"/>
          <w:sz w:val="19"/>
          <w:szCs w:val="19"/>
          <w:i w:val="1"/>
          <w:iCs w:val="1"/>
          <w:color w:val="auto"/>
        </w:rPr>
        <w:t>“2008 Incentive Compensation Plan”</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jc w:val="both"/>
        <w:ind w:firstLine="8"/>
        <w:spacing w:after="0" w:line="233" w:lineRule="auto"/>
        <w:tabs>
          <w:tab w:leader="none" w:pos="343"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the Officers Long-Term Incentive Plan—Fiscal Three-Year Period 2008, 2009 and 2010 (the </w:t>
      </w:r>
      <w:r>
        <w:rPr>
          <w:rFonts w:ascii="Arial" w:cs="Arial" w:eastAsia="Arial" w:hAnsi="Arial"/>
          <w:sz w:val="22"/>
          <w:szCs w:val="22"/>
          <w:i w:val="1"/>
          <w:iCs w:val="1"/>
          <w:color w:val="auto"/>
        </w:rPr>
        <w:t>“LTIP 2008-2010”</w:t>
      </w:r>
      <w:r>
        <w:rPr>
          <w:rFonts w:ascii="Arial" w:cs="Arial" w:eastAsia="Arial" w:hAnsi="Arial"/>
          <w:sz w:val="22"/>
          <w:szCs w:val="22"/>
          <w:color w:val="auto"/>
        </w:rPr>
        <w:t xml:space="preserve">). Bruce D. Hertzke (Chairman and Chief Executive Officer), Robert J. Olson (President), Raymond M. Beebe (Vice President, General Counsel and Secretary), Sarah N. Nielsen (Vice President, Chief Financial Officer) and William J. O’Leary (Vice President, Product Development) (collectively, the </w:t>
      </w:r>
      <w:r>
        <w:rPr>
          <w:rFonts w:ascii="Arial" w:cs="Arial" w:eastAsia="Arial" w:hAnsi="Arial"/>
          <w:sz w:val="22"/>
          <w:szCs w:val="22"/>
          <w:i w:val="1"/>
          <w:iCs w:val="1"/>
          <w:color w:val="auto"/>
        </w:rPr>
        <w:t>“Named Executive Officers”</w:t>
      </w:r>
      <w:r>
        <w:rPr>
          <w:rFonts w:ascii="Arial" w:cs="Arial" w:eastAsia="Arial" w:hAnsi="Arial"/>
          <w:sz w:val="22"/>
          <w:szCs w:val="22"/>
          <w:color w:val="auto"/>
        </w:rPr>
        <w:t>) participate in both the 2008 Incentive Compensation Plan and the LTIP 2008-2010.</w:t>
      </w:r>
    </w:p>
    <w:p>
      <w:pPr>
        <w:spacing w:after="0" w:line="213" w:lineRule="exact"/>
        <w:rPr>
          <w:sz w:val="24"/>
          <w:szCs w:val="24"/>
          <w:color w:val="auto"/>
        </w:rPr>
      </w:pPr>
    </w:p>
    <w:p>
      <w:pPr>
        <w:jc w:val="both"/>
        <w:ind w:firstLine="782"/>
        <w:spacing w:after="0" w:line="244" w:lineRule="auto"/>
        <w:rPr>
          <w:sz w:val="20"/>
          <w:szCs w:val="20"/>
          <w:color w:val="auto"/>
        </w:rPr>
      </w:pPr>
      <w:r>
        <w:rPr>
          <w:rFonts w:ascii="Arial" w:cs="Arial" w:eastAsia="Arial" w:hAnsi="Arial"/>
          <w:sz w:val="21"/>
          <w:szCs w:val="21"/>
          <w:color w:val="auto"/>
        </w:rPr>
        <w:t>The 2008 Incentive Compensation Plan provides for quarterly incentive awards based upon financial performance of the Company. The purpose of the 2008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2008 Incentive Compensation Plan is an annual program that provides for quarterly cumulative measurements of financial performance and an opportunity for quarterly incentive payments based on financial results measured against a predetermined financial performance target established by the Board of Directors. Under the 2008 Incentive Compensation Plan, the amount of the Named Executive Officers’ incentive compensation for the quarter shall be in direct proportion to the Company’s financial performance expressed as a percentage (Financial Factor) against the base salary bonus (Target) for each participant. The Named Executive Officers must be employed by the Company at the end of the fiscal period for any quarterly incentive payment and as of the end of the fiscal year to be eligible for any company match or holdback payment discussed below.</w:t>
      </w:r>
    </w:p>
    <w:p>
      <w:pPr>
        <w:sectPr>
          <w:pgSz w:w="11900" w:h="16916" w:orient="portrait"/>
          <w:cols w:equalWidth="0" w:num="1">
            <w:col w:w="11420"/>
          </w:cols>
          <w:pgMar w:left="240" w:top="1070" w:right="239" w:bottom="0" w:gutter="0" w:footer="0" w:header="0"/>
        </w:sectPr>
      </w:pPr>
    </w:p>
    <w:bookmarkStart w:id="1" w:name="page2"/>
    <w:bookmarkEnd w:id="1"/>
    <w:p>
      <w:pPr>
        <w:jc w:val="both"/>
        <w:ind w:firstLine="782"/>
        <w:spacing w:after="0" w:line="273" w:lineRule="auto"/>
        <w:rPr>
          <w:sz w:val="20"/>
          <w:szCs w:val="20"/>
          <w:color w:val="auto"/>
        </w:rPr>
      </w:pPr>
      <w:r>
        <w:rPr>
          <w:rFonts w:ascii="Arial" w:cs="Arial" w:eastAsia="Arial" w:hAnsi="Arial"/>
          <w:sz w:val="19"/>
          <w:szCs w:val="19"/>
          <w:color w:val="auto"/>
        </w:rPr>
        <w:t>The 2008 Incentive Compensation Plan provides for a bonus (Target) of 105% (for the Chief Executive Officer), 75% (for the President), and 60% (in the case of the other Named Executive Officers) of base salary, respectively, comprised of 2/3 cash and 1/3 stock (or in cash at the participant’s election), at 100% achievement of the financial objectives.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(in the form of restricted stock or cash, as elected by the participant). The Target bonus is inclusive of this matched incentive compensation. The annual supplementary match is paid as soon as practical after the final fiscal year-end compensation accounting and payment of any remaining incentive compensation holdback for the fiscal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782"/>
        <w:spacing w:after="0" w:line="249" w:lineRule="auto"/>
        <w:rPr>
          <w:sz w:val="20"/>
          <w:szCs w:val="20"/>
          <w:color w:val="auto"/>
        </w:rPr>
      </w:pPr>
      <w:r>
        <w:rPr>
          <w:rFonts w:ascii="Arial" w:cs="Arial" w:eastAsia="Arial" w:hAnsi="Arial"/>
          <w:sz w:val="21"/>
          <w:szCs w:val="21"/>
          <w:color w:val="auto"/>
        </w:rPr>
        <w:t>Pursuant to the 2008 Incentive Compensation Plan, 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 revenue growth; market share; product quality; product introductions; customer satisfaction; inventory management; technical innovation; and ethical business practices.</w:t>
      </w:r>
    </w:p>
    <w:p>
      <w:pPr>
        <w:spacing w:after="0" w:line="206" w:lineRule="exact"/>
        <w:rPr>
          <w:sz w:val="20"/>
          <w:szCs w:val="20"/>
          <w:color w:val="auto"/>
        </w:rPr>
      </w:pPr>
    </w:p>
    <w:p>
      <w:pPr>
        <w:jc w:val="both"/>
        <w:ind w:firstLine="782"/>
        <w:spacing w:after="0"/>
        <w:rPr>
          <w:sz w:val="20"/>
          <w:szCs w:val="20"/>
          <w:color w:val="auto"/>
        </w:rPr>
      </w:pPr>
      <w:r>
        <w:rPr>
          <w:rFonts w:ascii="Arial" w:cs="Arial" w:eastAsia="Arial" w:hAnsi="Arial"/>
          <w:sz w:val="22"/>
          <w:szCs w:val="22"/>
          <w:color w:val="auto"/>
        </w:rPr>
        <w:t>For purposes of the 2008 Incentive Compensation Plan, the Board determined that industry performance, market share, product quality and planning (both strategic and succession) will be the strategic factors used in determining incentive awards thereunder.</w:t>
      </w:r>
    </w:p>
    <w:p>
      <w:pPr>
        <w:spacing w:after="0" w:line="213" w:lineRule="exact"/>
        <w:rPr>
          <w:sz w:val="20"/>
          <w:szCs w:val="20"/>
          <w:color w:val="auto"/>
        </w:rPr>
      </w:pPr>
    </w:p>
    <w:p>
      <w:pPr>
        <w:jc w:val="both"/>
        <w:ind w:right="20" w:firstLine="782"/>
        <w:spacing w:after="0" w:line="251" w:lineRule="auto"/>
        <w:rPr>
          <w:sz w:val="20"/>
          <w:szCs w:val="20"/>
          <w:color w:val="auto"/>
        </w:rPr>
      </w:pPr>
      <w:r>
        <w:rPr>
          <w:rFonts w:ascii="Arial" w:cs="Arial" w:eastAsia="Arial" w:hAnsi="Arial"/>
          <w:sz w:val="22"/>
          <w:szCs w:val="22"/>
          <w:color w:val="auto"/>
        </w:rPr>
        <w:t>The threshold, target and maximum performance levels for which bonuses will be paid pursuant to the 2008 Incentive Compensation Plan have not yet been established by the Committee or the Board.</w:t>
      </w:r>
    </w:p>
    <w:p>
      <w:pPr>
        <w:spacing w:after="0" w:line="200" w:lineRule="exact"/>
        <w:rPr>
          <w:sz w:val="20"/>
          <w:szCs w:val="20"/>
          <w:color w:val="auto"/>
        </w:rPr>
      </w:pPr>
    </w:p>
    <w:p>
      <w:pPr>
        <w:jc w:val="both"/>
        <w:ind w:firstLine="782"/>
        <w:spacing w:after="0" w:line="238" w:lineRule="auto"/>
        <w:rPr>
          <w:sz w:val="20"/>
          <w:szCs w:val="20"/>
          <w:color w:val="auto"/>
        </w:rPr>
      </w:pPr>
      <w:r>
        <w:rPr>
          <w:rFonts w:ascii="Arial" w:cs="Arial" w:eastAsia="Arial" w:hAnsi="Arial"/>
          <w:sz w:val="22"/>
          <w:szCs w:val="22"/>
          <w:color w:val="auto"/>
        </w:rPr>
        <w:t>In the event of a “Change in Control” (as defined in the 2008 Incentive Compensation Plan) participants are entitled to receive full annual awards (including the annual supplementary cash match payment described above) within 15 days of the effective date of the Change of Control based on the Committee’s estimate of the Company’s financial performance through the end of the year in which such Change in Control occurs.</w:t>
      </w:r>
    </w:p>
    <w:p>
      <w:pPr>
        <w:spacing w:after="0" w:line="212" w:lineRule="exact"/>
        <w:rPr>
          <w:sz w:val="20"/>
          <w:szCs w:val="20"/>
          <w:color w:val="auto"/>
        </w:rPr>
      </w:pPr>
    </w:p>
    <w:p>
      <w:pPr>
        <w:jc w:val="both"/>
        <w:ind w:firstLine="782"/>
        <w:spacing w:after="0" w:line="274" w:lineRule="auto"/>
        <w:rPr>
          <w:sz w:val="20"/>
          <w:szCs w:val="20"/>
          <w:color w:val="auto"/>
        </w:rPr>
      </w:pPr>
      <w:r>
        <w:rPr>
          <w:rFonts w:ascii="Arial" w:cs="Arial" w:eastAsia="Arial" w:hAnsi="Arial"/>
          <w:sz w:val="19"/>
          <w:szCs w:val="19"/>
          <w:color w:val="auto"/>
        </w:rPr>
        <w:t>The Named Executive Officers are also eligible for incentive awards under the LTIP 2008-2010. The purpose of the LTIP 2008-2010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2008-2010 provides for incentive awards consisting of performance stock grants made in restricted shares of the Company’s Common Stock or, at the election of a participating officer, in cash. The awards under the LTIP 2008-2010 are based upon the Company’s financial performance as measured against the three-year management plan established by the Board of Directors. The Named Executive Officers must be employed by the Company at the end of fiscal 2010 to be eligible for an incentive award under the LTIP 2008-2010, except upon a Change in Control, as described below, or as waived by the Committee for normal retirement and disability.</w:t>
      </w:r>
    </w:p>
    <w:p>
      <w:pPr>
        <w:spacing w:after="0" w:line="186" w:lineRule="exact"/>
        <w:rPr>
          <w:sz w:val="20"/>
          <w:szCs w:val="20"/>
          <w:color w:val="auto"/>
        </w:rPr>
      </w:pPr>
    </w:p>
    <w:p>
      <w:pPr>
        <w:jc w:val="both"/>
        <w:ind w:firstLine="782"/>
        <w:spacing w:after="0" w:line="236" w:lineRule="auto"/>
        <w:rPr>
          <w:sz w:val="20"/>
          <w:szCs w:val="20"/>
          <w:color w:val="auto"/>
        </w:rPr>
      </w:pPr>
      <w:r>
        <w:rPr>
          <w:rFonts w:ascii="Arial" w:cs="Arial" w:eastAsia="Arial" w:hAnsi="Arial"/>
          <w:sz w:val="22"/>
          <w:szCs w:val="22"/>
          <w:color w:val="auto"/>
        </w:rPr>
        <w:t>Under the LTIP 2008-2010, the amount of the participants’ long-term incentive award for the three-year fiscal period is in direct proportion to the Company’s financial performance expressed as a percentage (Financial Factor) against award targets for each participant determined prior to the commencement of the three-year fiscal period. The Company’s financial results for the three-year fiscal period are used in determining the Financial Factor to be used for that plan period when calculating the participants’ long-term incentive awards.</w:t>
      </w:r>
    </w:p>
    <w:p>
      <w:pPr>
        <w:spacing w:after="0" w:line="215" w:lineRule="exact"/>
        <w:rPr>
          <w:sz w:val="20"/>
          <w:szCs w:val="20"/>
          <w:color w:val="auto"/>
        </w:rPr>
      </w:pPr>
    </w:p>
    <w:p>
      <w:pPr>
        <w:jc w:val="both"/>
        <w:ind w:firstLine="782"/>
        <w:spacing w:after="0" w:line="249" w:lineRule="auto"/>
        <w:rPr>
          <w:sz w:val="20"/>
          <w:szCs w:val="20"/>
          <w:color w:val="auto"/>
        </w:rPr>
      </w:pPr>
      <w:r>
        <w:rPr>
          <w:rFonts w:ascii="Arial" w:cs="Arial" w:eastAsia="Arial" w:hAnsi="Arial"/>
          <w:sz w:val="21"/>
          <w:szCs w:val="21"/>
          <w:color w:val="auto"/>
        </w:rPr>
        <w:t>The long-term incentive for the Named Executive Officers provides for an opportunity of 25% of the annualized base salary (Target) to be awarded in restricted stock or cash at 100% achievement of the financial long-term objectives. The annualized base salary figure used is the salary in place for each participant as of January 2008. The resultant incentive award (at 100% of the three-year fiscal management plan) will be adjusted up or down as determined by actual financial performance expressed as a percentage (Financial Factor) at the end of the three-year fiscal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782"/>
        <w:spacing w:after="0" w:line="328" w:lineRule="auto"/>
        <w:rPr>
          <w:sz w:val="20"/>
          <w:szCs w:val="20"/>
          <w:color w:val="auto"/>
        </w:rPr>
      </w:pPr>
      <w:r>
        <w:rPr>
          <w:rFonts w:ascii="Arial" w:cs="Arial" w:eastAsia="Arial" w:hAnsi="Arial"/>
          <w:sz w:val="19"/>
          <w:szCs w:val="19"/>
          <w:color w:val="auto"/>
        </w:rPr>
        <w:t>The financial performance measurements and the threshold, target and maximum performance levels for which incentive awards will be paid pursuant to the LTIP 2008-2010 have not yet been established by the Committee or the Board.</w:t>
      </w:r>
    </w:p>
    <w:p>
      <w:pPr>
        <w:spacing w:after="0" w:line="132" w:lineRule="exact"/>
        <w:rPr>
          <w:sz w:val="20"/>
          <w:szCs w:val="20"/>
          <w:color w:val="auto"/>
        </w:rPr>
      </w:pPr>
    </w:p>
    <w:p>
      <w:pPr>
        <w:jc w:val="both"/>
        <w:ind w:right="20" w:firstLine="782"/>
        <w:spacing w:after="0"/>
        <w:rPr>
          <w:sz w:val="20"/>
          <w:szCs w:val="20"/>
          <w:color w:val="auto"/>
        </w:rPr>
      </w:pPr>
      <w:r>
        <w:rPr>
          <w:rFonts w:ascii="Arial" w:cs="Arial" w:eastAsia="Arial" w:hAnsi="Arial"/>
          <w:sz w:val="22"/>
          <w:szCs w:val="22"/>
          <w:color w:val="auto"/>
        </w:rPr>
        <w:t>In the event of a “Change in Control” (as defined in the LTIP 2008-2010) participants are entitled to receive a full three-year plan award within 15 days of the effective date based on the Committee’s estimate of the Company’s financial performance through the end of the LTIP 2008-2010 three-year fiscal period.</w:t>
      </w:r>
    </w:p>
    <w:p>
      <w:pPr>
        <w:sectPr>
          <w:pgSz w:w="11900" w:h="16838" w:orient="portrait"/>
          <w:cols w:equalWidth="0" w:num="1">
            <w:col w:w="11420"/>
          </w:cols>
          <w:pgMar w:left="240" w:top="361" w:right="239" w:bottom="109" w:gutter="0" w:footer="0" w:header="0"/>
        </w:sectPr>
      </w:pPr>
    </w:p>
    <w:bookmarkStart w:id="2" w:name="page3"/>
    <w:bookmarkEnd w:id="2"/>
    <w:p>
      <w:pPr>
        <w:ind w:firstLine="782"/>
        <w:spacing w:after="0" w:line="251" w:lineRule="auto"/>
        <w:rPr>
          <w:sz w:val="20"/>
          <w:szCs w:val="20"/>
          <w:color w:val="auto"/>
        </w:rPr>
      </w:pPr>
      <w:r>
        <w:rPr>
          <w:rFonts w:ascii="Arial" w:cs="Arial" w:eastAsia="Arial" w:hAnsi="Arial"/>
          <w:sz w:val="22"/>
          <w:szCs w:val="22"/>
          <w:color w:val="auto"/>
        </w:rPr>
        <w:t>Reference is made to each of the 2008 Incentive Compensation Plan and the LTIP 2008-2010 filed as Exhibits 99.1 and 99.2, respectively, to this Report and are incorporated herein by this reference.</w:t>
      </w:r>
    </w:p>
    <w:p>
      <w:pPr>
        <w:spacing w:after="0" w:line="19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6" w:lineRule="exact"/>
        <w:rPr>
          <w:sz w:val="20"/>
          <w:szCs w:val="20"/>
          <w:color w:val="auto"/>
        </w:rPr>
      </w:pPr>
    </w:p>
    <w:p>
      <w:pPr>
        <w:ind w:left="1260" w:hanging="604"/>
        <w:spacing w:after="0"/>
        <w:tabs>
          <w:tab w:leader="none" w:pos="12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Exhibits</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Exhibit</w:t>
      </w:r>
    </w:p>
    <w:p>
      <w:pPr>
        <w:ind w:left="1040"/>
        <w:spacing w:after="0"/>
        <w:tabs>
          <w:tab w:leader="none" w:pos="2260" w:val="left"/>
        </w:tabs>
        <w:rPr>
          <w:sz w:val="20"/>
          <w:szCs w:val="20"/>
          <w:color w:val="auto"/>
        </w:rPr>
      </w:pPr>
      <w:r>
        <w:rPr>
          <w:rFonts w:ascii="Arial" w:cs="Arial" w:eastAsia="Arial" w:hAnsi="Arial"/>
          <w:sz w:val="22"/>
          <w:szCs w:val="22"/>
          <w:b w:val="1"/>
          <w:bCs w:val="1"/>
          <w:color w:val="auto"/>
        </w:rPr>
        <w:t>Number</w:t>
      </w:r>
      <w:r>
        <w:rPr>
          <w:sz w:val="20"/>
          <w:szCs w:val="20"/>
          <w:color w:val="auto"/>
        </w:rPr>
        <w:tab/>
      </w:r>
      <w:r>
        <w:rPr>
          <w:rFonts w:ascii="Arial" w:cs="Arial" w:eastAsia="Arial" w:hAnsi="Arial"/>
          <w:sz w:val="22"/>
          <w:szCs w:val="22"/>
          <w:b w:val="1"/>
          <w:bCs w:val="1"/>
          <w:color w:val="auto"/>
        </w:rPr>
        <w:t>Description</w:t>
      </w:r>
    </w:p>
    <w:p>
      <w:pPr>
        <w:spacing w:after="0" w:line="188" w:lineRule="exact"/>
        <w:rPr>
          <w:sz w:val="20"/>
          <w:szCs w:val="20"/>
          <w:color w:val="auto"/>
        </w:rPr>
      </w:pPr>
    </w:p>
    <w:p>
      <w:pPr>
        <w:ind w:left="1240"/>
        <w:spacing w:after="0"/>
        <w:tabs>
          <w:tab w:leader="none" w:pos="22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Officers Incentive Compensation Plan—Fiscal Period 2008</w:t>
      </w:r>
    </w:p>
    <w:p>
      <w:pPr>
        <w:spacing w:after="0" w:line="206" w:lineRule="exact"/>
        <w:rPr>
          <w:sz w:val="20"/>
          <w:szCs w:val="20"/>
          <w:color w:val="auto"/>
        </w:rPr>
      </w:pPr>
    </w:p>
    <w:p>
      <w:pPr>
        <w:ind w:left="1240"/>
        <w:spacing w:after="0"/>
        <w:tabs>
          <w:tab w:leader="none" w:pos="2260" w:val="left"/>
        </w:tabs>
        <w:rPr>
          <w:sz w:val="20"/>
          <w:szCs w:val="20"/>
          <w:color w:val="auto"/>
        </w:rPr>
      </w:pPr>
      <w:r>
        <w:rPr>
          <w:rFonts w:ascii="Arial" w:cs="Arial" w:eastAsia="Arial" w:hAnsi="Arial"/>
          <w:sz w:val="22"/>
          <w:szCs w:val="22"/>
          <w:color w:val="auto"/>
        </w:rPr>
        <w:t>99.2</w:t>
      </w:r>
      <w:r>
        <w:rPr>
          <w:sz w:val="20"/>
          <w:szCs w:val="20"/>
          <w:color w:val="auto"/>
        </w:rPr>
        <w:tab/>
      </w:r>
      <w:r>
        <w:rPr>
          <w:rFonts w:ascii="Arial" w:cs="Arial" w:eastAsia="Arial" w:hAnsi="Arial"/>
          <w:sz w:val="19"/>
          <w:szCs w:val="19"/>
          <w:color w:val="auto"/>
        </w:rPr>
        <w:t>Officers Long-Term Incentive Plan—Fiscal Three-Year Period 2008, 2009 and 2010</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8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40" w:type="dxa"/>
            <w:vAlign w:val="bottom"/>
          </w:tcPr>
          <w:p>
            <w:pPr>
              <w:spacing w:after="0"/>
              <w:rPr>
                <w:sz w:val="20"/>
                <w:szCs w:val="20"/>
                <w:color w:val="auto"/>
              </w:rPr>
            </w:pPr>
            <w:r>
              <w:rPr>
                <w:rFonts w:ascii="Arial" w:cs="Arial" w:eastAsia="Arial" w:hAnsi="Arial"/>
                <w:sz w:val="22"/>
                <w:szCs w:val="22"/>
                <w:color w:val="auto"/>
              </w:rPr>
              <w:t>Date: June 26, 2007</w:t>
            </w:r>
          </w:p>
        </w:tc>
        <w:tc>
          <w:tcPr>
            <w:tcW w:w="8240" w:type="dxa"/>
            <w:vAlign w:val="bottom"/>
            <w:gridSpan w:val="2"/>
          </w:tcPr>
          <w:p>
            <w:pPr>
              <w:ind w:left="3540"/>
              <w:spacing w:after="0"/>
              <w:rPr>
                <w:sz w:val="20"/>
                <w:szCs w:val="20"/>
                <w:color w:val="auto"/>
              </w:rPr>
            </w:pPr>
            <w:r>
              <w:rPr>
                <w:rFonts w:ascii="Arial" w:cs="Arial" w:eastAsia="Arial" w:hAnsi="Arial"/>
                <w:sz w:val="22"/>
                <w:szCs w:val="22"/>
                <w:color w:val="auto"/>
              </w:rPr>
              <w:t>WINNEBAGO INDUSTRIES, INC.</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2040" w:type="dxa"/>
            <w:vAlign w:val="bottom"/>
          </w:tcPr>
          <w:p>
            <w:pPr>
              <w:spacing w:after="0"/>
              <w:rPr>
                <w:sz w:val="24"/>
                <w:szCs w:val="24"/>
                <w:color w:val="auto"/>
              </w:rPr>
            </w:pPr>
          </w:p>
        </w:tc>
        <w:tc>
          <w:tcPr>
            <w:tcW w:w="4240" w:type="dxa"/>
            <w:vAlign w:val="bottom"/>
          </w:tcPr>
          <w:p>
            <w:pPr>
              <w:ind w:left="3540"/>
              <w:spacing w:after="0"/>
              <w:rPr>
                <w:sz w:val="20"/>
                <w:szCs w:val="20"/>
                <w:color w:val="auto"/>
              </w:rPr>
            </w:pPr>
            <w:r>
              <w:rPr>
                <w:rFonts w:ascii="Arial" w:cs="Arial" w:eastAsia="Arial" w:hAnsi="Arial"/>
                <w:sz w:val="22"/>
                <w:szCs w:val="22"/>
                <w:color w:val="auto"/>
              </w:rPr>
              <w:t>By:</w:t>
            </w:r>
          </w:p>
        </w:tc>
        <w:tc>
          <w:tcPr>
            <w:tcW w:w="4000" w:type="dxa"/>
            <w:vAlign w:val="bottom"/>
          </w:tcPr>
          <w:p>
            <w:pPr>
              <w:spacing w:after="0"/>
              <w:rPr>
                <w:sz w:val="20"/>
                <w:szCs w:val="20"/>
                <w:color w:val="auto"/>
              </w:rPr>
            </w:pPr>
            <w:r>
              <w:rPr>
                <w:rFonts w:ascii="Arial" w:cs="Arial" w:eastAsia="Arial" w:hAnsi="Arial"/>
                <w:sz w:val="22"/>
                <w:szCs w:val="22"/>
                <w:color w:val="auto"/>
              </w:rPr>
              <w:t>/s/ Bruce D. Hertzke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4240" w:type="dxa"/>
            <w:vAlign w:val="bottom"/>
            <w:vMerge w:val="restart"/>
          </w:tcPr>
          <w:p>
            <w:pPr>
              <w:ind w:left="3540"/>
              <w:spacing w:after="0"/>
              <w:rPr>
                <w:sz w:val="20"/>
                <w:szCs w:val="20"/>
                <w:color w:val="auto"/>
              </w:rPr>
            </w:pPr>
            <w:r>
              <w:rPr>
                <w:rFonts w:ascii="Arial" w:cs="Arial" w:eastAsia="Arial" w:hAnsi="Arial"/>
                <w:sz w:val="22"/>
                <w:szCs w:val="22"/>
                <w:color w:val="auto"/>
              </w:rPr>
              <w:t>Name:</w:t>
            </w:r>
          </w:p>
        </w:tc>
        <w:tc>
          <w:tcPr>
            <w:tcW w:w="40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4000" w:type="dxa"/>
            <w:vAlign w:val="bottom"/>
          </w:tcPr>
          <w:p>
            <w:pPr>
              <w:spacing w:after="0" w:line="216" w:lineRule="exact"/>
              <w:rPr>
                <w:sz w:val="20"/>
                <w:szCs w:val="20"/>
                <w:color w:val="auto"/>
              </w:rPr>
            </w:pPr>
            <w:r>
              <w:rPr>
                <w:rFonts w:ascii="Arial" w:cs="Arial" w:eastAsia="Arial" w:hAnsi="Arial"/>
                <w:sz w:val="22"/>
                <w:szCs w:val="22"/>
                <w:color w:val="auto"/>
              </w:rPr>
              <w:t>Bruce D. Hertzke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40" w:type="dxa"/>
            <w:vAlign w:val="bottom"/>
          </w:tcPr>
          <w:p>
            <w:pPr>
              <w:spacing w:after="0"/>
              <w:rPr>
                <w:sz w:val="23"/>
                <w:szCs w:val="23"/>
                <w:color w:val="auto"/>
              </w:rPr>
            </w:pPr>
          </w:p>
        </w:tc>
        <w:tc>
          <w:tcPr>
            <w:tcW w:w="4240" w:type="dxa"/>
            <w:vAlign w:val="bottom"/>
          </w:tcPr>
          <w:p>
            <w:pPr>
              <w:ind w:left="3540"/>
              <w:spacing w:after="0"/>
              <w:rPr>
                <w:sz w:val="20"/>
                <w:szCs w:val="20"/>
                <w:color w:val="auto"/>
              </w:rPr>
            </w:pPr>
            <w:r>
              <w:rPr>
                <w:rFonts w:ascii="Arial" w:cs="Arial" w:eastAsia="Arial" w:hAnsi="Arial"/>
                <w:sz w:val="22"/>
                <w:szCs w:val="22"/>
                <w:color w:val="auto"/>
              </w:rPr>
              <w:t>Title:</w:t>
            </w:r>
          </w:p>
        </w:tc>
        <w:tc>
          <w:tcPr>
            <w:tcW w:w="400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9"/>
        </w:trPr>
        <w:tc>
          <w:tcPr>
            <w:tcW w:w="2040" w:type="dxa"/>
            <w:vAlign w:val="bottom"/>
          </w:tcPr>
          <w:p>
            <w:pPr>
              <w:spacing w:after="0"/>
              <w:rPr>
                <w:sz w:val="24"/>
                <w:szCs w:val="24"/>
                <w:color w:val="auto"/>
              </w:rPr>
            </w:pPr>
          </w:p>
        </w:tc>
        <w:tc>
          <w:tcPr>
            <w:tcW w:w="4240" w:type="dxa"/>
            <w:vAlign w:val="bottom"/>
          </w:tcPr>
          <w:p>
            <w:pPr>
              <w:ind w:left="3540"/>
              <w:spacing w:after="0"/>
              <w:rPr>
                <w:sz w:val="20"/>
                <w:szCs w:val="20"/>
                <w:color w:val="auto"/>
              </w:rPr>
            </w:pPr>
            <w:r>
              <w:rPr>
                <w:rFonts w:ascii="Arial" w:cs="Arial" w:eastAsia="Arial" w:hAnsi="Arial"/>
                <w:sz w:val="22"/>
                <w:szCs w:val="22"/>
                <w:color w:val="auto"/>
              </w:rPr>
              <w:t>-4-</w:t>
            </w: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40" w:type="dxa"/>
            <w:vAlign w:val="bottom"/>
            <w:tcBorders>
              <w:bottom w:val="single" w:sz="8" w:color="808080"/>
            </w:tcBorders>
          </w:tcPr>
          <w:p>
            <w:pPr>
              <w:spacing w:after="0"/>
              <w:rPr>
                <w:sz w:val="24"/>
                <w:szCs w:val="24"/>
                <w:color w:val="auto"/>
              </w:rPr>
            </w:pPr>
          </w:p>
        </w:tc>
        <w:tc>
          <w:tcPr>
            <w:tcW w:w="8240" w:type="dxa"/>
            <w:vAlign w:val="bottom"/>
            <w:tcBorders>
              <w:bottom w:val="single" w:sz="8" w:color="808080"/>
            </w:tcBorders>
            <w:gridSpan w:val="2"/>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40" w:type="dxa"/>
            <w:vAlign w:val="bottom"/>
          </w:tcPr>
          <w:p>
            <w:pPr>
              <w:spacing w:after="0"/>
              <w:rPr>
                <w:sz w:val="24"/>
                <w:szCs w:val="24"/>
                <w:color w:val="auto"/>
              </w:rPr>
            </w:pPr>
          </w:p>
        </w:tc>
        <w:tc>
          <w:tcPr>
            <w:tcW w:w="8240" w:type="dxa"/>
            <w:vAlign w:val="bottom"/>
            <w:gridSpan w:val="2"/>
          </w:tcPr>
          <w:p>
            <w:pPr>
              <w:ind w:left="2840"/>
              <w:spacing w:after="0"/>
              <w:rPr>
                <w:sz w:val="20"/>
                <w:szCs w:val="20"/>
                <w:color w:val="auto"/>
              </w:rPr>
            </w:pPr>
            <w:r>
              <w:rPr>
                <w:rFonts w:ascii="Arial" w:cs="Arial" w:eastAsia="Arial" w:hAnsi="Arial"/>
                <w:sz w:val="22"/>
                <w:szCs w:val="22"/>
                <w:b w:val="1"/>
                <w:bCs w:val="1"/>
                <w:color w:val="auto"/>
              </w:rPr>
              <w:t>EXHIBIT INDEX</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40" w:type="dxa"/>
            <w:vAlign w:val="bottom"/>
          </w:tcPr>
          <w:p>
            <w:pPr>
              <w:jc w:val="center"/>
              <w:ind w:left="692"/>
              <w:spacing w:after="0"/>
              <w:rPr>
                <w:sz w:val="20"/>
                <w:szCs w:val="20"/>
                <w:color w:val="auto"/>
              </w:rPr>
            </w:pPr>
            <w:r>
              <w:rPr>
                <w:rFonts w:ascii="Arial" w:cs="Arial" w:eastAsia="Arial" w:hAnsi="Arial"/>
                <w:sz w:val="22"/>
                <w:szCs w:val="22"/>
                <w:b w:val="1"/>
                <w:bCs w:val="1"/>
                <w:color w:val="auto"/>
                <w:w w:val="92"/>
              </w:rPr>
              <w:t>Exhibit</w:t>
            </w:r>
          </w:p>
        </w:tc>
        <w:tc>
          <w:tcPr>
            <w:tcW w:w="4240" w:type="dxa"/>
            <w:vAlign w:val="bottom"/>
            <w:vMerge w:val="restart"/>
          </w:tcPr>
          <w:p>
            <w:pPr>
              <w:ind w:left="240"/>
              <w:spacing w:after="0"/>
              <w:rPr>
                <w:sz w:val="20"/>
                <w:szCs w:val="20"/>
                <w:color w:val="auto"/>
              </w:rPr>
            </w:pPr>
            <w:r>
              <w:rPr>
                <w:rFonts w:ascii="Arial" w:cs="Arial" w:eastAsia="Arial" w:hAnsi="Arial"/>
                <w:sz w:val="22"/>
                <w:szCs w:val="22"/>
                <w:b w:val="1"/>
                <w:bCs w:val="1"/>
                <w:color w:val="auto"/>
              </w:rPr>
              <w:t>Description</w:t>
            </w: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40" w:type="dxa"/>
            <w:vAlign w:val="bottom"/>
          </w:tcPr>
          <w:p>
            <w:pPr>
              <w:jc w:val="center"/>
              <w:ind w:left="712"/>
              <w:spacing w:after="0"/>
              <w:rPr>
                <w:sz w:val="20"/>
                <w:szCs w:val="20"/>
                <w:color w:val="auto"/>
              </w:rPr>
            </w:pPr>
            <w:r>
              <w:rPr>
                <w:rFonts w:ascii="Arial" w:cs="Arial" w:eastAsia="Arial" w:hAnsi="Arial"/>
                <w:sz w:val="22"/>
                <w:szCs w:val="22"/>
                <w:b w:val="1"/>
                <w:bCs w:val="1"/>
                <w:color w:val="auto"/>
                <w:w w:val="93"/>
              </w:rPr>
              <w:t>Number</w:t>
            </w:r>
          </w:p>
        </w:tc>
        <w:tc>
          <w:tcPr>
            <w:tcW w:w="4240" w:type="dxa"/>
            <w:vAlign w:val="bottom"/>
            <w:vMerge w:val="continue"/>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40" w:type="dxa"/>
            <w:vAlign w:val="bottom"/>
          </w:tcPr>
          <w:p>
            <w:pPr>
              <w:jc w:val="center"/>
              <w:ind w:left="712"/>
              <w:spacing w:after="0"/>
              <w:rPr>
                <w:sz w:val="20"/>
                <w:szCs w:val="20"/>
                <w:color w:val="auto"/>
              </w:rPr>
            </w:pPr>
            <w:r>
              <w:rPr>
                <w:rFonts w:ascii="Arial" w:cs="Arial" w:eastAsia="Arial" w:hAnsi="Arial"/>
                <w:sz w:val="22"/>
                <w:szCs w:val="22"/>
                <w:color w:val="auto"/>
                <w:w w:val="88"/>
              </w:rPr>
              <w:t>99.1</w:t>
            </w:r>
          </w:p>
        </w:tc>
        <w:tc>
          <w:tcPr>
            <w:tcW w:w="8240" w:type="dxa"/>
            <w:vAlign w:val="bottom"/>
            <w:gridSpan w:val="2"/>
          </w:tcPr>
          <w:p>
            <w:pPr>
              <w:ind w:left="240"/>
              <w:spacing w:after="0"/>
              <w:rPr>
                <w:sz w:val="20"/>
                <w:szCs w:val="20"/>
                <w:color w:val="auto"/>
              </w:rPr>
            </w:pPr>
            <w:r>
              <w:rPr>
                <w:rFonts w:ascii="Arial" w:cs="Arial" w:eastAsia="Arial" w:hAnsi="Arial"/>
                <w:sz w:val="22"/>
                <w:szCs w:val="22"/>
                <w:color w:val="auto"/>
              </w:rPr>
              <w:t>Officers Incentive Compensation Plan—Fiscal Period 2008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40" w:type="dxa"/>
            <w:vAlign w:val="bottom"/>
          </w:tcPr>
          <w:p>
            <w:pPr>
              <w:jc w:val="center"/>
              <w:ind w:left="712"/>
              <w:spacing w:after="0"/>
              <w:rPr>
                <w:sz w:val="20"/>
                <w:szCs w:val="20"/>
                <w:color w:val="auto"/>
              </w:rPr>
            </w:pPr>
            <w:r>
              <w:rPr>
                <w:rFonts w:ascii="Arial" w:cs="Arial" w:eastAsia="Arial" w:hAnsi="Arial"/>
                <w:sz w:val="22"/>
                <w:szCs w:val="22"/>
                <w:color w:val="auto"/>
                <w:w w:val="88"/>
              </w:rPr>
              <w:t>99.2</w:t>
            </w:r>
          </w:p>
        </w:tc>
        <w:tc>
          <w:tcPr>
            <w:tcW w:w="8240" w:type="dxa"/>
            <w:vAlign w:val="bottom"/>
            <w:gridSpan w:val="2"/>
          </w:tcPr>
          <w:p>
            <w:pPr>
              <w:ind w:left="240"/>
              <w:spacing w:after="0"/>
              <w:rPr>
                <w:sz w:val="20"/>
                <w:szCs w:val="20"/>
                <w:color w:val="auto"/>
              </w:rPr>
            </w:pPr>
            <w:r>
              <w:rPr>
                <w:rFonts w:ascii="Arial" w:cs="Arial" w:eastAsia="Arial" w:hAnsi="Arial"/>
                <w:sz w:val="22"/>
                <w:szCs w:val="22"/>
                <w:color w:val="auto"/>
                <w:w w:val="97"/>
              </w:rPr>
              <w:t>Officers Long-Term Incentive Plan—Fiscal Three-Year Period 2008, 2009 and 2010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4"/>
        </w:trPr>
        <w:tc>
          <w:tcPr>
            <w:tcW w:w="204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-2284730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-2284730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1078230</wp:posOffset>
            </wp:positionV>
            <wp:extent cx="2470150" cy="934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INCENTIVE COMPENSATION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GROUP A – OFFICERS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PERIOD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1668780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INCENTIVE COMPENSATION PLAN</w:t>
      </w:r>
    </w:p>
    <w:p>
      <w:pPr>
        <w:jc w:val="center"/>
        <w:spacing w:after="0"/>
        <w:rPr>
          <w:sz w:val="20"/>
          <w:szCs w:val="20"/>
          <w:color w:val="auto"/>
        </w:rPr>
      </w:pPr>
      <w:r>
        <w:rPr>
          <w:rFonts w:ascii="Arial" w:cs="Arial" w:eastAsia="Arial" w:hAnsi="Arial"/>
          <w:sz w:val="22"/>
          <w:szCs w:val="22"/>
          <w:b w:val="1"/>
          <w:bCs w:val="1"/>
          <w:color w:val="auto"/>
        </w:rPr>
        <w:t>Fiscal Period 2008</w:t>
      </w:r>
    </w:p>
    <w:p>
      <w:pPr>
        <w:spacing w:after="0" w:line="195" w:lineRule="exact"/>
        <w:rPr>
          <w:sz w:val="20"/>
          <w:szCs w:val="20"/>
          <w:color w:val="auto"/>
        </w:rPr>
      </w:pPr>
    </w:p>
    <w:p>
      <w:pPr>
        <w:ind w:left="340" w:right="20" w:hanging="332"/>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Incentive Compensation Plan (the “Plan”) is to promote the growth and profitability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Winnebago Industries, Inc. (the “Company”) by providing its officers with an incentive to achieve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980" w:right="600" w:hanging="324"/>
        <w:spacing w:after="0" w:line="310"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program.</w:t>
      </w:r>
    </w:p>
    <w:p>
      <w:pPr>
        <w:spacing w:after="0" w:line="225" w:lineRule="exact"/>
        <w:rPr>
          <w:rFonts w:ascii="Arial" w:cs="Arial" w:eastAsia="Arial" w:hAnsi="Arial"/>
          <w:sz w:val="18"/>
          <w:szCs w:val="18"/>
          <w:color w:val="auto"/>
        </w:rPr>
      </w:pPr>
    </w:p>
    <w:p>
      <w:pPr>
        <w:jc w:val="both"/>
        <w:ind w:left="980" w:right="40" w:hanging="324"/>
        <w:spacing w:after="0" w:line="259"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Committee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188" w:lineRule="exact"/>
        <w:rPr>
          <w:rFonts w:ascii="Arial" w:cs="Arial" w:eastAsia="Arial" w:hAnsi="Arial"/>
          <w:sz w:val="18"/>
          <w:szCs w:val="18"/>
          <w:color w:val="auto"/>
        </w:rPr>
      </w:pPr>
    </w:p>
    <w:p>
      <w:pPr>
        <w:ind w:left="340" w:right="60" w:hanging="332"/>
        <w:spacing w:after="0" w:line="339"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incentive award is based upon financial performance of the Corporation. The Plan is an annual program that provides for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cumulative measurements of financial performance and an opportunity for quarterly incentive payment based on performance results.</w:t>
      </w:r>
    </w:p>
    <w:p>
      <w:pPr>
        <w:sectPr>
          <w:pgSz w:w="11900" w:h="16838" w:orient="portrait"/>
          <w:cols w:equalWidth="0" w:num="1">
            <w:col w:w="11420"/>
          </w:cols>
          <w:pgMar w:left="240" w:top="827" w:right="239" w:bottom="16" w:gutter="0" w:footer="0" w:header="0"/>
        </w:sectPr>
      </w:pPr>
    </w:p>
    <w:bookmarkStart w:id="4" w:name="page5"/>
    <w:bookmarkEnd w:id="4"/>
    <w:p>
      <w:pPr>
        <w:ind w:left="332" w:right="400"/>
        <w:spacing w:after="0" w:line="306" w:lineRule="auto"/>
        <w:rPr>
          <w:sz w:val="20"/>
          <w:szCs w:val="20"/>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2" w:right="220" w:hanging="332"/>
        <w:spacing w:after="0" w:line="301"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The amount of the participants’ incentive compensation for the quarter shall be in direct proportion to the financial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63" w:lineRule="exact"/>
        <w:rPr>
          <w:rFonts w:ascii="Arial" w:cs="Arial" w:eastAsia="Arial" w:hAnsi="Arial"/>
          <w:sz w:val="16"/>
          <w:szCs w:val="16"/>
          <w:color w:val="auto"/>
        </w:rPr>
      </w:pPr>
    </w:p>
    <w:p>
      <w:pPr>
        <w:jc w:val="both"/>
        <w:ind w:left="332" w:right="420"/>
        <w:spacing w:after="0" w:line="306" w:lineRule="auto"/>
        <w:rPr>
          <w:rFonts w:ascii="Arial" w:cs="Arial" w:eastAsia="Arial" w:hAnsi="Arial"/>
          <w:sz w:val="16"/>
          <w:szCs w:val="16"/>
          <w:color w:val="auto"/>
        </w:rPr>
      </w:pPr>
      <w:r>
        <w:rPr>
          <w:rFonts w:ascii="Arial" w:cs="Arial" w:eastAsia="Arial" w:hAnsi="Arial"/>
          <w:sz w:val="16"/>
          <w:szCs w:val="16"/>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60" w:lineRule="exact"/>
        <w:rPr>
          <w:rFonts w:ascii="Arial" w:cs="Arial" w:eastAsia="Arial" w:hAnsi="Arial"/>
          <w:sz w:val="16"/>
          <w:szCs w:val="16"/>
          <w:color w:val="auto"/>
        </w:rPr>
      </w:pPr>
    </w:p>
    <w:p>
      <w:pPr>
        <w:ind w:left="332" w:right="60"/>
        <w:spacing w:after="0" w:line="294" w:lineRule="auto"/>
        <w:rPr>
          <w:rFonts w:ascii="Arial" w:cs="Arial" w:eastAsia="Arial" w:hAnsi="Arial"/>
          <w:sz w:val="16"/>
          <w:szCs w:val="16"/>
          <w:color w:val="auto"/>
        </w:rPr>
      </w:pPr>
      <w:r>
        <w:rPr>
          <w:rFonts w:ascii="Arial" w:cs="Arial" w:eastAsia="Arial" w:hAnsi="Arial"/>
          <w:sz w:val="16"/>
          <w:szCs w:val="16"/>
          <w:color w:val="auto"/>
        </w:rPr>
        <w:t>The incentive for the executive officers except for the President and the Chief Executive Officers, provides for a 60% bonus (Target) comprised of (2/3) cash and (1/3) stock (or in cash at the participants election pursuant to Section 7) at 100% achievement of the financial objectives. The incentive for the President provides for a 75% bonus (Target) and the incentive for the Chief Executive Officer provides for a 105% bonus (Target) comprised of (2/3) cash and (1/3) stock (or in cash at the participants election pursuant to Section 7) at 100% achievement of the financial objectives respectively. The Committee delegates to the CEO the authority to establish the bonus (Target) for officers other than executive officers subject to the provisions set forth in this Plan.</w:t>
      </w:r>
    </w:p>
    <w:p>
      <w:pPr>
        <w:spacing w:after="0" w:line="169" w:lineRule="exact"/>
        <w:rPr>
          <w:rFonts w:ascii="Arial" w:cs="Arial" w:eastAsia="Arial" w:hAnsi="Arial"/>
          <w:sz w:val="16"/>
          <w:szCs w:val="16"/>
          <w:color w:val="auto"/>
        </w:rPr>
      </w:pPr>
    </w:p>
    <w:p>
      <w:pPr>
        <w:ind w:left="332" w:right="400"/>
        <w:spacing w:after="0" w:line="268" w:lineRule="auto"/>
        <w:rPr>
          <w:rFonts w:ascii="Arial" w:cs="Arial" w:eastAsia="Arial" w:hAnsi="Arial"/>
          <w:sz w:val="16"/>
          <w:szCs w:val="16"/>
          <w:color w:val="auto"/>
        </w:rPr>
      </w:pPr>
      <w:r>
        <w:rPr>
          <w:rFonts w:ascii="Arial" w:cs="Arial" w:eastAsia="Arial" w:hAnsi="Arial"/>
          <w:sz w:val="18"/>
          <w:szCs w:val="18"/>
          <w:color w:val="auto"/>
        </w:rPr>
        <w:t>A participant must be employed by Winnebago Industries, Inc. at the end of the fiscal year to be eligible for any previous quarterly holdback allocations except as waived by the Committee for normal retirement and disability.</w:t>
      </w:r>
    </w:p>
    <w:p>
      <w:pPr>
        <w:spacing w:after="0" w:line="179" w:lineRule="exact"/>
        <w:rPr>
          <w:rFonts w:ascii="Arial" w:cs="Arial" w:eastAsia="Arial" w:hAnsi="Arial"/>
          <w:sz w:val="16"/>
          <w:szCs w:val="16"/>
          <w:color w:val="auto"/>
        </w:rPr>
      </w:pPr>
    </w:p>
    <w:p>
      <w:pPr>
        <w:ind w:left="332" w:right="140" w:hanging="332"/>
        <w:spacing w:after="0" w:line="310"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Strategic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Human Resources Committee reserves the right to modify the core incentive eligibility by plus/minus 20% (of the calculated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Factor) based upon strategic organizational priorities. Strategic performance will be measured at the end of the fiscal year only. Strategic measurements may focus on one or more of the following strategic factors but are not limited to those stated.</w:t>
      </w:r>
    </w:p>
    <w:p>
      <w:pPr>
        <w:sectPr>
          <w:pgSz w:w="11900" w:h="16838" w:orient="portrait"/>
          <w:cols w:equalWidth="0" w:num="1">
            <w:col w:w="11412"/>
          </w:cols>
          <w:pgMar w:left="248" w:top="131" w:right="239" w:bottom="0" w:gutter="0" w:footer="0" w:header="0"/>
        </w:sectPr>
      </w:pPr>
    </w:p>
    <w:p>
      <w:pPr>
        <w:spacing w:after="0" w:line="157" w:lineRule="exact"/>
        <w:rPr>
          <w:sz w:val="20"/>
          <w:szCs w:val="20"/>
          <w:color w:val="auto"/>
        </w:rPr>
      </w:pPr>
    </w:p>
    <w:p>
      <w:pPr>
        <w:ind w:left="3512"/>
        <w:spacing w:after="0"/>
        <w:rPr>
          <w:sz w:val="20"/>
          <w:szCs w:val="20"/>
          <w:color w:val="auto"/>
        </w:rPr>
      </w:pPr>
      <w:r>
        <w:rPr>
          <w:rFonts w:ascii="Arial" w:cs="Arial" w:eastAsia="Arial" w:hAnsi="Arial"/>
          <w:sz w:val="18"/>
          <w:szCs w:val="18"/>
          <w:color w:val="auto"/>
        </w:rPr>
        <w:t>Revenue Growth</w:t>
      </w:r>
    </w:p>
    <w:p>
      <w:pPr>
        <w:spacing w:after="0" w:line="15" w:lineRule="exact"/>
        <w:rPr>
          <w:sz w:val="20"/>
          <w:szCs w:val="20"/>
          <w:color w:val="auto"/>
        </w:rPr>
      </w:pPr>
    </w:p>
    <w:p>
      <w:pPr>
        <w:ind w:left="3512"/>
        <w:spacing w:after="0"/>
        <w:rPr>
          <w:sz w:val="20"/>
          <w:szCs w:val="20"/>
          <w:color w:val="auto"/>
        </w:rPr>
      </w:pPr>
      <w:r>
        <w:rPr>
          <w:rFonts w:ascii="Arial" w:cs="Arial" w:eastAsia="Arial" w:hAnsi="Arial"/>
          <w:sz w:val="18"/>
          <w:szCs w:val="18"/>
          <w:color w:val="auto"/>
        </w:rPr>
        <w:t>Market Share</w:t>
      </w:r>
    </w:p>
    <w:p>
      <w:pPr>
        <w:spacing w:after="0" w:line="9" w:lineRule="exact"/>
        <w:rPr>
          <w:sz w:val="20"/>
          <w:szCs w:val="20"/>
          <w:color w:val="auto"/>
        </w:rPr>
      </w:pPr>
    </w:p>
    <w:p>
      <w:pPr>
        <w:ind w:left="3512"/>
        <w:spacing w:after="0"/>
        <w:rPr>
          <w:sz w:val="20"/>
          <w:szCs w:val="20"/>
          <w:color w:val="auto"/>
        </w:rPr>
      </w:pPr>
      <w:r>
        <w:rPr>
          <w:rFonts w:ascii="Arial" w:cs="Arial" w:eastAsia="Arial" w:hAnsi="Arial"/>
          <w:sz w:val="18"/>
          <w:szCs w:val="18"/>
          <w:color w:val="auto"/>
        </w:rPr>
        <w:t>Product Quality</w:t>
      </w:r>
    </w:p>
    <w:p>
      <w:pPr>
        <w:spacing w:after="0" w:line="9" w:lineRule="exact"/>
        <w:rPr>
          <w:sz w:val="20"/>
          <w:szCs w:val="20"/>
          <w:color w:val="auto"/>
        </w:rPr>
      </w:pPr>
    </w:p>
    <w:p>
      <w:pPr>
        <w:ind w:left="3512"/>
        <w:spacing w:after="0"/>
        <w:rPr>
          <w:sz w:val="20"/>
          <w:szCs w:val="20"/>
          <w:color w:val="auto"/>
        </w:rPr>
      </w:pPr>
      <w:r>
        <w:rPr>
          <w:rFonts w:ascii="Arial" w:cs="Arial" w:eastAsia="Arial" w:hAnsi="Arial"/>
          <w:sz w:val="16"/>
          <w:szCs w:val="16"/>
          <w:color w:val="auto"/>
        </w:rPr>
        <w:t>Product Introductions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Inventory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Ethical Business Practices</w:t>
      </w:r>
    </w:p>
    <w:p>
      <w:pPr>
        <w:spacing w:after="0" w:line="211" w:lineRule="exact"/>
        <w:rPr>
          <w:sz w:val="20"/>
          <w:szCs w:val="20"/>
          <w:color w:val="auto"/>
        </w:rPr>
      </w:pPr>
    </w:p>
    <w:p>
      <w:pPr>
        <w:sectPr>
          <w:pgSz w:w="11900" w:h="16838" w:orient="portrait"/>
          <w:cols w:equalWidth="0" w:num="2">
            <w:col w:w="5052" w:space="660"/>
            <w:col w:w="5700"/>
          </w:cols>
          <w:pgMar w:left="248" w:top="131" w:right="239" w:bottom="0" w:gutter="0" w:footer="0" w:header="0"/>
          <w:type w:val="continuous"/>
        </w:sectPr>
      </w:pPr>
    </w:p>
    <w:p>
      <w:pPr>
        <w:spacing w:after="0" w:line="36" w:lineRule="exact"/>
        <w:rPr>
          <w:sz w:val="20"/>
          <w:szCs w:val="20"/>
          <w:color w:val="auto"/>
        </w:rPr>
      </w:pPr>
    </w:p>
    <w:p>
      <w:pPr>
        <w:ind w:left="332" w:right="40" w:hanging="332"/>
        <w:spacing w:after="0" w:line="293"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Supplementary Match.</w:t>
      </w:r>
      <w:r>
        <w:rPr>
          <w:rFonts w:ascii="Arial" w:cs="Arial" w:eastAsia="Arial" w:hAnsi="Arial"/>
          <w:sz w:val="16"/>
          <w:szCs w:val="16"/>
          <w:b w:val="1"/>
          <w:bCs w:val="1"/>
          <w:color w:val="auto"/>
        </w:rPr>
        <w:t xml:space="preserve"> </w:t>
      </w:r>
      <w:r>
        <w:rPr>
          <w:rFonts w:ascii="Arial" w:cs="Arial" w:eastAsia="Arial" w:hAnsi="Arial"/>
          <w:sz w:val="16"/>
          <w:szCs w:val="16"/>
          <w:color w:val="auto"/>
        </w:rPr>
        <w:t>Fifty percent (50%) of a participant’s cash incentive compensation earned for the year, pursuant to Paragraph 5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matched annually by the Company in the form of restricted company stock (or in cash if elected by the participant). The annual supplementary Company match shall be paid as soon as practical after the final year-end compensation accounting and payment of any remaining incentive compensation holdback for the year. Participants shall elect in writing within 45 days following the end of the fiscal year whether to receive the total of any annual supplementary company match in the form of restricted company stock or in the form of cash. A participant shall be eligible for the supplementary match only if such participant is actively employed at the end of the fiscal year.</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2" w:hanging="332"/>
        <w:spacing w:after="0" w:line="313" w:lineRule="auto"/>
        <w:tabs>
          <w:tab w:leader="none" w:pos="332" w:val="left"/>
        </w:tabs>
        <w:numPr>
          <w:ilvl w:val="0"/>
          <w:numId w:val="8"/>
        </w:numPr>
        <w:rPr>
          <w:rFonts w:ascii="Arial" w:cs="Arial" w:eastAsia="Arial" w:hAnsi="Arial"/>
          <w:sz w:val="15"/>
          <w:szCs w:val="15"/>
          <w:color w:val="auto"/>
        </w:rPr>
      </w:pPr>
      <w:r>
        <w:rPr>
          <w:rFonts w:ascii="Arial" w:cs="Arial" w:eastAsia="Arial" w:hAnsi="Arial"/>
          <w:sz w:val="15"/>
          <w:szCs w:val="15"/>
          <w:b w:val="1"/>
          <w:bCs w:val="1"/>
          <w:u w:val="single" w:color="auto"/>
          <w:color w:val="auto"/>
        </w:rPr>
        <w:t>Change in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undergoes a change in control during the Plan year including, without limitation, an acquisition or merger</w:t>
      </w:r>
      <w:r>
        <w:rPr>
          <w:rFonts w:ascii="Arial" w:cs="Arial" w:eastAsia="Arial" w:hAnsi="Arial"/>
          <w:sz w:val="15"/>
          <w:szCs w:val="15"/>
          <w:b w:val="1"/>
          <w:bCs w:val="1"/>
          <w:color w:val="auto"/>
        </w:rPr>
        <w:t xml:space="preserve"> </w:t>
      </w:r>
      <w:r>
        <w:rPr>
          <w:rFonts w:ascii="Arial" w:cs="Arial" w:eastAsia="Arial" w:hAnsi="Arial"/>
          <w:sz w:val="15"/>
          <w:szCs w:val="15"/>
          <w:color w:val="auto"/>
        </w:rPr>
        <w:t>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supplementary cash match payment earned.</w:t>
      </w:r>
    </w:p>
    <w:p>
      <w:pPr>
        <w:spacing w:after="0" w:line="154" w:lineRule="exact"/>
        <w:rPr>
          <w:rFonts w:ascii="Arial" w:cs="Arial" w:eastAsia="Arial" w:hAnsi="Arial"/>
          <w:sz w:val="15"/>
          <w:szCs w:val="15"/>
          <w:color w:val="auto"/>
        </w:rPr>
      </w:pPr>
    </w:p>
    <w:p>
      <w:pPr>
        <w:ind w:left="332" w:right="40"/>
        <w:spacing w:after="0" w:line="290" w:lineRule="auto"/>
        <w:rPr>
          <w:rFonts w:ascii="Arial" w:cs="Arial" w:eastAsia="Arial" w:hAnsi="Arial"/>
          <w:sz w:val="15"/>
          <w:szCs w:val="15"/>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Incentive Compensation Plan shall mean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2" w:lineRule="exact"/>
        <w:rPr>
          <w:rFonts w:ascii="Arial" w:cs="Arial" w:eastAsia="Arial" w:hAnsi="Arial"/>
          <w:sz w:val="15"/>
          <w:szCs w:val="15"/>
          <w:color w:val="auto"/>
        </w:rPr>
      </w:pPr>
    </w:p>
    <w:p>
      <w:pPr>
        <w:ind w:left="332"/>
        <w:spacing w:after="0"/>
        <w:rPr>
          <w:rFonts w:ascii="Arial" w:cs="Arial" w:eastAsia="Arial" w:hAnsi="Arial"/>
          <w:sz w:val="15"/>
          <w:szCs w:val="15"/>
          <w:color w:val="auto"/>
        </w:rPr>
      </w:pPr>
      <w:r>
        <w:rPr>
          <w:rFonts w:ascii="Arial" w:cs="Arial" w:eastAsia="Arial" w:hAnsi="Arial"/>
          <w:sz w:val="18"/>
          <w:szCs w:val="18"/>
          <w:color w:val="auto"/>
        </w:rPr>
        <w:t>For the purpose of the definition “Change of Control:”</w:t>
      </w:r>
    </w:p>
    <w:p>
      <w:pPr>
        <w:spacing w:after="0" w:line="225" w:lineRule="exact"/>
        <w:rPr>
          <w:rFonts w:ascii="Arial" w:cs="Arial" w:eastAsia="Arial" w:hAnsi="Arial"/>
          <w:sz w:val="15"/>
          <w:szCs w:val="15"/>
          <w:color w:val="auto"/>
        </w:rPr>
      </w:pPr>
    </w:p>
    <w:p>
      <w:pPr>
        <w:ind w:left="972" w:hanging="324"/>
        <w:spacing w:after="0" w:line="254" w:lineRule="auto"/>
        <w:tabs>
          <w:tab w:leader="none" w:pos="972"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ectPr>
          <w:pgSz w:w="11900" w:h="16838" w:orient="portrait"/>
          <w:cols w:equalWidth="0" w:num="1">
            <w:col w:w="11412"/>
          </w:cols>
          <w:pgMar w:left="248" w:top="131" w:right="239" w:bottom="0" w:gutter="0" w:footer="0" w:header="0"/>
          <w:type w:val="continuous"/>
        </w:sectPr>
      </w:pPr>
    </w:p>
    <w:bookmarkStart w:id="5" w:name="page6"/>
    <w:bookmarkEnd w:id="5"/>
    <w:p>
      <w:pPr>
        <w:ind w:left="980" w:right="360" w:hanging="324"/>
        <w:spacing w:after="0" w:line="33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39" w:lineRule="exact"/>
        <w:rPr>
          <w:rFonts w:ascii="Arial" w:cs="Arial" w:eastAsia="Arial" w:hAnsi="Arial"/>
          <w:sz w:val="16"/>
          <w:szCs w:val="16"/>
          <w:color w:val="auto"/>
        </w:rPr>
      </w:pPr>
    </w:p>
    <w:p>
      <w:pPr>
        <w:ind w:left="980" w:right="180" w:hanging="324"/>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80" w:right="80" w:hanging="324"/>
        <w:spacing w:after="0" w:line="294"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69" w:lineRule="exact"/>
        <w:rPr>
          <w:rFonts w:ascii="Arial" w:cs="Arial" w:eastAsia="Arial" w:hAnsi="Arial"/>
          <w:sz w:val="16"/>
          <w:szCs w:val="16"/>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25" w:lineRule="exact"/>
        <w:rPr>
          <w:rFonts w:ascii="Arial" w:cs="Arial" w:eastAsia="Arial" w:hAnsi="Arial"/>
          <w:sz w:val="18"/>
          <w:szCs w:val="18"/>
          <w:color w:val="auto"/>
        </w:rPr>
      </w:pPr>
    </w:p>
    <w:p>
      <w:pPr>
        <w:ind w:left="980" w:right="800" w:hanging="324"/>
        <w:spacing w:after="0" w:line="268"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340" w:right="260" w:hanging="332"/>
        <w:spacing w:after="0" w:line="27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340" w:right="320" w:hanging="332"/>
        <w:spacing w:after="0" w:line="27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Approved by:</w:t>
            </w: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3"/>
        </w:trPr>
        <w:tc>
          <w:tcPr>
            <w:tcW w:w="4600" w:type="dxa"/>
            <w:vAlign w:val="bottom"/>
            <w:gridSpan w:val="2"/>
          </w:tcPr>
          <w:p>
            <w:pPr>
              <w:spacing w:after="0"/>
              <w:rPr>
                <w:sz w:val="20"/>
                <w:szCs w:val="20"/>
                <w:color w:val="auto"/>
              </w:rPr>
            </w:pPr>
            <w:r>
              <w:rPr>
                <w:rFonts w:ascii="Arial" w:cs="Arial" w:eastAsia="Arial" w:hAnsi="Arial"/>
                <w:sz w:val="18"/>
                <w:szCs w:val="18"/>
                <w:color w:val="auto"/>
              </w:rPr>
              <w:t>/s/ Bruce D. Hertzke</w:t>
            </w:r>
          </w:p>
        </w:tc>
        <w:tc>
          <w:tcPr>
            <w:tcW w:w="1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June 20, 2007</w:t>
            </w:r>
          </w:p>
        </w:tc>
        <w:tc>
          <w:tcPr>
            <w:tcW w:w="35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Bruce D. Hertzke</w:t>
            </w:r>
          </w:p>
        </w:tc>
        <w:tc>
          <w:tcPr>
            <w:tcW w:w="1560" w:type="dxa"/>
            <w:vAlign w:val="bottom"/>
          </w:tcPr>
          <w:p>
            <w:pPr>
              <w:spacing w:after="0"/>
              <w:rPr>
                <w:sz w:val="17"/>
                <w:szCs w:val="17"/>
                <w:color w:val="auto"/>
              </w:rPr>
            </w:pPr>
          </w:p>
        </w:tc>
        <w:tc>
          <w:tcPr>
            <w:tcW w:w="16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Dated</w:t>
            </w:r>
          </w:p>
        </w:tc>
        <w:tc>
          <w:tcPr>
            <w:tcW w:w="3580" w:type="dxa"/>
            <w:vAlign w:val="bottom"/>
          </w:tcPr>
          <w:p>
            <w:pPr>
              <w:spacing w:after="0"/>
              <w:rPr>
                <w:sz w:val="17"/>
                <w:szCs w:val="17"/>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Chairman of the Board and CEO</w:t>
            </w: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514"/>
        </w:trPr>
        <w:tc>
          <w:tcPr>
            <w:tcW w:w="4600" w:type="dxa"/>
            <w:vAlign w:val="bottom"/>
            <w:gridSpan w:val="2"/>
          </w:tcPr>
          <w:p>
            <w:pPr>
              <w:spacing w:after="0"/>
              <w:rPr>
                <w:sz w:val="20"/>
                <w:szCs w:val="20"/>
                <w:color w:val="auto"/>
              </w:rPr>
            </w:pPr>
            <w:r>
              <w:rPr>
                <w:rFonts w:ascii="Arial" w:cs="Arial" w:eastAsia="Arial" w:hAnsi="Arial"/>
                <w:sz w:val="18"/>
                <w:szCs w:val="18"/>
                <w:color w:val="auto"/>
              </w:rPr>
              <w:t>/s/ Gerald C. Kitch</w:t>
            </w:r>
          </w:p>
        </w:tc>
        <w:tc>
          <w:tcPr>
            <w:tcW w:w="1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June 20, 2007</w:t>
            </w:r>
          </w:p>
        </w:tc>
        <w:tc>
          <w:tcPr>
            <w:tcW w:w="35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Gerald C. Kitch</w:t>
            </w:r>
          </w:p>
        </w:tc>
        <w:tc>
          <w:tcPr>
            <w:tcW w:w="1560" w:type="dxa"/>
            <w:vAlign w:val="bottom"/>
          </w:tcPr>
          <w:p>
            <w:pPr>
              <w:spacing w:after="0"/>
              <w:rPr>
                <w:sz w:val="17"/>
                <w:szCs w:val="17"/>
                <w:color w:val="auto"/>
              </w:rPr>
            </w:pPr>
          </w:p>
        </w:tc>
        <w:tc>
          <w:tcPr>
            <w:tcW w:w="16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Dated</w:t>
            </w:r>
          </w:p>
        </w:tc>
        <w:tc>
          <w:tcPr>
            <w:tcW w:w="3580" w:type="dxa"/>
            <w:vAlign w:val="bottom"/>
          </w:tcPr>
          <w:p>
            <w:pPr>
              <w:spacing w:after="0"/>
              <w:rPr>
                <w:sz w:val="17"/>
                <w:szCs w:val="17"/>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Chairman, Human Resources Committee</w:t>
            </w: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of the Winnebago Industries Board of Directors</w:t>
            </w: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64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5</w:t>
            </w:r>
          </w:p>
        </w:tc>
        <w:tc>
          <w:tcPr>
            <w:tcW w:w="16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932815</wp:posOffset>
            </wp:positionV>
            <wp:extent cx="2470150" cy="934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LONG-TERM INCENTIVE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THREE-YEAR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2008, 2009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1668780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LONG-TERM INCENTIVE PLAN</w:t>
      </w:r>
    </w:p>
    <w:p>
      <w:pPr>
        <w:jc w:val="center"/>
        <w:spacing w:after="0"/>
        <w:rPr>
          <w:sz w:val="20"/>
          <w:szCs w:val="20"/>
          <w:color w:val="auto"/>
        </w:rPr>
      </w:pPr>
      <w:r>
        <w:rPr>
          <w:rFonts w:ascii="Arial" w:cs="Arial" w:eastAsia="Arial" w:hAnsi="Arial"/>
          <w:sz w:val="22"/>
          <w:szCs w:val="22"/>
          <w:b w:val="1"/>
          <w:bCs w:val="1"/>
          <w:color w:val="auto"/>
        </w:rPr>
        <w:t>Fiscal Three-Year Period 2008, 2009 and 2010</w:t>
      </w:r>
    </w:p>
    <w:p>
      <w:pPr>
        <w:spacing w:after="0" w:line="195" w:lineRule="exact"/>
        <w:rPr>
          <w:sz w:val="20"/>
          <w:szCs w:val="20"/>
          <w:color w:val="auto"/>
        </w:rPr>
      </w:pPr>
    </w:p>
    <w:p>
      <w:pPr>
        <w:ind w:left="34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Long-Term Incentive Plan (the “Plan”) is to promote the long-term growth and</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980" w:right="600" w:hanging="324"/>
        <w:spacing w:after="0" w:line="310"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980" w:right="300" w:hanging="324"/>
        <w:spacing w:after="0" w:line="275"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three (3) year plan period. Each year a new</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be established for a new three-year period.</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program.</w:t>
      </w:r>
    </w:p>
    <w:p>
      <w:pPr>
        <w:spacing w:after="0" w:line="225" w:lineRule="exact"/>
        <w:rPr>
          <w:rFonts w:ascii="Arial" w:cs="Arial" w:eastAsia="Arial" w:hAnsi="Arial"/>
          <w:sz w:val="18"/>
          <w:szCs w:val="18"/>
          <w:color w:val="auto"/>
        </w:rPr>
      </w:pPr>
    </w:p>
    <w:p>
      <w:pPr>
        <w:ind w:left="980" w:right="240" w:hanging="324"/>
        <w:spacing w:after="0" w:line="33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Committee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133" w:lineRule="exact"/>
        <w:rPr>
          <w:rFonts w:ascii="Arial" w:cs="Arial" w:eastAsia="Arial" w:hAnsi="Arial"/>
          <w:sz w:val="16"/>
          <w:szCs w:val="16"/>
          <w:color w:val="auto"/>
        </w:rPr>
      </w:pPr>
    </w:p>
    <w:p>
      <w:pPr>
        <w:jc w:val="both"/>
        <w:ind w:left="340" w:right="28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the Plan</w:t>
      </w:r>
      <w:r>
        <w:rPr>
          <w:rFonts w:ascii="Arial" w:cs="Arial" w:eastAsia="Arial" w:hAnsi="Arial"/>
          <w:sz w:val="18"/>
          <w:szCs w:val="18"/>
          <w:color w:val="auto"/>
        </w:rPr>
        <w:t>. The long-term incentive award is based upon financial performance of the Corporation. The Plan is a three (3) year (fiscal)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provides for an opportunity for an incentive award based on the achievement of long-term financial performance results as measured at the end of the three (3) year fiscal period.</w:t>
      </w:r>
    </w:p>
    <w:p>
      <w:pPr>
        <w:sectPr>
          <w:pgSz w:w="11900" w:h="16838" w:orient="portrait"/>
          <w:cols w:equalWidth="0" w:num="1">
            <w:col w:w="11420"/>
          </w:cols>
          <w:pgMar w:left="240" w:top="827" w:right="239"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827" w:right="239" w:bottom="0" w:gutter="0" w:footer="0" w:header="0"/>
          <w:type w:val="continuous"/>
        </w:sectPr>
      </w:pPr>
    </w:p>
    <w:bookmarkStart w:id="7" w:name="page8"/>
    <w:bookmarkEnd w:id="7"/>
    <w:p>
      <w:pPr>
        <w:ind w:left="332"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155" w:lineRule="exact"/>
        <w:rPr>
          <w:sz w:val="20"/>
          <w:szCs w:val="20"/>
          <w:color w:val="auto"/>
        </w:rPr>
      </w:pPr>
    </w:p>
    <w:p>
      <w:pPr>
        <w:ind w:left="332" w:right="160" w:hanging="332"/>
        <w:spacing w:after="0" w:line="256"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The long-term incentive award will be a performance stock grant made in restricted shares of the common stock of Winnebago</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Inc. or in cash if elected by the participant.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98" w:lineRule="exact"/>
        <w:rPr>
          <w:rFonts w:ascii="Arial" w:cs="Arial" w:eastAsia="Arial" w:hAnsi="Arial"/>
          <w:sz w:val="18"/>
          <w:szCs w:val="18"/>
          <w:color w:val="auto"/>
        </w:rPr>
      </w:pPr>
    </w:p>
    <w:p>
      <w:pPr>
        <w:ind w:left="332" w:right="60"/>
        <w:spacing w:after="0" w:line="290" w:lineRule="auto"/>
        <w:rPr>
          <w:rFonts w:ascii="Arial" w:cs="Arial" w:eastAsia="Arial" w:hAnsi="Arial"/>
          <w:sz w:val="18"/>
          <w:szCs w:val="18"/>
          <w:color w:val="auto"/>
        </w:rPr>
      </w:pPr>
      <w:r>
        <w:rPr>
          <w:rFonts w:ascii="Arial" w:cs="Arial" w:eastAsia="Arial" w:hAnsi="Arial"/>
          <w:sz w:val="16"/>
          <w:szCs w:val="16"/>
          <w:color w:val="auto"/>
        </w:rPr>
        <w:t>The long-term incentive for the executive officers provides for an opportunity of 25% of the annualized base salary (Target) to be awarded in restricted stock or cash at 100% achievement of the financial long-term objectives. The Committee delegates to the CEO the authority to establish the bonus (Target) for officers other than executive officers subject to the limitations set forth in this Plan. The annualized base salary figure used shall be the salary in place for each participant as of January 2008. The resultant stock unit share opportunity or cash award opportunity (at 100% of Plan) will be adjusted up or down as determined by actual financial performance expressed as a percentage (Financial Factor) at the end of the three (3) year fiscal period. Participants shall elect in writing within 45 days following the end of the three (3) year fiscal period whether to receive the total of any such long-term incentive award in the form of restricted company stock or in the form of cash.</w:t>
      </w:r>
    </w:p>
    <w:p>
      <w:pPr>
        <w:spacing w:after="0" w:line="172" w:lineRule="exact"/>
        <w:rPr>
          <w:rFonts w:ascii="Arial" w:cs="Arial" w:eastAsia="Arial" w:hAnsi="Arial"/>
          <w:sz w:val="18"/>
          <w:szCs w:val="18"/>
          <w:color w:val="auto"/>
        </w:rPr>
      </w:pPr>
    </w:p>
    <w:p>
      <w:pPr>
        <w:ind w:left="332" w:right="200"/>
        <w:spacing w:after="0" w:line="268" w:lineRule="auto"/>
        <w:rPr>
          <w:rFonts w:ascii="Arial" w:cs="Arial" w:eastAsia="Arial" w:hAnsi="Arial"/>
          <w:sz w:val="18"/>
          <w:szCs w:val="18"/>
          <w:color w:val="auto"/>
        </w:rPr>
      </w:pPr>
      <w:r>
        <w:rPr>
          <w:rFonts w:ascii="Arial" w:cs="Arial" w:eastAsia="Arial" w:hAnsi="Arial"/>
          <w:sz w:val="18"/>
          <w:szCs w:val="18"/>
          <w:color w:val="auto"/>
        </w:rPr>
        <w:t>A participant must be employed by Winnebago Industries, Inc. at the end of the fiscal three (3) year period to be eligible for any long-term incentive award except as waived by the Committee for normal retirement and disability.</w:t>
      </w:r>
    </w:p>
    <w:p>
      <w:pPr>
        <w:spacing w:after="0" w:line="179" w:lineRule="exact"/>
        <w:rPr>
          <w:rFonts w:ascii="Arial" w:cs="Arial" w:eastAsia="Arial" w:hAnsi="Arial"/>
          <w:sz w:val="18"/>
          <w:szCs w:val="18"/>
          <w:color w:val="auto"/>
        </w:rPr>
      </w:pPr>
    </w:p>
    <w:p>
      <w:pPr>
        <w:ind w:left="332" w:right="40" w:hanging="332"/>
        <w:spacing w:after="0" w:line="291" w:lineRule="auto"/>
        <w:tabs>
          <w:tab w:leader="none" w:pos="332"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undergoes a change in control during the fiscal three (3) year plan period including, without limitation, an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Long-Term Incentive Plan shall mean the time when (i) any Person becomes an Acquiring Person, or</w:t>
      </w:r>
    </w:p>
    <w:p>
      <w:pPr>
        <w:spacing w:after="0" w:line="44" w:lineRule="exact"/>
        <w:rPr>
          <w:sz w:val="20"/>
          <w:szCs w:val="20"/>
          <w:color w:val="auto"/>
        </w:rPr>
      </w:pPr>
    </w:p>
    <w:p>
      <w:pPr>
        <w:ind w:left="332" w:right="40" w:hanging="8"/>
        <w:spacing w:after="0" w:line="288" w:lineRule="auto"/>
        <w:tabs>
          <w:tab w:leader="none" w:pos="5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972" w:hanging="324"/>
        <w:spacing w:after="0" w:line="254"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8" w:lineRule="exact"/>
        <w:rPr>
          <w:rFonts w:ascii="Arial" w:cs="Arial" w:eastAsia="Arial" w:hAnsi="Arial"/>
          <w:sz w:val="18"/>
          <w:szCs w:val="18"/>
          <w:color w:val="auto"/>
        </w:rPr>
      </w:pPr>
    </w:p>
    <w:p>
      <w:pPr>
        <w:ind w:left="972" w:right="360" w:hanging="324"/>
        <w:spacing w:after="0" w:line="332" w:lineRule="auto"/>
        <w:tabs>
          <w:tab w:leader="none" w:pos="9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39" w:lineRule="exact"/>
        <w:rPr>
          <w:rFonts w:ascii="Arial" w:cs="Arial" w:eastAsia="Arial" w:hAnsi="Arial"/>
          <w:sz w:val="16"/>
          <w:szCs w:val="16"/>
          <w:color w:val="auto"/>
        </w:rPr>
      </w:pPr>
    </w:p>
    <w:p>
      <w:pPr>
        <w:ind w:left="972" w:right="180" w:hanging="324"/>
        <w:spacing w:after="0" w:line="268"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ind w:left="972" w:right="80" w:hanging="324"/>
        <w:spacing w:after="0" w:line="294" w:lineRule="auto"/>
        <w:tabs>
          <w:tab w:leader="none" w:pos="9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  “Company” means Winnebago Industries, Inc., an Iowa corporation.</w:t>
      </w:r>
    </w:p>
    <w:p>
      <w:pPr>
        <w:sectPr>
          <w:pgSz w:w="11900" w:h="16838" w:orient="portrait"/>
          <w:cols w:equalWidth="0" w:num="1">
            <w:col w:w="11412"/>
          </w:cols>
          <w:pgMar w:left="248" w:top="1117" w:right="239" w:bottom="0" w:gutter="0" w:footer="0" w:header="0"/>
        </w:sectPr>
      </w:pPr>
    </w:p>
    <w:bookmarkStart w:id="8" w:name="page9"/>
    <w:bookmarkEnd w:id="8"/>
    <w:p>
      <w:pPr>
        <w:ind w:left="980" w:right="800" w:hanging="324"/>
        <w:spacing w:after="0" w:line="268"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340" w:right="260" w:hanging="332"/>
        <w:spacing w:after="0" w:line="27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340" w:right="320" w:hanging="332"/>
        <w:spacing w:after="0" w:line="27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/s/ Bruce D. Hertzke</w:t>
            </w:r>
          </w:p>
        </w:tc>
        <w:tc>
          <w:tcPr>
            <w:tcW w:w="156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June 20, 2007</w:t>
            </w:r>
          </w:p>
        </w:tc>
        <w:tc>
          <w:tcPr>
            <w:tcW w:w="35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Bruce D. Hertzke</w:t>
            </w:r>
          </w:p>
        </w:tc>
        <w:tc>
          <w:tcPr>
            <w:tcW w:w="1560" w:type="dxa"/>
            <w:vAlign w:val="bottom"/>
          </w:tcPr>
          <w:p>
            <w:pPr>
              <w:spacing w:after="0"/>
              <w:rPr>
                <w:sz w:val="17"/>
                <w:szCs w:val="17"/>
                <w:color w:val="auto"/>
              </w:rPr>
            </w:pPr>
          </w:p>
        </w:tc>
        <w:tc>
          <w:tcPr>
            <w:tcW w:w="16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Dated</w:t>
            </w:r>
          </w:p>
        </w:tc>
        <w:tc>
          <w:tcPr>
            <w:tcW w:w="3580" w:type="dxa"/>
            <w:vAlign w:val="bottom"/>
          </w:tcPr>
          <w:p>
            <w:pPr>
              <w:spacing w:after="0"/>
              <w:rPr>
                <w:sz w:val="17"/>
                <w:szCs w:val="17"/>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Chairman of the Board and CEO</w:t>
            </w: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514"/>
        </w:trPr>
        <w:tc>
          <w:tcPr>
            <w:tcW w:w="4600" w:type="dxa"/>
            <w:vAlign w:val="bottom"/>
            <w:gridSpan w:val="2"/>
          </w:tcPr>
          <w:p>
            <w:pPr>
              <w:spacing w:after="0"/>
              <w:rPr>
                <w:sz w:val="20"/>
                <w:szCs w:val="20"/>
                <w:color w:val="auto"/>
              </w:rPr>
            </w:pPr>
            <w:r>
              <w:rPr>
                <w:rFonts w:ascii="Arial" w:cs="Arial" w:eastAsia="Arial" w:hAnsi="Arial"/>
                <w:sz w:val="18"/>
                <w:szCs w:val="18"/>
                <w:color w:val="auto"/>
              </w:rPr>
              <w:t>/s/ Gerald C. Kitch</w:t>
            </w:r>
          </w:p>
        </w:tc>
        <w:tc>
          <w:tcPr>
            <w:tcW w:w="1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June 20, 2007</w:t>
            </w:r>
          </w:p>
        </w:tc>
        <w:tc>
          <w:tcPr>
            <w:tcW w:w="35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Gerald C. Kitch</w:t>
            </w:r>
          </w:p>
        </w:tc>
        <w:tc>
          <w:tcPr>
            <w:tcW w:w="1560" w:type="dxa"/>
            <w:vAlign w:val="bottom"/>
          </w:tcPr>
          <w:p>
            <w:pPr>
              <w:spacing w:after="0"/>
              <w:rPr>
                <w:sz w:val="17"/>
                <w:szCs w:val="17"/>
                <w:color w:val="auto"/>
              </w:rPr>
            </w:pPr>
          </w:p>
        </w:tc>
        <w:tc>
          <w:tcPr>
            <w:tcW w:w="16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Dated</w:t>
            </w:r>
          </w:p>
        </w:tc>
        <w:tc>
          <w:tcPr>
            <w:tcW w:w="3580" w:type="dxa"/>
            <w:vAlign w:val="bottom"/>
          </w:tcPr>
          <w:p>
            <w:pPr>
              <w:spacing w:after="0"/>
              <w:rPr>
                <w:sz w:val="17"/>
                <w:szCs w:val="17"/>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Chairman, Human Resources Committee</w:t>
            </w: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of the Winnebago Industries Board of Directors</w:t>
            </w: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64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5</w:t>
            </w:r>
          </w:p>
        </w:tc>
        <w:tc>
          <w:tcPr>
            <w:tcW w:w="16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lowerLetter"/>
      <w:start w:val="1"/>
    </w:lvl>
    <w:lvl w:ilvl="1">
      <w:lvlJc w:val="left"/>
      <w:lvlText w:val="(%2)"/>
      <w:numFmt w:val="lowerLetter"/>
      <w:start w:val="5"/>
    </w:lvl>
  </w:abstractNum>
  <w:abstractNum w:abstractNumId="2">
    <w:nsid w:val="4DB127F8"/>
    <w:multiLevelType w:val="hybridMultilevel"/>
    <w:lvl w:ilvl="0">
      <w:lvlJc w:val="left"/>
      <w:lvlText w:val="(%1)"/>
      <w:numFmt w:val="lowerLetter"/>
      <w:start w:val="35"/>
    </w:lvl>
    <w:lvl w:ilvl="1">
      <w:lvlJc w:val="left"/>
      <w:lvlText w:val="%2"/>
      <w:numFmt w:val="lowerLetter"/>
      <w:start w:val="1"/>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lvl w:ilvl="1">
      <w:lvlJc w:val="left"/>
      <w:lvlText w:val="(%2)"/>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decimal"/>
      <w:start w:val="1"/>
    </w:lvl>
    <w:lvl w:ilvl="1">
      <w:lvlJc w:val="left"/>
      <w:lvlText w:val="(%2)"/>
      <w:numFmt w:val="lowerLetter"/>
      <w:start w:val="4"/>
    </w:lvl>
  </w:abstractNum>
  <w:abstractNum w:abstractNumId="10">
    <w:nsid w:val="DED7263"/>
    <w:multiLevelType w:val="hybridMultilevel"/>
    <w:lvl w:ilvl="0">
      <w:lvlJc w:val="left"/>
      <w:lvlText w:val="%1."/>
      <w:numFmt w:val="decimal"/>
      <w:start w:val="9"/>
    </w:lvl>
    <w:lvl w:ilvl="1">
      <w:lvlJc w:val="left"/>
      <w:lvlText w:val="%2"/>
      <w:numFmt w:val="lowerLetter"/>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6"/>
    </w:lvl>
  </w:abstractNum>
  <w:abstractNum w:abstractNumId="16">
    <w:nsid w:val="25E45D32"/>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2019-12-11T20:39:56Z</dcterms:created>
  <dcterms:modified xsi:type="dcterms:W3CDTF">2019-12-11T20:39:56Z</dcterms:modified>
</cp:coreProperties>
</file>