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93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9369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HANSON JOHN V</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40" w:type="dxa"/>
            <w:vAlign w:val="bottom"/>
            <w:tcBorders>
              <w:top w:val="single" w:sz="8" w:color="0000EE"/>
            </w:tcBorders>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01/10/2007</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800" w:type="dxa"/>
            <w:vAlign w:val="bottom"/>
            <w:gridSpan w:val="2"/>
          </w:tcPr>
          <w:p>
            <w:pPr>
              <w:ind w:left="820"/>
              <w:spacing w:after="0"/>
              <w:rPr>
                <w:sz w:val="20"/>
                <w:szCs w:val="20"/>
                <w:color w:val="auto"/>
              </w:rPr>
            </w:pPr>
            <w:r>
              <w:rPr>
                <w:rFonts w:ascii="Arial" w:cs="Arial" w:eastAsia="Arial" w:hAnsi="Arial"/>
                <w:sz w:val="18"/>
                <w:szCs w:val="18"/>
                <w:color w:val="0000FF"/>
              </w:rPr>
              <w:t>01/10/2007</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ind w:left="180"/>
              <w:spacing w:after="0"/>
              <w:rPr>
                <w:sz w:val="20"/>
                <w:szCs w:val="20"/>
                <w:color w:val="auto"/>
              </w:rPr>
            </w:pPr>
            <w:r>
              <w:rPr>
                <w:rFonts w:ascii="Arial" w:cs="Arial" w:eastAsia="Arial" w:hAnsi="Arial"/>
                <w:sz w:val="14"/>
                <w:szCs w:val="14"/>
                <w:color w:val="0000FF"/>
              </w:rPr>
              <w:t>A</w:t>
            </w:r>
          </w:p>
        </w:tc>
        <w:tc>
          <w:tcPr>
            <w:tcW w:w="720" w:type="dxa"/>
            <w:vAlign w:val="bottom"/>
          </w:tcPr>
          <w:p>
            <w:pPr>
              <w:ind w:left="300"/>
              <w:spacing w:after="0"/>
              <w:rPr>
                <w:sz w:val="20"/>
                <w:szCs w:val="20"/>
                <w:color w:val="auto"/>
              </w:rPr>
            </w:pPr>
            <w:r>
              <w:rPr>
                <w:rFonts w:ascii="Arial" w:cs="Arial" w:eastAsia="Arial" w:hAnsi="Arial"/>
                <w:sz w:val="18"/>
                <w:szCs w:val="18"/>
                <w:color w:val="0000FF"/>
                <w:w w:val="88"/>
              </w:rPr>
              <w:t>1,000</w:t>
            </w:r>
          </w:p>
        </w:tc>
        <w:tc>
          <w:tcPr>
            <w:tcW w:w="720" w:type="dxa"/>
            <w:vAlign w:val="bottom"/>
          </w:tcPr>
          <w:p>
            <w:pPr>
              <w:ind w:left="380"/>
              <w:spacing w:after="0"/>
              <w:rPr>
                <w:sz w:val="20"/>
                <w:szCs w:val="20"/>
                <w:color w:val="auto"/>
              </w:rPr>
            </w:pPr>
            <w:r>
              <w:rPr>
                <w:rFonts w:ascii="Arial" w:cs="Arial" w:eastAsia="Arial" w:hAnsi="Arial"/>
                <w:sz w:val="18"/>
                <w:szCs w:val="18"/>
                <w:color w:val="0000FF"/>
              </w:rPr>
              <w:t>A</w:t>
            </w:r>
          </w:p>
        </w:tc>
        <w:tc>
          <w:tcPr>
            <w:tcW w:w="620" w:type="dxa"/>
            <w:vAlign w:val="bottom"/>
            <w:gridSpan w:val="3"/>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380" w:type="dxa"/>
            <w:vAlign w:val="bottom"/>
          </w:tcPr>
          <w:p>
            <w:pPr>
              <w:spacing w:after="0"/>
              <w:rPr>
                <w:sz w:val="23"/>
                <w:szCs w:val="23"/>
                <w:color w:val="auto"/>
              </w:rPr>
            </w:pPr>
          </w:p>
        </w:tc>
        <w:tc>
          <w:tcPr>
            <w:tcW w:w="880" w:type="dxa"/>
            <w:vAlign w:val="bottom"/>
          </w:tcPr>
          <w:p>
            <w:pPr>
              <w:jc w:val="center"/>
              <w:ind w:right="374"/>
              <w:spacing w:after="0"/>
              <w:rPr>
                <w:sz w:val="20"/>
                <w:szCs w:val="20"/>
                <w:color w:val="auto"/>
              </w:rPr>
            </w:pPr>
            <w:r>
              <w:rPr>
                <w:rFonts w:ascii="Arial" w:cs="Arial" w:eastAsia="Arial" w:hAnsi="Arial"/>
                <w:sz w:val="18"/>
                <w:szCs w:val="18"/>
                <w:color w:val="0000FF"/>
                <w:w w:val="88"/>
              </w:rPr>
              <w:t>1,060</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 $.50 par value</w:t>
            </w: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vMerge w:val="restart"/>
          </w:tcPr>
          <w:p>
            <w:pPr>
              <w:jc w:val="center"/>
              <w:ind w:right="354"/>
              <w:spacing w:after="0"/>
              <w:rPr>
                <w:sz w:val="20"/>
                <w:szCs w:val="20"/>
                <w:color w:val="auto"/>
              </w:rPr>
            </w:pPr>
            <w:r>
              <w:rPr>
                <w:rFonts w:ascii="Arial" w:cs="Arial" w:eastAsia="Arial" w:hAnsi="Arial"/>
                <w:sz w:val="18"/>
                <w:szCs w:val="18"/>
                <w:color w:val="0000FF"/>
                <w:w w:val="86"/>
              </w:rPr>
              <w:t>200</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0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3"/>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center"/>
              <w:ind w:left="134"/>
              <w:spacing w:after="0"/>
              <w:rPr>
                <w:sz w:val="20"/>
                <w:szCs w:val="20"/>
                <w:color w:val="auto"/>
              </w:rPr>
            </w:pPr>
            <w:r>
              <w:rPr>
                <w:rFonts w:ascii="Arial" w:cs="Arial" w:eastAsia="Arial" w:hAnsi="Arial"/>
                <w:sz w:val="18"/>
                <w:szCs w:val="18"/>
                <w:color w:val="0000FF"/>
                <w:w w:val="87"/>
              </w:rPr>
              <w:t>1,304,845</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I</w:t>
            </w:r>
          </w:p>
        </w:tc>
        <w:tc>
          <w:tcPr>
            <w:tcW w:w="780" w:type="dxa"/>
            <w:vAlign w:val="bottom"/>
            <w:tcBorders>
              <w:bottom w:val="single" w:sz="8" w:color="2C2C2C"/>
            </w:tcBorders>
          </w:tcPr>
          <w:p>
            <w:pPr>
              <w:ind w:left="60"/>
              <w:spacing w:after="0" w:line="324" w:lineRule="exact"/>
              <w:rPr>
                <w:sz w:val="20"/>
                <w:szCs w:val="20"/>
                <w:color w:val="auto"/>
              </w:rPr>
            </w:pPr>
            <w:r>
              <w:rPr>
                <w:rFonts w:ascii="Arial" w:cs="Arial" w:eastAsia="Arial" w:hAnsi="Arial"/>
                <w:sz w:val="35"/>
                <w:szCs w:val="35"/>
                <w:color w:val="0000FF"/>
                <w:vertAlign w:val="subscript"/>
              </w:rPr>
              <w:t>(1)</w:t>
            </w:r>
            <w:r>
              <w:rPr>
                <w:rFonts w:ascii="Arial" w:cs="Arial" w:eastAsia="Arial" w:hAnsi="Arial"/>
                <w:sz w:val="11"/>
                <w:szCs w:val="11"/>
                <w:color w:val="008000"/>
              </w:rPr>
              <w:t>(1)</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28"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are beneficially owned by Hanson Capital Partners, L.L.C. ("HCP"), a Delaware limited liability company, which is currently comprised of the Luise V. Hanson Qualified Terminable Interest Property Marital Deduction Trust (the "QTIP Trust"), the Luise V. Hanson Revocable Trust dated September 22, 1984 (the "Revocable Trust") and John V. Hanson, Mary Joan Boman and Paul D. Hanson, each in their individual capacity. John V. Hanson, Mary Joan Boman and Paul D. Hanson are the Managing Members of HCP. John V. Hanson, Mary Joan Boman, Paul D. Hanson and Bessemer Trust Company, N.A. are co-trustees under the QTIP Trust and the Revocable Trust which have a 34.8% and 64.6% membership interest in HCP, respectively. John V. Hanson, Mary Joan Boman and Paul D. Hanson each have, in their individual capacity, a .2% membership interest in HCP.</w:t>
      </w:r>
    </w:p>
    <w:p>
      <w:pPr>
        <w:sectPr>
          <w:pgSz w:w="11900" w:h="16838" w:orient="portrait"/>
          <w:cols w:equalWidth="0" w:num="1">
            <w:col w:w="11420"/>
          </w:cols>
          <w:pgMar w:left="240" w:top="226" w:right="239" w:bottom="1440" w:gutter="0" w:footer="0" w:header="0"/>
          <w:type w:val="continuous"/>
        </w:sectPr>
      </w:pPr>
    </w:p>
    <w:p>
      <w:pPr>
        <w:spacing w:after="0" w:line="6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Raymond M. Beebe,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6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60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Secretary, Winnebago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785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85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804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0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366" w:lineRule="exact"/>
        <w:rPr>
          <w:sz w:val="24"/>
          <w:szCs w:val="24"/>
          <w:color w:val="auto"/>
        </w:rPr>
      </w:pPr>
    </w:p>
    <w:p>
      <w:pPr>
        <w:spacing w:after="0"/>
        <w:rPr>
          <w:sz w:val="20"/>
          <w:szCs w:val="20"/>
          <w:color w:val="auto"/>
        </w:rPr>
      </w:pPr>
      <w:r>
        <w:rPr>
          <w:rFonts w:ascii="Arial" w:cs="Arial" w:eastAsia="Arial" w:hAnsi="Arial"/>
          <w:sz w:val="15"/>
          <w:szCs w:val="15"/>
          <w:color w:val="0000FF"/>
        </w:rPr>
        <w:t>01/11/2007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40" w:space="1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226271"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2019-12-16T07:24:55Z</dcterms:created>
  <dcterms:modified xsi:type="dcterms:W3CDTF">2019-12-16T07:24:55Z</dcterms:modified>
</cp:coreProperties>
</file>