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38" w:lineRule="auto"/>
        <w:rPr>
          <w:sz w:val="20"/>
          <w:szCs w:val="20"/>
          <w:color w:val="auto"/>
        </w:rPr>
      </w:pPr>
      <w:r>
        <w:rPr>
          <w:rFonts w:ascii="Courier New" w:cs="Courier New" w:eastAsia="Courier New" w:hAnsi="Courier New"/>
          <w:sz w:val="18"/>
          <w:szCs w:val="18"/>
          <w:color w:val="auto"/>
        </w:rPr>
        <w:t>____</w:t>
      </w:r>
    </w:p>
    <w:p>
      <w:pPr>
        <w:spacing w:after="0" w:line="5" w:lineRule="exact"/>
        <w:rPr>
          <w:sz w:val="24"/>
          <w:szCs w:val="24"/>
          <w:color w:val="auto"/>
        </w:rPr>
      </w:pPr>
    </w:p>
    <w:p>
      <w:pPr>
        <w:ind w:left="860" w:right="4619" w:hanging="641"/>
        <w:spacing w:after="0" w:line="290" w:lineRule="auto"/>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November 27, 1993</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OR</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tabs>
          <w:tab w:leader="none" w:pos="62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TRANSITION REPORT PURSUANT TO SECTION 13 OR 15(d)</w:t>
      </w:r>
    </w:p>
    <w:p>
      <w:pPr>
        <w:ind w:left="740"/>
        <w:spacing w:after="0" w:line="237"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For the transition period from __________ to</w:t>
      </w:r>
      <w:r>
        <w:rPr>
          <w:sz w:val="20"/>
          <w:szCs w:val="20"/>
          <w:color w:val="auto"/>
        </w:rPr>
        <w:tab/>
      </w:r>
      <w:r>
        <w:rPr>
          <w:rFonts w:ascii="Courier New" w:cs="Courier New" w:eastAsia="Courier New" w:hAnsi="Courier New"/>
          <w:sz w:val="16"/>
          <w:szCs w:val="16"/>
          <w:color w:val="auto"/>
        </w:rPr>
        <w:t>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ind w:left="1060"/>
              <w:spacing w:after="0"/>
              <w:rPr>
                <w:sz w:val="20"/>
                <w:szCs w:val="20"/>
                <w:color w:val="auto"/>
              </w:rPr>
            </w:pPr>
            <w:r>
              <w:rPr>
                <w:rFonts w:ascii="Courier New" w:cs="Courier New" w:eastAsia="Courier New" w:hAnsi="Courier New"/>
                <w:sz w:val="18"/>
                <w:szCs w:val="18"/>
                <w:color w:val="auto"/>
              </w:rPr>
              <w:t>IOWA</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42-0802678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3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3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50436</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principal executive offices)</w:t>
            </w:r>
          </w:p>
        </w:tc>
        <w:tc>
          <w:tcPr>
            <w:tcW w:w="2780" w:type="dxa"/>
            <w:vAlign w:val="bottom"/>
            <w:gridSpan w:val="2"/>
          </w:tcPr>
          <w:p>
            <w:pPr>
              <w:jc w:val="right"/>
              <w:ind w:right="137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w w:val="98"/>
              </w:rPr>
              <w:t>Registrant's telephone number, including</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area code: (515) 582-3535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Indicate</w:t>
            </w:r>
          </w:p>
        </w:tc>
        <w:tc>
          <w:tcPr>
            <w:tcW w:w="4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by check mark whether the registrant (1)</w:t>
            </w:r>
          </w:p>
        </w:tc>
        <w:tc>
          <w:tcPr>
            <w:tcW w:w="18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has</w:t>
            </w:r>
          </w:p>
        </w:tc>
      </w:tr>
      <w:tr>
        <w:trPr>
          <w:trHeight w:val="203"/>
        </w:trPr>
        <w:tc>
          <w:tcPr>
            <w:tcW w:w="5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filed all reports required to be filed by Section</w:t>
            </w:r>
          </w:p>
        </w:tc>
        <w:tc>
          <w:tcPr>
            <w:tcW w:w="1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13 or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15(d) of</w:t>
            </w:r>
          </w:p>
        </w:tc>
        <w:tc>
          <w:tcPr>
            <w:tcW w:w="6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Securities Exchange Act of 1934 during the</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preceding 12 months (or for such shorter</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period that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registrant was required to file such</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reports), and (2) has been</w:t>
            </w:r>
          </w:p>
        </w:tc>
      </w:tr>
      <w:tr>
        <w:trPr>
          <w:trHeight w:val="203"/>
        </w:trPr>
        <w:tc>
          <w:tcPr>
            <w:tcW w:w="7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subject to such filing requirements for the past 90 days.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Yes   X</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____.</w:t>
            </w: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7" w:lineRule="exact"/>
        <w:rPr>
          <w:sz w:val="24"/>
          <w:szCs w:val="24"/>
          <w:color w:val="auto"/>
        </w:rPr>
      </w:pPr>
    </w:p>
    <w:p>
      <w:pPr>
        <w:ind w:left="1480" w:right="3779" w:hanging="619"/>
        <w:spacing w:after="0" w:line="235" w:lineRule="auto"/>
        <w:tabs>
          <w:tab w:leader="none" w:pos="1460" w:val="left"/>
        </w:tabs>
        <w:rPr>
          <w:sz w:val="20"/>
          <w:szCs w:val="20"/>
          <w:color w:val="auto"/>
        </w:rPr>
      </w:pPr>
      <w:r>
        <w:rPr>
          <w:rFonts w:ascii="Courier New" w:cs="Courier New" w:eastAsia="Courier New" w:hAnsi="Courier New"/>
          <w:sz w:val="18"/>
          <w:szCs w:val="18"/>
          <w:color w:val="auto"/>
        </w:rPr>
        <w:t>There</w:t>
        <w:tab/>
        <w:t>were 25,144,852 shares of $.50 par value common stock outstanding on January 6, 1994.</w:t>
      </w:r>
    </w:p>
    <w:p>
      <w:pPr>
        <w:spacing w:after="0" w:line="200" w:lineRule="exact"/>
        <w:rPr>
          <w:sz w:val="24"/>
          <w:szCs w:val="24"/>
          <w:color w:val="auto"/>
        </w:rPr>
      </w:pPr>
    </w:p>
    <w:p>
      <w:pPr>
        <w:spacing w:after="0" w:line="205"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WINNEBAGO INDUSTRIES, INC. AND SUBSIDIARIES</w:t>
      </w:r>
    </w:p>
    <w:p>
      <w:pPr>
        <w:ind w:left="1580"/>
        <w:spacing w:after="0" w:line="238" w:lineRule="auto"/>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6060" w:type="dxa"/>
            <w:vAlign w:val="bottom"/>
            <w:gridSpan w:val="2"/>
          </w:tcPr>
          <w:p>
            <w:pPr>
              <w:ind w:left="4900"/>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PART I.  FINANCIAL</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96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(Interim period</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 unaudited)</w:t>
            </w:r>
          </w:p>
        </w:tc>
        <w:tc>
          <w:tcPr>
            <w:tcW w:w="960" w:type="dxa"/>
            <w:vAlign w:val="bottom"/>
          </w:tcPr>
          <w:p>
            <w:pPr>
              <w:spacing w:after="0"/>
              <w:rPr>
                <w:sz w:val="17"/>
                <w:szCs w:val="17"/>
                <w:color w:val="auto"/>
              </w:rPr>
            </w:pPr>
          </w:p>
        </w:tc>
      </w:tr>
      <w:tr>
        <w:trPr>
          <w:trHeight w:val="405"/>
        </w:trPr>
        <w:tc>
          <w:tcPr>
            <w:tcW w:w="70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Consolidated Balance Sheets</w:t>
            </w:r>
          </w:p>
        </w:tc>
        <w:tc>
          <w:tcPr>
            <w:tcW w:w="9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1 &amp; 2</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3</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Consolidated Condensed Statements of Cash Flows</w:t>
            </w: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Condensed Notes to</w:t>
            </w:r>
          </w:p>
        </w:tc>
        <w:tc>
          <w:tcPr>
            <w:tcW w:w="960" w:type="dxa"/>
            <w:vAlign w:val="bottom"/>
          </w:tcPr>
          <w:p>
            <w:pPr>
              <w:spacing w:after="0"/>
              <w:rPr>
                <w:sz w:val="17"/>
                <w:szCs w:val="17"/>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Consolidated</w:t>
            </w:r>
          </w:p>
        </w:tc>
        <w:tc>
          <w:tcPr>
            <w:tcW w:w="4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&amp; 6</w:t>
            </w:r>
          </w:p>
        </w:tc>
      </w:tr>
      <w:tr>
        <w:trPr>
          <w:trHeight w:val="203"/>
        </w:trPr>
        <w:tc>
          <w:tcPr>
            <w:tcW w:w="90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Management's</w:t>
            </w:r>
          </w:p>
        </w:tc>
        <w:tc>
          <w:tcPr>
            <w:tcW w:w="4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Discussion and Analysis of</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58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OTHER INFORMATION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10</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PART I FINANCIAL INFORMATION</w:t>
      </w:r>
    </w:p>
    <w:p>
      <w:pPr>
        <w:ind w:left="1160"/>
        <w:spacing w:after="0" w:line="238" w:lineRule="auto"/>
        <w:rPr>
          <w:sz w:val="20"/>
          <w:szCs w:val="20"/>
          <w:color w:val="auto"/>
        </w:rPr>
      </w:pPr>
      <w:r>
        <w:rPr>
          <w:rFonts w:ascii="Courier New" w:cs="Courier New" w:eastAsia="Courier New" w:hAnsi="Courier New"/>
          <w:sz w:val="18"/>
          <w:szCs w:val="18"/>
          <w:color w:val="auto"/>
        </w:rPr>
        <w:t>WINNEBAGO INDUSTRIES, INC. AND SUBSIDIARIES</w:t>
      </w:r>
    </w:p>
    <w:p>
      <w:pPr>
        <w:ind w:left="2120"/>
        <w:spacing w:after="0"/>
        <w:rPr>
          <w:sz w:val="20"/>
          <w:szCs w:val="20"/>
          <w:color w:val="auto"/>
        </w:rPr>
      </w:pPr>
      <w:r>
        <w:rPr>
          <w:rFonts w:ascii="Courier New" w:cs="Courier New" w:eastAsia="Courier New" w:hAnsi="Courier New"/>
          <w:sz w:val="18"/>
          <w:szCs w:val="18"/>
          <w:color w:val="auto"/>
        </w:rPr>
        <w:t>CONSOLIDATED BALANCE SHEETS</w:t>
      </w:r>
    </w:p>
    <w:p>
      <w:pPr>
        <w:sectPr>
          <w:pgSz w:w="11900" w:h="16838" w:orient="portrait"/>
          <w:cols w:equalWidth="0" w:num="1">
            <w:col w:w="10219"/>
          </w:cols>
          <w:pgMar w:left="240" w:top="852" w:right="1440" w:bottom="2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700" w:type="dxa"/>
            <w:vAlign w:val="bottom"/>
          </w:tcPr>
          <w:p>
            <w:pPr>
              <w:ind w:left="1160"/>
              <w:spacing w:after="0"/>
              <w:rPr>
                <w:sz w:val="20"/>
                <w:szCs w:val="20"/>
                <w:color w:val="auto"/>
              </w:rPr>
            </w:pPr>
            <w:r>
              <w:rPr>
                <w:rFonts w:ascii="Courier New" w:cs="Courier New" w:eastAsia="Courier New" w:hAnsi="Courier New"/>
                <w:sz w:val="18"/>
                <w:szCs w:val="18"/>
                <w:color w:val="auto"/>
              </w:rPr>
              <w:t>ASSETS</w:t>
            </w:r>
          </w:p>
        </w:tc>
        <w:tc>
          <w:tcPr>
            <w:tcW w:w="20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November 27, 1993</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August 28,  1993</w:t>
            </w: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90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$3,465</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$11,238</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2,931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2,309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($2,163 and $2,798, respectively)</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25,396</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29,239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allowance for doubtful</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accounts ($356 and $290, respectively)</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9,542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6,742</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44,339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40,610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4,150</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3,636</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511</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511</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90,334</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94,285</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1,538</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2,153</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39,621</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38,373</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73,557</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72,505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5,925</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5,609</w:t>
            </w: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120,641</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118,640</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82,226</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81,012</w:t>
            </w:r>
          </w:p>
        </w:tc>
      </w:tr>
      <w:tr>
        <w:trPr>
          <w:trHeight w:val="405"/>
        </w:trPr>
        <w:tc>
          <w:tcPr>
            <w:tcW w:w="412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9"/>
              </w:rPr>
              <w:t>Total property and equipment, net</w:t>
            </w: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38,415</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37,628</w:t>
            </w:r>
          </w:p>
        </w:tc>
      </w:tr>
      <w:tr>
        <w:trPr>
          <w:trHeight w:val="405"/>
        </w:trPr>
        <w:tc>
          <w:tcPr>
            <w:tcW w:w="5700" w:type="dxa"/>
            <w:vAlign w:val="bottom"/>
            <w:gridSpan w:val="3"/>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1900" w:type="dxa"/>
            <w:vAlign w:val="bottom"/>
          </w:tcPr>
          <w:p>
            <w:pPr>
              <w:spacing w:after="0"/>
              <w:rPr>
                <w:sz w:val="24"/>
                <w:szCs w:val="24"/>
                <w:color w:val="auto"/>
              </w:rPr>
            </w:pPr>
          </w:p>
        </w:tc>
      </w:tr>
      <w:tr>
        <w:trPr>
          <w:trHeight w:val="203"/>
        </w:trPr>
        <w:tc>
          <w:tcPr>
            <w:tcW w:w="4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($2,017 and $1,362, respectively)</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3,692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4,203</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12,605</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11,853</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2,652</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2,652</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6,338</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6,429</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$154,036</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$157,050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271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November 27, 1993</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August 28,  1993</w:t>
            </w:r>
          </w:p>
        </w:tc>
      </w:tr>
      <w:tr>
        <w:trPr>
          <w:trHeight w:val="203"/>
        </w:trPr>
        <w:tc>
          <w:tcPr>
            <w:tcW w:w="4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c>
          <w:tcPr>
            <w:tcW w:w="178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$2,082</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$1,719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16,534</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19,462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4280" w:type="dxa"/>
            <w:vAlign w:val="bottom"/>
          </w:tcPr>
          <w:p>
            <w:pPr>
              <w:jc w:val="center"/>
              <w:ind w:right="1972"/>
              <w:spacing w:after="0" w:line="203" w:lineRule="exact"/>
              <w:rPr>
                <w:sz w:val="20"/>
                <w:szCs w:val="20"/>
                <w:color w:val="auto"/>
              </w:rPr>
            </w:pPr>
            <w:r>
              <w:rPr>
                <w:rFonts w:ascii="Courier New" w:cs="Courier New" w:eastAsia="Courier New" w:hAnsi="Courier New"/>
                <w:sz w:val="18"/>
                <w:szCs w:val="18"/>
                <w:color w:val="auto"/>
                <w:w w:val="96"/>
              </w:rPr>
              <w:t>Insurance</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6,297</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6,445</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3,195</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2,864</w:t>
            </w:r>
          </w:p>
        </w:tc>
      </w:tr>
      <w:tr>
        <w:trPr>
          <w:trHeight w:val="203"/>
        </w:trPr>
        <w:tc>
          <w:tcPr>
            <w:tcW w:w="4280" w:type="dxa"/>
            <w:vAlign w:val="bottom"/>
          </w:tcPr>
          <w:p>
            <w:pPr>
              <w:jc w:val="center"/>
              <w:ind w:right="1952"/>
              <w:spacing w:after="0" w:line="203" w:lineRule="exact"/>
              <w:rPr>
                <w:sz w:val="20"/>
                <w:szCs w:val="20"/>
                <w:color w:val="auto"/>
              </w:rPr>
            </w:pPr>
            <w:r>
              <w:rPr>
                <w:rFonts w:ascii="Courier New" w:cs="Courier New" w:eastAsia="Courier New" w:hAnsi="Courier New"/>
                <w:sz w:val="18"/>
                <w:szCs w:val="18"/>
                <w:color w:val="auto"/>
                <w:w w:val="97"/>
              </w:rPr>
              <w:t>Promotional</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1,458</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4,636</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7,418</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10,399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Liability on product warranties</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3,220</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4,091</w:t>
            </w:r>
          </w:p>
        </w:tc>
      </w:tr>
      <w:tr>
        <w:trPr>
          <w:trHeight w:val="405"/>
        </w:trPr>
        <w:tc>
          <w:tcPr>
            <w:tcW w:w="428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460" w:type="dxa"/>
            <w:vAlign w:val="bottom"/>
          </w:tcPr>
          <w:p>
            <w:pPr>
              <w:spacing w:after="0"/>
              <w:rPr>
                <w:sz w:val="24"/>
                <w:szCs w:val="24"/>
                <w:color w:val="auto"/>
              </w:rPr>
            </w:pP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40,204</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49,616</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LONG-TERM DEBT AND OBLIGATIONS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280" w:type="dxa"/>
            <w:vAlign w:val="bottom"/>
          </w:tcPr>
          <w:p>
            <w:pPr>
              <w:jc w:val="center"/>
              <w:ind w:right="1952"/>
              <w:spacing w:after="0" w:line="203" w:lineRule="exact"/>
              <w:rPr>
                <w:sz w:val="20"/>
                <w:szCs w:val="20"/>
                <w:color w:val="auto"/>
              </w:rPr>
            </w:pPr>
            <w:r>
              <w:rPr>
                <w:rFonts w:ascii="Courier New" w:cs="Courier New" w:eastAsia="Courier New" w:hAnsi="Courier New"/>
                <w:sz w:val="18"/>
                <w:szCs w:val="18"/>
                <w:color w:val="auto"/>
                <w:w w:val="97"/>
              </w:rPr>
              <w:t>UNDER CAPITAL LEASE</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3,908</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3,183</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POSTRETIREMENT BENEFITS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280" w:type="dxa"/>
            <w:vAlign w:val="bottom"/>
          </w:tcPr>
          <w:p>
            <w:pPr>
              <w:jc w:val="center"/>
              <w:ind w:right="1952"/>
              <w:spacing w:after="0" w:line="203" w:lineRule="exact"/>
              <w:rPr>
                <w:sz w:val="20"/>
                <w:szCs w:val="20"/>
                <w:color w:val="auto"/>
              </w:rPr>
            </w:pPr>
            <w:r>
              <w:rPr>
                <w:rFonts w:ascii="Courier New" w:cs="Courier New" w:eastAsia="Courier New" w:hAnsi="Courier New"/>
                <w:sz w:val="18"/>
                <w:szCs w:val="18"/>
                <w:color w:val="auto"/>
                <w:w w:val="97"/>
              </w:rPr>
              <w:t>OTHER THAN PENSIONS</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40,592</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18,766</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460" w:type="dxa"/>
            <w:vAlign w:val="bottom"/>
          </w:tcPr>
          <w:p>
            <w:pPr>
              <w:spacing w:after="0"/>
              <w:rPr>
                <w:sz w:val="24"/>
                <w:szCs w:val="24"/>
                <w:color w:val="auto"/>
              </w:rPr>
            </w:pP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1,823</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1,823</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w w:val="99"/>
              </w:rPr>
              <w:t>MINORITY INTEREST IN CONSOLIDATED SUBSIDIARY</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2,029</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1,969</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60,000,000 shares</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12,910</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12,908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24,704</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24,811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46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35,567</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52,245</w:t>
            </w: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73,181</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89,964</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6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7,701</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8,271</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68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65,480</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81,693</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9"/>
              </w:rPr>
              <w:t>TOTAL LIABILITIES AND STOCKHOLDERS' EQUITY</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$154,036</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$157,050</w:t>
            </w:r>
          </w:p>
        </w:tc>
      </w:tr>
      <w:tr>
        <w:trPr>
          <w:trHeight w:val="405"/>
        </w:trPr>
        <w:tc>
          <w:tcPr>
            <w:tcW w:w="7700" w:type="dxa"/>
            <w:vAlign w:val="bottom"/>
            <w:gridSpan w:val="4"/>
          </w:tcPr>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tc>
      </w:tr>
      <w:tr>
        <w:trPr>
          <w:trHeight w:val="810"/>
        </w:trPr>
        <w:tc>
          <w:tcPr>
            <w:tcW w:w="59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WINNEBAGO INDUSTRIES, INC. AND SUBSIDIARIES</w:t>
            </w:r>
          </w:p>
        </w:tc>
        <w:tc>
          <w:tcPr>
            <w:tcW w:w="1800" w:type="dxa"/>
            <w:vAlign w:val="bottom"/>
          </w:tcPr>
          <w:p>
            <w:pPr>
              <w:spacing w:after="0"/>
              <w:rPr>
                <w:sz w:val="24"/>
                <w:szCs w:val="24"/>
                <w:color w:val="auto"/>
              </w:rPr>
            </w:pPr>
          </w:p>
        </w:tc>
      </w:tr>
      <w:tr>
        <w:trPr>
          <w:trHeight w:val="203"/>
        </w:trPr>
        <w:tc>
          <w:tcPr>
            <w:tcW w:w="590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w w:val="96"/>
              </w:rPr>
              <w:t>UNAUDITED CONSOLIDATED STATEMENTS OF OPERATIONS</w:t>
            </w:r>
          </w:p>
        </w:tc>
        <w:tc>
          <w:tcPr>
            <w:tcW w:w="1800" w:type="dxa"/>
            <w:vAlign w:val="bottom"/>
          </w:tcPr>
          <w:p>
            <w:pPr>
              <w:spacing w:after="0"/>
              <w:rPr>
                <w:sz w:val="17"/>
                <w:szCs w:val="17"/>
                <w:color w:val="auto"/>
              </w:rPr>
            </w:pP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Thirteen Weeks Ended</w:t>
            </w:r>
          </w:p>
        </w:tc>
      </w:tr>
      <w:tr>
        <w:trPr>
          <w:trHeight w:val="203"/>
        </w:trPr>
        <w:tc>
          <w:tcPr>
            <w:tcW w:w="3860" w:type="dxa"/>
            <w:vAlign w:val="bottom"/>
          </w:tcPr>
          <w:p>
            <w:pPr>
              <w:spacing w:after="0"/>
              <w:rPr>
                <w:sz w:val="17"/>
                <w:szCs w:val="17"/>
                <w:color w:val="auto"/>
              </w:rPr>
            </w:pPr>
          </w:p>
        </w:tc>
        <w:tc>
          <w:tcPr>
            <w:tcW w:w="2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November 27, 1993</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November 28, 1992</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Manufactured products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$99,589</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$78,864</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4,967</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4,552</w:t>
            </w:r>
          </w:p>
        </w:tc>
      </w:tr>
      <w:tr>
        <w:trPr>
          <w:trHeight w:val="203"/>
        </w:trPr>
        <w:tc>
          <w:tcPr>
            <w:tcW w:w="3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net revenues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104,556</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83,416</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manufactured products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85,516</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68,482</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services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2,887</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3,509</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6,026</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4,830</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6,414</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5,660</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expense</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76</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45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Minority interest in net income (loss)</w:t>
            </w: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consol. subsidiary</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(115)</w:t>
            </w:r>
          </w:p>
        </w:tc>
      </w:tr>
      <w:tr>
        <w:trPr>
          <w:trHeight w:val="405"/>
        </w:trPr>
        <w:tc>
          <w:tcPr>
            <w:tcW w:w="3860" w:type="dxa"/>
            <w:vAlign w:val="bottom"/>
          </w:tcPr>
          <w:p>
            <w:pPr>
              <w:ind w:left="740"/>
              <w:spacing w:after="0"/>
              <w:rPr>
                <w:sz w:val="20"/>
                <w:szCs w:val="20"/>
                <w:color w:val="auto"/>
              </w:rPr>
            </w:pPr>
            <w:r>
              <w:rPr>
                <w:rFonts w:ascii="Courier New" w:cs="Courier New" w:eastAsia="Courier New" w:hAnsi="Courier New"/>
                <w:sz w:val="18"/>
                <w:szCs w:val="18"/>
                <w:color w:val="auto"/>
              </w:rPr>
              <w:t>Total costs and expenses</w:t>
            </w:r>
          </w:p>
        </w:tc>
        <w:tc>
          <w:tcPr>
            <w:tcW w:w="6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5"/>
              </w:rPr>
              <w:t>100,979</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82,477</w:t>
            </w:r>
          </w:p>
        </w:tc>
      </w:tr>
      <w:tr>
        <w:trPr>
          <w:trHeight w:val="405"/>
        </w:trPr>
        <w:tc>
          <w:tcPr>
            <w:tcW w:w="3860" w:type="dxa"/>
            <w:vAlign w:val="bottom"/>
          </w:tcPr>
          <w:p>
            <w:pPr>
              <w:ind w:left="1060"/>
              <w:spacing w:after="0"/>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3,577</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939</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6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165</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178</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Income from operations before income taxes*</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3,742</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1,117</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 -</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6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3,742</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1,117</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Cumulative effect of change in</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6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(20,420)</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20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$(16,678)</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$1,117</w:t>
            </w:r>
          </w:p>
        </w:tc>
      </w:tr>
      <w:tr>
        <w:trPr>
          <w:trHeight w:val="405"/>
        </w:trPr>
        <w:tc>
          <w:tcPr>
            <w:tcW w:w="3860" w:type="dxa"/>
            <w:vAlign w:val="bottom"/>
          </w:tcPr>
          <w:p>
            <w:pPr>
              <w:ind w:left="540"/>
              <w:spacing w:after="0"/>
              <w:rPr>
                <w:sz w:val="20"/>
                <w:szCs w:val="20"/>
                <w:color w:val="auto"/>
              </w:rPr>
            </w:pPr>
            <w:r>
              <w:rPr>
                <w:rFonts w:ascii="Courier New" w:cs="Courier New" w:eastAsia="Courier New" w:hAnsi="Courier New"/>
                <w:sz w:val="18"/>
                <w:szCs w:val="18"/>
                <w:color w:val="auto"/>
                <w:w w:val="98"/>
              </w:rPr>
              <w:t>Income (loss) per common share:</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Operations</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$0.15</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3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6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(0.81)</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3860" w:type="dxa"/>
            <w:vAlign w:val="bottom"/>
          </w:tcPr>
          <w:p>
            <w:pPr>
              <w:ind w:left="540"/>
              <w:spacing w:after="0"/>
              <w:rPr>
                <w:sz w:val="20"/>
                <w:szCs w:val="20"/>
                <w:color w:val="auto"/>
              </w:rPr>
            </w:pPr>
            <w:r>
              <w:rPr>
                <w:rFonts w:ascii="Courier New" w:cs="Courier New" w:eastAsia="Courier New" w:hAnsi="Courier New"/>
                <w:sz w:val="18"/>
                <w:szCs w:val="18"/>
                <w:color w:val="auto"/>
              </w:rPr>
              <w:t>Net income (loss)</w:t>
            </w:r>
          </w:p>
        </w:tc>
        <w:tc>
          <w:tcPr>
            <w:tcW w:w="68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$(0.66)</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$0.04</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Weighted average number of shares</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common stock outstanding</w:t>
            </w:r>
          </w:p>
        </w:tc>
        <w:tc>
          <w:tcPr>
            <w:tcW w:w="6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25,137</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25,027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*Before Cumulative Effect of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WINNEBAGO INDUSTRIES, INC. AND SUBSIDIARIES</w:t>
      </w:r>
    </w:p>
    <w:p>
      <w:pPr>
        <w:ind w:left="220"/>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Dollars 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(decrease) in cash and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Thirteen Weeks Ended</w:t>
      </w:r>
    </w:p>
    <w:p>
      <w:pPr>
        <w:spacing w:after="0"/>
        <w:tabs>
          <w:tab w:leader="none" w:pos="2280" w:val="left"/>
        </w:tabs>
        <w:rPr>
          <w:sz w:val="20"/>
          <w:szCs w:val="20"/>
          <w:color w:val="auto"/>
        </w:rPr>
      </w:pPr>
      <w:r>
        <w:rPr>
          <w:rFonts w:ascii="Courier New" w:cs="Courier New" w:eastAsia="Courier New" w:hAnsi="Courier New"/>
          <w:sz w:val="18"/>
          <w:szCs w:val="18"/>
          <w:color w:val="auto"/>
        </w:rPr>
        <w:t>November 27,</w:t>
      </w:r>
      <w:r>
        <w:rPr>
          <w:sz w:val="20"/>
          <w:szCs w:val="20"/>
          <w:color w:val="auto"/>
        </w:rPr>
        <w:tab/>
      </w:r>
      <w:r>
        <w:rPr>
          <w:rFonts w:ascii="Courier New" w:cs="Courier New" w:eastAsia="Courier New" w:hAnsi="Courier New"/>
          <w:sz w:val="16"/>
          <w:szCs w:val="16"/>
          <w:color w:val="auto"/>
        </w:rPr>
        <w:t>November 28,</w:t>
      </w:r>
    </w:p>
    <w:p>
      <w:pPr>
        <w:ind w:left="420"/>
        <w:spacing w:after="0"/>
        <w:tabs>
          <w:tab w:leader="none" w:pos="282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p>
    <w:p>
      <w:pPr>
        <w:spacing w:after="0" w:line="3" w:lineRule="exact"/>
        <w:rPr>
          <w:sz w:val="20"/>
          <w:szCs w:val="20"/>
          <w:color w:val="auto"/>
        </w:rPr>
      </w:pPr>
    </w:p>
    <w:p>
      <w:pPr>
        <w:sectPr>
          <w:pgSz w:w="11900" w:h="16838" w:orient="portrait"/>
          <w:cols w:equalWidth="0" w:num="2">
            <w:col w:w="3720" w:space="720"/>
            <w:col w:w="577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Cash flows from operating activities: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$(16,678)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$1,117</w:t>
      </w:r>
    </w:p>
    <w:p>
      <w:pPr>
        <w:spacing w:after="0" w:line="21" w:lineRule="exact"/>
        <w:rPr>
          <w:sz w:val="20"/>
          <w:szCs w:val="20"/>
          <w:color w:val="auto"/>
        </w:rPr>
      </w:pPr>
    </w:p>
    <w:p>
      <w:pPr>
        <w:sectPr>
          <w:pgSz w:w="11900" w:h="16838" w:orient="portrait"/>
          <w:cols w:equalWidth="0" w:num="3">
            <w:col w:w="3820" w:space="720"/>
            <w:col w:w="1920" w:space="720"/>
            <w:col w:w="303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Adjustments to reconcile net loss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to net cash from operating activities: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change</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7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in accounting principle</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5"/>
              </w:rPr>
              <w:t>20,420</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 -</w:t>
            </w:r>
          </w:p>
        </w:tc>
      </w:tr>
      <w:tr>
        <w:trPr>
          <w:trHeight w:val="203"/>
        </w:trPr>
        <w:tc>
          <w:tcPr>
            <w:tcW w:w="4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1,880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1,945</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bonus plan</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Realized</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unrealized gains</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on investments, net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Postretirement benefits other</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than pensions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1,406</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shareholders' portion</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of consolidated subsidiary's gain (loss)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4,691</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5,310</w:t>
            </w:r>
          </w:p>
        </w:tc>
      </w:tr>
      <w:tr>
        <w:trPr>
          <w:trHeight w:val="203"/>
        </w:trPr>
        <w:tc>
          <w:tcPr>
            <w:tcW w:w="1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Increase</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inventories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(3,729)</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(2,656)</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and accrued expenses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(8,305)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(7,018)</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categories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(1,385)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(1,235)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from investing activities:</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marketable securities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(2,930)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(2,918)</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from the sale of</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marketable</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2,377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1,110</w:t>
            </w:r>
          </w:p>
        </w:tc>
      </w:tr>
      <w:tr>
        <w:trPr>
          <w:trHeight w:val="203"/>
        </w:trPr>
        <w:tc>
          <w:tcPr>
            <w:tcW w:w="4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(2,626)</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(1,469)</w:t>
            </w:r>
          </w:p>
        </w:tc>
      </w:tr>
      <w:tr>
        <w:trPr>
          <w:trHeight w:val="203"/>
        </w:trPr>
        <w:tc>
          <w:tcPr>
            <w:tcW w:w="1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dealer receivables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(8,770)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(5,734)</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from dealer receivables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5,919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1,114</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(1,025)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(1,612)</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investing activities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(7,055)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(9,509)</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from financing</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activities and capital transactions:</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from issuance of long-term debt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807</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long-term debt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(318)</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Net cash provided by financing activities and</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517</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1,840</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(7,773)</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(8,041)</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w:t>
            </w:r>
          </w:p>
        </w:tc>
        <w:tc>
          <w:tcPr>
            <w:tcW w:w="3300" w:type="dxa"/>
            <w:vAlign w:val="bottom"/>
          </w:tcPr>
          <w:p>
            <w:pPr>
              <w:ind w:left="40"/>
              <w:spacing w:after="0"/>
              <w:rPr>
                <w:sz w:val="20"/>
                <w:szCs w:val="20"/>
                <w:color w:val="auto"/>
              </w:rPr>
            </w:pPr>
            <w:r>
              <w:rPr>
                <w:rFonts w:ascii="Courier New" w:cs="Courier New" w:eastAsia="Courier New" w:hAnsi="Courier New"/>
                <w:sz w:val="18"/>
                <w:szCs w:val="18"/>
                <w:color w:val="auto"/>
              </w:rPr>
              <w:t>equivalents -</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period</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11,238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13,286</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w:t>
            </w:r>
          </w:p>
        </w:tc>
        <w:tc>
          <w:tcPr>
            <w:tcW w:w="3300" w:type="dxa"/>
            <w:vAlign w:val="bottom"/>
          </w:tcPr>
          <w:p>
            <w:pPr>
              <w:ind w:left="40"/>
              <w:spacing w:after="0"/>
              <w:rPr>
                <w:sz w:val="20"/>
                <w:szCs w:val="20"/>
                <w:color w:val="auto"/>
              </w:rPr>
            </w:pPr>
            <w:r>
              <w:rPr>
                <w:rFonts w:ascii="Courier New" w:cs="Courier New" w:eastAsia="Courier New" w:hAnsi="Courier New"/>
                <w:sz w:val="18"/>
                <w:szCs w:val="18"/>
                <w:color w:val="auto"/>
                <w:w w:val="99"/>
              </w:rPr>
              <w:t>equivalents - end of period  $</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3,465</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5,245</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See Unaudited</w:t>
            </w:r>
          </w:p>
        </w:tc>
        <w:tc>
          <w:tcPr>
            <w:tcW w:w="6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Condensed Notes to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w:t>
      </w:r>
    </w:p>
    <w:p>
      <w:pPr>
        <w:spacing w:after="0"/>
        <w:rPr>
          <w:sz w:val="20"/>
          <w:szCs w:val="20"/>
          <w:color w:val="auto"/>
        </w:rPr>
      </w:pPr>
      <w:r>
        <w:rPr>
          <w:rFonts w:ascii="Courier New" w:cs="Courier New" w:eastAsia="Courier New" w:hAnsi="Courier New"/>
          <w:sz w:val="18"/>
          <w:szCs w:val="18"/>
          <w:color w:val="auto"/>
        </w:rPr>
        <w:t>TO CONSOLIDATED FINANCIAL STATEMENTS</w:t>
      </w:r>
    </w:p>
    <w:p>
      <w:pPr>
        <w:spacing w:after="0" w:line="206" w:lineRule="exact"/>
        <w:rPr>
          <w:sz w:val="20"/>
          <w:szCs w:val="20"/>
          <w:color w:val="auto"/>
        </w:rPr>
      </w:pPr>
    </w:p>
    <w:p>
      <w:pPr>
        <w:ind w:right="4419" w:firstLine="8"/>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necessary to present fairly the consolidated financial position as of November 27, 1993, the consolidated results of operations and the consolidated cash flows for the 13 weeks ended November 27, 1993 and November 28, 1992.</w:t>
      </w:r>
    </w:p>
    <w:p>
      <w:pPr>
        <w:spacing w:after="0" w:line="211" w:lineRule="exact"/>
        <w:rPr>
          <w:rFonts w:ascii="Courier New" w:cs="Courier New" w:eastAsia="Courier New" w:hAnsi="Courier New"/>
          <w:sz w:val="18"/>
          <w:szCs w:val="18"/>
          <w:color w:val="auto"/>
        </w:rPr>
      </w:pPr>
    </w:p>
    <w:p>
      <w:pPr>
        <w:ind w:right="4519" w:firstLine="8"/>
        <w:spacing w:after="0" w:line="268"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13 weeks ended November 27, 1993, are not necessarily indicative of the results to be expected for the full year.</w:t>
      </w:r>
    </w:p>
    <w:p>
      <w:pPr>
        <w:ind w:right="38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Service revenues, in the Consolidated Statements of Operations, consist of revenues generated by Cycle-Sat, Inc. (Cycle-Sat), and Winnebago Acceptance Corporation</w:t>
      </w:r>
    </w:p>
    <w:p>
      <w:pPr>
        <w:spacing w:after="0" w:line="6" w:lineRule="exact"/>
        <w:rPr>
          <w:rFonts w:ascii="Courier New" w:cs="Courier New" w:eastAsia="Courier New" w:hAnsi="Courier New"/>
          <w:sz w:val="16"/>
          <w:szCs w:val="16"/>
          <w:color w:val="auto"/>
        </w:rPr>
      </w:pPr>
    </w:p>
    <w:p>
      <w:pPr>
        <w:jc w:val="both"/>
        <w:ind w:right="44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(WAC), subsidiaries of the Company. Also during the 13 weeks ended November 28, 1992 service revenues included revenues generated by North Iowa Electronics,</w:t>
      </w:r>
    </w:p>
    <w:p>
      <w:pPr>
        <w:ind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 (NIE), a subsidiary of the Company. NIE was sold during fiscal 1993.</w:t>
      </w:r>
    </w:p>
    <w:p>
      <w:pPr>
        <w:spacing w:after="0" w:line="208" w:lineRule="exact"/>
        <w:rPr>
          <w:rFonts w:ascii="Courier New" w:cs="Courier New" w:eastAsia="Courier New" w:hAnsi="Courier New"/>
          <w:sz w:val="16"/>
          <w:szCs w:val="16"/>
          <w:color w:val="auto"/>
        </w:rPr>
      </w:pPr>
    </w:p>
    <w:p>
      <w:pPr>
        <w:ind w:right="4619" w:firstLine="8"/>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ectPr>
          <w:pgSz w:w="11900" w:h="16838" w:orient="portrait"/>
          <w:cols w:equalWidth="0" w:num="1">
            <w:col w:w="10219"/>
          </w:cols>
          <w:pgMar w:left="240" w:top="136" w:right="1440" w:bottom="0" w:gutter="0" w:footer="0" w:header="0"/>
        </w:sectPr>
      </w:pPr>
    </w:p>
    <w:bookmarkStart w:id="4" w:name="page5"/>
    <w:bookmarkEnd w:id="4"/>
    <w:p>
      <w:pPr>
        <w:ind w:right="4519" w:firstLine="421"/>
        <w:spacing w:after="0" w:line="235" w:lineRule="auto"/>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November 27,</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August 28,</w:t>
            </w:r>
          </w:p>
        </w:tc>
      </w:tr>
      <w:tr>
        <w:trPr>
          <w:trHeight w:val="203"/>
        </w:trPr>
        <w:tc>
          <w:tcPr>
            <w:tcW w:w="1860" w:type="dxa"/>
            <w:vAlign w:val="bottom"/>
          </w:tcPr>
          <w:p>
            <w:pPr>
              <w:spacing w:after="0"/>
              <w:rPr>
                <w:sz w:val="17"/>
                <w:szCs w:val="17"/>
                <w:color w:val="auto"/>
              </w:rPr>
            </w:pPr>
          </w:p>
        </w:tc>
        <w:tc>
          <w:tcPr>
            <w:tcW w:w="17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1993</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7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$17,403</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$16,578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11,937</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11,051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28,847</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26,614</w:t>
            </w:r>
          </w:p>
        </w:tc>
      </w:tr>
      <w:tr>
        <w:trPr>
          <w:trHeight w:val="405"/>
        </w:trPr>
        <w:tc>
          <w:tcPr>
            <w:tcW w:w="186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58,187</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54,243</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LIFO Reserve</w:t>
            </w:r>
          </w:p>
        </w:tc>
        <w:tc>
          <w:tcPr>
            <w:tcW w:w="17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13,848</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13,633</w:t>
            </w:r>
          </w:p>
        </w:tc>
      </w:tr>
      <w:tr>
        <w:trPr>
          <w:trHeight w:val="405"/>
        </w:trPr>
        <w:tc>
          <w:tcPr>
            <w:tcW w:w="186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$44,339</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$40,610</w:t>
            </w:r>
          </w:p>
        </w:tc>
      </w:tr>
    </w:tbl>
    <w:p>
      <w:pPr>
        <w:spacing w:after="0" w:line="207" w:lineRule="exact"/>
        <w:rPr>
          <w:sz w:val="20"/>
          <w:szCs w:val="20"/>
          <w:color w:val="auto"/>
        </w:rPr>
      </w:pPr>
    </w:p>
    <w:p>
      <w:pPr>
        <w:ind w:right="4519" w:firstLine="8"/>
        <w:spacing w:after="0" w:line="236"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entered into a $12,000,000 financing and security agreement with NationsCredit Corporation (NationsCredit) formally Chrysler First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Corporation dated March 26, 1992, as</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Terms of the agreement limit borrowings to the lesser of $12,000,000 or 75% of eligible inventory (fully manufactured recreational vehicles ready for delivery to a</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dealer).  Borrowings are secured by the Company's</w:t>
      </w:r>
    </w:p>
    <w:p>
      <w:pPr>
        <w:spacing w:after="0" w:line="4" w:lineRule="exact"/>
        <w:rPr>
          <w:rFonts w:ascii="Courier New" w:cs="Courier New" w:eastAsia="Courier New" w:hAnsi="Courier New"/>
          <w:sz w:val="18"/>
          <w:szCs w:val="18"/>
          <w:color w:val="auto"/>
        </w:rPr>
      </w:pPr>
    </w:p>
    <w:p>
      <w:pPr>
        <w:ind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receivables and inventory. The agreement requires a graduated interest rate based upon the bank's reference rate as defined within the agreement. The line of credit had an initial term of one year and continues during</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successive one-year periods unless either party provides at least 90-days notice prior to the one-year period to</w:t>
      </w:r>
    </w:p>
    <w:p>
      <w:pPr>
        <w:spacing w:after="0" w:line="5" w:lineRule="exact"/>
        <w:rPr>
          <w:rFonts w:ascii="Courier New" w:cs="Courier New" w:eastAsia="Courier New" w:hAnsi="Courier New"/>
          <w:sz w:val="18"/>
          <w:szCs w:val="18"/>
          <w:color w:val="auto"/>
        </w:rPr>
      </w:pPr>
    </w:p>
    <w:p>
      <w:pPr>
        <w:ind w:right="431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other party that they wish to terminate the line of credit. The agreement prohibits any advances or loans to any subsidiary or affiliate or additional guarantees of any obligations of any subsidiary or affiliate, in either case in excess of $4,000,000 or $7,500,000 in the aggregate for all subsidiaries and affiliates from the date of the agreement. There was no outstanding balance under the line of credit at November 27, 1993.</w:t>
      </w:r>
    </w:p>
    <w:p>
      <w:pPr>
        <w:spacing w:after="0" w:line="180"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w:t>
      </w:r>
    </w:p>
    <w:p>
      <w:pPr>
        <w:spacing w:after="0" w:line="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$113,430,000 and $101,445,000 under repurchase agreements with the lending institutions as of November 27, 1993, and August 28, 1993, respectively. Included in these contingent liabilities are approximately $32,164,000 and</w:t>
      </w:r>
    </w:p>
    <w:p>
      <w:pPr>
        <w:spacing w:after="0" w:line="5"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$27,758,000, respectively, of certain dealer receivables subject to recourse agreements with ITT Commercial Finance Corporation, NationsCredit and John Deere Credit, Inc.</w:t>
      </w:r>
    </w:p>
    <w:p>
      <w:pPr>
        <w:spacing w:after="0" w:line="207" w:lineRule="exact"/>
        <w:rPr>
          <w:sz w:val="20"/>
          <w:szCs w:val="20"/>
          <w:color w:val="auto"/>
        </w:rPr>
      </w:pPr>
    </w:p>
    <w:p>
      <w:pPr>
        <w:ind w:left="860" w:right="3259" w:hanging="852"/>
        <w:spacing w:after="0" w:line="235" w:lineRule="auto"/>
        <w:tabs>
          <w:tab w:leader="none" w:pos="75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year-to-date the Company paid cash for the following (dollars in thousands):</w:t>
      </w: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Thirteen Weeks Ended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November 27,</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November 28,</w:t>
            </w:r>
          </w:p>
        </w:tc>
      </w:tr>
      <w:tr>
        <w:trPr>
          <w:trHeight w:val="203"/>
        </w:trPr>
        <w:tc>
          <w:tcPr>
            <w:tcW w:w="1480" w:type="dxa"/>
            <w:vAlign w:val="bottom"/>
          </w:tcPr>
          <w:p>
            <w:pPr>
              <w:spacing w:after="0"/>
              <w:rPr>
                <w:sz w:val="17"/>
                <w:szCs w:val="17"/>
                <w:color w:val="auto"/>
              </w:rPr>
            </w:pP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1993</w:t>
            </w:r>
          </w:p>
        </w:tc>
        <w:tc>
          <w:tcPr>
            <w:tcW w:w="54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1992</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56</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1,406</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right="3899" w:firstLine="8"/>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November 27, 1993, Postretirement Benefits Other Than Pensions included Deferred Compensation of $19,436,000 and Postretirement Benefits related to health care and other benefits of $21,156,000. Effective August 29, 1993, the Company adopted Statement of Financial Accounting Standards (SFAS) No. 106, "Employers'Accounting for Postretirement Benefits Other Than Pensions" related to health care and other benefits.</w:t>
      </w:r>
    </w:p>
    <w:p>
      <w:pPr>
        <w:spacing w:after="0" w:line="9" w:lineRule="exact"/>
        <w:rPr>
          <w:rFonts w:ascii="Courier New" w:cs="Courier New" w:eastAsia="Courier New" w:hAnsi="Courier New"/>
          <w:sz w:val="18"/>
          <w:szCs w:val="18"/>
          <w:color w:val="auto"/>
        </w:rPr>
      </w:pPr>
    </w:p>
    <w:p>
      <w:pPr>
        <w:ind w:right="46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SFAS No. 106 requires the Company to accrue the estimated cost of retiree benefit payments during the years the employee provides services. The Company</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previously expensed the cost of these benefits, which</w:t>
      </w:r>
    </w:p>
    <w:p>
      <w:pPr>
        <w:spacing w:after="0" w:line="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are principally health care, as claims were incurred. SFAS No. 106 allows recognition of the cumulative effect of the liability in the year of adoption or the</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amortization of the obligation over a period of up to twenty years.</w:t>
      </w:r>
    </w:p>
    <w:p>
      <w:pPr>
        <w:spacing w:after="0" w:line="6" w:lineRule="exact"/>
        <w:rPr>
          <w:sz w:val="20"/>
          <w:szCs w:val="20"/>
          <w:color w:val="auto"/>
        </w:rPr>
      </w:pPr>
    </w:p>
    <w:p>
      <w:pPr>
        <w:ind w:right="4619" w:firstLine="632"/>
        <w:spacing w:after="0" w:line="236" w:lineRule="auto"/>
        <w:rPr>
          <w:sz w:val="20"/>
          <w:szCs w:val="20"/>
          <w:color w:val="auto"/>
        </w:rPr>
      </w:pPr>
      <w:r>
        <w:rPr>
          <w:rFonts w:ascii="Courier New" w:cs="Courier New" w:eastAsia="Courier New" w:hAnsi="Courier New"/>
          <w:sz w:val="18"/>
          <w:szCs w:val="18"/>
          <w:color w:val="auto"/>
        </w:rPr>
        <w:t>The Company has elected to recognize the cumulative effect of this obligation on the immediate recognition</w:t>
      </w:r>
    </w:p>
    <w:p>
      <w:pPr>
        <w:spacing w:after="0" w:line="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basis.</w:t>
      </w:r>
      <w:r>
        <w:rPr>
          <w:sz w:val="20"/>
          <w:szCs w:val="20"/>
          <w:color w:val="auto"/>
        </w:rPr>
        <w:tab/>
      </w:r>
      <w:r>
        <w:rPr>
          <w:rFonts w:ascii="Courier New" w:cs="Courier New" w:eastAsia="Courier New" w:hAnsi="Courier New"/>
          <w:sz w:val="16"/>
          <w:szCs w:val="16"/>
          <w:color w:val="auto"/>
        </w:rPr>
        <w:t>The cumulative effect as of August 29,</w:t>
      </w:r>
    </w:p>
    <w:p>
      <w:pPr>
        <w:spacing w:after="0" w:line="238" w:lineRule="auto"/>
        <w:rPr>
          <w:sz w:val="20"/>
          <w:szCs w:val="20"/>
          <w:color w:val="auto"/>
        </w:rPr>
      </w:pPr>
      <w:r>
        <w:rPr>
          <w:rFonts w:ascii="Courier New" w:cs="Courier New" w:eastAsia="Courier New" w:hAnsi="Courier New"/>
          <w:sz w:val="18"/>
          <w:szCs w:val="18"/>
          <w:color w:val="auto"/>
        </w:rPr>
        <w:t>1993 of adopting SFAS No. 106 was an accrual of</w:t>
      </w:r>
    </w:p>
    <w:p>
      <w:pPr>
        <w:spacing w:after="0"/>
        <w:rPr>
          <w:sz w:val="20"/>
          <w:szCs w:val="20"/>
          <w:color w:val="auto"/>
        </w:rPr>
      </w:pPr>
      <w:r>
        <w:rPr>
          <w:rFonts w:ascii="Courier New" w:cs="Courier New" w:eastAsia="Courier New" w:hAnsi="Courier New"/>
          <w:sz w:val="18"/>
          <w:szCs w:val="18"/>
          <w:color w:val="auto"/>
        </w:rPr>
        <w:t>postretirement health care costs of $20,420,000 and a decrease</w:t>
      </w:r>
    </w:p>
    <w:p>
      <w:pPr>
        <w:spacing w:after="0" w:line="3" w:lineRule="exact"/>
        <w:rPr>
          <w:sz w:val="20"/>
          <w:szCs w:val="20"/>
          <w:color w:val="auto"/>
        </w:rPr>
      </w:pPr>
    </w:p>
    <w:p>
      <w:pPr>
        <w:ind w:right="4199"/>
        <w:spacing w:after="0" w:line="279" w:lineRule="auto"/>
        <w:rPr>
          <w:sz w:val="20"/>
          <w:szCs w:val="20"/>
          <w:color w:val="auto"/>
        </w:rPr>
      </w:pPr>
      <w:r>
        <w:rPr>
          <w:rFonts w:ascii="Courier New" w:cs="Courier New" w:eastAsia="Courier New" w:hAnsi="Courier New"/>
          <w:sz w:val="16"/>
          <w:szCs w:val="16"/>
          <w:color w:val="auto"/>
        </w:rPr>
        <w:t>in net earnings of $20,420,000 ($.81 per share), which has been included in the Company's consolidated statement of operations for the 13 weeks ended November 27, 1993.</w:t>
      </w:r>
    </w:p>
    <w:p>
      <w:pPr>
        <w:spacing w:after="0" w:line="178" w:lineRule="exact"/>
        <w:rPr>
          <w:sz w:val="20"/>
          <w:szCs w:val="20"/>
          <w:color w:val="auto"/>
        </w:rPr>
      </w:pPr>
    </w:p>
    <w:p>
      <w:pPr>
        <w:ind w:right="4839" w:firstLine="632"/>
        <w:spacing w:after="0" w:line="268" w:lineRule="auto"/>
        <w:rPr>
          <w:sz w:val="20"/>
          <w:szCs w:val="20"/>
          <w:color w:val="auto"/>
        </w:rPr>
      </w:pPr>
      <w:r>
        <w:rPr>
          <w:rFonts w:ascii="Courier New" w:cs="Courier New" w:eastAsia="Courier New" w:hAnsi="Courier New"/>
          <w:sz w:val="16"/>
          <w:szCs w:val="16"/>
          <w:color w:val="auto"/>
        </w:rPr>
        <w:t>The effect of adopting SFAS No. 106 on income from continuing operations for the 13 weeks ended</w:t>
      </w:r>
    </w:p>
    <w:p>
      <w:pPr>
        <w:spacing w:after="0" w:line="233" w:lineRule="auto"/>
        <w:rPr>
          <w:sz w:val="20"/>
          <w:szCs w:val="20"/>
          <w:color w:val="auto"/>
        </w:rPr>
      </w:pPr>
      <w:r>
        <w:rPr>
          <w:rFonts w:ascii="Courier New" w:cs="Courier New" w:eastAsia="Courier New" w:hAnsi="Courier New"/>
          <w:sz w:val="18"/>
          <w:szCs w:val="18"/>
          <w:color w:val="auto"/>
        </w:rPr>
        <w:t>November 27, 1993 was a decrease of $736,000 ($.03 per share).</w:t>
      </w:r>
    </w:p>
    <w:p>
      <w:pPr>
        <w:spacing w:after="0" w:line="208" w:lineRule="exact"/>
        <w:rPr>
          <w:sz w:val="20"/>
          <w:szCs w:val="20"/>
          <w:color w:val="auto"/>
        </w:rPr>
      </w:pPr>
    </w:p>
    <w:p>
      <w:pPr>
        <w:ind w:right="4199" w:firstLine="632"/>
        <w:spacing w:after="0" w:line="237" w:lineRule="auto"/>
        <w:rPr>
          <w:sz w:val="20"/>
          <w:szCs w:val="20"/>
          <w:color w:val="auto"/>
        </w:rPr>
      </w:pPr>
      <w:r>
        <w:rPr>
          <w:rFonts w:ascii="Courier New" w:cs="Courier New" w:eastAsia="Courier New" w:hAnsi="Courier New"/>
          <w:sz w:val="18"/>
          <w:szCs w:val="18"/>
          <w:color w:val="auto"/>
        </w:rPr>
        <w:t>The Company provides certain health care and other benefits for certain retired employees who have fulfilled eligibility requirements of age 55 with fifteen years of service. In fiscal year 1993 and 1992, the Company recognized on a "pay-as-you-go" basis expense of $501,000 and $364,000 respectively, for postretirement health care benefits. The Company's postretirement health care plan currently is not funded. The status of the plans is as follows:</w:t>
      </w: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Accumulated postretirement benefit obligation at August 29, 1993: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Retirees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2,745,000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eligible active plan participants</w:t>
            </w:r>
          </w:p>
        </w:tc>
        <w:tc>
          <w:tcPr>
            <w:tcW w:w="4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3,099,000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active plan participants</w:t>
            </w:r>
          </w:p>
        </w:tc>
        <w:tc>
          <w:tcPr>
            <w:tcW w:w="4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14,576,000</w:t>
            </w:r>
          </w:p>
        </w:tc>
      </w:tr>
      <w:tr>
        <w:trPr>
          <w:trHeight w:val="405"/>
        </w:trPr>
        <w:tc>
          <w:tcPr>
            <w:tcW w:w="4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20,420,000</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Net postretirement benefit cost for the 13 weeks</w:t>
            </w:r>
          </w:p>
        </w:tc>
        <w:tc>
          <w:tcPr>
            <w:tcW w:w="14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ended November 27, 1993 consisted of the following components:</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Service cost - benefits earned</w:t>
            </w:r>
          </w:p>
        </w:tc>
        <w:tc>
          <w:tcPr>
            <w:tcW w:w="142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during the quarter</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$406,000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accumulated</w:t>
            </w:r>
          </w:p>
        </w:tc>
        <w:tc>
          <w:tcPr>
            <w:tcW w:w="14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postretirement benefit obligation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330,000</w:t>
            </w:r>
          </w:p>
        </w:tc>
      </w:tr>
      <w:tr>
        <w:trPr>
          <w:trHeight w:val="405"/>
        </w:trPr>
        <w:tc>
          <w:tcPr>
            <w:tcW w:w="5120" w:type="dxa"/>
            <w:vAlign w:val="bottom"/>
          </w:tcPr>
          <w:p>
            <w:pPr>
              <w:spacing w:after="0"/>
              <w:rPr>
                <w:sz w:val="24"/>
                <w:szCs w:val="24"/>
                <w:color w:val="auto"/>
              </w:rPr>
            </w:pP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$736,000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The assumed pre-65 and post 65 health care cost</w:t>
            </w:r>
          </w:p>
        </w:tc>
        <w:tc>
          <w:tcPr>
            <w:tcW w:w="142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trend rates used in measuring the accumulated</w:t>
            </w:r>
          </w:p>
        </w:tc>
        <w:tc>
          <w:tcPr>
            <w:tcW w:w="1420" w:type="dxa"/>
            <w:vAlign w:val="bottom"/>
          </w:tcPr>
          <w:p>
            <w:pPr>
              <w:spacing w:after="0"/>
              <w:rPr>
                <w:sz w:val="17"/>
                <w:szCs w:val="17"/>
                <w:color w:val="auto"/>
              </w:rPr>
            </w:pPr>
          </w:p>
        </w:tc>
      </w:tr>
    </w:tbl>
    <w:p>
      <w:pPr>
        <w:spacing w:after="0" w:line="4"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postretirement benefit obligation as of August 29, 1993 was 10.84% and 10.35%, respectively for 1993, decreasing</w:t>
      </w:r>
    </w:p>
    <w:p>
      <w:pPr>
        <w:spacing w:after="0" w:line="6"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each successive year until it reaches 5.5% in 2014 and 2019, respectively after which it remains constant. A one-percentage-point increase in the assumed health care cost trend rate for each year would increase the accumulated postretirement benefit obligation as</w:t>
      </w:r>
    </w:p>
    <w:p>
      <w:pPr>
        <w:spacing w:after="0" w:line="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8"/>
          <w:szCs w:val="18"/>
          <w:color w:val="auto"/>
        </w:rPr>
        <w:t>of August 29, 1993 and net postretirement health care cost by approximately 27%. The assumed discount rate used in determining the accumulated postretirement benefit obligation was 6.5%.</w:t>
      </w:r>
    </w:p>
    <w:p>
      <w:pPr>
        <w:spacing w:after="0" w:line="207" w:lineRule="exact"/>
        <w:rPr>
          <w:sz w:val="20"/>
          <w:szCs w:val="20"/>
          <w:color w:val="auto"/>
        </w:rPr>
      </w:pPr>
    </w:p>
    <w:p>
      <w:pPr>
        <w:ind w:right="34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November 27, 1993, the Company had a tax loss carryforward for financial reporting purposes of approximately $60,000,000 which will, if unused, expire at various times in fiscal years 2006 through 2008. The Company has not recognized the tax benefits of net operating loss carryforwards due to the uncertainty of future realization.</w:t>
      </w: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Management's Discussion and Analysis of</w:t>
      </w:r>
    </w:p>
    <w:p>
      <w:pPr>
        <w:ind w:left="420"/>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Thirteen Weeks Ended November 27, 1993 Compared to Thirteen Weeks Ended November 28, 1992.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revenues of manufactured products for the 13 weeks</w:t>
      </w:r>
    </w:p>
    <w:p>
      <w:pPr>
        <w:spacing w:after="0" w:line="238" w:lineRule="auto"/>
        <w:rPr>
          <w:sz w:val="20"/>
          <w:szCs w:val="20"/>
          <w:color w:val="auto"/>
        </w:rPr>
      </w:pPr>
      <w:r>
        <w:rPr>
          <w:rFonts w:ascii="Courier New" w:cs="Courier New" w:eastAsia="Courier New" w:hAnsi="Courier New"/>
          <w:sz w:val="18"/>
          <w:szCs w:val="18"/>
          <w:color w:val="auto"/>
        </w:rPr>
        <w:t>ended November 27, 1993 increased $20,725,000 or 26.3</w:t>
      </w:r>
    </w:p>
    <w:p>
      <w:pPr>
        <w:spacing w:after="0"/>
        <w:tabs>
          <w:tab w:leader="none" w:pos="6100" w:val="left"/>
        </w:tabs>
        <w:rPr>
          <w:sz w:val="20"/>
          <w:szCs w:val="20"/>
          <w:color w:val="auto"/>
        </w:rPr>
      </w:pPr>
      <w:r>
        <w:rPr>
          <w:rFonts w:ascii="Courier New" w:cs="Courier New" w:eastAsia="Courier New" w:hAnsi="Courier New"/>
          <w:sz w:val="18"/>
          <w:szCs w:val="18"/>
          <w:color w:val="auto"/>
        </w:rPr>
        <w:t>percent from the 13 week period ended November 28, 1992.</w:t>
      </w:r>
      <w:r>
        <w:rPr>
          <w:sz w:val="20"/>
          <w:szCs w:val="20"/>
          <w:color w:val="auto"/>
        </w:rPr>
        <w:tab/>
      </w:r>
      <w:r>
        <w:rPr>
          <w:rFonts w:ascii="Courier New" w:cs="Courier New" w:eastAsia="Courier New" w:hAnsi="Courier New"/>
          <w:sz w:val="16"/>
          <w:szCs w:val="16"/>
          <w:color w:val="auto"/>
        </w:rPr>
        <w:t>Motor</w:t>
      </w:r>
    </w:p>
    <w:p>
      <w:pPr>
        <w:sectPr>
          <w:pgSz w:w="11900" w:h="16838" w:orient="portrait"/>
          <w:cols w:equalWidth="0" w:num="1">
            <w:col w:w="10219"/>
          </w:cols>
          <w:pgMar w:left="240" w:top="136" w:right="1440" w:bottom="0" w:gutter="0" w:footer="0" w:header="0"/>
        </w:sectPr>
      </w:pPr>
    </w:p>
    <w:bookmarkStart w:id="6" w:name="page7"/>
    <w:bookmarkEnd w:id="6"/>
    <w:p>
      <w:pPr>
        <w:ind w:right="3899"/>
        <w:spacing w:after="0" w:line="236" w:lineRule="auto"/>
        <w:rPr>
          <w:sz w:val="20"/>
          <w:szCs w:val="20"/>
          <w:color w:val="auto"/>
        </w:rPr>
      </w:pPr>
      <w:r>
        <w:rPr>
          <w:rFonts w:ascii="Courier New" w:cs="Courier New" w:eastAsia="Courier New" w:hAnsi="Courier New"/>
          <w:sz w:val="18"/>
          <w:szCs w:val="18"/>
          <w:color w:val="auto"/>
        </w:rPr>
        <w:t>home shipments increased by 345 units or 20.1 percent during the 13 weeks ended November 27, 1993 when compared to the first quarter of fiscal 1993. The growth in</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revenues is attributed to the volume increase in the overall motor home industry and an increase in Winnebago's market</w:t>
      </w:r>
    </w:p>
    <w:p>
      <w:pPr>
        <w:spacing w:after="0" w:line="6"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share as well as a sales mix of larger units. The Company's outlook for the remainder of fiscal 1994 is optimistic</w:t>
      </w:r>
    </w:p>
    <w:p>
      <w:pPr>
        <w:spacing w:after="0" w:line="233" w:lineRule="auto"/>
        <w:rPr>
          <w:sz w:val="20"/>
          <w:szCs w:val="20"/>
          <w:color w:val="auto"/>
        </w:rPr>
      </w:pPr>
      <w:r>
        <w:rPr>
          <w:rFonts w:ascii="Courier New" w:cs="Courier New" w:eastAsia="Courier New" w:hAnsi="Courier New"/>
          <w:sz w:val="18"/>
          <w:szCs w:val="18"/>
          <w:color w:val="auto"/>
        </w:rPr>
        <w:t>due to the most complete motor home lineup in its history.</w:t>
      </w:r>
    </w:p>
    <w:p>
      <w:pPr>
        <w:spacing w:after="0" w:line="208" w:lineRule="exact"/>
        <w:rPr>
          <w:sz w:val="20"/>
          <w:szCs w:val="20"/>
          <w:color w:val="auto"/>
        </w:rPr>
      </w:pPr>
    </w:p>
    <w:p>
      <w:pPr>
        <w:ind w:right="4739"/>
        <w:spacing w:after="0" w:line="268" w:lineRule="auto"/>
        <w:rPr>
          <w:sz w:val="20"/>
          <w:szCs w:val="20"/>
          <w:color w:val="auto"/>
        </w:rPr>
      </w:pPr>
      <w:r>
        <w:rPr>
          <w:rFonts w:ascii="Courier New" w:cs="Courier New" w:eastAsia="Courier New" w:hAnsi="Courier New"/>
          <w:sz w:val="16"/>
          <w:szCs w:val="16"/>
          <w:color w:val="auto"/>
        </w:rPr>
        <w:t>Service revenues for the 13 weeks ended November 27, 1993 increased $415,000 or 9.1 percent from the 13</w:t>
      </w:r>
    </w:p>
    <w:p>
      <w:pPr>
        <w:ind w:right="3579"/>
        <w:spacing w:after="0" w:line="235" w:lineRule="auto"/>
        <w:rPr>
          <w:sz w:val="20"/>
          <w:szCs w:val="20"/>
          <w:color w:val="auto"/>
        </w:rPr>
      </w:pPr>
      <w:r>
        <w:rPr>
          <w:rFonts w:ascii="Courier New" w:cs="Courier New" w:eastAsia="Courier New" w:hAnsi="Courier New"/>
          <w:sz w:val="18"/>
          <w:szCs w:val="18"/>
          <w:color w:val="auto"/>
        </w:rPr>
        <w:t>weeks ended November 28, 1992. This increase can be attributed primarily to increased revenues ($957,000 or 25.3</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percent) by Cycle-Sat due to increased revenues from established customers as well as revenues generated with new</w:t>
      </w:r>
    </w:p>
    <w:p>
      <w:pPr>
        <w:spacing w:after="0" w:line="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customers. This increase was partially offset by the Company's sale of NIE (an electronic component assembly business), during August, 1993.</w:t>
      </w:r>
    </w:p>
    <w:p>
      <w:pPr>
        <w:spacing w:after="0" w:line="209"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Cost of manufactured products, as a percent of manufactured product revenues, was 85.9 percent for the</w:t>
      </w:r>
    </w:p>
    <w:p>
      <w:pPr>
        <w:ind w:right="3039"/>
        <w:spacing w:after="0" w:line="236" w:lineRule="auto"/>
        <w:rPr>
          <w:sz w:val="20"/>
          <w:szCs w:val="20"/>
          <w:color w:val="auto"/>
        </w:rPr>
      </w:pPr>
      <w:r>
        <w:rPr>
          <w:rFonts w:ascii="Courier New" w:cs="Courier New" w:eastAsia="Courier New" w:hAnsi="Courier New"/>
          <w:sz w:val="18"/>
          <w:szCs w:val="18"/>
          <w:color w:val="auto"/>
        </w:rPr>
        <w:t>13 weeks ended November 27, 1993 compared to 86.8 percent for the 13 weeks ended November 28, 1992. This decrease can be attributed primarily to the increase in motor home volume.</w:t>
      </w:r>
    </w:p>
    <w:p>
      <w:pPr>
        <w:spacing w:after="0" w:line="200" w:lineRule="exact"/>
        <w:rPr>
          <w:sz w:val="20"/>
          <w:szCs w:val="20"/>
          <w:color w:val="auto"/>
        </w:rPr>
      </w:pPr>
    </w:p>
    <w:p>
      <w:pPr>
        <w:spacing w:after="0" w:line="211" w:lineRule="exact"/>
        <w:rPr>
          <w:sz w:val="20"/>
          <w:szCs w:val="20"/>
          <w:color w:val="auto"/>
        </w:rPr>
      </w:pPr>
    </w:p>
    <w:p>
      <w:pPr>
        <w:ind w:right="4839"/>
        <w:spacing w:after="0" w:line="268" w:lineRule="auto"/>
        <w:rPr>
          <w:sz w:val="20"/>
          <w:szCs w:val="20"/>
          <w:color w:val="auto"/>
        </w:rPr>
      </w:pPr>
      <w:r>
        <w:rPr>
          <w:rFonts w:ascii="Courier New" w:cs="Courier New" w:eastAsia="Courier New" w:hAnsi="Courier New"/>
          <w:sz w:val="16"/>
          <w:szCs w:val="16"/>
          <w:color w:val="auto"/>
        </w:rPr>
        <w:t>Cost of services, as a percent of service revenues, decreased to 58.1 percent from 77.1 percent when</w:t>
      </w:r>
    </w:p>
    <w:p>
      <w:pPr>
        <w:ind w:right="3039"/>
        <w:spacing w:after="0" w:line="236" w:lineRule="auto"/>
        <w:rPr>
          <w:sz w:val="20"/>
          <w:szCs w:val="20"/>
          <w:color w:val="auto"/>
        </w:rPr>
      </w:pPr>
      <w:r>
        <w:rPr>
          <w:rFonts w:ascii="Courier New" w:cs="Courier New" w:eastAsia="Courier New" w:hAnsi="Courier New"/>
          <w:sz w:val="18"/>
          <w:szCs w:val="18"/>
          <w:color w:val="auto"/>
        </w:rPr>
        <w:t>comparing the 13 weeks ended November 27, 1993 to the 13 weeks ended November 28, 1992. This decrease can be attributed primarily to the increase in revenues at Cycle-Sat.</w:t>
      </w:r>
    </w:p>
    <w:p>
      <w:pPr>
        <w:spacing w:after="0" w:line="209"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Selling and delivery expenses increased by $1,196,000 but remained at 5.8 percent of net revenues when</w:t>
      </w:r>
    </w:p>
    <w:p>
      <w:pPr>
        <w:spacing w:after="0" w:line="233" w:lineRule="auto"/>
        <w:rPr>
          <w:sz w:val="20"/>
          <w:szCs w:val="20"/>
          <w:color w:val="auto"/>
        </w:rPr>
      </w:pPr>
      <w:r>
        <w:rPr>
          <w:rFonts w:ascii="Courier New" w:cs="Courier New" w:eastAsia="Courier New" w:hAnsi="Courier New"/>
          <w:sz w:val="18"/>
          <w:szCs w:val="18"/>
          <w:color w:val="auto"/>
        </w:rPr>
        <w:t>comparing the 13 weeks ended November 27, 1993 to the comparable</w:t>
      </w:r>
    </w:p>
    <w:p>
      <w:pPr>
        <w:spacing w:after="0"/>
        <w:tabs>
          <w:tab w:leader="none" w:pos="2520" w:val="left"/>
        </w:tabs>
        <w:rPr>
          <w:sz w:val="20"/>
          <w:szCs w:val="20"/>
          <w:color w:val="auto"/>
        </w:rPr>
      </w:pPr>
      <w:r>
        <w:rPr>
          <w:rFonts w:ascii="Courier New" w:cs="Courier New" w:eastAsia="Courier New" w:hAnsi="Courier New"/>
          <w:sz w:val="18"/>
          <w:szCs w:val="18"/>
          <w:color w:val="auto"/>
        </w:rPr>
        <w:t>period of fiscal 1993.</w:t>
      </w:r>
      <w:r>
        <w:rPr>
          <w:sz w:val="20"/>
          <w:szCs w:val="20"/>
          <w:color w:val="auto"/>
        </w:rPr>
        <w:tab/>
      </w:r>
      <w:r>
        <w:rPr>
          <w:rFonts w:ascii="Courier New" w:cs="Courier New" w:eastAsia="Courier New" w:hAnsi="Courier New"/>
          <w:sz w:val="16"/>
          <w:szCs w:val="16"/>
          <w:color w:val="auto"/>
        </w:rPr>
        <w:t>The increase in dollars can be</w:t>
      </w:r>
    </w:p>
    <w:p>
      <w:pPr>
        <w:spacing w:after="0" w:line="237" w:lineRule="auto"/>
        <w:rPr>
          <w:sz w:val="20"/>
          <w:szCs w:val="20"/>
          <w:color w:val="auto"/>
        </w:rPr>
      </w:pPr>
      <w:r>
        <w:rPr>
          <w:rFonts w:ascii="Courier New" w:cs="Courier New" w:eastAsia="Courier New" w:hAnsi="Courier New"/>
          <w:sz w:val="18"/>
          <w:szCs w:val="18"/>
          <w:color w:val="auto"/>
        </w:rPr>
        <w:t>attributed primarily to an increase in advertising and promotional</w:t>
      </w:r>
    </w:p>
    <w:p>
      <w:pPr>
        <w:spacing w:after="0"/>
        <w:rPr>
          <w:sz w:val="20"/>
          <w:szCs w:val="20"/>
          <w:color w:val="auto"/>
        </w:rPr>
      </w:pPr>
      <w:r>
        <w:rPr>
          <w:rFonts w:ascii="Courier New" w:cs="Courier New" w:eastAsia="Courier New" w:hAnsi="Courier New"/>
          <w:sz w:val="18"/>
          <w:szCs w:val="18"/>
          <w:color w:val="auto"/>
        </w:rPr>
        <w:t>expenses during the 13 weeks ended November 27, 1993</w:t>
      </w:r>
    </w:p>
    <w:p>
      <w:pPr>
        <w:spacing w:after="0" w:line="237" w:lineRule="auto"/>
        <w:rPr>
          <w:sz w:val="20"/>
          <w:szCs w:val="20"/>
          <w:color w:val="auto"/>
        </w:rPr>
      </w:pPr>
      <w:r>
        <w:rPr>
          <w:rFonts w:ascii="Courier New" w:cs="Courier New" w:eastAsia="Courier New" w:hAnsi="Courier New"/>
          <w:sz w:val="18"/>
          <w:szCs w:val="18"/>
          <w:color w:val="auto"/>
        </w:rPr>
        <w:t>when compared to the 13 weeks ended November 28, 1992.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and administrative expenses increased by</w:t>
      </w:r>
    </w:p>
    <w:p>
      <w:pPr>
        <w:spacing w:after="0" w:line="238" w:lineRule="auto"/>
        <w:rPr>
          <w:sz w:val="20"/>
          <w:szCs w:val="20"/>
          <w:color w:val="auto"/>
        </w:rPr>
      </w:pPr>
      <w:r>
        <w:rPr>
          <w:rFonts w:ascii="Courier New" w:cs="Courier New" w:eastAsia="Courier New" w:hAnsi="Courier New"/>
          <w:sz w:val="18"/>
          <w:szCs w:val="18"/>
          <w:color w:val="auto"/>
        </w:rPr>
        <w:t>$754,000 but decreased to 6.1 percent of net revenues</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from 6.8 percent of net revenues when comparing the 13 weeks ended November 27, 1993 to the comparable period of</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fiscal 1993. The increase in dollars is primarily attributed to the Company's adoption of FASB No. 106 "Employers'</w:t>
      </w:r>
    </w:p>
    <w:p>
      <w:pPr>
        <w:spacing w:after="0" w:line="6" w:lineRule="exact"/>
        <w:rPr>
          <w:sz w:val="20"/>
          <w:szCs w:val="20"/>
          <w:color w:val="auto"/>
        </w:rPr>
      </w:pPr>
    </w:p>
    <w:p>
      <w:pPr>
        <w:ind w:right="3999"/>
        <w:spacing w:after="0" w:line="279" w:lineRule="auto"/>
        <w:rPr>
          <w:sz w:val="20"/>
          <w:szCs w:val="20"/>
          <w:color w:val="auto"/>
        </w:rPr>
      </w:pPr>
      <w:r>
        <w:rPr>
          <w:rFonts w:ascii="Courier New" w:cs="Courier New" w:eastAsia="Courier New" w:hAnsi="Courier New"/>
          <w:sz w:val="16"/>
          <w:szCs w:val="16"/>
          <w:color w:val="auto"/>
        </w:rPr>
        <w:t>Accounting for Postretirement Benefits Other Than Pensions" ($736,000) which requires the Company to record the ongoing incremental cost as a current operating expense.</w:t>
      </w:r>
    </w:p>
    <w:p>
      <w:pPr>
        <w:spacing w:after="0" w:line="178"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The Company had other expense of $76,000 during the 13 weeks ended November 27, 1993 compared to $111,000</w:t>
      </w:r>
    </w:p>
    <w:p>
      <w:pPr>
        <w:spacing w:after="0"/>
        <w:tabs>
          <w:tab w:leader="none" w:pos="4840" w:val="left"/>
        </w:tabs>
        <w:rPr>
          <w:sz w:val="20"/>
          <w:szCs w:val="20"/>
          <w:color w:val="auto"/>
        </w:rPr>
      </w:pPr>
      <w:r>
        <w:rPr>
          <w:rFonts w:ascii="Courier New" w:cs="Courier New" w:eastAsia="Courier New" w:hAnsi="Courier New"/>
          <w:sz w:val="18"/>
          <w:szCs w:val="18"/>
          <w:color w:val="auto"/>
        </w:rPr>
        <w:t>during the 13 weeks ended November 28, 1992.</w:t>
      </w:r>
      <w:r>
        <w:rPr>
          <w:sz w:val="20"/>
          <w:szCs w:val="20"/>
          <w:color w:val="auto"/>
        </w:rPr>
        <w:tab/>
      </w:r>
      <w:r>
        <w:rPr>
          <w:rFonts w:ascii="Courier New" w:cs="Courier New" w:eastAsia="Courier New" w:hAnsi="Courier New"/>
          <w:sz w:val="16"/>
          <w:szCs w:val="16"/>
          <w:color w:val="auto"/>
        </w:rPr>
        <w:t>The primary reason</w:t>
      </w:r>
    </w:p>
    <w:p>
      <w:pPr>
        <w:spacing w:after="0"/>
        <w:rPr>
          <w:sz w:val="20"/>
          <w:szCs w:val="20"/>
          <w:color w:val="auto"/>
        </w:rPr>
      </w:pPr>
      <w:r>
        <w:rPr>
          <w:rFonts w:ascii="Courier New" w:cs="Courier New" w:eastAsia="Courier New" w:hAnsi="Courier New"/>
          <w:sz w:val="18"/>
          <w:szCs w:val="18"/>
          <w:color w:val="auto"/>
        </w:rPr>
        <w:t>for the change when comparing the two periods was the</w:t>
      </w:r>
    </w:p>
    <w:p>
      <w:pPr>
        <w:spacing w:after="0" w:line="237" w:lineRule="auto"/>
        <w:rPr>
          <w:sz w:val="20"/>
          <w:szCs w:val="20"/>
          <w:color w:val="auto"/>
        </w:rPr>
      </w:pPr>
      <w:r>
        <w:rPr>
          <w:rFonts w:ascii="Courier New" w:cs="Courier New" w:eastAsia="Courier New" w:hAnsi="Courier New"/>
          <w:sz w:val="18"/>
          <w:szCs w:val="18"/>
          <w:color w:val="auto"/>
        </w:rPr>
        <w:t>reduction in the Company's provision for losses on the resale of</w:t>
      </w:r>
    </w:p>
    <w:p>
      <w:pPr>
        <w:spacing w:after="0"/>
        <w:rPr>
          <w:sz w:val="20"/>
          <w:szCs w:val="20"/>
          <w:color w:val="auto"/>
        </w:rPr>
      </w:pPr>
      <w:r>
        <w:rPr>
          <w:rFonts w:ascii="Courier New" w:cs="Courier New" w:eastAsia="Courier New" w:hAnsi="Courier New"/>
          <w:sz w:val="18"/>
          <w:szCs w:val="18"/>
          <w:color w:val="auto"/>
        </w:rPr>
        <w:t>motor homes repurchased by the Company under its</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repurchase agreements with financial institutions partially offset by the recording of lease income received by WAC during the period ended November 28, 1992.</w:t>
      </w:r>
    </w:p>
    <w:p>
      <w:pPr>
        <w:spacing w:after="0" w:line="209"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The Company had net financial income of $165,000 during the first quarter of fiscal 1994 compared to $178,000</w:t>
      </w:r>
    </w:p>
    <w:p>
      <w:pPr>
        <w:ind w:right="3679"/>
        <w:spacing w:after="0" w:line="237" w:lineRule="auto"/>
        <w:rPr>
          <w:sz w:val="20"/>
          <w:szCs w:val="20"/>
          <w:color w:val="auto"/>
        </w:rPr>
      </w:pPr>
      <w:r>
        <w:rPr>
          <w:rFonts w:ascii="Courier New" w:cs="Courier New" w:eastAsia="Courier New" w:hAnsi="Courier New"/>
          <w:sz w:val="18"/>
          <w:szCs w:val="18"/>
          <w:color w:val="auto"/>
        </w:rPr>
        <w:t>during the first quarter of fiscal 1993. The Company recorded interest income of $101,000 during the first quarter of fiscal 1994 compared to $98,000 during the first quarter of fiscal 1993. The decrease was primarily due to reduced realized and unrealized capital gains in the Company's marketable securities portfolio.</w:t>
      </w:r>
    </w:p>
    <w:p>
      <w:pPr>
        <w:spacing w:after="0" w:line="210"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For the 13 weeks ended November 27, 1993, the Company realized income from operations of $3,742,000 or $.15</w:t>
      </w:r>
    </w:p>
    <w:p>
      <w:pPr>
        <w:ind w:right="3479"/>
        <w:spacing w:after="0" w:line="235" w:lineRule="auto"/>
        <w:rPr>
          <w:sz w:val="20"/>
          <w:szCs w:val="20"/>
          <w:color w:val="auto"/>
        </w:rPr>
      </w:pPr>
      <w:r>
        <w:rPr>
          <w:rFonts w:ascii="Courier New" w:cs="Courier New" w:eastAsia="Courier New" w:hAnsi="Courier New"/>
          <w:sz w:val="18"/>
          <w:szCs w:val="18"/>
          <w:color w:val="auto"/>
        </w:rPr>
        <w:t>per share. Favorably affecting net income was income of $241,000 ($.01 per share) for Cycle-Sat operations. For the 13</w:t>
      </w:r>
    </w:p>
    <w:p>
      <w:pPr>
        <w:spacing w:after="0" w:line="6"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weeks ended November 28, 1992, the Company realized income from operations and net income of $1,117,000 or $.04</w:t>
      </w:r>
    </w:p>
    <w:p>
      <w:pPr>
        <w:ind w:right="3259"/>
        <w:spacing w:after="0" w:line="235" w:lineRule="auto"/>
        <w:rPr>
          <w:sz w:val="20"/>
          <w:szCs w:val="20"/>
          <w:color w:val="auto"/>
        </w:rPr>
      </w:pPr>
      <w:r>
        <w:rPr>
          <w:rFonts w:ascii="Courier New" w:cs="Courier New" w:eastAsia="Courier New" w:hAnsi="Courier New"/>
          <w:sz w:val="18"/>
          <w:szCs w:val="18"/>
          <w:color w:val="auto"/>
        </w:rPr>
        <w:t>per share; however, unfavorably affecting net income was a loss of $460,000 ($.02 per share) for Cycle-Sat operations.</w:t>
      </w:r>
    </w:p>
    <w:p>
      <w:pPr>
        <w:spacing w:after="0" w:line="208" w:lineRule="exact"/>
        <w:rPr>
          <w:sz w:val="20"/>
          <w:szCs w:val="20"/>
          <w:color w:val="auto"/>
        </w:rPr>
      </w:pPr>
    </w:p>
    <w:p>
      <w:pPr>
        <w:ind w:right="4619"/>
        <w:spacing w:after="0" w:line="279" w:lineRule="auto"/>
        <w:rPr>
          <w:sz w:val="20"/>
          <w:szCs w:val="20"/>
          <w:color w:val="auto"/>
        </w:rPr>
      </w:pPr>
      <w:r>
        <w:rPr>
          <w:rFonts w:ascii="Courier New" w:cs="Courier New" w:eastAsia="Courier New" w:hAnsi="Courier New"/>
          <w:sz w:val="16"/>
          <w:szCs w:val="16"/>
          <w:color w:val="auto"/>
        </w:rPr>
        <w:t>On August 29, 1993, the Company was required to adopt FASB Statement No. 106, "Employers' Accounting for Postretirement Benefits Other Than Pensions" which</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covers health care and other benefits provided to</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retirees and which requires accruing such benefits during the years the employee provides services. This change in</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accounting principles resulted in a cumulative non-cash charge of $20,420,000 or $.81 per share. With the adoption of</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FASB No. 106, the 13 weeks ended November 27, 1993 net loss was $16,678,000 or $.66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Presently, the Company meets its working capital and capital equipment requirements and cash requirements of subsidiaries with funds generated internally and funds from agreements with financial institutions.</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At November 27, 1993, working capital was $50,130,000 an increase of $5,461,000 from the amount at August 28, 1993. The Company's principal sources and uses of cash during the 13 weeks ended November 27, 1993 are set forth in</w:t>
      </w:r>
    </w:p>
    <w:p>
      <w:pPr>
        <w:spacing w:after="0" w:line="5"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the unaudited consolidated condensed statement of cash flows for that period.</w:t>
      </w:r>
    </w:p>
    <w:p>
      <w:pPr>
        <w:spacing w:after="0" w:line="208" w:lineRule="exact"/>
        <w:rPr>
          <w:sz w:val="20"/>
          <w:szCs w:val="20"/>
          <w:color w:val="auto"/>
        </w:rPr>
      </w:pPr>
    </w:p>
    <w:p>
      <w:pPr>
        <w:ind w:right="4739"/>
        <w:spacing w:after="0" w:line="268" w:lineRule="auto"/>
        <w:rPr>
          <w:sz w:val="20"/>
          <w:szCs w:val="20"/>
          <w:color w:val="auto"/>
        </w:rPr>
      </w:pPr>
      <w:r>
        <w:rPr>
          <w:rFonts w:ascii="Courier New" w:cs="Courier New" w:eastAsia="Courier New" w:hAnsi="Courier New"/>
          <w:sz w:val="16"/>
          <w:szCs w:val="16"/>
          <w:color w:val="auto"/>
        </w:rPr>
        <w:t>The Company's principal sources of liquidity at November 27, 1993 consisted of cash in the amount of</w:t>
      </w:r>
    </w:p>
    <w:p>
      <w:pPr>
        <w:spacing w:after="0" w:line="233" w:lineRule="auto"/>
        <w:rPr>
          <w:sz w:val="20"/>
          <w:szCs w:val="20"/>
          <w:color w:val="auto"/>
        </w:rPr>
      </w:pPr>
      <w:r>
        <w:rPr>
          <w:rFonts w:ascii="Courier New" w:cs="Courier New" w:eastAsia="Courier New" w:hAnsi="Courier New"/>
          <w:sz w:val="18"/>
          <w:szCs w:val="18"/>
          <w:color w:val="auto"/>
        </w:rPr>
        <w:t>$3,465,000 and marketable securities in the amount of $2,931,000.</w:t>
      </w:r>
    </w:p>
    <w:p>
      <w:pPr>
        <w:spacing w:after="0" w:line="5"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Included in the cash and marketable securities balance is a $4,000,000 compensating balance as required in the Company's Inventory Floor Planning Financing Agreement with NationsCredit Corporation.</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Principal expected demands at November 27, 1993 on the Company's liquid assets for the remainder of fiscal 1994 include approximately $6,500,000 for capital expenditures consisting primarily of tooling, equipment replacement and new equipment.</w:t>
      </w:r>
    </w:p>
    <w:p>
      <w:pPr>
        <w:spacing w:after="0" w:line="209"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Based upon the above cash and financing resources available (See Notes 4 and 5), management believes that</w:t>
      </w:r>
    </w:p>
    <w:p>
      <w:pPr>
        <w:ind w:right="3159"/>
        <w:spacing w:after="0" w:line="235" w:lineRule="auto"/>
        <w:rPr>
          <w:sz w:val="20"/>
          <w:szCs w:val="20"/>
          <w:color w:val="auto"/>
        </w:rPr>
      </w:pPr>
      <w:r>
        <w:rPr>
          <w:rFonts w:ascii="Courier New" w:cs="Courier New" w:eastAsia="Courier New" w:hAnsi="Courier New"/>
          <w:sz w:val="18"/>
          <w:szCs w:val="18"/>
          <w:color w:val="auto"/>
        </w:rPr>
        <w:t>the Company has adequate sources of financing to meet its remaining fiscal 1994 cash requirements. However, any</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significant adverse events in the market for motor homes or in the economy could have a significant effect on the Company's future cash requirements.</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2000" w:hanging="623"/>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4619"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6, 1994</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Fred G. Dohrmann</w:t>
      </w:r>
    </w:p>
    <w:p>
      <w:pPr>
        <w:jc w:val="right"/>
        <w:ind w:right="2199"/>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6, 1994</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Ed F. Barker</w:t>
      </w:r>
    </w:p>
    <w:p>
      <w:pPr>
        <w:jc w:val="right"/>
        <w:ind w:right="2839"/>
        <w:spacing w:after="0" w:line="238" w:lineRule="auto"/>
        <w:rPr>
          <w:sz w:val="20"/>
          <w:szCs w:val="20"/>
          <w:color w:val="auto"/>
        </w:rPr>
      </w:pPr>
      <w:r>
        <w:rPr>
          <w:rFonts w:ascii="Courier New" w:cs="Courier New" w:eastAsia="Courier New" w:hAnsi="Courier New"/>
          <w:sz w:val="18"/>
          <w:szCs w:val="18"/>
          <w:color w:val="auto"/>
        </w:rPr>
        <w:t>Vice President, Controller and</w:t>
      </w:r>
    </w:p>
    <w:p>
      <w:pPr>
        <w:ind w:left="464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8"/>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2019-12-12T07:28:58Z</dcterms:created>
  <dcterms:modified xsi:type="dcterms:W3CDTF">2019-12-12T07:28:58Z</dcterms:modified>
</cp:coreProperties>
</file>