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4580" w:val="left"/>
          <w:tab w:leader="none" w:pos="7440" w:val="left"/>
        </w:tabs>
        <w:rPr>
          <w:sz w:val="20"/>
          <w:szCs w:val="20"/>
          <w:color w:val="auto"/>
        </w:rPr>
      </w:pPr>
      <w:r>
        <w:rPr>
          <w:rFonts w:ascii="Arial" w:cs="Arial" w:eastAsia="Arial" w:hAnsi="Arial"/>
          <w:sz w:val="18"/>
          <w:szCs w:val="18"/>
          <w:color w:val="auto"/>
        </w:rPr>
        <w:t>CUSIP NO. 974637100</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 OF 15</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Washington, D.C. 20549</w:t>
      </w:r>
    </w:p>
    <w:p>
      <w:pPr>
        <w:spacing w:after="0" w:line="21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Under the Securities Exchange Act of 1934</w:t>
      </w:r>
    </w:p>
    <w:p>
      <w:pPr>
        <w:spacing w:after="0" w:line="1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(Amendment No. )*</w:t>
      </w:r>
    </w:p>
    <w:p>
      <w:pPr>
        <w:spacing w:after="0" w:line="21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Winnebago Industries, Inc.</w:t>
      </w:r>
    </w:p>
    <w:p>
      <w:pPr>
        <w:spacing w:after="0" w:line="1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(Name of Issuer)</w:t>
      </w:r>
    </w:p>
    <w:p>
      <w:pPr>
        <w:spacing w:after="0" w:line="21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Common Stock ($.50 par value)</w:t>
      </w:r>
    </w:p>
    <w:p>
      <w:pPr>
        <w:spacing w:after="0" w:line="1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(Title of Class of Securities)</w:t>
      </w:r>
    </w:p>
    <w:p>
      <w:pPr>
        <w:spacing w:after="0" w:line="21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974637100</w:t>
      </w:r>
    </w:p>
    <w:p>
      <w:pPr>
        <w:spacing w:after="0" w:line="1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(CUSIP Number)</w:t>
      </w:r>
    </w:p>
    <w:p>
      <w:pPr>
        <w:spacing w:after="0" w:line="21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December 31, 2007</w:t>
      </w:r>
    </w:p>
    <w:p>
      <w:pPr>
        <w:spacing w:after="0" w:line="1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(Date of Event Which Requires Filing of this Statement)</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12"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x </w:t>
      </w:r>
      <w:r>
        <w:rPr>
          <w:rFonts w:ascii="Arial" w:cs="Arial" w:eastAsia="Arial" w:hAnsi="Arial"/>
          <w:sz w:val="17"/>
          <w:szCs w:val="17"/>
          <w:color w:val="auto"/>
        </w:rPr>
        <w:t>Rule 13d-1(b)</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auto"/>
        </w:rPr>
        <w:t>o Rule 13d-1(c)</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o Rule 13d-1(d)</w:t>
      </w:r>
    </w:p>
    <w:p>
      <w:pPr>
        <w:spacing w:after="0" w:line="21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6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180"/>
          </w:cols>
          <w:pgMar w:left="240" w:top="239" w:right="479" w:bottom="1440" w:gutter="0" w:footer="0" w:header="0"/>
        </w:sectPr>
      </w:pPr>
    </w:p>
    <w:bookmarkStart w:id="1" w:name="page2"/>
    <w:bookmarkEnd w:id="1"/>
    <w:p>
      <w:pPr>
        <w:spacing w:after="0"/>
        <w:tabs>
          <w:tab w:leader="none" w:pos="4580" w:val="left"/>
          <w:tab w:leader="none" w:pos="7440" w:val="left"/>
        </w:tabs>
        <w:rPr>
          <w:sz w:val="20"/>
          <w:szCs w:val="20"/>
          <w:color w:val="auto"/>
        </w:rPr>
      </w:pPr>
      <w:r>
        <w:rPr>
          <w:rFonts w:ascii="Arial" w:cs="Arial" w:eastAsia="Arial" w:hAnsi="Arial"/>
          <w:sz w:val="18"/>
          <w:szCs w:val="18"/>
          <w:color w:val="auto"/>
        </w:rPr>
        <w:t>CUSIP NO. 974637100</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15</w:t>
      </w:r>
    </w:p>
    <w:p>
      <w:pPr>
        <w:spacing w:after="0" w:line="225" w:lineRule="exact"/>
        <w:rPr>
          <w:sz w:val="20"/>
          <w:szCs w:val="20"/>
          <w:color w:val="auto"/>
        </w:rPr>
      </w:pPr>
    </w:p>
    <w:p>
      <w:pPr>
        <w:ind w:left="660" w:right="6799" w:hanging="652"/>
        <w:spacing w:after="0" w:line="598"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NAMES OF REPORTING PERSONS. Franklin Resources, Inc.</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52" w:lineRule="exact"/>
        <w:rPr>
          <w:rFonts w:ascii="Arial" w:cs="Arial" w:eastAsia="Arial" w:hAnsi="Arial"/>
          <w:sz w:val="18"/>
          <w:szCs w:val="18"/>
          <w:color w:val="auto"/>
        </w:rPr>
      </w:pPr>
    </w:p>
    <w:p>
      <w:pPr>
        <w:spacing w:after="0"/>
        <w:tabs>
          <w:tab w:leader="none" w:pos="0" w:val="left"/>
        </w:tabs>
        <w:numPr>
          <w:ilvl w:val="1"/>
          <w:numId w:val="1"/>
        </w:numPr>
        <w:rPr>
          <w:rFonts w:ascii="Arial" w:cs="Arial" w:eastAsia="Arial" w:hAnsi="Arial"/>
          <w:sz w:val="18"/>
          <w:szCs w:val="18"/>
          <w:color w:val="auto"/>
        </w:rPr>
      </w:pPr>
    </w:p>
    <w:p>
      <w:pPr>
        <w:spacing w:after="0" w:line="63" w:lineRule="exact"/>
        <w:rPr>
          <w:rFonts w:ascii="Arial" w:cs="Arial" w:eastAsia="Arial" w:hAnsi="Arial"/>
          <w:sz w:val="18"/>
          <w:szCs w:val="18"/>
          <w:color w:val="auto"/>
        </w:rPr>
      </w:pPr>
    </w:p>
    <w:p>
      <w:pPr>
        <w:ind w:left="900" w:hanging="244"/>
        <w:spacing w:after="0"/>
        <w:tabs>
          <w:tab w:leader="none" w:pos="900" w:val="left"/>
        </w:tabs>
        <w:numPr>
          <w:ilvl w:val="1"/>
          <w:numId w:val="1"/>
        </w:numPr>
        <w:rPr>
          <w:rFonts w:ascii="Arial" w:cs="Arial" w:eastAsia="Arial" w:hAnsi="Arial"/>
          <w:sz w:val="18"/>
          <w:szCs w:val="18"/>
          <w:color w:val="auto"/>
        </w:rPr>
      </w:pPr>
      <w:r>
        <w:rPr>
          <w:rFonts w:ascii="Arial" w:cs="Arial" w:eastAsia="Arial" w:hAnsi="Arial"/>
          <w:sz w:val="18"/>
          <w:szCs w:val="18"/>
          <w:color w:val="auto"/>
        </w:rPr>
        <w:t>X</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660" w:right="5979" w:hanging="652"/>
        <w:spacing w:after="0" w:line="53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25" w:lineRule="exact"/>
        <w:rPr>
          <w:sz w:val="20"/>
          <w:szCs w:val="20"/>
          <w:color w:val="auto"/>
        </w:rPr>
      </w:pPr>
    </w:p>
    <w:p>
      <w:pPr>
        <w:ind w:left="1300" w:right="7099" w:hanging="644"/>
        <w:spacing w:after="0" w:line="563"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SOLE VOTING POWER (See Item 4)</w:t>
      </w:r>
    </w:p>
    <w:p>
      <w:pPr>
        <w:spacing w:after="0" w:line="1" w:lineRule="exact"/>
        <w:rPr>
          <w:rFonts w:ascii="Arial" w:cs="Arial" w:eastAsia="Arial" w:hAnsi="Arial"/>
          <w:sz w:val="18"/>
          <w:szCs w:val="18"/>
          <w:color w:val="auto"/>
        </w:rPr>
      </w:pPr>
    </w:p>
    <w:p>
      <w:pPr>
        <w:ind w:left="1300" w:right="6839" w:hanging="644"/>
        <w:spacing w:after="0" w:line="563"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SHARED VOTING POWER 0</w:t>
      </w:r>
    </w:p>
    <w:p>
      <w:pPr>
        <w:spacing w:after="0" w:line="1" w:lineRule="exact"/>
        <w:rPr>
          <w:rFonts w:ascii="Arial" w:cs="Arial" w:eastAsia="Arial" w:hAnsi="Arial"/>
          <w:sz w:val="18"/>
          <w:szCs w:val="18"/>
          <w:color w:val="auto"/>
        </w:rPr>
      </w:pPr>
    </w:p>
    <w:p>
      <w:pPr>
        <w:ind w:left="1300" w:right="6719" w:hanging="644"/>
        <w:spacing w:after="0" w:line="563"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SOLE DISPOSITIVE POWER (See Item 4)</w:t>
      </w:r>
    </w:p>
    <w:p>
      <w:pPr>
        <w:spacing w:after="0" w:line="1" w:lineRule="exact"/>
        <w:rPr>
          <w:rFonts w:ascii="Arial" w:cs="Arial" w:eastAsia="Arial" w:hAnsi="Arial"/>
          <w:sz w:val="18"/>
          <w:szCs w:val="18"/>
          <w:color w:val="auto"/>
        </w:rPr>
      </w:pPr>
    </w:p>
    <w:p>
      <w:pPr>
        <w:ind w:left="1300" w:right="6439" w:hanging="644"/>
        <w:spacing w:after="0" w:line="563"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660" w:right="3159" w:hanging="652"/>
        <w:spacing w:after="0" w:line="53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1,841,600</w:t>
      </w:r>
    </w:p>
    <w:p>
      <w:pPr>
        <w:ind w:left="660" w:right="4579" w:hanging="652"/>
        <w:spacing w:after="0" w:line="29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w:t>
      </w:r>
    </w:p>
    <w:p>
      <w:pPr>
        <w:spacing w:after="0" w:line="186" w:lineRule="exact"/>
        <w:rPr>
          <w:rFonts w:ascii="Arial" w:cs="Arial" w:eastAsia="Arial" w:hAnsi="Arial"/>
          <w:sz w:val="18"/>
          <w:szCs w:val="18"/>
          <w:color w:val="auto"/>
        </w:rPr>
      </w:pPr>
    </w:p>
    <w:p>
      <w:pPr>
        <w:ind w:left="660" w:right="4619" w:hanging="652"/>
        <w:spacing w:after="0" w:line="53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 6.4%</w:t>
      </w:r>
    </w:p>
    <w:p>
      <w:pPr>
        <w:ind w:left="660" w:right="7119" w:hanging="652"/>
        <w:spacing w:after="0" w:line="649"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TYPE OF REPORTING PERSON HC, CO (See Item 4)</w:t>
      </w:r>
    </w:p>
    <w:p>
      <w:pPr>
        <w:sectPr>
          <w:pgSz w:w="11900" w:h="16838" w:orient="portrait"/>
          <w:cols w:equalWidth="0" w:num="1">
            <w:col w:w="10219"/>
          </w:cols>
          <w:pgMar w:left="240" w:top="131" w:right="1440" w:bottom="1440" w:gutter="0" w:footer="0" w:header="0"/>
        </w:sectPr>
      </w:pPr>
    </w:p>
    <w:bookmarkStart w:id="2" w:name="page3"/>
    <w:bookmarkEnd w:id="2"/>
    <w:p>
      <w:pPr>
        <w:spacing w:after="0"/>
        <w:tabs>
          <w:tab w:leader="none" w:pos="4580" w:val="left"/>
          <w:tab w:leader="none" w:pos="7440" w:val="left"/>
        </w:tabs>
        <w:rPr>
          <w:sz w:val="20"/>
          <w:szCs w:val="20"/>
          <w:color w:val="auto"/>
        </w:rPr>
      </w:pPr>
      <w:r>
        <w:rPr>
          <w:rFonts w:ascii="Arial" w:cs="Arial" w:eastAsia="Arial" w:hAnsi="Arial"/>
          <w:sz w:val="18"/>
          <w:szCs w:val="18"/>
          <w:color w:val="auto"/>
        </w:rPr>
        <w:t>CUSIP NO. 974637100</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3 OF 15</w:t>
      </w:r>
    </w:p>
    <w:p>
      <w:pPr>
        <w:spacing w:after="0" w:line="225"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36" w:lineRule="exact"/>
        <w:rPr>
          <w:rFonts w:ascii="Arial" w:cs="Arial" w:eastAsia="Arial" w:hAnsi="Arial"/>
          <w:sz w:val="18"/>
          <w:szCs w:val="18"/>
          <w:color w:val="auto"/>
        </w:rPr>
      </w:pPr>
    </w:p>
    <w:p>
      <w:pPr>
        <w:ind w:left="660" w:right="4079"/>
        <w:spacing w:after="0" w:line="548"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Charles B. Johnson</w:t>
      </w: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52" w:lineRule="exact"/>
        <w:rPr>
          <w:rFonts w:ascii="Arial" w:cs="Arial" w:eastAsia="Arial" w:hAnsi="Arial"/>
          <w:sz w:val="18"/>
          <w:szCs w:val="18"/>
          <w:color w:val="auto"/>
        </w:rPr>
      </w:pPr>
    </w:p>
    <w:p>
      <w:pPr>
        <w:spacing w:after="0"/>
        <w:tabs>
          <w:tab w:leader="none" w:pos="0" w:val="left"/>
        </w:tabs>
        <w:numPr>
          <w:ilvl w:val="1"/>
          <w:numId w:val="4"/>
        </w:numPr>
        <w:rPr>
          <w:rFonts w:ascii="Arial" w:cs="Arial" w:eastAsia="Arial" w:hAnsi="Arial"/>
          <w:sz w:val="18"/>
          <w:szCs w:val="18"/>
          <w:color w:val="auto"/>
        </w:rPr>
      </w:pPr>
    </w:p>
    <w:p>
      <w:pPr>
        <w:spacing w:after="0" w:line="36"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X</w:t>
      </w:r>
    </w:p>
    <w:p>
      <w:pPr>
        <w:spacing w:after="0" w:line="279"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25" w:lineRule="exact"/>
        <w:rPr>
          <w:sz w:val="20"/>
          <w:szCs w:val="20"/>
          <w:color w:val="auto"/>
        </w:rPr>
      </w:pPr>
    </w:p>
    <w:p>
      <w:pPr>
        <w:ind w:left="1300" w:right="7099" w:hanging="644"/>
        <w:spacing w:after="0" w:line="563"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VOTING POWER (See Item 4)</w:t>
      </w:r>
    </w:p>
    <w:p>
      <w:pPr>
        <w:spacing w:after="0" w:line="1" w:lineRule="exact"/>
        <w:rPr>
          <w:rFonts w:ascii="Arial" w:cs="Arial" w:eastAsia="Arial" w:hAnsi="Arial"/>
          <w:sz w:val="18"/>
          <w:szCs w:val="18"/>
          <w:color w:val="auto"/>
        </w:rPr>
      </w:pPr>
    </w:p>
    <w:p>
      <w:pPr>
        <w:ind w:left="1300" w:right="6839" w:hanging="644"/>
        <w:spacing w:after="0" w:line="563"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VOTING POWER 0</w:t>
      </w:r>
    </w:p>
    <w:p>
      <w:pPr>
        <w:spacing w:after="0" w:line="1" w:lineRule="exact"/>
        <w:rPr>
          <w:rFonts w:ascii="Arial" w:cs="Arial" w:eastAsia="Arial" w:hAnsi="Arial"/>
          <w:sz w:val="18"/>
          <w:szCs w:val="18"/>
          <w:color w:val="auto"/>
        </w:rPr>
      </w:pPr>
    </w:p>
    <w:p>
      <w:pPr>
        <w:ind w:left="1300" w:right="6719" w:hanging="644"/>
        <w:spacing w:after="0" w:line="563"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DISPOSITIVE POWER (See Item 4)</w:t>
      </w:r>
    </w:p>
    <w:p>
      <w:pPr>
        <w:spacing w:after="0" w:line="1" w:lineRule="exact"/>
        <w:rPr>
          <w:rFonts w:ascii="Arial" w:cs="Arial" w:eastAsia="Arial" w:hAnsi="Arial"/>
          <w:sz w:val="18"/>
          <w:szCs w:val="18"/>
          <w:color w:val="auto"/>
        </w:rPr>
      </w:pPr>
    </w:p>
    <w:p>
      <w:pPr>
        <w:ind w:left="1300" w:right="6439" w:hanging="644"/>
        <w:spacing w:after="0" w:line="563"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660" w:right="3159" w:hanging="652"/>
        <w:spacing w:after="0" w:line="53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1,841,600</w:t>
      </w:r>
    </w:p>
    <w:p>
      <w:pPr>
        <w:ind w:left="660" w:right="4579" w:hanging="652"/>
        <w:spacing w:after="0" w:line="29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w:t>
      </w:r>
    </w:p>
    <w:p>
      <w:pPr>
        <w:spacing w:after="0" w:line="186" w:lineRule="exact"/>
        <w:rPr>
          <w:rFonts w:ascii="Arial" w:cs="Arial" w:eastAsia="Arial" w:hAnsi="Arial"/>
          <w:sz w:val="18"/>
          <w:szCs w:val="18"/>
          <w:color w:val="auto"/>
        </w:rPr>
      </w:pPr>
    </w:p>
    <w:p>
      <w:pPr>
        <w:ind w:left="660" w:right="4619" w:hanging="652"/>
        <w:spacing w:after="0" w:line="53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 6.4%</w:t>
      </w:r>
    </w:p>
    <w:p>
      <w:pPr>
        <w:ind w:left="660" w:right="7119" w:hanging="652"/>
        <w:spacing w:after="0" w:line="5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HC, IN (See Item 4)</w:t>
      </w:r>
    </w:p>
    <w:p>
      <w:pPr>
        <w:sectPr>
          <w:pgSz w:w="11900" w:h="16838" w:orient="portrait"/>
          <w:cols w:equalWidth="0" w:num="1">
            <w:col w:w="10219"/>
          </w:cols>
          <w:pgMar w:left="240" w:top="131" w:right="1440" w:bottom="1440" w:gutter="0" w:footer="0" w:header="0"/>
        </w:sectPr>
      </w:pPr>
    </w:p>
    <w:bookmarkStart w:id="3" w:name="page4"/>
    <w:bookmarkEnd w:id="3"/>
    <w:p>
      <w:pPr>
        <w:spacing w:after="0"/>
        <w:tabs>
          <w:tab w:leader="none" w:pos="4580" w:val="left"/>
          <w:tab w:leader="none" w:pos="7440" w:val="left"/>
        </w:tabs>
        <w:rPr>
          <w:sz w:val="20"/>
          <w:szCs w:val="20"/>
          <w:color w:val="auto"/>
        </w:rPr>
      </w:pPr>
      <w:r>
        <w:rPr>
          <w:rFonts w:ascii="Arial" w:cs="Arial" w:eastAsia="Arial" w:hAnsi="Arial"/>
          <w:sz w:val="18"/>
          <w:szCs w:val="18"/>
          <w:color w:val="auto"/>
        </w:rPr>
        <w:t>CUSIP NO. 974637100</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4 OF 15</w:t>
      </w:r>
    </w:p>
    <w:p>
      <w:pPr>
        <w:spacing w:after="0" w:line="22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36" w:lineRule="exact"/>
        <w:rPr>
          <w:rFonts w:ascii="Arial" w:cs="Arial" w:eastAsia="Arial" w:hAnsi="Arial"/>
          <w:sz w:val="18"/>
          <w:szCs w:val="18"/>
          <w:color w:val="auto"/>
        </w:rPr>
      </w:pPr>
    </w:p>
    <w:p>
      <w:pPr>
        <w:ind w:left="660" w:right="4079"/>
        <w:spacing w:after="0" w:line="548"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Rupert H. Johnson, Jr.</w:t>
      </w: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52" w:lineRule="exact"/>
        <w:rPr>
          <w:rFonts w:ascii="Arial" w:cs="Arial" w:eastAsia="Arial" w:hAnsi="Arial"/>
          <w:sz w:val="18"/>
          <w:szCs w:val="18"/>
          <w:color w:val="auto"/>
        </w:rPr>
      </w:pPr>
    </w:p>
    <w:p>
      <w:pPr>
        <w:spacing w:after="0"/>
        <w:tabs>
          <w:tab w:leader="none" w:pos="0" w:val="left"/>
        </w:tabs>
        <w:numPr>
          <w:ilvl w:val="1"/>
          <w:numId w:val="7"/>
        </w:numPr>
        <w:rPr>
          <w:rFonts w:ascii="Arial" w:cs="Arial" w:eastAsia="Arial" w:hAnsi="Arial"/>
          <w:sz w:val="18"/>
          <w:szCs w:val="18"/>
          <w:color w:val="auto"/>
        </w:rPr>
      </w:pPr>
    </w:p>
    <w:p>
      <w:pPr>
        <w:spacing w:after="0" w:line="36" w:lineRule="exact"/>
        <w:rPr>
          <w:rFonts w:ascii="Arial" w:cs="Arial" w:eastAsia="Arial" w:hAnsi="Arial"/>
          <w:sz w:val="18"/>
          <w:szCs w:val="18"/>
          <w:color w:val="auto"/>
        </w:rPr>
      </w:pPr>
    </w:p>
    <w:p>
      <w:pPr>
        <w:ind w:left="1300" w:hanging="644"/>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X</w:t>
      </w:r>
    </w:p>
    <w:p>
      <w:pPr>
        <w:spacing w:after="0" w:line="279"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660" w:right="5979" w:hanging="652"/>
        <w:spacing w:after="0" w:line="53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USA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25" w:lineRule="exact"/>
        <w:rPr>
          <w:sz w:val="20"/>
          <w:szCs w:val="20"/>
          <w:color w:val="auto"/>
        </w:rPr>
      </w:pPr>
    </w:p>
    <w:p>
      <w:pPr>
        <w:ind w:left="1300" w:right="7099" w:hanging="644"/>
        <w:spacing w:after="0" w:line="563"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VOTING POWER (See Item 4)</w:t>
      </w:r>
    </w:p>
    <w:p>
      <w:pPr>
        <w:spacing w:after="0" w:line="1" w:lineRule="exact"/>
        <w:rPr>
          <w:rFonts w:ascii="Arial" w:cs="Arial" w:eastAsia="Arial" w:hAnsi="Arial"/>
          <w:sz w:val="18"/>
          <w:szCs w:val="18"/>
          <w:color w:val="auto"/>
        </w:rPr>
      </w:pPr>
    </w:p>
    <w:p>
      <w:pPr>
        <w:ind w:left="1300" w:right="6839" w:hanging="644"/>
        <w:spacing w:after="0" w:line="563"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VOTING POWER 0</w:t>
      </w:r>
    </w:p>
    <w:p>
      <w:pPr>
        <w:spacing w:after="0" w:line="1" w:lineRule="exact"/>
        <w:rPr>
          <w:rFonts w:ascii="Arial" w:cs="Arial" w:eastAsia="Arial" w:hAnsi="Arial"/>
          <w:sz w:val="18"/>
          <w:szCs w:val="18"/>
          <w:color w:val="auto"/>
        </w:rPr>
      </w:pPr>
    </w:p>
    <w:p>
      <w:pPr>
        <w:ind w:left="1300" w:right="6719" w:hanging="644"/>
        <w:spacing w:after="0" w:line="563"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DISPOSITIVE POWER (See Item 4)</w:t>
      </w:r>
    </w:p>
    <w:p>
      <w:pPr>
        <w:spacing w:after="0" w:line="1" w:lineRule="exact"/>
        <w:rPr>
          <w:rFonts w:ascii="Arial" w:cs="Arial" w:eastAsia="Arial" w:hAnsi="Arial"/>
          <w:sz w:val="18"/>
          <w:szCs w:val="18"/>
          <w:color w:val="auto"/>
        </w:rPr>
      </w:pPr>
    </w:p>
    <w:p>
      <w:pPr>
        <w:ind w:left="1300" w:right="6439" w:hanging="644"/>
        <w:spacing w:after="0" w:line="563"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660" w:right="3159" w:hanging="652"/>
        <w:spacing w:after="0" w:line="53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1,841,600</w:t>
      </w:r>
    </w:p>
    <w:p>
      <w:pPr>
        <w:ind w:left="660" w:right="4579" w:hanging="652"/>
        <w:spacing w:after="0" w:line="29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w:t>
      </w:r>
    </w:p>
    <w:p>
      <w:pPr>
        <w:spacing w:after="0" w:line="186" w:lineRule="exact"/>
        <w:rPr>
          <w:rFonts w:ascii="Arial" w:cs="Arial" w:eastAsia="Arial" w:hAnsi="Arial"/>
          <w:sz w:val="18"/>
          <w:szCs w:val="18"/>
          <w:color w:val="auto"/>
        </w:rPr>
      </w:pPr>
    </w:p>
    <w:p>
      <w:pPr>
        <w:ind w:left="660" w:right="4619" w:hanging="652"/>
        <w:spacing w:after="0" w:line="53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6.4%</w:t>
      </w:r>
    </w:p>
    <w:p>
      <w:pPr>
        <w:ind w:left="660" w:right="7119" w:hanging="652"/>
        <w:spacing w:after="0" w:line="5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HC, IN (See Item 4)</w:t>
      </w:r>
    </w:p>
    <w:p>
      <w:pPr>
        <w:sectPr>
          <w:pgSz w:w="11900" w:h="16838" w:orient="portrait"/>
          <w:cols w:equalWidth="0" w:num="1">
            <w:col w:w="10219"/>
          </w:cols>
          <w:pgMar w:left="240" w:top="131" w:right="1440" w:bottom="1440" w:gutter="0" w:footer="0" w:header="0"/>
        </w:sectPr>
      </w:pPr>
    </w:p>
    <w:bookmarkStart w:id="4" w:name="page5"/>
    <w:bookmarkEnd w:id="4"/>
    <w:p>
      <w:pPr>
        <w:spacing w:after="0"/>
        <w:tabs>
          <w:tab w:leader="none" w:pos="4580" w:val="left"/>
          <w:tab w:leader="none" w:pos="7440" w:val="left"/>
        </w:tabs>
        <w:rPr>
          <w:sz w:val="20"/>
          <w:szCs w:val="20"/>
          <w:color w:val="auto"/>
        </w:rPr>
      </w:pPr>
      <w:r>
        <w:rPr>
          <w:rFonts w:ascii="Arial" w:cs="Arial" w:eastAsia="Arial" w:hAnsi="Arial"/>
          <w:sz w:val="18"/>
          <w:szCs w:val="18"/>
          <w:color w:val="auto"/>
        </w:rPr>
        <w:t>CUSIP NO. 974637100</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5 OF 15</w:t>
      </w:r>
    </w:p>
    <w:p>
      <w:pPr>
        <w:spacing w:after="0" w:line="22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36" w:lineRule="exact"/>
        <w:rPr>
          <w:rFonts w:ascii="Arial" w:cs="Arial" w:eastAsia="Arial" w:hAnsi="Arial"/>
          <w:sz w:val="18"/>
          <w:szCs w:val="18"/>
          <w:color w:val="auto"/>
        </w:rPr>
      </w:pPr>
    </w:p>
    <w:p>
      <w:pPr>
        <w:ind w:left="660" w:right="4079"/>
        <w:spacing w:after="0" w:line="548"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Franklin Advisory Services, LLC</w:t>
      </w: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52" w:lineRule="exact"/>
        <w:rPr>
          <w:rFonts w:ascii="Arial" w:cs="Arial" w:eastAsia="Arial" w:hAnsi="Arial"/>
          <w:sz w:val="18"/>
          <w:szCs w:val="18"/>
          <w:color w:val="auto"/>
        </w:rPr>
      </w:pPr>
    </w:p>
    <w:p>
      <w:pPr>
        <w:spacing w:after="0"/>
        <w:tabs>
          <w:tab w:leader="none" w:pos="0" w:val="left"/>
        </w:tabs>
        <w:numPr>
          <w:ilvl w:val="1"/>
          <w:numId w:val="10"/>
        </w:numPr>
        <w:rPr>
          <w:rFonts w:ascii="Arial" w:cs="Arial" w:eastAsia="Arial" w:hAnsi="Arial"/>
          <w:sz w:val="18"/>
          <w:szCs w:val="18"/>
          <w:color w:val="auto"/>
        </w:rPr>
      </w:pPr>
    </w:p>
    <w:p>
      <w:pPr>
        <w:spacing w:after="0" w:line="36" w:lineRule="exact"/>
        <w:rPr>
          <w:rFonts w:ascii="Arial" w:cs="Arial" w:eastAsia="Arial" w:hAnsi="Arial"/>
          <w:sz w:val="18"/>
          <w:szCs w:val="18"/>
          <w:color w:val="auto"/>
        </w:rPr>
      </w:pP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X</w:t>
      </w:r>
    </w:p>
    <w:p>
      <w:pPr>
        <w:spacing w:after="0" w:line="279"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660" w:right="5979" w:hanging="652"/>
        <w:spacing w:after="0" w:line="53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25" w:lineRule="exact"/>
        <w:rPr>
          <w:sz w:val="20"/>
          <w:szCs w:val="20"/>
          <w:color w:val="auto"/>
        </w:rPr>
      </w:pPr>
    </w:p>
    <w:p>
      <w:pPr>
        <w:ind w:left="1300" w:right="7099" w:hanging="644"/>
        <w:spacing w:after="0" w:line="634"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SOLE VOTING POWER 1,799,500 (See Item 4)</w:t>
      </w:r>
    </w:p>
    <w:p>
      <w:pPr>
        <w:ind w:left="1300" w:right="6839" w:hanging="644"/>
        <w:spacing w:after="0" w:line="563"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SHARED VOTING POWER 0</w:t>
      </w:r>
    </w:p>
    <w:p>
      <w:pPr>
        <w:spacing w:after="0" w:line="1" w:lineRule="exact"/>
        <w:rPr>
          <w:rFonts w:ascii="Arial" w:cs="Arial" w:eastAsia="Arial" w:hAnsi="Arial"/>
          <w:sz w:val="18"/>
          <w:szCs w:val="18"/>
          <w:color w:val="auto"/>
        </w:rPr>
      </w:pPr>
    </w:p>
    <w:p>
      <w:pPr>
        <w:ind w:left="1300" w:right="6719" w:hanging="644"/>
        <w:spacing w:after="0" w:line="634"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SOLE DISPOSITIVE POWER 1,841,600 (See Item 4)</w:t>
      </w:r>
    </w:p>
    <w:p>
      <w:pPr>
        <w:ind w:left="1300" w:right="6439" w:hanging="644"/>
        <w:spacing w:after="0" w:line="563"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660" w:right="3159" w:hanging="652"/>
        <w:spacing w:after="0" w:line="53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1,841,600</w:t>
      </w:r>
    </w:p>
    <w:p>
      <w:pPr>
        <w:ind w:left="660" w:right="4579" w:hanging="652"/>
        <w:spacing w:after="0" w:line="29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w:t>
      </w:r>
    </w:p>
    <w:p>
      <w:pPr>
        <w:spacing w:after="0" w:line="186" w:lineRule="exact"/>
        <w:rPr>
          <w:rFonts w:ascii="Arial" w:cs="Arial" w:eastAsia="Arial" w:hAnsi="Arial"/>
          <w:sz w:val="18"/>
          <w:szCs w:val="18"/>
          <w:color w:val="auto"/>
        </w:rPr>
      </w:pPr>
    </w:p>
    <w:p>
      <w:pPr>
        <w:ind w:left="660" w:right="4619" w:hanging="652"/>
        <w:spacing w:after="0" w:line="53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(9) 6.4%</w:t>
      </w:r>
    </w:p>
    <w:p>
      <w:pPr>
        <w:ind w:left="660" w:right="7119" w:hanging="652"/>
        <w:spacing w:after="0" w:line="5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TYPE OF REPORTING PERSON IA, 0O</w:t>
      </w:r>
    </w:p>
    <w:p>
      <w:pPr>
        <w:sectPr>
          <w:pgSz w:w="11900" w:h="16838" w:orient="portrait"/>
          <w:cols w:equalWidth="0" w:num="1">
            <w:col w:w="10219"/>
          </w:cols>
          <w:pgMar w:left="240" w:top="131" w:right="1440" w:bottom="1440" w:gutter="0" w:footer="0" w:header="0"/>
        </w:sectPr>
      </w:pPr>
    </w:p>
    <w:bookmarkStart w:id="5" w:name="page6"/>
    <w:bookmarkEnd w:id="5"/>
    <w:p>
      <w:pPr>
        <w:spacing w:after="0"/>
        <w:tabs>
          <w:tab w:leader="none" w:pos="4580" w:val="left"/>
          <w:tab w:leader="none" w:pos="7440" w:val="left"/>
        </w:tabs>
        <w:rPr>
          <w:sz w:val="20"/>
          <w:szCs w:val="20"/>
          <w:color w:val="auto"/>
        </w:rPr>
      </w:pPr>
      <w:r>
        <w:rPr>
          <w:rFonts w:ascii="Arial" w:cs="Arial" w:eastAsia="Arial" w:hAnsi="Arial"/>
          <w:sz w:val="18"/>
          <w:szCs w:val="18"/>
          <w:color w:val="auto"/>
        </w:rPr>
        <w:t>CUSIP NO. 974637100</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6 OF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Name of Issuer</w:t>
      </w:r>
    </w:p>
    <w:p>
      <w:pPr>
        <w:spacing w:after="0" w:line="24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Winnebago Industries,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 Address of Issuer's Principal Executive Offices</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P.O. Box 152</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Forest City, IA 50436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 Name of Person Filing</w:t>
      </w:r>
    </w:p>
    <w:p>
      <w:pPr>
        <w:spacing w:after="0" w:line="15" w:lineRule="exact"/>
        <w:rPr>
          <w:sz w:val="20"/>
          <w:szCs w:val="20"/>
          <w:color w:val="auto"/>
        </w:rPr>
      </w:pPr>
    </w:p>
    <w:p>
      <w:pPr>
        <w:ind w:left="540"/>
        <w:spacing w:after="0"/>
        <w:tabs>
          <w:tab w:leader="none" w:pos="128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Franklin Resources, Inc.</w:t>
      </w:r>
    </w:p>
    <w:p>
      <w:pPr>
        <w:spacing w:after="0" w:line="57" w:lineRule="exact"/>
        <w:rPr>
          <w:sz w:val="20"/>
          <w:szCs w:val="20"/>
          <w:color w:val="auto"/>
        </w:rPr>
      </w:pPr>
    </w:p>
    <w:p>
      <w:pPr>
        <w:ind w:left="540"/>
        <w:spacing w:after="0"/>
        <w:tabs>
          <w:tab w:leader="none" w:pos="128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Charles B. Johnson</w:t>
      </w:r>
    </w:p>
    <w:p>
      <w:pPr>
        <w:spacing w:after="0" w:line="63" w:lineRule="exact"/>
        <w:rPr>
          <w:sz w:val="20"/>
          <w:szCs w:val="20"/>
          <w:color w:val="auto"/>
        </w:rPr>
      </w:pPr>
    </w:p>
    <w:p>
      <w:pPr>
        <w:ind w:left="540"/>
        <w:spacing w:after="0"/>
        <w:tabs>
          <w:tab w:leader="none" w:pos="128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8"/>
          <w:szCs w:val="18"/>
          <w:color w:val="auto"/>
        </w:rPr>
        <w:t>Rupert H. Johnson, Jr.</w:t>
      </w:r>
    </w:p>
    <w:p>
      <w:pPr>
        <w:spacing w:after="0" w:line="63" w:lineRule="exact"/>
        <w:rPr>
          <w:sz w:val="20"/>
          <w:szCs w:val="20"/>
          <w:color w:val="auto"/>
        </w:rPr>
      </w:pPr>
    </w:p>
    <w:p>
      <w:pPr>
        <w:ind w:left="540"/>
        <w:spacing w:after="0"/>
        <w:tabs>
          <w:tab w:leader="none" w:pos="128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color w:val="auto"/>
        </w:rPr>
        <w:t>Franklin Advisory Services, LLC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 Address of Principal Business Office or, if none, Residence</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 (ii), and (iii):</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One Franklin Parkway</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San Mateo, CA 94403-1906</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(iv):</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One Parker Plaza, 9th Floor</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Fort Lee, NJ 07024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 Citizenship</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 Delaware</w:t>
      </w:r>
    </w:p>
    <w:p>
      <w:pPr>
        <w:spacing w:after="0" w:line="63" w:lineRule="exact"/>
        <w:rPr>
          <w:sz w:val="20"/>
          <w:szCs w:val="20"/>
          <w:color w:val="auto"/>
        </w:rPr>
      </w:pPr>
    </w:p>
    <w:p>
      <w:pPr>
        <w:ind w:left="540" w:right="8399" w:firstLine="8"/>
        <w:spacing w:after="0" w:line="402" w:lineRule="auto"/>
        <w:tabs>
          <w:tab w:leader="none" w:pos="798" w:val="left"/>
        </w:tabs>
        <w:numPr>
          <w:ilvl w:val="1"/>
          <w:numId w:val="13"/>
        </w:numPr>
        <w:rPr>
          <w:rFonts w:ascii="Arial" w:cs="Arial" w:eastAsia="Arial" w:hAnsi="Arial"/>
          <w:sz w:val="16"/>
          <w:szCs w:val="16"/>
          <w:color w:val="auto"/>
        </w:rPr>
      </w:pPr>
      <w:r>
        <w:rPr>
          <w:rFonts w:ascii="Arial" w:cs="Arial" w:eastAsia="Arial" w:hAnsi="Arial"/>
          <w:sz w:val="16"/>
          <w:szCs w:val="16"/>
          <w:color w:val="auto"/>
        </w:rPr>
        <w:t>and (iii): USA (iv): Delaware</w:t>
      </w:r>
    </w:p>
    <w:p>
      <w:pPr>
        <w:spacing w:after="0" w:line="112" w:lineRule="exact"/>
        <w:rPr>
          <w:rFonts w:ascii="Arial" w:cs="Arial" w:eastAsia="Arial" w:hAnsi="Arial"/>
          <w:sz w:val="16"/>
          <w:szCs w:val="16"/>
          <w:color w:val="auto"/>
        </w:rPr>
      </w:pPr>
    </w:p>
    <w:p>
      <w:pPr>
        <w:ind w:left="540" w:right="7419" w:hanging="532"/>
        <w:spacing w:after="0" w:line="616" w:lineRule="auto"/>
        <w:tabs>
          <w:tab w:leader="none" w:pos="248" w:val="left"/>
        </w:tabs>
        <w:numPr>
          <w:ilvl w:val="0"/>
          <w:numId w:val="14"/>
        </w:numPr>
        <w:rPr>
          <w:rFonts w:ascii="Arial" w:cs="Arial" w:eastAsia="Arial" w:hAnsi="Arial"/>
          <w:sz w:val="16"/>
          <w:szCs w:val="16"/>
          <w:color w:val="auto"/>
        </w:rPr>
      </w:pPr>
      <w:r>
        <w:rPr>
          <w:rFonts w:ascii="Arial" w:cs="Arial" w:eastAsia="Arial" w:hAnsi="Arial"/>
          <w:sz w:val="16"/>
          <w:szCs w:val="16"/>
          <w:color w:val="auto"/>
        </w:rPr>
        <w:t>Title of Class of Securities Common Stock ($.50 par value)</w:t>
      </w:r>
    </w:p>
    <w:p>
      <w:pPr>
        <w:ind w:left="240" w:hanging="232"/>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974637100</w:t>
      </w:r>
    </w:p>
    <w:p>
      <w:pPr>
        <w:sectPr>
          <w:pgSz w:w="11900" w:h="16838" w:orient="portrait"/>
          <w:cols w:equalWidth="0" w:num="1">
            <w:col w:w="10219"/>
          </w:cols>
          <w:pgMar w:left="240" w:top="131" w:right="1440" w:bottom="1440" w:gutter="0" w:footer="0" w:header="0"/>
        </w:sectPr>
      </w:pPr>
    </w:p>
    <w:bookmarkStart w:id="6" w:name="page7"/>
    <w:bookmarkEnd w:id="6"/>
    <w:p>
      <w:pPr>
        <w:spacing w:after="0"/>
        <w:tabs>
          <w:tab w:leader="none" w:pos="4580" w:val="left"/>
          <w:tab w:leader="none" w:pos="7440" w:val="left"/>
        </w:tabs>
        <w:rPr>
          <w:sz w:val="20"/>
          <w:szCs w:val="20"/>
          <w:color w:val="auto"/>
        </w:rPr>
      </w:pPr>
      <w:r>
        <w:rPr>
          <w:rFonts w:ascii="Arial" w:cs="Arial" w:eastAsia="Arial" w:hAnsi="Arial"/>
          <w:sz w:val="18"/>
          <w:szCs w:val="18"/>
          <w:color w:val="auto"/>
        </w:rPr>
        <w:t>CUSIP NO. 974637100</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7 OF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3. If this statement is filed pursuant to §§240.13d-1(b) or 240.13d-2(b) or (c), check whether the person filing is a:</w:t>
      </w:r>
    </w:p>
    <w:p>
      <w:pPr>
        <w:ind w:left="1300" w:hanging="320"/>
        <w:spacing w:after="0" w:line="190" w:lineRule="auto"/>
        <w:tabs>
          <w:tab w:leader="none" w:pos="1300" w:val="left"/>
        </w:tabs>
        <w:numPr>
          <w:ilvl w:val="0"/>
          <w:numId w:val="15"/>
        </w:numPr>
        <w:rPr>
          <w:rFonts w:ascii="Arial" w:cs="Arial" w:eastAsia="Arial" w:hAnsi="Arial"/>
          <w:sz w:val="49"/>
          <w:szCs w:val="49"/>
          <w:b w:val="1"/>
          <w:bCs w:val="1"/>
          <w:color w:val="auto"/>
          <w:vertAlign w:val="subscript"/>
        </w:rPr>
      </w:pPr>
      <w:r>
        <w:rPr>
          <w:rFonts w:ascii="Arial" w:cs="Arial" w:eastAsia="Arial" w:hAnsi="Arial"/>
          <w:sz w:val="18"/>
          <w:szCs w:val="18"/>
          <w:color w:val="auto"/>
        </w:rPr>
        <w:t>o Broker or dealer registered under section 15 of the Act (15 U.S.C. 78o).</w:t>
      </w:r>
    </w:p>
    <w:p>
      <w:pPr>
        <w:spacing w:after="0" w:line="75" w:lineRule="exact"/>
        <w:rPr>
          <w:rFonts w:ascii="Arial" w:cs="Arial" w:eastAsia="Arial" w:hAnsi="Arial"/>
          <w:sz w:val="49"/>
          <w:szCs w:val="49"/>
          <w:b w:val="1"/>
          <w:bCs w:val="1"/>
          <w:color w:val="auto"/>
          <w:vertAlign w:val="subscript"/>
        </w:rPr>
      </w:pPr>
    </w:p>
    <w:p>
      <w:pPr>
        <w:ind w:left="1300" w:hanging="320"/>
        <w:spacing w:after="0" w:line="182" w:lineRule="auto"/>
        <w:tabs>
          <w:tab w:leader="none" w:pos="1300" w:val="left"/>
        </w:tabs>
        <w:numPr>
          <w:ilvl w:val="0"/>
          <w:numId w:val="15"/>
        </w:numPr>
        <w:rPr>
          <w:rFonts w:ascii="Arial" w:cs="Arial" w:eastAsia="Arial" w:hAnsi="Arial"/>
          <w:sz w:val="24"/>
          <w:szCs w:val="24"/>
          <w:b w:val="1"/>
          <w:bCs w:val="1"/>
          <w:color w:val="auto"/>
          <w:vertAlign w:val="subscript"/>
        </w:rPr>
      </w:pPr>
      <w:r>
        <w:rPr>
          <w:rFonts w:ascii="Arial" w:cs="Arial" w:eastAsia="Arial" w:hAnsi="Arial"/>
          <w:sz w:val="13"/>
          <w:szCs w:val="13"/>
          <w:color w:val="auto"/>
        </w:rPr>
        <w:t>o Bank as defined in section 3(a)(6) of the Act (15 U.S.C. 78c).</w:t>
      </w:r>
    </w:p>
    <w:p>
      <w:pPr>
        <w:spacing w:after="0" w:line="74" w:lineRule="exact"/>
        <w:rPr>
          <w:rFonts w:ascii="Arial" w:cs="Arial" w:eastAsia="Arial" w:hAnsi="Arial"/>
          <w:sz w:val="24"/>
          <w:szCs w:val="24"/>
          <w:b w:val="1"/>
          <w:bCs w:val="1"/>
          <w:color w:val="auto"/>
          <w:vertAlign w:val="subscript"/>
        </w:rPr>
      </w:pPr>
    </w:p>
    <w:p>
      <w:pPr>
        <w:ind w:left="1300" w:hanging="320"/>
        <w:spacing w:after="0" w:line="182" w:lineRule="auto"/>
        <w:tabs>
          <w:tab w:leader="none" w:pos="1300" w:val="left"/>
        </w:tabs>
        <w:numPr>
          <w:ilvl w:val="0"/>
          <w:numId w:val="15"/>
        </w:numPr>
        <w:rPr>
          <w:rFonts w:ascii="Arial" w:cs="Arial" w:eastAsia="Arial" w:hAnsi="Arial"/>
          <w:sz w:val="24"/>
          <w:szCs w:val="24"/>
          <w:b w:val="1"/>
          <w:bCs w:val="1"/>
          <w:color w:val="auto"/>
          <w:vertAlign w:val="subscript"/>
        </w:rPr>
      </w:pPr>
      <w:r>
        <w:rPr>
          <w:rFonts w:ascii="Arial" w:cs="Arial" w:eastAsia="Arial" w:hAnsi="Arial"/>
          <w:sz w:val="13"/>
          <w:szCs w:val="13"/>
          <w:color w:val="auto"/>
        </w:rPr>
        <w:t>o Insurance company as defined in section 3(a)(19) of the Act (15 U.S.C. 78c).</w:t>
      </w:r>
    </w:p>
    <w:p>
      <w:pPr>
        <w:spacing w:after="0" w:line="74" w:lineRule="exact"/>
        <w:rPr>
          <w:rFonts w:ascii="Arial" w:cs="Arial" w:eastAsia="Arial" w:hAnsi="Arial"/>
          <w:sz w:val="24"/>
          <w:szCs w:val="24"/>
          <w:b w:val="1"/>
          <w:bCs w:val="1"/>
          <w:color w:val="auto"/>
          <w:vertAlign w:val="subscript"/>
        </w:rPr>
      </w:pPr>
    </w:p>
    <w:p>
      <w:pPr>
        <w:ind w:left="1300" w:hanging="320"/>
        <w:spacing w:after="0" w:line="182" w:lineRule="auto"/>
        <w:tabs>
          <w:tab w:leader="none" w:pos="1300" w:val="left"/>
        </w:tabs>
        <w:numPr>
          <w:ilvl w:val="0"/>
          <w:numId w:val="15"/>
        </w:numPr>
        <w:rPr>
          <w:rFonts w:ascii="Arial" w:cs="Arial" w:eastAsia="Arial" w:hAnsi="Arial"/>
          <w:sz w:val="24"/>
          <w:szCs w:val="24"/>
          <w:b w:val="1"/>
          <w:bCs w:val="1"/>
          <w:color w:val="auto"/>
          <w:vertAlign w:val="subscript"/>
        </w:rPr>
      </w:pPr>
      <w:r>
        <w:rPr>
          <w:rFonts w:ascii="Arial" w:cs="Arial" w:eastAsia="Arial" w:hAnsi="Arial"/>
          <w:sz w:val="13"/>
          <w:szCs w:val="13"/>
          <w:color w:val="auto"/>
        </w:rPr>
        <w:t>o Investment company registered under section 8 of the Investment Company Act of 1940 (15 U.S.C 80a-8).</w:t>
      </w:r>
    </w:p>
    <w:p>
      <w:pPr>
        <w:spacing w:after="0" w:line="74" w:lineRule="exact"/>
        <w:rPr>
          <w:rFonts w:ascii="Arial" w:cs="Arial" w:eastAsia="Arial" w:hAnsi="Arial"/>
          <w:sz w:val="24"/>
          <w:szCs w:val="24"/>
          <w:b w:val="1"/>
          <w:bCs w:val="1"/>
          <w:color w:val="auto"/>
          <w:vertAlign w:val="subscript"/>
        </w:rPr>
      </w:pPr>
    </w:p>
    <w:p>
      <w:pPr>
        <w:ind w:left="1300" w:hanging="320"/>
        <w:spacing w:after="0" w:line="216" w:lineRule="auto"/>
        <w:tabs>
          <w:tab w:leader="none" w:pos="1300" w:val="left"/>
        </w:tabs>
        <w:numPr>
          <w:ilvl w:val="0"/>
          <w:numId w:val="15"/>
        </w:numPr>
        <w:rPr>
          <w:rFonts w:ascii="Arial" w:cs="Arial" w:eastAsia="Arial" w:hAnsi="Arial"/>
          <w:sz w:val="24"/>
          <w:szCs w:val="24"/>
          <w:b w:val="1"/>
          <w:bCs w:val="1"/>
          <w:color w:val="auto"/>
        </w:rPr>
      </w:pPr>
      <w:r>
        <w:rPr>
          <w:rFonts w:ascii="Arial" w:cs="Arial" w:eastAsia="Arial" w:hAnsi="Arial"/>
          <w:sz w:val="22"/>
          <w:szCs w:val="22"/>
          <w:color w:val="auto"/>
        </w:rPr>
        <w:t xml:space="preserve">x </w:t>
      </w:r>
      <w:r>
        <w:rPr>
          <w:rFonts w:ascii="Arial" w:cs="Arial" w:eastAsia="Arial" w:hAnsi="Arial"/>
          <w:sz w:val="17"/>
          <w:szCs w:val="17"/>
          <w:color w:val="auto"/>
        </w:rPr>
        <w:t>An investment adviser in accordance with §240.13d-1(b)(1)(ii)(E);</w:t>
      </w:r>
    </w:p>
    <w:p>
      <w:pPr>
        <w:spacing w:after="0" w:line="35" w:lineRule="exact"/>
        <w:rPr>
          <w:rFonts w:ascii="Arial" w:cs="Arial" w:eastAsia="Arial" w:hAnsi="Arial"/>
          <w:sz w:val="24"/>
          <w:szCs w:val="24"/>
          <w:b w:val="1"/>
          <w:bCs w:val="1"/>
          <w:color w:val="auto"/>
        </w:rPr>
      </w:pPr>
    </w:p>
    <w:p>
      <w:pPr>
        <w:ind w:left="1300" w:hanging="320"/>
        <w:spacing w:after="0" w:line="182" w:lineRule="auto"/>
        <w:tabs>
          <w:tab w:leader="none" w:pos="1300" w:val="left"/>
        </w:tabs>
        <w:numPr>
          <w:ilvl w:val="0"/>
          <w:numId w:val="15"/>
        </w:numPr>
        <w:rPr>
          <w:rFonts w:ascii="Arial" w:cs="Arial" w:eastAsia="Arial" w:hAnsi="Arial"/>
          <w:sz w:val="24"/>
          <w:szCs w:val="24"/>
          <w:b w:val="1"/>
          <w:bCs w:val="1"/>
          <w:color w:val="auto"/>
          <w:vertAlign w:val="subscript"/>
        </w:rPr>
      </w:pPr>
      <w:r>
        <w:rPr>
          <w:rFonts w:ascii="Arial" w:cs="Arial" w:eastAsia="Arial" w:hAnsi="Arial"/>
          <w:sz w:val="13"/>
          <w:szCs w:val="13"/>
          <w:color w:val="auto"/>
        </w:rPr>
        <w:t>o An employee benefit plan or endowment fund in accordance with §240.13d-1(b)(1)(ii)(F);</w:t>
      </w:r>
    </w:p>
    <w:p>
      <w:pPr>
        <w:spacing w:after="0" w:line="74" w:lineRule="exact"/>
        <w:rPr>
          <w:rFonts w:ascii="Arial" w:cs="Arial" w:eastAsia="Arial" w:hAnsi="Arial"/>
          <w:sz w:val="24"/>
          <w:szCs w:val="24"/>
          <w:b w:val="1"/>
          <w:bCs w:val="1"/>
          <w:color w:val="auto"/>
          <w:vertAlign w:val="subscript"/>
        </w:rPr>
      </w:pPr>
    </w:p>
    <w:p>
      <w:pPr>
        <w:ind w:left="1300" w:hanging="320"/>
        <w:spacing w:after="0" w:line="216" w:lineRule="auto"/>
        <w:tabs>
          <w:tab w:leader="none" w:pos="1300" w:val="left"/>
        </w:tabs>
        <w:numPr>
          <w:ilvl w:val="0"/>
          <w:numId w:val="15"/>
        </w:numPr>
        <w:rPr>
          <w:rFonts w:ascii="Arial" w:cs="Arial" w:eastAsia="Arial" w:hAnsi="Arial"/>
          <w:sz w:val="24"/>
          <w:szCs w:val="24"/>
          <w:b w:val="1"/>
          <w:bCs w:val="1"/>
          <w:color w:val="auto"/>
        </w:rPr>
      </w:pPr>
      <w:r>
        <w:rPr>
          <w:rFonts w:ascii="Arial" w:cs="Arial" w:eastAsia="Arial" w:hAnsi="Arial"/>
          <w:sz w:val="22"/>
          <w:szCs w:val="22"/>
          <w:color w:val="auto"/>
        </w:rPr>
        <w:t xml:space="preserve">x </w:t>
      </w:r>
      <w:r>
        <w:rPr>
          <w:rFonts w:ascii="Arial" w:cs="Arial" w:eastAsia="Arial" w:hAnsi="Arial"/>
          <w:sz w:val="17"/>
          <w:szCs w:val="17"/>
          <w:color w:val="auto"/>
        </w:rPr>
        <w:t>A parent holding company or control person in accordance with §240.13d-1(b)(1)(ii)(G);</w:t>
      </w:r>
    </w:p>
    <w:p>
      <w:pPr>
        <w:spacing w:after="0" w:line="35" w:lineRule="exact"/>
        <w:rPr>
          <w:rFonts w:ascii="Arial" w:cs="Arial" w:eastAsia="Arial" w:hAnsi="Arial"/>
          <w:sz w:val="24"/>
          <w:szCs w:val="24"/>
          <w:b w:val="1"/>
          <w:bCs w:val="1"/>
          <w:color w:val="auto"/>
        </w:rPr>
      </w:pPr>
    </w:p>
    <w:p>
      <w:pPr>
        <w:ind w:left="1300" w:hanging="320"/>
        <w:spacing w:after="0" w:line="182" w:lineRule="auto"/>
        <w:tabs>
          <w:tab w:leader="none" w:pos="1300" w:val="left"/>
        </w:tabs>
        <w:numPr>
          <w:ilvl w:val="0"/>
          <w:numId w:val="15"/>
        </w:numPr>
        <w:rPr>
          <w:rFonts w:ascii="Arial" w:cs="Arial" w:eastAsia="Arial" w:hAnsi="Arial"/>
          <w:sz w:val="24"/>
          <w:szCs w:val="24"/>
          <w:b w:val="1"/>
          <w:bCs w:val="1"/>
          <w:color w:val="auto"/>
          <w:vertAlign w:val="subscript"/>
        </w:rPr>
      </w:pPr>
      <w:r>
        <w:rPr>
          <w:rFonts w:ascii="Arial" w:cs="Arial" w:eastAsia="Arial" w:hAnsi="Arial"/>
          <w:sz w:val="13"/>
          <w:szCs w:val="13"/>
          <w:color w:val="auto"/>
        </w:rPr>
        <w:t>o A savings associations as defined in Section 3(b) of the Federal Deposit Insurance Act (12 U.S.C. 1813);</w:t>
      </w:r>
    </w:p>
    <w:p>
      <w:pPr>
        <w:spacing w:after="0" w:line="74" w:lineRule="exact"/>
        <w:rPr>
          <w:rFonts w:ascii="Arial" w:cs="Arial" w:eastAsia="Arial" w:hAnsi="Arial"/>
          <w:sz w:val="24"/>
          <w:szCs w:val="24"/>
          <w:b w:val="1"/>
          <w:bCs w:val="1"/>
          <w:color w:val="auto"/>
          <w:vertAlign w:val="subscript"/>
        </w:rPr>
      </w:pPr>
    </w:p>
    <w:p>
      <w:pPr>
        <w:ind w:left="1300" w:right="80" w:hanging="320"/>
        <w:spacing w:after="0" w:line="181" w:lineRule="auto"/>
        <w:tabs>
          <w:tab w:leader="none" w:pos="1300" w:val="left"/>
        </w:tabs>
        <w:numPr>
          <w:ilvl w:val="0"/>
          <w:numId w:val="15"/>
        </w:numPr>
        <w:rPr>
          <w:rFonts w:ascii="Arial" w:cs="Arial" w:eastAsia="Arial" w:hAnsi="Arial"/>
          <w:sz w:val="34"/>
          <w:szCs w:val="34"/>
          <w:b w:val="1"/>
          <w:bCs w:val="1"/>
          <w:color w:val="auto"/>
          <w:vertAlign w:val="subscript"/>
        </w:rPr>
      </w:pPr>
      <w:r>
        <w:rPr>
          <w:rFonts w:ascii="Arial" w:cs="Arial" w:eastAsia="Arial" w:hAnsi="Arial"/>
          <w:sz w:val="15"/>
          <w:szCs w:val="15"/>
          <w:color w:val="auto"/>
        </w:rPr>
        <w:t>o A church plan that is excluded from the definition of an investment company under section 3(c)(14) of the Investment Company Act of 1940 (15 U.S.C. 80a-3);</w:t>
      </w:r>
    </w:p>
    <w:p>
      <w:pPr>
        <w:ind w:left="1300" w:hanging="320"/>
        <w:spacing w:after="0" w:line="180" w:lineRule="auto"/>
        <w:tabs>
          <w:tab w:leader="none" w:pos="1300" w:val="left"/>
        </w:tabs>
        <w:numPr>
          <w:ilvl w:val="0"/>
          <w:numId w:val="15"/>
        </w:numPr>
        <w:rPr>
          <w:rFonts w:ascii="Arial" w:cs="Arial" w:eastAsia="Arial" w:hAnsi="Arial"/>
          <w:sz w:val="25"/>
          <w:szCs w:val="25"/>
          <w:b w:val="1"/>
          <w:bCs w:val="1"/>
          <w:color w:val="auto"/>
          <w:vertAlign w:val="subscript"/>
        </w:rPr>
      </w:pPr>
      <w:r>
        <w:rPr>
          <w:rFonts w:ascii="Arial" w:cs="Arial" w:eastAsia="Arial" w:hAnsi="Arial"/>
          <w:sz w:val="13"/>
          <w:szCs w:val="13"/>
          <w:color w:val="auto"/>
        </w:rPr>
        <w:t>o Group, in accordance with §240.13d-1(b)(1)(ii)(J).</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Item 4. Ownership</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securities reported herein (the “Securities”) are beneficially owned by one or more open- or closed-end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Item 7. Investment management contracts grant to the Investment Management Subsidiaries all investment and/or voting power over the securities owned by such investment management clients, unless otherwise noted in this Item 4. Therefore, for purposes of Rule 13d-3 under the Act, the Investment Management Subsidiaries may be deemed to be the beneficial owners of the Securities.</w:t>
      </w:r>
    </w:p>
    <w:p>
      <w:pPr>
        <w:spacing w:after="0" w:line="17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Beneficial ownership by investment management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 other. The voting and investment powers held by Franklin Mutual Advisers, LLC (“FMA”), an indirect wholly-owned Investment Management Subsidiary, are exercised independently from FRI and from all other Investment Management Subsidiaries (FRI, its affiliates and the Investment Management Subsidiaries other than FMA are collectively, “FRI affiliates”). Furthermore, internal policies and procedures of FMA and FRI establish informational barriers that prevent the flow between FMA and the FRI affiliates of information that relates to the voting and investment powers over the securities owned by their respective investment management clients. Consequently, FMA and the FRI affiliates report the securities over which they hold investment and voting power separately from each other for purposes of Section 13 of the Act.</w:t>
      </w:r>
    </w:p>
    <w:p>
      <w:pPr>
        <w:spacing w:after="0" w:line="17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Charles B. Johnson and Rupert H. Johnson, Jr. (the “Principal Shareholders”) each own in excess of 10% of the outstanding common stock of FRI and are the principal stockholders of FRI. FRI and the Principal Shareholders may be deemed to be, for purposes of Rule 13d-3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the Securities. In addition, the filing of this Schedule 13G on behalf of the Principal Shareholders, FRI and FRI affiliates, as applicable, should not be construed as an admission that any of them is, and each</w:t>
      </w:r>
    </w:p>
    <w:p>
      <w:pPr>
        <w:sectPr>
          <w:pgSz w:w="11900" w:h="16838" w:orient="portrait"/>
          <w:cols w:equalWidth="0" w:num="1">
            <w:col w:w="11420"/>
          </w:cols>
          <w:pgMar w:left="240" w:top="131" w:right="239" w:bottom="1440" w:gutter="0" w:footer="0" w:header="0"/>
        </w:sectPr>
      </w:pPr>
    </w:p>
    <w:bookmarkStart w:id="7" w:name="page8"/>
    <w:bookmarkEnd w:id="7"/>
    <w:p>
      <w:pPr>
        <w:spacing w:after="0"/>
        <w:tabs>
          <w:tab w:leader="none" w:pos="4580" w:val="left"/>
          <w:tab w:leader="none" w:pos="7440" w:val="left"/>
        </w:tabs>
        <w:rPr>
          <w:sz w:val="20"/>
          <w:szCs w:val="20"/>
          <w:color w:val="auto"/>
        </w:rPr>
      </w:pPr>
      <w:r>
        <w:rPr>
          <w:rFonts w:ascii="Arial" w:cs="Arial" w:eastAsia="Arial" w:hAnsi="Arial"/>
          <w:sz w:val="18"/>
          <w:szCs w:val="18"/>
          <w:color w:val="auto"/>
        </w:rPr>
        <w:t>CUSIP NO. 974637100</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8 OF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disclaims that it is, the beneficial owner, as defined in Rule 13d-3, of any of the Securities.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FRI, the Principal Shareholders, and each of the Investment Management Subsidiaries believe that they are not a “group” within the meaning of Rule 13d-5 under the Act and that they are not otherwise required to attribute to each other the beneficial ownership of the Securities held by any of them or by any persons or entities for whom or for which FRI subsidiaries provide investment management services.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(a) Amount beneficially owned:</w:t>
            </w:r>
          </w:p>
        </w:tc>
        <w:tc>
          <w:tcPr>
            <w:tcW w:w="1820" w:type="dxa"/>
            <w:vAlign w:val="bottom"/>
          </w:tcPr>
          <w:p>
            <w:pPr>
              <w:spacing w:after="0"/>
              <w:rPr>
                <w:sz w:val="19"/>
                <w:szCs w:val="19"/>
                <w:color w:val="auto"/>
              </w:rPr>
            </w:pPr>
          </w:p>
        </w:tc>
      </w:tr>
      <w:tr>
        <w:trPr>
          <w:trHeight w:val="486"/>
        </w:trPr>
        <w:tc>
          <w:tcPr>
            <w:tcW w:w="5040" w:type="dxa"/>
            <w:vAlign w:val="bottom"/>
          </w:tcPr>
          <w:p>
            <w:pPr>
              <w:ind w:left="420"/>
              <w:spacing w:after="0"/>
              <w:rPr>
                <w:sz w:val="20"/>
                <w:szCs w:val="20"/>
                <w:color w:val="auto"/>
              </w:rPr>
            </w:pPr>
            <w:r>
              <w:rPr>
                <w:rFonts w:ascii="Arial" w:cs="Arial" w:eastAsia="Arial" w:hAnsi="Arial"/>
                <w:sz w:val="18"/>
                <w:szCs w:val="18"/>
                <w:color w:val="auto"/>
              </w:rPr>
              <w:t>1,841,600</w:t>
            </w:r>
          </w:p>
        </w:tc>
        <w:tc>
          <w:tcPr>
            <w:tcW w:w="1820" w:type="dxa"/>
            <w:vAlign w:val="bottom"/>
          </w:tcPr>
          <w:p>
            <w:pPr>
              <w:spacing w:after="0"/>
              <w:rPr>
                <w:sz w:val="24"/>
                <w:szCs w:val="24"/>
                <w:color w:val="auto"/>
              </w:rPr>
            </w:pPr>
          </w:p>
        </w:tc>
      </w:tr>
      <w:tr>
        <w:trPr>
          <w:trHeight w:val="486"/>
        </w:trPr>
        <w:tc>
          <w:tcPr>
            <w:tcW w:w="5040" w:type="dxa"/>
            <w:vAlign w:val="bottom"/>
          </w:tcPr>
          <w:p>
            <w:pPr>
              <w:spacing w:after="0"/>
              <w:rPr>
                <w:sz w:val="20"/>
                <w:szCs w:val="20"/>
                <w:color w:val="auto"/>
              </w:rPr>
            </w:pPr>
            <w:r>
              <w:rPr>
                <w:rFonts w:ascii="Arial" w:cs="Arial" w:eastAsia="Arial" w:hAnsi="Arial"/>
                <w:sz w:val="18"/>
                <w:szCs w:val="18"/>
                <w:color w:val="auto"/>
              </w:rPr>
              <w:t>(b) Percent of class:</w:t>
            </w:r>
          </w:p>
        </w:tc>
        <w:tc>
          <w:tcPr>
            <w:tcW w:w="1820" w:type="dxa"/>
            <w:vAlign w:val="bottom"/>
          </w:tcPr>
          <w:p>
            <w:pPr>
              <w:spacing w:after="0"/>
              <w:rPr>
                <w:sz w:val="24"/>
                <w:szCs w:val="24"/>
                <w:color w:val="auto"/>
              </w:rPr>
            </w:pPr>
          </w:p>
        </w:tc>
      </w:tr>
      <w:tr>
        <w:trPr>
          <w:trHeight w:val="486"/>
        </w:trPr>
        <w:tc>
          <w:tcPr>
            <w:tcW w:w="5040" w:type="dxa"/>
            <w:vAlign w:val="bottom"/>
          </w:tcPr>
          <w:p>
            <w:pPr>
              <w:ind w:left="420"/>
              <w:spacing w:after="0"/>
              <w:rPr>
                <w:sz w:val="20"/>
                <w:szCs w:val="20"/>
                <w:color w:val="auto"/>
              </w:rPr>
            </w:pPr>
            <w:r>
              <w:rPr>
                <w:rFonts w:ascii="Arial" w:cs="Arial" w:eastAsia="Arial" w:hAnsi="Arial"/>
                <w:sz w:val="18"/>
                <w:szCs w:val="18"/>
                <w:color w:val="auto"/>
              </w:rPr>
              <w:t>6.4%</w:t>
            </w:r>
          </w:p>
        </w:tc>
        <w:tc>
          <w:tcPr>
            <w:tcW w:w="1820" w:type="dxa"/>
            <w:vAlign w:val="bottom"/>
          </w:tcPr>
          <w:p>
            <w:pPr>
              <w:spacing w:after="0"/>
              <w:rPr>
                <w:sz w:val="24"/>
                <w:szCs w:val="24"/>
                <w:color w:val="auto"/>
              </w:rPr>
            </w:pPr>
          </w:p>
        </w:tc>
      </w:tr>
      <w:tr>
        <w:trPr>
          <w:trHeight w:val="486"/>
        </w:trPr>
        <w:tc>
          <w:tcPr>
            <w:tcW w:w="5040" w:type="dxa"/>
            <w:vAlign w:val="bottom"/>
          </w:tcPr>
          <w:p>
            <w:pPr>
              <w:spacing w:after="0"/>
              <w:rPr>
                <w:sz w:val="20"/>
                <w:szCs w:val="20"/>
                <w:color w:val="auto"/>
              </w:rPr>
            </w:pPr>
            <w:r>
              <w:rPr>
                <w:rFonts w:ascii="Arial" w:cs="Arial" w:eastAsia="Arial" w:hAnsi="Arial"/>
                <w:sz w:val="18"/>
                <w:szCs w:val="18"/>
                <w:color w:val="auto"/>
              </w:rPr>
              <w:t>(c) Number of shares as to which the person has:</w:t>
            </w:r>
          </w:p>
        </w:tc>
        <w:tc>
          <w:tcPr>
            <w:tcW w:w="1820" w:type="dxa"/>
            <w:vAlign w:val="bottom"/>
          </w:tcPr>
          <w:p>
            <w:pPr>
              <w:spacing w:after="0"/>
              <w:rPr>
                <w:sz w:val="24"/>
                <w:szCs w:val="24"/>
                <w:color w:val="auto"/>
              </w:rPr>
            </w:pPr>
          </w:p>
        </w:tc>
      </w:tr>
      <w:tr>
        <w:trPr>
          <w:trHeight w:val="486"/>
        </w:trPr>
        <w:tc>
          <w:tcPr>
            <w:tcW w:w="5040" w:type="dxa"/>
            <w:vAlign w:val="bottom"/>
          </w:tcPr>
          <w:p>
            <w:pPr>
              <w:ind w:left="200"/>
              <w:spacing w:after="0"/>
              <w:rPr>
                <w:sz w:val="20"/>
                <w:szCs w:val="20"/>
                <w:color w:val="auto"/>
              </w:rPr>
            </w:pPr>
            <w:r>
              <w:rPr>
                <w:rFonts w:ascii="Arial" w:cs="Arial" w:eastAsia="Arial" w:hAnsi="Arial"/>
                <w:sz w:val="18"/>
                <w:szCs w:val="18"/>
                <w:color w:val="auto"/>
              </w:rPr>
              <w:t>(i) Sole power to vote or to direct the vote</w:t>
            </w:r>
          </w:p>
        </w:tc>
        <w:tc>
          <w:tcPr>
            <w:tcW w:w="1820" w:type="dxa"/>
            <w:vAlign w:val="bottom"/>
          </w:tcPr>
          <w:p>
            <w:pPr>
              <w:spacing w:after="0"/>
              <w:rPr>
                <w:sz w:val="24"/>
                <w:szCs w:val="24"/>
                <w:color w:val="auto"/>
              </w:rPr>
            </w:pPr>
          </w:p>
        </w:tc>
      </w:tr>
      <w:tr>
        <w:trPr>
          <w:trHeight w:val="459"/>
        </w:trPr>
        <w:tc>
          <w:tcPr>
            <w:tcW w:w="5040" w:type="dxa"/>
            <w:vAlign w:val="bottom"/>
          </w:tcPr>
          <w:p>
            <w:pPr>
              <w:ind w:left="640"/>
              <w:spacing w:after="0"/>
              <w:rPr>
                <w:sz w:val="20"/>
                <w:szCs w:val="20"/>
                <w:color w:val="auto"/>
              </w:rPr>
            </w:pPr>
            <w:r>
              <w:rPr>
                <w:rFonts w:ascii="Arial" w:cs="Arial" w:eastAsia="Arial" w:hAnsi="Arial"/>
                <w:sz w:val="18"/>
                <w:szCs w:val="18"/>
                <w:color w:val="auto"/>
              </w:rPr>
              <w:t>Franklin Resources, Inc.:</w:t>
            </w:r>
          </w:p>
        </w:tc>
        <w:tc>
          <w:tcPr>
            <w:tcW w:w="1820" w:type="dxa"/>
            <w:vAlign w:val="bottom"/>
          </w:tcPr>
          <w:p>
            <w:pPr>
              <w:ind w:left="1120"/>
              <w:spacing w:after="0"/>
              <w:rPr>
                <w:sz w:val="20"/>
                <w:szCs w:val="20"/>
                <w:color w:val="auto"/>
              </w:rPr>
            </w:pPr>
            <w:r>
              <w:rPr>
                <w:rFonts w:ascii="Arial" w:cs="Arial" w:eastAsia="Arial" w:hAnsi="Arial"/>
                <w:sz w:val="18"/>
                <w:szCs w:val="18"/>
                <w:color w:val="auto"/>
              </w:rPr>
              <w:t>0</w:t>
            </w:r>
          </w:p>
        </w:tc>
      </w:tr>
      <w:tr>
        <w:trPr>
          <w:trHeight w:val="270"/>
        </w:trPr>
        <w:tc>
          <w:tcPr>
            <w:tcW w:w="5040" w:type="dxa"/>
            <w:vAlign w:val="bottom"/>
          </w:tcPr>
          <w:p>
            <w:pPr>
              <w:ind w:left="640"/>
              <w:spacing w:after="0"/>
              <w:rPr>
                <w:sz w:val="20"/>
                <w:szCs w:val="20"/>
                <w:color w:val="auto"/>
              </w:rPr>
            </w:pPr>
            <w:r>
              <w:rPr>
                <w:rFonts w:ascii="Arial" w:cs="Arial" w:eastAsia="Arial" w:hAnsi="Arial"/>
                <w:sz w:val="18"/>
                <w:szCs w:val="18"/>
                <w:color w:val="auto"/>
              </w:rPr>
              <w:t>Charles B. Johnson:</w:t>
            </w:r>
          </w:p>
        </w:tc>
        <w:tc>
          <w:tcPr>
            <w:tcW w:w="1820" w:type="dxa"/>
            <w:vAlign w:val="bottom"/>
          </w:tcPr>
          <w:p>
            <w:pPr>
              <w:ind w:left="1120"/>
              <w:spacing w:after="0"/>
              <w:rPr>
                <w:sz w:val="20"/>
                <w:szCs w:val="20"/>
                <w:color w:val="auto"/>
              </w:rPr>
            </w:pPr>
            <w:r>
              <w:rPr>
                <w:rFonts w:ascii="Arial" w:cs="Arial" w:eastAsia="Arial" w:hAnsi="Arial"/>
                <w:sz w:val="18"/>
                <w:szCs w:val="18"/>
                <w:color w:val="auto"/>
              </w:rPr>
              <w:t>0</w:t>
            </w:r>
          </w:p>
        </w:tc>
      </w:tr>
      <w:tr>
        <w:trPr>
          <w:trHeight w:val="270"/>
        </w:trPr>
        <w:tc>
          <w:tcPr>
            <w:tcW w:w="5040" w:type="dxa"/>
            <w:vAlign w:val="bottom"/>
          </w:tcPr>
          <w:p>
            <w:pPr>
              <w:ind w:left="640"/>
              <w:spacing w:after="0"/>
              <w:rPr>
                <w:sz w:val="20"/>
                <w:szCs w:val="20"/>
                <w:color w:val="auto"/>
              </w:rPr>
            </w:pPr>
            <w:r>
              <w:rPr>
                <w:rFonts w:ascii="Arial" w:cs="Arial" w:eastAsia="Arial" w:hAnsi="Arial"/>
                <w:sz w:val="18"/>
                <w:szCs w:val="18"/>
                <w:color w:val="auto"/>
              </w:rPr>
              <w:t>Rupert H. Johnson, Jr.:</w:t>
            </w:r>
          </w:p>
        </w:tc>
        <w:tc>
          <w:tcPr>
            <w:tcW w:w="1820" w:type="dxa"/>
            <w:vAlign w:val="bottom"/>
          </w:tcPr>
          <w:p>
            <w:pPr>
              <w:ind w:left="1120"/>
              <w:spacing w:after="0"/>
              <w:rPr>
                <w:sz w:val="20"/>
                <w:szCs w:val="20"/>
                <w:color w:val="auto"/>
              </w:rPr>
            </w:pPr>
            <w:r>
              <w:rPr>
                <w:rFonts w:ascii="Arial" w:cs="Arial" w:eastAsia="Arial" w:hAnsi="Arial"/>
                <w:sz w:val="18"/>
                <w:szCs w:val="18"/>
                <w:color w:val="auto"/>
              </w:rPr>
              <w:t>0</w:t>
            </w:r>
          </w:p>
        </w:tc>
      </w:tr>
      <w:tr>
        <w:trPr>
          <w:trHeight w:val="270"/>
        </w:trPr>
        <w:tc>
          <w:tcPr>
            <w:tcW w:w="5040" w:type="dxa"/>
            <w:vAlign w:val="bottom"/>
          </w:tcPr>
          <w:p>
            <w:pPr>
              <w:ind w:left="640"/>
              <w:spacing w:after="0"/>
              <w:rPr>
                <w:sz w:val="20"/>
                <w:szCs w:val="20"/>
                <w:color w:val="auto"/>
              </w:rPr>
            </w:pPr>
            <w:r>
              <w:rPr>
                <w:rFonts w:ascii="Arial" w:cs="Arial" w:eastAsia="Arial" w:hAnsi="Arial"/>
                <w:sz w:val="18"/>
                <w:szCs w:val="18"/>
                <w:color w:val="auto"/>
              </w:rPr>
              <w:t>Franklin Advisory Services, LLC:</w:t>
            </w:r>
          </w:p>
        </w:tc>
        <w:tc>
          <w:tcPr>
            <w:tcW w:w="1820" w:type="dxa"/>
            <w:vAlign w:val="bottom"/>
          </w:tcPr>
          <w:p>
            <w:pPr>
              <w:ind w:left="1120"/>
              <w:spacing w:after="0"/>
              <w:rPr>
                <w:sz w:val="20"/>
                <w:szCs w:val="20"/>
                <w:color w:val="auto"/>
              </w:rPr>
            </w:pPr>
            <w:r>
              <w:rPr>
                <w:rFonts w:ascii="Arial" w:cs="Arial" w:eastAsia="Arial" w:hAnsi="Arial"/>
                <w:sz w:val="18"/>
                <w:szCs w:val="18"/>
                <w:color w:val="auto"/>
                <w:w w:val="84"/>
              </w:rPr>
              <w:t>1,799,500</w:t>
            </w:r>
          </w:p>
        </w:tc>
      </w:tr>
      <w:tr>
        <w:trPr>
          <w:trHeight w:val="513"/>
        </w:trPr>
        <w:tc>
          <w:tcPr>
            <w:tcW w:w="5040" w:type="dxa"/>
            <w:vAlign w:val="bottom"/>
          </w:tcPr>
          <w:p>
            <w:pPr>
              <w:ind w:left="100"/>
              <w:spacing w:after="0"/>
              <w:rPr>
                <w:sz w:val="20"/>
                <w:szCs w:val="20"/>
                <w:color w:val="auto"/>
              </w:rPr>
            </w:pPr>
            <w:r>
              <w:rPr>
                <w:rFonts w:ascii="Arial" w:cs="Arial" w:eastAsia="Arial" w:hAnsi="Arial"/>
                <w:sz w:val="18"/>
                <w:szCs w:val="18"/>
                <w:color w:val="auto"/>
              </w:rPr>
              <w:t>(ii) Shared power to vote or to direct the vote</w:t>
            </w:r>
          </w:p>
        </w:tc>
        <w:tc>
          <w:tcPr>
            <w:tcW w:w="1820" w:type="dxa"/>
            <w:vAlign w:val="bottom"/>
          </w:tcPr>
          <w:p>
            <w:pPr>
              <w:spacing w:after="0"/>
              <w:rPr>
                <w:sz w:val="24"/>
                <w:szCs w:val="24"/>
                <w:color w:val="auto"/>
              </w:rPr>
            </w:pPr>
          </w:p>
        </w:tc>
      </w:tr>
      <w:tr>
        <w:trPr>
          <w:trHeight w:val="486"/>
        </w:trPr>
        <w:tc>
          <w:tcPr>
            <w:tcW w:w="5040" w:type="dxa"/>
            <w:vAlign w:val="bottom"/>
          </w:tcPr>
          <w:p>
            <w:pPr>
              <w:ind w:left="640"/>
              <w:spacing w:after="0"/>
              <w:rPr>
                <w:sz w:val="20"/>
                <w:szCs w:val="20"/>
                <w:color w:val="auto"/>
              </w:rPr>
            </w:pPr>
            <w:r>
              <w:rPr>
                <w:rFonts w:ascii="Arial" w:cs="Arial" w:eastAsia="Arial" w:hAnsi="Arial"/>
                <w:sz w:val="18"/>
                <w:szCs w:val="18"/>
                <w:color w:val="auto"/>
              </w:rPr>
              <w:t>0</w:t>
            </w:r>
          </w:p>
        </w:tc>
        <w:tc>
          <w:tcPr>
            <w:tcW w:w="1820" w:type="dxa"/>
            <w:vAlign w:val="bottom"/>
          </w:tcPr>
          <w:p>
            <w:pPr>
              <w:spacing w:after="0"/>
              <w:rPr>
                <w:sz w:val="24"/>
                <w:szCs w:val="24"/>
                <w:color w:val="auto"/>
              </w:rPr>
            </w:pPr>
          </w:p>
        </w:tc>
      </w:tr>
      <w:tr>
        <w:trPr>
          <w:trHeight w:val="486"/>
        </w:trPr>
        <w:tc>
          <w:tcPr>
            <w:tcW w:w="5040" w:type="dxa"/>
            <w:vAlign w:val="bottom"/>
          </w:tcPr>
          <w:p>
            <w:pPr>
              <w:spacing w:after="0"/>
              <w:rPr>
                <w:sz w:val="20"/>
                <w:szCs w:val="20"/>
                <w:color w:val="auto"/>
              </w:rPr>
            </w:pPr>
            <w:r>
              <w:rPr>
                <w:rFonts w:ascii="Arial" w:cs="Arial" w:eastAsia="Arial" w:hAnsi="Arial"/>
                <w:sz w:val="18"/>
                <w:szCs w:val="18"/>
                <w:color w:val="auto"/>
              </w:rPr>
              <w:t>(iii) Sole power to dispose or to direct the disposition of</w:t>
            </w:r>
          </w:p>
        </w:tc>
        <w:tc>
          <w:tcPr>
            <w:tcW w:w="1820" w:type="dxa"/>
            <w:vAlign w:val="bottom"/>
          </w:tcPr>
          <w:p>
            <w:pPr>
              <w:spacing w:after="0"/>
              <w:rPr>
                <w:sz w:val="24"/>
                <w:szCs w:val="24"/>
                <w:color w:val="auto"/>
              </w:rPr>
            </w:pPr>
          </w:p>
        </w:tc>
      </w:tr>
      <w:tr>
        <w:trPr>
          <w:trHeight w:val="459"/>
        </w:trPr>
        <w:tc>
          <w:tcPr>
            <w:tcW w:w="5040" w:type="dxa"/>
            <w:vAlign w:val="bottom"/>
          </w:tcPr>
          <w:p>
            <w:pPr>
              <w:ind w:left="640"/>
              <w:spacing w:after="0"/>
              <w:rPr>
                <w:sz w:val="20"/>
                <w:szCs w:val="20"/>
                <w:color w:val="auto"/>
              </w:rPr>
            </w:pPr>
            <w:r>
              <w:rPr>
                <w:rFonts w:ascii="Arial" w:cs="Arial" w:eastAsia="Arial" w:hAnsi="Arial"/>
                <w:sz w:val="18"/>
                <w:szCs w:val="18"/>
                <w:color w:val="auto"/>
              </w:rPr>
              <w:t>Franklin Resources, Inc.:</w:t>
            </w:r>
          </w:p>
        </w:tc>
        <w:tc>
          <w:tcPr>
            <w:tcW w:w="1820" w:type="dxa"/>
            <w:vAlign w:val="bottom"/>
          </w:tcPr>
          <w:p>
            <w:pPr>
              <w:ind w:left="1120"/>
              <w:spacing w:after="0"/>
              <w:rPr>
                <w:sz w:val="20"/>
                <w:szCs w:val="20"/>
                <w:color w:val="auto"/>
              </w:rPr>
            </w:pPr>
            <w:r>
              <w:rPr>
                <w:rFonts w:ascii="Arial" w:cs="Arial" w:eastAsia="Arial" w:hAnsi="Arial"/>
                <w:sz w:val="18"/>
                <w:szCs w:val="18"/>
                <w:color w:val="auto"/>
              </w:rPr>
              <w:t>0</w:t>
            </w:r>
          </w:p>
        </w:tc>
      </w:tr>
      <w:tr>
        <w:trPr>
          <w:trHeight w:val="270"/>
        </w:trPr>
        <w:tc>
          <w:tcPr>
            <w:tcW w:w="5040" w:type="dxa"/>
            <w:vAlign w:val="bottom"/>
          </w:tcPr>
          <w:p>
            <w:pPr>
              <w:ind w:left="640"/>
              <w:spacing w:after="0"/>
              <w:rPr>
                <w:sz w:val="20"/>
                <w:szCs w:val="20"/>
                <w:color w:val="auto"/>
              </w:rPr>
            </w:pPr>
            <w:r>
              <w:rPr>
                <w:rFonts w:ascii="Arial" w:cs="Arial" w:eastAsia="Arial" w:hAnsi="Arial"/>
                <w:sz w:val="18"/>
                <w:szCs w:val="18"/>
                <w:color w:val="auto"/>
              </w:rPr>
              <w:t>Charles B. Johnson:</w:t>
            </w:r>
          </w:p>
        </w:tc>
        <w:tc>
          <w:tcPr>
            <w:tcW w:w="1820" w:type="dxa"/>
            <w:vAlign w:val="bottom"/>
          </w:tcPr>
          <w:p>
            <w:pPr>
              <w:ind w:left="1120"/>
              <w:spacing w:after="0"/>
              <w:rPr>
                <w:sz w:val="20"/>
                <w:szCs w:val="20"/>
                <w:color w:val="auto"/>
              </w:rPr>
            </w:pPr>
            <w:r>
              <w:rPr>
                <w:rFonts w:ascii="Arial" w:cs="Arial" w:eastAsia="Arial" w:hAnsi="Arial"/>
                <w:sz w:val="18"/>
                <w:szCs w:val="18"/>
                <w:color w:val="auto"/>
              </w:rPr>
              <w:t>0</w:t>
            </w:r>
          </w:p>
        </w:tc>
      </w:tr>
      <w:tr>
        <w:trPr>
          <w:trHeight w:val="270"/>
        </w:trPr>
        <w:tc>
          <w:tcPr>
            <w:tcW w:w="5040" w:type="dxa"/>
            <w:vAlign w:val="bottom"/>
          </w:tcPr>
          <w:p>
            <w:pPr>
              <w:ind w:left="640"/>
              <w:spacing w:after="0"/>
              <w:rPr>
                <w:sz w:val="20"/>
                <w:szCs w:val="20"/>
                <w:color w:val="auto"/>
              </w:rPr>
            </w:pPr>
            <w:r>
              <w:rPr>
                <w:rFonts w:ascii="Arial" w:cs="Arial" w:eastAsia="Arial" w:hAnsi="Arial"/>
                <w:sz w:val="18"/>
                <w:szCs w:val="18"/>
                <w:color w:val="auto"/>
              </w:rPr>
              <w:t>Rupert H. Johnson, Jr.:</w:t>
            </w:r>
          </w:p>
        </w:tc>
        <w:tc>
          <w:tcPr>
            <w:tcW w:w="1820" w:type="dxa"/>
            <w:vAlign w:val="bottom"/>
          </w:tcPr>
          <w:p>
            <w:pPr>
              <w:ind w:left="1120"/>
              <w:spacing w:after="0"/>
              <w:rPr>
                <w:sz w:val="20"/>
                <w:szCs w:val="20"/>
                <w:color w:val="auto"/>
              </w:rPr>
            </w:pPr>
            <w:r>
              <w:rPr>
                <w:rFonts w:ascii="Arial" w:cs="Arial" w:eastAsia="Arial" w:hAnsi="Arial"/>
                <w:sz w:val="18"/>
                <w:szCs w:val="18"/>
                <w:color w:val="auto"/>
              </w:rPr>
              <w:t>0</w:t>
            </w:r>
          </w:p>
        </w:tc>
      </w:tr>
      <w:tr>
        <w:trPr>
          <w:trHeight w:val="270"/>
        </w:trPr>
        <w:tc>
          <w:tcPr>
            <w:tcW w:w="5040" w:type="dxa"/>
            <w:vAlign w:val="bottom"/>
          </w:tcPr>
          <w:p>
            <w:pPr>
              <w:ind w:left="640"/>
              <w:spacing w:after="0"/>
              <w:rPr>
                <w:sz w:val="20"/>
                <w:szCs w:val="20"/>
                <w:color w:val="auto"/>
              </w:rPr>
            </w:pPr>
            <w:r>
              <w:rPr>
                <w:rFonts w:ascii="Arial" w:cs="Arial" w:eastAsia="Arial" w:hAnsi="Arial"/>
                <w:sz w:val="18"/>
                <w:szCs w:val="18"/>
                <w:color w:val="auto"/>
              </w:rPr>
              <w:t>Franklin Advisory Services, LLC:</w:t>
            </w:r>
          </w:p>
        </w:tc>
        <w:tc>
          <w:tcPr>
            <w:tcW w:w="1820" w:type="dxa"/>
            <w:vAlign w:val="bottom"/>
          </w:tcPr>
          <w:p>
            <w:pPr>
              <w:ind w:left="1120"/>
              <w:spacing w:after="0"/>
              <w:rPr>
                <w:sz w:val="20"/>
                <w:szCs w:val="20"/>
                <w:color w:val="auto"/>
              </w:rPr>
            </w:pPr>
            <w:r>
              <w:rPr>
                <w:rFonts w:ascii="Arial" w:cs="Arial" w:eastAsia="Arial" w:hAnsi="Arial"/>
                <w:sz w:val="18"/>
                <w:szCs w:val="18"/>
                <w:color w:val="auto"/>
                <w:w w:val="84"/>
              </w:rPr>
              <w:t>1,841,600</w:t>
            </w:r>
          </w:p>
        </w:tc>
      </w:tr>
    </w:tbl>
    <w:p>
      <w:pPr>
        <w:spacing w:after="0" w:line="2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(iv) Shared power to dispose or to direct the disposition of</w:t>
      </w:r>
    </w:p>
    <w:p>
      <w:pPr>
        <w:spacing w:after="0" w:line="2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5. Ownership of Five Percent or Less of a Class</w:t>
      </w:r>
    </w:p>
    <w:p>
      <w:pPr>
        <w:spacing w:after="0" w:line="225" w:lineRule="exact"/>
        <w:rPr>
          <w:sz w:val="20"/>
          <w:szCs w:val="20"/>
          <w:color w:val="auto"/>
        </w:rPr>
      </w:pPr>
    </w:p>
    <w:p>
      <w:pPr>
        <w:ind w:left="980" w:right="300"/>
        <w:spacing w:after="0" w:line="266"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w:t>
      </w:r>
    </w:p>
    <w:p>
      <w:pPr>
        <w:ind w:left="98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6. Ownership of More than Five Percent on Behalf of Another Person</w:t>
      </w:r>
    </w:p>
    <w:p>
      <w:pPr>
        <w:spacing w:after="0" w:line="225" w:lineRule="exact"/>
        <w:rPr>
          <w:sz w:val="20"/>
          <w:szCs w:val="20"/>
          <w:color w:val="auto"/>
        </w:rPr>
      </w:pPr>
    </w:p>
    <w:p>
      <w:pPr>
        <w:ind w:left="980"/>
        <w:spacing w:after="0" w:line="259" w:lineRule="auto"/>
        <w:rPr>
          <w:sz w:val="20"/>
          <w:szCs w:val="20"/>
          <w:color w:val="auto"/>
        </w:rPr>
      </w:pPr>
      <w:r>
        <w:rPr>
          <w:rFonts w:ascii="Arial" w:cs="Arial" w:eastAsia="Arial" w:hAnsi="Arial"/>
          <w:sz w:val="18"/>
          <w:szCs w:val="18"/>
          <w:color w:val="auto"/>
        </w:rPr>
        <w:t>The clients of the Investment Management Subsidiaries, including investment companies registered under the Investment Company Act of 1940 and other managed accounts, have the right to receive or power to direct the receipt of dividends from, as well as the proceeds from the sale of, such securities reported on in this statement.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Item 7. Identification and Classification of the Subsidiary Which Acquired the Security Being Reported on By the Parent Holding Company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Attached Exhibit C</w:t>
      </w:r>
    </w:p>
    <w:p>
      <w:pPr>
        <w:sectPr>
          <w:pgSz w:w="11900" w:h="16838" w:orient="portrait"/>
          <w:cols w:equalWidth="0" w:num="1">
            <w:col w:w="11420"/>
          </w:cols>
          <w:pgMar w:left="240" w:top="131" w:right="239" w:bottom="1440" w:gutter="0" w:footer="0" w:header="0"/>
        </w:sectPr>
      </w:pPr>
    </w:p>
    <w:bookmarkStart w:id="8" w:name="page9"/>
    <w:bookmarkEnd w:id="8"/>
    <w:p>
      <w:pPr>
        <w:spacing w:after="0"/>
        <w:tabs>
          <w:tab w:leader="none" w:pos="4580" w:val="left"/>
          <w:tab w:leader="none" w:pos="7440" w:val="left"/>
        </w:tabs>
        <w:rPr>
          <w:sz w:val="20"/>
          <w:szCs w:val="20"/>
          <w:color w:val="auto"/>
        </w:rPr>
      </w:pPr>
      <w:r>
        <w:rPr>
          <w:rFonts w:ascii="Arial" w:cs="Arial" w:eastAsia="Arial" w:hAnsi="Arial"/>
          <w:sz w:val="18"/>
          <w:szCs w:val="18"/>
          <w:color w:val="auto"/>
        </w:rPr>
        <w:t>CUSIP NO. 974637100</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9 OF 15</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also Item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8. Identification and Classification of Members of the Group</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 (See also Item 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9. Notice of Dissolution of Group</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219"/>
          </w:cols>
          <w:pgMar w:left="240" w:top="131" w:right="1440" w:bottom="1440" w:gutter="0" w:footer="0" w:header="0"/>
        </w:sectPr>
      </w:pPr>
    </w:p>
    <w:bookmarkStart w:id="9" w:name="page10"/>
    <w:bookmarkEnd w:id="9"/>
    <w:p>
      <w:pPr>
        <w:spacing w:after="0"/>
        <w:tabs>
          <w:tab w:leader="none" w:pos="4580" w:val="left"/>
          <w:tab w:leader="none" w:pos="7340" w:val="left"/>
        </w:tabs>
        <w:rPr>
          <w:sz w:val="20"/>
          <w:szCs w:val="20"/>
          <w:color w:val="auto"/>
        </w:rPr>
      </w:pPr>
      <w:r>
        <w:rPr>
          <w:rFonts w:ascii="Arial" w:cs="Arial" w:eastAsia="Arial" w:hAnsi="Arial"/>
          <w:sz w:val="18"/>
          <w:szCs w:val="18"/>
          <w:color w:val="auto"/>
        </w:rPr>
        <w:t>CUSIP NO. 974637100</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10 OF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10. Certification</w:t>
      </w:r>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61" w:lineRule="exact"/>
        <w:rPr>
          <w:sz w:val="20"/>
          <w:szCs w:val="20"/>
          <w:color w:val="auto"/>
        </w:rPr>
      </w:pPr>
    </w:p>
    <w:p>
      <w:pPr>
        <w:jc w:val="center"/>
        <w:ind w:right="420"/>
        <w:spacing w:after="0"/>
        <w:rPr>
          <w:sz w:val="20"/>
          <w:szCs w:val="20"/>
          <w:color w:val="auto"/>
        </w:rPr>
      </w:pPr>
      <w:r>
        <w:rPr>
          <w:rFonts w:ascii="Arial" w:cs="Arial" w:eastAsia="Arial" w:hAnsi="Arial"/>
          <w:sz w:val="15"/>
          <w:szCs w:val="15"/>
          <w:color w:val="auto"/>
        </w:rPr>
        <w:t>This report shall not be construed as an admission by the persons filing the report that they are the beneficial owner of any securities covered by this report.</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17,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Franklin Resources,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Charles B. Johnson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By: /s/ MARIA GRAY</w:t>
      </w:r>
    </w:p>
    <w:p>
      <w:pPr>
        <w:ind w:left="440"/>
        <w:spacing w:after="0" w:line="234" w:lineRule="auto"/>
        <w:rPr>
          <w:sz w:val="20"/>
          <w:szCs w:val="20"/>
          <w:color w:val="auto"/>
        </w:rPr>
      </w:pPr>
      <w:r>
        <w:rPr>
          <w:rFonts w:ascii="Arial" w:cs="Arial" w:eastAsia="Arial" w:hAnsi="Arial"/>
          <w:sz w:val="18"/>
          <w:szCs w:val="18"/>
          <w:color w:val="auto"/>
        </w:rPr>
        <w:t>-----------------------</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Maria Gray</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Secretary of Franklin Resources, Inc.</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Attorney-in-Fact for Charles B. Johnson pursuant to Power of Attorney attached to this Schedule 13G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Attorney-in-Fact for Rupert H. Johnson, Jr. pursuant to Power of Attorney attached to this Schedule 13G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Franklin Advisory Services, LLC</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By: /s/ STEVEN J. GRAY</w:t>
      </w:r>
    </w:p>
    <w:p>
      <w:pPr>
        <w:ind w:left="440"/>
        <w:spacing w:after="0" w:line="187" w:lineRule="auto"/>
        <w:rPr>
          <w:sz w:val="20"/>
          <w:szCs w:val="20"/>
          <w:color w:val="auto"/>
        </w:rPr>
      </w:pPr>
      <w:r>
        <w:rPr>
          <w:rFonts w:ascii="Arial" w:cs="Arial" w:eastAsia="Arial" w:hAnsi="Arial"/>
          <w:sz w:val="18"/>
          <w:szCs w:val="18"/>
          <w:color w:val="auto"/>
        </w:rPr>
        <w:t>------------------------</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Steven J. Gray</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Secretary of Franklin Advisory Services, LLC</w:t>
      </w:r>
    </w:p>
    <w:p>
      <w:pPr>
        <w:sectPr>
          <w:pgSz w:w="11900" w:h="16838" w:orient="portrait"/>
          <w:cols w:equalWidth="0" w:num="1">
            <w:col w:w="11360"/>
          </w:cols>
          <w:pgMar w:left="240" w:top="131" w:right="299" w:bottom="1440" w:gutter="0" w:footer="0" w:header="0"/>
        </w:sectPr>
      </w:pPr>
    </w:p>
    <w:bookmarkStart w:id="10" w:name="page11"/>
    <w:bookmarkEnd w:id="10"/>
    <w:p>
      <w:pPr>
        <w:spacing w:after="0"/>
        <w:tabs>
          <w:tab w:leader="none" w:pos="4580" w:val="left"/>
          <w:tab w:leader="none" w:pos="7340" w:val="left"/>
        </w:tabs>
        <w:rPr>
          <w:sz w:val="20"/>
          <w:szCs w:val="20"/>
          <w:color w:val="auto"/>
        </w:rPr>
      </w:pPr>
      <w:r>
        <w:rPr>
          <w:rFonts w:ascii="Arial" w:cs="Arial" w:eastAsia="Arial" w:hAnsi="Arial"/>
          <w:sz w:val="18"/>
          <w:szCs w:val="18"/>
          <w:color w:val="auto"/>
        </w:rPr>
        <w:t>CUSIP NO. 974637100</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11 OF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Rule 13d-1(k)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executed this agreement 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17, 2008.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Franklin Resources,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Charles B. Johnson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By: /s/ MARIA GRAY</w:t>
      </w:r>
    </w:p>
    <w:p>
      <w:pPr>
        <w:ind w:left="440"/>
        <w:spacing w:after="0" w:line="234" w:lineRule="auto"/>
        <w:rPr>
          <w:sz w:val="20"/>
          <w:szCs w:val="20"/>
          <w:color w:val="auto"/>
        </w:rPr>
      </w:pPr>
      <w:r>
        <w:rPr>
          <w:rFonts w:ascii="Arial" w:cs="Arial" w:eastAsia="Arial" w:hAnsi="Arial"/>
          <w:sz w:val="18"/>
          <w:szCs w:val="18"/>
          <w:color w:val="auto"/>
        </w:rPr>
        <w:t>-----------------------</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Maria Gray</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Secretary of Franklin Resources, Inc.</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Attorney-in-Fact for Charles B. Johnson pursuant to Power of Attorney attached to this Schedule 13G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Attorney-in-Fact for Rupert H. Johnson, Jr. pursuant to Power of Attorney attached to this Schedule 13G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Franklin Advisory Services, LLC</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By: /s/ STEVEN J. GRAY</w:t>
      </w:r>
    </w:p>
    <w:p>
      <w:pPr>
        <w:ind w:left="440"/>
        <w:spacing w:after="0" w:line="187" w:lineRule="auto"/>
        <w:rPr>
          <w:sz w:val="20"/>
          <w:szCs w:val="20"/>
          <w:color w:val="auto"/>
        </w:rPr>
      </w:pPr>
      <w:r>
        <w:rPr>
          <w:rFonts w:ascii="Arial" w:cs="Arial" w:eastAsia="Arial" w:hAnsi="Arial"/>
          <w:sz w:val="18"/>
          <w:szCs w:val="18"/>
          <w:color w:val="auto"/>
        </w:rPr>
        <w:t>------------------------</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Steven J. Gray</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Secretary of Franklin Advisory Services, LLC</w:t>
      </w:r>
    </w:p>
    <w:p>
      <w:pPr>
        <w:sectPr>
          <w:pgSz w:w="11900" w:h="16838" w:orient="portrait"/>
          <w:cols w:equalWidth="0" w:num="1">
            <w:col w:w="11300"/>
          </w:cols>
          <w:pgMar w:left="240" w:top="131" w:right="359" w:bottom="1440" w:gutter="0" w:footer="0" w:header="0"/>
        </w:sectPr>
      </w:pPr>
    </w:p>
    <w:bookmarkStart w:id="11" w:name="page12"/>
    <w:bookmarkEnd w:id="11"/>
    <w:p>
      <w:pPr>
        <w:spacing w:after="0"/>
        <w:tabs>
          <w:tab w:leader="none" w:pos="4580" w:val="left"/>
          <w:tab w:leader="none" w:pos="7340" w:val="left"/>
        </w:tabs>
        <w:rPr>
          <w:sz w:val="20"/>
          <w:szCs w:val="20"/>
          <w:color w:val="auto"/>
        </w:rPr>
      </w:pPr>
      <w:r>
        <w:rPr>
          <w:rFonts w:ascii="Arial" w:cs="Arial" w:eastAsia="Arial" w:hAnsi="Arial"/>
          <w:sz w:val="18"/>
          <w:szCs w:val="18"/>
          <w:color w:val="auto"/>
        </w:rPr>
        <w:t>CUSIP NO. 974637100</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12 OF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LIMITED POWER OF ATTORNEY</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SECTION 13 REPORTING OBLIGATIONS</w:t>
      </w:r>
    </w:p>
    <w:p>
      <w:pPr>
        <w:spacing w:after="0" w:line="219" w:lineRule="exact"/>
        <w:rPr>
          <w:sz w:val="20"/>
          <w:szCs w:val="20"/>
          <w:color w:val="auto"/>
        </w:rPr>
      </w:pPr>
    </w:p>
    <w:p>
      <w:pPr>
        <w:jc w:val="both"/>
        <w:ind w:right="140" w:firstLine="1297"/>
        <w:spacing w:after="0" w:line="259" w:lineRule="auto"/>
        <w:rPr>
          <w:sz w:val="20"/>
          <w:szCs w:val="20"/>
          <w:color w:val="auto"/>
        </w:rPr>
      </w:pPr>
      <w:r>
        <w:rPr>
          <w:rFonts w:ascii="Arial" w:cs="Arial" w:eastAsia="Arial" w:hAnsi="Arial"/>
          <w:sz w:val="18"/>
          <w:szCs w:val="18"/>
          <w:color w:val="auto"/>
        </w:rPr>
        <w:t>Know all by these presents, that the undersigned hereby makes, constitutes and appoints each of Robert Rosselot and Maria Gray, each acting individually, as the undersigned’s true and lawful attorney-in-fact, with full power and authority as hereinafter described on behalf of and in the name, place and stead of the undersigned to:</w:t>
      </w:r>
    </w:p>
    <w:p>
      <w:pPr>
        <w:spacing w:after="0" w:line="194" w:lineRule="exact"/>
        <w:rPr>
          <w:sz w:val="20"/>
          <w:szCs w:val="20"/>
          <w:color w:val="auto"/>
        </w:rPr>
      </w:pPr>
    </w:p>
    <w:p>
      <w:pPr>
        <w:jc w:val="both"/>
        <w:ind w:right="40" w:firstLine="8"/>
        <w:spacing w:after="0" w:line="256" w:lineRule="auto"/>
        <w:tabs>
          <w:tab w:leader="none" w:pos="468"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197" w:lineRule="exact"/>
        <w:rPr>
          <w:rFonts w:ascii="Arial" w:cs="Arial" w:eastAsia="Arial" w:hAnsi="Arial"/>
          <w:sz w:val="18"/>
          <w:szCs w:val="18"/>
          <w:color w:val="auto"/>
        </w:rPr>
      </w:pPr>
    </w:p>
    <w:p>
      <w:pPr>
        <w:ind w:right="40" w:firstLine="8"/>
        <w:spacing w:after="0" w:line="268" w:lineRule="auto"/>
        <w:tabs>
          <w:tab w:leader="none" w:pos="468"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perform any and all other acts which in the discretion of such attorney-in-fact are necessary or desirable for and on behalf of the undersigned in connection with the foregoing.</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acknowledges that:</w:t>
      </w:r>
    </w:p>
    <w:p>
      <w:pPr>
        <w:spacing w:after="0" w:line="225" w:lineRule="exact"/>
        <w:rPr>
          <w:sz w:val="20"/>
          <w:szCs w:val="20"/>
          <w:color w:val="auto"/>
        </w:rPr>
      </w:pPr>
    </w:p>
    <w:p>
      <w:pPr>
        <w:ind w:right="540" w:firstLine="8"/>
        <w:spacing w:after="0" w:line="268" w:lineRule="auto"/>
        <w:tabs>
          <w:tab w:leader="none" w:pos="46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Limited Power of Attorney authorizes, but does not require, each such attorney-in-fact to act in their discretion on information provided to such attorney-in-fact without independent verification of such information;</w:t>
      </w:r>
    </w:p>
    <w:p>
      <w:pPr>
        <w:spacing w:after="0" w:line="185" w:lineRule="exact"/>
        <w:rPr>
          <w:rFonts w:ascii="Arial" w:cs="Arial" w:eastAsia="Arial" w:hAnsi="Arial"/>
          <w:sz w:val="18"/>
          <w:szCs w:val="18"/>
          <w:color w:val="auto"/>
        </w:rPr>
      </w:pPr>
    </w:p>
    <w:p>
      <w:pPr>
        <w:ind w:right="40" w:firstLine="8"/>
        <w:spacing w:after="0" w:line="332" w:lineRule="auto"/>
        <w:tabs>
          <w:tab w:leader="none" w:pos="468"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documents prepared and/or executed by either such attorney-in-fact on behalf of the undersigned pursuant to this Limited Power of Attorney will be in such form and will contain such information and disclosure as such attorney-in-fact, in his or her discretion, deems necessary or desirable;</w:t>
      </w:r>
    </w:p>
    <w:p>
      <w:pPr>
        <w:spacing w:after="0" w:line="139" w:lineRule="exact"/>
        <w:rPr>
          <w:rFonts w:ascii="Arial" w:cs="Arial" w:eastAsia="Arial" w:hAnsi="Arial"/>
          <w:sz w:val="16"/>
          <w:szCs w:val="16"/>
          <w:color w:val="auto"/>
        </w:rPr>
      </w:pPr>
    </w:p>
    <w:p>
      <w:pPr>
        <w:ind w:right="860" w:firstLine="8"/>
        <w:spacing w:after="0" w:line="332" w:lineRule="auto"/>
        <w:tabs>
          <w:tab w:leader="none" w:pos="468" w:val="left"/>
        </w:tabs>
        <w:numPr>
          <w:ilvl w:val="0"/>
          <w:numId w:val="17"/>
        </w:numPr>
        <w:rPr>
          <w:rFonts w:ascii="Arial" w:cs="Arial" w:eastAsia="Arial" w:hAnsi="Arial"/>
          <w:sz w:val="16"/>
          <w:szCs w:val="16"/>
          <w:color w:val="auto"/>
        </w:rPr>
      </w:pPr>
      <w:r>
        <w:rPr>
          <w:rFonts w:ascii="Arial" w:cs="Arial" w:eastAsia="Arial" w:hAnsi="Arial"/>
          <w:sz w:val="16"/>
          <w:szCs w:val="16"/>
          <w:color w:val="auto"/>
        </w:rPr>
        <w:t>neither the Reporting Entity nor either of such attorneys-in-fact assumes (i) any liability for the undersigned’s responsibility to comply with the requirements of the Exchange Act or (ii) any liability of the undersigned for any failure to comply with such requirements; and</w:t>
      </w:r>
    </w:p>
    <w:p>
      <w:pPr>
        <w:spacing w:after="0" w:line="139" w:lineRule="exact"/>
        <w:rPr>
          <w:rFonts w:ascii="Arial" w:cs="Arial" w:eastAsia="Arial" w:hAnsi="Arial"/>
          <w:sz w:val="16"/>
          <w:szCs w:val="16"/>
          <w:color w:val="auto"/>
        </w:rPr>
      </w:pPr>
    </w:p>
    <w:p>
      <w:pPr>
        <w:ind w:right="20" w:firstLine="8"/>
        <w:spacing w:after="0" w:line="268" w:lineRule="auto"/>
        <w:tabs>
          <w:tab w:leader="none" w:pos="46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186" w:lineRule="exact"/>
        <w:rPr>
          <w:sz w:val="20"/>
          <w:szCs w:val="20"/>
          <w:color w:val="auto"/>
        </w:rPr>
      </w:pPr>
    </w:p>
    <w:p>
      <w:pPr>
        <w:ind w:right="100" w:firstLine="1297"/>
        <w:spacing w:after="0" w:line="256" w:lineRule="auto"/>
        <w:rPr>
          <w:sz w:val="20"/>
          <w:szCs w:val="20"/>
          <w:color w:val="auto"/>
        </w:rPr>
      </w:pPr>
      <w:r>
        <w:rPr>
          <w:rFonts w:ascii="Arial" w:cs="Arial" w:eastAsia="Arial" w:hAnsi="Arial"/>
          <w:sz w:val="18"/>
          <w:szCs w:val="18"/>
          <w:color w:val="auto"/>
        </w:rPr>
        <w:t>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attorney-in-fact of, for and on behalf of the undersigned, shall lawfully do or cause to be done by virtue of this Limited Power of Attorney.</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This Limited Power of Attorney shall remain in full force and effect until revoked by the undersigned in a signed writing delivered to each such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attorney-in-fact.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IN WITNESS WHEREOF, the undersigned has caused this Limited Power of Attorney to be executed as of this </w:t>
      </w:r>
      <w:r>
        <w:rPr>
          <w:rFonts w:ascii="Arial" w:cs="Arial" w:eastAsia="Arial" w:hAnsi="Arial"/>
          <w:sz w:val="16"/>
          <w:szCs w:val="16"/>
          <w:u w:val="single" w:color="auto"/>
          <w:color w:val="auto"/>
        </w:rPr>
        <w:t>30</w:t>
      </w:r>
      <w:r>
        <w:rPr>
          <w:rFonts w:ascii="Arial" w:cs="Arial" w:eastAsia="Arial" w:hAnsi="Arial"/>
          <w:sz w:val="26"/>
          <w:szCs w:val="26"/>
          <w:u w:val="single" w:color="auto"/>
          <w:color w:val="auto"/>
          <w:vertAlign w:val="superscript"/>
        </w:rPr>
        <w:t>th</w:t>
      </w:r>
      <w:r>
        <w:rPr>
          <w:rFonts w:ascii="Arial" w:cs="Arial" w:eastAsia="Arial" w:hAnsi="Arial"/>
          <w:sz w:val="16"/>
          <w:szCs w:val="16"/>
          <w:color w:val="auto"/>
        </w:rPr>
        <w:t xml:space="preserve"> day of </w:t>
      </w:r>
      <w:r>
        <w:rPr>
          <w:rFonts w:ascii="Arial" w:cs="Arial" w:eastAsia="Arial" w:hAnsi="Arial"/>
          <w:sz w:val="16"/>
          <w:szCs w:val="16"/>
          <w:u w:val="single" w:color="auto"/>
          <w:color w:val="auto"/>
        </w:rPr>
        <w:t>April</w:t>
      </w:r>
      <w:r>
        <w:rPr>
          <w:rFonts w:ascii="Arial" w:cs="Arial" w:eastAsia="Arial" w:hAnsi="Arial"/>
          <w:sz w:val="16"/>
          <w:szCs w:val="16"/>
          <w:color w:val="auto"/>
        </w:rPr>
        <w:t xml:space="preserve"> ,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6028055</wp:posOffset>
            </wp:positionH>
            <wp:positionV relativeFrom="paragraph">
              <wp:posOffset>-47625</wp:posOffset>
            </wp:positionV>
            <wp:extent cx="279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0" cy="88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tabs>
          <w:tab w:leader="none" w:pos="4580" w:val="left"/>
          <w:tab w:leader="none" w:pos="7340" w:val="left"/>
        </w:tabs>
        <w:rPr>
          <w:sz w:val="20"/>
          <w:szCs w:val="20"/>
          <w:color w:val="auto"/>
        </w:rPr>
      </w:pPr>
      <w:r>
        <w:rPr>
          <w:rFonts w:ascii="Arial" w:cs="Arial" w:eastAsia="Arial" w:hAnsi="Arial"/>
          <w:sz w:val="18"/>
          <w:szCs w:val="18"/>
          <w:color w:val="auto"/>
        </w:rPr>
        <w:t>CUSIP NO. 974637100</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13 OF 15</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Charles B. Johnson</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Signature</w:t>
      </w:r>
    </w:p>
    <w:p>
      <w:pPr>
        <w:spacing w:after="0" w:line="219"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Charles B. Johnson</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Print Name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LIMITED POWER OF ATTORNEY</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SECTION 13 REPORTING OBLIGATIONS</w:t>
      </w:r>
    </w:p>
    <w:p>
      <w:pPr>
        <w:spacing w:after="0" w:line="219" w:lineRule="exact"/>
        <w:rPr>
          <w:sz w:val="20"/>
          <w:szCs w:val="20"/>
          <w:color w:val="auto"/>
        </w:rPr>
      </w:pPr>
    </w:p>
    <w:p>
      <w:pPr>
        <w:jc w:val="both"/>
        <w:ind w:right="140" w:firstLine="1297"/>
        <w:spacing w:after="0" w:line="259" w:lineRule="auto"/>
        <w:rPr>
          <w:sz w:val="20"/>
          <w:szCs w:val="20"/>
          <w:color w:val="auto"/>
        </w:rPr>
      </w:pPr>
      <w:r>
        <w:rPr>
          <w:rFonts w:ascii="Arial" w:cs="Arial" w:eastAsia="Arial" w:hAnsi="Arial"/>
          <w:sz w:val="18"/>
          <w:szCs w:val="18"/>
          <w:color w:val="auto"/>
        </w:rPr>
        <w:t>Know all by these presents, that the undersigned hereby makes, constitutes and appoints each of Robert Rosselot and Maria Gray, each acting individually, as the undersigned’s true and lawful attorney-in-fact, with full power and authority as hereinafter described on behalf of and in the name, place and stead of the undersigned to:</w:t>
      </w:r>
    </w:p>
    <w:p>
      <w:pPr>
        <w:spacing w:after="0" w:line="194" w:lineRule="exact"/>
        <w:rPr>
          <w:sz w:val="20"/>
          <w:szCs w:val="20"/>
          <w:color w:val="auto"/>
        </w:rPr>
      </w:pPr>
    </w:p>
    <w:p>
      <w:pPr>
        <w:jc w:val="both"/>
        <w:ind w:right="40" w:firstLine="8"/>
        <w:spacing w:after="0" w:line="256" w:lineRule="auto"/>
        <w:tabs>
          <w:tab w:leader="none" w:pos="468"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197" w:lineRule="exact"/>
        <w:rPr>
          <w:rFonts w:ascii="Arial" w:cs="Arial" w:eastAsia="Arial" w:hAnsi="Arial"/>
          <w:sz w:val="18"/>
          <w:szCs w:val="18"/>
          <w:color w:val="auto"/>
        </w:rPr>
      </w:pPr>
    </w:p>
    <w:p>
      <w:pPr>
        <w:ind w:right="40" w:firstLine="8"/>
        <w:spacing w:after="0" w:line="268" w:lineRule="auto"/>
        <w:tabs>
          <w:tab w:leader="none" w:pos="468"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perform any and all other acts which in the discretion of such attorney-in-fact are necessary or desirable for and on behalf of the undersigned in connection with the foregoing.</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acknowledges that:</w:t>
      </w:r>
    </w:p>
    <w:p>
      <w:pPr>
        <w:spacing w:after="0" w:line="225" w:lineRule="exact"/>
        <w:rPr>
          <w:sz w:val="20"/>
          <w:szCs w:val="20"/>
          <w:color w:val="auto"/>
        </w:rPr>
      </w:pPr>
    </w:p>
    <w:p>
      <w:pPr>
        <w:ind w:right="540" w:firstLine="8"/>
        <w:spacing w:after="0" w:line="268" w:lineRule="auto"/>
        <w:tabs>
          <w:tab w:leader="none" w:pos="46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Limited Power of Attorney authorizes, but does not require, each such attorney-in-fact to act in their discretion on information provided to such attorney-in-fact without independent verification of such information;</w:t>
      </w:r>
    </w:p>
    <w:p>
      <w:pPr>
        <w:spacing w:after="0" w:line="185" w:lineRule="exact"/>
        <w:rPr>
          <w:rFonts w:ascii="Arial" w:cs="Arial" w:eastAsia="Arial" w:hAnsi="Arial"/>
          <w:sz w:val="18"/>
          <w:szCs w:val="18"/>
          <w:color w:val="auto"/>
        </w:rPr>
      </w:pPr>
    </w:p>
    <w:p>
      <w:pPr>
        <w:ind w:right="40" w:firstLine="8"/>
        <w:spacing w:after="0" w:line="332" w:lineRule="auto"/>
        <w:tabs>
          <w:tab w:leader="none" w:pos="468"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documents prepared and/or executed by either such attorney-in-fact on behalf of the undersigned pursuant to this Limited Power of Attorney will be in such form and will contain such information and disclosure as such attorney-in-fact, in his or her discretion, deems necessary or desirable;</w:t>
      </w:r>
    </w:p>
    <w:p>
      <w:pPr>
        <w:spacing w:after="0" w:line="139" w:lineRule="exact"/>
        <w:rPr>
          <w:rFonts w:ascii="Arial" w:cs="Arial" w:eastAsia="Arial" w:hAnsi="Arial"/>
          <w:sz w:val="16"/>
          <w:szCs w:val="16"/>
          <w:color w:val="auto"/>
        </w:rPr>
      </w:pPr>
    </w:p>
    <w:p>
      <w:pPr>
        <w:ind w:right="860" w:firstLine="8"/>
        <w:spacing w:after="0" w:line="332" w:lineRule="auto"/>
        <w:tabs>
          <w:tab w:leader="none" w:pos="468" w:val="left"/>
        </w:tabs>
        <w:numPr>
          <w:ilvl w:val="0"/>
          <w:numId w:val="19"/>
        </w:numPr>
        <w:rPr>
          <w:rFonts w:ascii="Arial" w:cs="Arial" w:eastAsia="Arial" w:hAnsi="Arial"/>
          <w:sz w:val="16"/>
          <w:szCs w:val="16"/>
          <w:color w:val="auto"/>
        </w:rPr>
      </w:pPr>
      <w:r>
        <w:rPr>
          <w:rFonts w:ascii="Arial" w:cs="Arial" w:eastAsia="Arial" w:hAnsi="Arial"/>
          <w:sz w:val="16"/>
          <w:szCs w:val="16"/>
          <w:color w:val="auto"/>
        </w:rPr>
        <w:t>neither the Reporting Entity nor either of such attorneys-in-fact assumes (i) any liability for the undersigned’s responsibility to comply with the requirements of the Exchange Act or (ii) any liability of the undersigned for any failure to comply with such requirements; and</w:t>
      </w:r>
    </w:p>
    <w:p>
      <w:pPr>
        <w:spacing w:after="0" w:line="139" w:lineRule="exact"/>
        <w:rPr>
          <w:rFonts w:ascii="Arial" w:cs="Arial" w:eastAsia="Arial" w:hAnsi="Arial"/>
          <w:sz w:val="16"/>
          <w:szCs w:val="16"/>
          <w:color w:val="auto"/>
        </w:rPr>
      </w:pPr>
    </w:p>
    <w:p>
      <w:pPr>
        <w:ind w:right="20" w:firstLine="8"/>
        <w:spacing w:after="0" w:line="268" w:lineRule="auto"/>
        <w:tabs>
          <w:tab w:leader="none" w:pos="46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186" w:lineRule="exact"/>
        <w:rPr>
          <w:sz w:val="20"/>
          <w:szCs w:val="20"/>
          <w:color w:val="auto"/>
        </w:rPr>
      </w:pPr>
    </w:p>
    <w:p>
      <w:pPr>
        <w:ind w:right="100" w:firstLine="1297"/>
        <w:spacing w:after="0" w:line="256" w:lineRule="auto"/>
        <w:rPr>
          <w:sz w:val="20"/>
          <w:szCs w:val="20"/>
          <w:color w:val="auto"/>
        </w:rPr>
      </w:pPr>
      <w:r>
        <w:rPr>
          <w:rFonts w:ascii="Arial" w:cs="Arial" w:eastAsia="Arial" w:hAnsi="Arial"/>
          <w:sz w:val="18"/>
          <w:szCs w:val="18"/>
          <w:color w:val="auto"/>
        </w:rPr>
        <w:t>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attorney-in-fact of, for and on behalf of the undersigned, shall lawfully do or cause to be done by virtue of this Limited Power of Attorney.</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This Limited Power of Attorney shall remain in full force and effect until revoked by the undersigned in a signed writing delivered to each such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attorney-in-fact.</w:t>
      </w:r>
    </w:p>
    <w:p>
      <w:pPr>
        <w:sectPr>
          <w:pgSz w:w="11900" w:h="16838" w:orient="portrait"/>
          <w:cols w:equalWidth="0" w:num="1">
            <w:col w:w="11400"/>
          </w:cols>
          <w:pgMar w:left="240" w:top="131" w:right="259" w:bottom="1440" w:gutter="0" w:footer="0" w:header="0"/>
        </w:sectPr>
      </w:pPr>
    </w:p>
    <w:bookmarkStart w:id="13" w:name="page14"/>
    <w:bookmarkEnd w:id="13"/>
    <w:p>
      <w:pPr>
        <w:spacing w:after="0"/>
        <w:tabs>
          <w:tab w:leader="none" w:pos="4580" w:val="left"/>
          <w:tab w:leader="none" w:pos="7340" w:val="left"/>
        </w:tabs>
        <w:rPr>
          <w:sz w:val="20"/>
          <w:szCs w:val="20"/>
          <w:color w:val="auto"/>
        </w:rPr>
      </w:pPr>
      <w:r>
        <w:rPr>
          <w:rFonts w:ascii="Arial" w:cs="Arial" w:eastAsia="Arial" w:hAnsi="Arial"/>
          <w:sz w:val="18"/>
          <w:szCs w:val="18"/>
          <w:color w:val="auto"/>
        </w:rPr>
        <w:t>CUSIP NO. 974637100</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14 OF 15</w:t>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IN WITNESS WHEREOF, the undersigned has caused this Limited Power of Attorney to be executed as of this </w:t>
      </w:r>
      <w:r>
        <w:rPr>
          <w:rFonts w:ascii="Arial" w:cs="Arial" w:eastAsia="Arial" w:hAnsi="Arial"/>
          <w:sz w:val="18"/>
          <w:szCs w:val="18"/>
          <w:u w:val="single" w:color="auto"/>
          <w:color w:val="auto"/>
        </w:rPr>
        <w:t>25</w:t>
      </w:r>
      <w:r>
        <w:rPr>
          <w:rFonts w:ascii="Arial" w:cs="Arial" w:eastAsia="Arial" w:hAnsi="Arial"/>
          <w:sz w:val="29"/>
          <w:szCs w:val="29"/>
          <w:u w:val="single" w:color="auto"/>
          <w:color w:val="auto"/>
          <w:vertAlign w:val="superscript"/>
        </w:rPr>
        <w:t>th</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April</w:t>
      </w:r>
      <w:r>
        <w:rPr>
          <w:rFonts w:ascii="Arial" w:cs="Arial" w:eastAsia="Arial" w:hAnsi="Arial"/>
          <w:sz w:val="18"/>
          <w:szCs w:val="18"/>
          <w:color w:val="auto"/>
        </w:rPr>
        <w:t xml:space="preserve"> ,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6028055</wp:posOffset>
            </wp:positionH>
            <wp:positionV relativeFrom="paragraph">
              <wp:posOffset>-69215</wp:posOffset>
            </wp:positionV>
            <wp:extent cx="27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0" cy="8890"/>
                    </a:xfrm>
                    <a:prstGeom prst="rect">
                      <a:avLst/>
                    </a:prstGeom>
                    <a:noFill/>
                  </pic:spPr>
                </pic:pic>
              </a:graphicData>
            </a:graphic>
          </wp:anchor>
        </w:drawing>
      </w:r>
    </w:p>
    <w:p>
      <w:pPr>
        <w:spacing w:after="0" w:line="118"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Rupert H. Johnson, Jr.</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Signature</w:t>
      </w:r>
    </w:p>
    <w:p>
      <w:pPr>
        <w:spacing w:after="0" w:line="219"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Rupert H. Johnson, Jr.</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Print Name</w:t>
      </w:r>
    </w:p>
    <w:p>
      <w:pPr>
        <w:sectPr>
          <w:pgSz w:w="11900" w:h="16838" w:orient="portrait"/>
          <w:cols w:equalWidth="0" w:num="1">
            <w:col w:w="10920"/>
          </w:cols>
          <w:pgMar w:left="240" w:top="131" w:right="7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2"/>
        </w:trPr>
        <w:tc>
          <w:tcPr>
            <w:tcW w:w="3580" w:type="dxa"/>
            <w:vAlign w:val="bottom"/>
          </w:tcPr>
          <w:p>
            <w:pPr>
              <w:spacing w:after="0"/>
              <w:rPr>
                <w:sz w:val="20"/>
                <w:szCs w:val="20"/>
                <w:color w:val="auto"/>
              </w:rPr>
            </w:pPr>
            <w:r>
              <w:rPr>
                <w:rFonts w:ascii="Arial" w:cs="Arial" w:eastAsia="Arial" w:hAnsi="Arial"/>
                <w:sz w:val="18"/>
                <w:szCs w:val="18"/>
                <w:color w:val="auto"/>
              </w:rPr>
              <w:t>CUSIP NO. 974637100</w:t>
            </w:r>
          </w:p>
        </w:tc>
        <w:tc>
          <w:tcPr>
            <w:tcW w:w="1820" w:type="dxa"/>
            <w:vAlign w:val="bottom"/>
          </w:tcPr>
          <w:p>
            <w:pPr>
              <w:ind w:left="1020"/>
              <w:spacing w:after="0"/>
              <w:rPr>
                <w:sz w:val="20"/>
                <w:szCs w:val="20"/>
                <w:color w:val="auto"/>
              </w:rPr>
            </w:pPr>
            <w:r>
              <w:rPr>
                <w:rFonts w:ascii="Arial" w:cs="Arial" w:eastAsia="Arial" w:hAnsi="Arial"/>
                <w:sz w:val="18"/>
                <w:szCs w:val="18"/>
                <w:color w:val="auto"/>
              </w:rPr>
              <w:t>13G</w:t>
            </w:r>
          </w:p>
        </w:tc>
        <w:tc>
          <w:tcPr>
            <w:tcW w:w="3100" w:type="dxa"/>
            <w:vAlign w:val="bottom"/>
          </w:tcPr>
          <w:p>
            <w:pPr>
              <w:ind w:left="1960"/>
              <w:spacing w:after="0"/>
              <w:rPr>
                <w:sz w:val="20"/>
                <w:szCs w:val="20"/>
                <w:color w:val="auto"/>
              </w:rPr>
            </w:pPr>
            <w:r>
              <w:rPr>
                <w:rFonts w:ascii="Arial" w:cs="Arial" w:eastAsia="Arial" w:hAnsi="Arial"/>
                <w:sz w:val="18"/>
                <w:szCs w:val="18"/>
                <w:color w:val="auto"/>
                <w:w w:val="86"/>
              </w:rPr>
              <w:t>PAGE 15 OF 15</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Exhibit C</w:t>
            </w:r>
          </w:p>
        </w:tc>
        <w:tc>
          <w:tcPr>
            <w:tcW w:w="182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432"/>
        </w:trPr>
        <w:tc>
          <w:tcPr>
            <w:tcW w:w="3580" w:type="dxa"/>
            <w:vAlign w:val="bottom"/>
          </w:tcPr>
          <w:p>
            <w:pPr>
              <w:ind w:left="220"/>
              <w:spacing w:after="0"/>
              <w:rPr>
                <w:sz w:val="20"/>
                <w:szCs w:val="20"/>
                <w:color w:val="auto"/>
              </w:rPr>
            </w:pPr>
            <w:r>
              <w:rPr>
                <w:rFonts w:ascii="Arial" w:cs="Arial" w:eastAsia="Arial" w:hAnsi="Arial"/>
                <w:sz w:val="18"/>
                <w:szCs w:val="18"/>
                <w:color w:val="auto"/>
              </w:rPr>
              <w:t>Franklin Advisory Services, LLC</w:t>
            </w:r>
          </w:p>
        </w:tc>
        <w:tc>
          <w:tcPr>
            <w:tcW w:w="1820" w:type="dxa"/>
            <w:vAlign w:val="bottom"/>
          </w:tcPr>
          <w:p>
            <w:pPr>
              <w:spacing w:after="0"/>
              <w:rPr>
                <w:sz w:val="24"/>
                <w:szCs w:val="24"/>
                <w:color w:val="auto"/>
              </w:rPr>
            </w:pPr>
          </w:p>
        </w:tc>
        <w:tc>
          <w:tcPr>
            <w:tcW w:w="3100" w:type="dxa"/>
            <w:vAlign w:val="bottom"/>
          </w:tcPr>
          <w:p>
            <w:pPr>
              <w:ind w:left="500"/>
              <w:spacing w:after="0"/>
              <w:rPr>
                <w:sz w:val="20"/>
                <w:szCs w:val="20"/>
                <w:color w:val="auto"/>
              </w:rPr>
            </w:pPr>
            <w:r>
              <w:rPr>
                <w:rFonts w:ascii="Arial" w:cs="Arial" w:eastAsia="Arial" w:hAnsi="Arial"/>
                <w:sz w:val="18"/>
                <w:szCs w:val="18"/>
                <w:color w:val="auto"/>
              </w:rPr>
              <w:t>Item 3 Classification: 3(e)</w:t>
            </w:r>
          </w:p>
        </w:tc>
      </w:tr>
    </w:tbl>
    <w:p>
      <w:pPr>
        <w:spacing w:after="0" w:line="1" w:lineRule="exact"/>
        <w:rPr>
          <w:sz w:val="20"/>
          <w:szCs w:val="20"/>
          <w:color w:val="auto"/>
        </w:rPr>
      </w:pPr>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lvl w:ilvl="1">
      <w:lvlJc w:val="left"/>
      <w:lvlText w:val="(%2)"/>
      <w:numFmt w:val="lowerLetter"/>
      <w:start w:val="1"/>
    </w:lvl>
  </w:abstractNum>
  <w:abstractNum w:abstractNumId="1">
    <w:nsid w:val="216231B"/>
    <w:multiLevelType w:val="hybridMultilevel"/>
    <w:lvl w:ilvl="0">
      <w:lvlJc w:val="left"/>
      <w:lvlText w:val="%1"/>
      <w:numFmt w:val="decimal"/>
      <w:start w:val="1"/>
    </w:lvl>
    <w:lvl w:ilvl="1">
      <w:lvlJc w:val="left"/>
      <w:lvlText w:val="%2."/>
      <w:numFmt w:val="decimal"/>
      <w:start w:val="5"/>
    </w:lvl>
  </w:abstractNum>
  <w:abstractNum w:abstractNumId="2">
    <w:nsid w:val="1F16E9E8"/>
    <w:multiLevelType w:val="hybridMultilevel"/>
    <w:lvl w:ilvl="0">
      <w:lvlJc w:val="left"/>
      <w:lvlText w:val="%1."/>
      <w:numFmt w:val="decimal"/>
      <w:start w:val="9"/>
    </w:lvl>
    <w:lvl w:ilvl="1">
      <w:lvlJc w:val="left"/>
      <w:lvlText w:val="%2"/>
      <w:numFmt w:val="decimal"/>
      <w:start w:val="1"/>
    </w:lvl>
  </w:abstractNum>
  <w:abstractNum w:abstractNumId="3">
    <w:nsid w:val="1190CDE7"/>
    <w:multiLevelType w:val="hybridMultilevel"/>
    <w:lvl w:ilvl="0">
      <w:lvlJc w:val="left"/>
      <w:lvlText w:val="%1."/>
      <w:numFmt w:val="decimal"/>
      <w:start w:val="1"/>
    </w:lvl>
    <w:lvl w:ilvl="1">
      <w:lvlJc w:val="left"/>
      <w:lvlText w:val="(%2)"/>
      <w:numFmt w:val="lowerLetter"/>
      <w:start w:val="1"/>
    </w:lvl>
  </w:abstractNum>
  <w:abstractNum w:abstractNumId="4">
    <w:nsid w:val="66EF438D"/>
    <w:multiLevelType w:val="hybridMultilevel"/>
    <w:lvl w:ilvl="0">
      <w:lvlJc w:val="left"/>
      <w:lvlText w:val="%1"/>
      <w:numFmt w:val="decimal"/>
      <w:start w:val="1"/>
    </w:lvl>
    <w:lvl w:ilvl="1">
      <w:lvlJc w:val="left"/>
      <w:lvlText w:val="%2."/>
      <w:numFmt w:val="decimal"/>
      <w:start w:val="5"/>
    </w:lvl>
  </w:abstractNum>
  <w:abstractNum w:abstractNumId="5">
    <w:nsid w:val="140E0F76"/>
    <w:multiLevelType w:val="hybridMultilevel"/>
    <w:lvl w:ilvl="0">
      <w:lvlJc w:val="left"/>
      <w:lvlText w:val="%1."/>
      <w:numFmt w:val="decimal"/>
      <w:start w:val="9"/>
    </w:lvl>
    <w:lvl w:ilvl="1">
      <w:lvlJc w:val="left"/>
      <w:lvlText w:val="%2"/>
      <w:numFmt w:val="decimal"/>
      <w:start w:val="1"/>
    </w:lvl>
  </w:abstractNum>
  <w:abstractNum w:abstractNumId="6">
    <w:nsid w:val="3352255A"/>
    <w:multiLevelType w:val="hybridMultilevel"/>
    <w:lvl w:ilvl="0">
      <w:lvlJc w:val="left"/>
      <w:lvlText w:val="%1."/>
      <w:numFmt w:val="decimal"/>
      <w:start w:val="1"/>
    </w:lvl>
    <w:lvl w:ilvl="1">
      <w:lvlJc w:val="left"/>
      <w:lvlText w:val="(%2)"/>
      <w:numFmt w:val="lowerLetter"/>
      <w:start w:val="1"/>
    </w:lvl>
  </w:abstractNum>
  <w:abstractNum w:abstractNumId="7">
    <w:nsid w:val="109CF92E"/>
    <w:multiLevelType w:val="hybridMultilevel"/>
    <w:lvl w:ilvl="0">
      <w:lvlJc w:val="left"/>
      <w:lvlText w:val="%1"/>
      <w:numFmt w:val="decimal"/>
      <w:start w:val="1"/>
    </w:lvl>
    <w:lvl w:ilvl="1">
      <w:lvlJc w:val="left"/>
      <w:lvlText w:val="%2."/>
      <w:numFmt w:val="decimal"/>
      <w:start w:val="5"/>
    </w:lvl>
  </w:abstractNum>
  <w:abstractNum w:abstractNumId="8">
    <w:nsid w:val="DED7263"/>
    <w:multiLevelType w:val="hybridMultilevel"/>
    <w:lvl w:ilvl="0">
      <w:lvlJc w:val="left"/>
      <w:lvlText w:val="%1."/>
      <w:numFmt w:val="decimal"/>
      <w:start w:val="9"/>
    </w:lvl>
    <w:lvl w:ilvl="1">
      <w:lvlJc w:val="left"/>
      <w:lvlText w:val="%2"/>
      <w:numFmt w:val="decimal"/>
      <w:start w:val="1"/>
    </w:lvl>
  </w:abstractNum>
  <w:abstractNum w:abstractNumId="9">
    <w:nsid w:val="7FDCC233"/>
    <w:multiLevelType w:val="hybridMultilevel"/>
    <w:lvl w:ilvl="0">
      <w:lvlJc w:val="left"/>
      <w:lvlText w:val="%1."/>
      <w:numFmt w:val="decimal"/>
      <w:start w:val="1"/>
    </w:lvl>
    <w:lvl w:ilvl="1">
      <w:lvlJc w:val="left"/>
      <w:lvlText w:val="(%2)"/>
      <w:numFmt w:val="lowerLetter"/>
      <w:start w:val="1"/>
    </w:lvl>
  </w:abstractNum>
  <w:abstractNum w:abstractNumId="10">
    <w:nsid w:val="1BEFD79F"/>
    <w:multiLevelType w:val="hybridMultilevel"/>
    <w:lvl w:ilvl="0">
      <w:lvlJc w:val="left"/>
      <w:lvlText w:val="%1"/>
      <w:numFmt w:val="decimal"/>
      <w:start w:val="1"/>
    </w:lvl>
    <w:lvl w:ilvl="1">
      <w:lvlJc w:val="left"/>
      <w:lvlText w:val="%2."/>
      <w:numFmt w:val="decimal"/>
      <w:start w:val="5"/>
    </w:lvl>
  </w:abstractNum>
  <w:abstractNum w:abstractNumId="11">
    <w:nsid w:val="41A7C4C9"/>
    <w:multiLevelType w:val="hybridMultilevel"/>
    <w:lvl w:ilvl="0">
      <w:lvlJc w:val="left"/>
      <w:lvlText w:val="%1."/>
      <w:numFmt w:val="decimal"/>
      <w:start w:val="9"/>
    </w:lvl>
    <w:lvl w:ilvl="1">
      <w:lvlJc w:val="left"/>
      <w:lvlText w:val="%2"/>
      <w:numFmt w:val="decimal"/>
      <w:start w:val="1"/>
    </w:lvl>
  </w:abstractNum>
  <w:abstractNum w:abstractNumId="12">
    <w:nsid w:val="6B68079A"/>
    <w:multiLevelType w:val="hybridMultilevel"/>
    <w:lvl w:ilvl="0">
      <w:lvlJc w:val="left"/>
      <w:lvlText w:val="%1"/>
      <w:numFmt w:val="lowerLetter"/>
      <w:start w:val="1"/>
    </w:lvl>
    <w:lvl w:ilvl="1">
      <w:lvlJc w:val="left"/>
      <w:lvlText w:val="(%2)"/>
      <w:numFmt w:val="lowerLetter"/>
      <w:start w:val="35"/>
    </w:lvl>
  </w:abstractNum>
  <w:abstractNum w:abstractNumId="13">
    <w:nsid w:val="4E6AFB66"/>
    <w:multiLevelType w:val="hybridMultilevel"/>
    <w:lvl w:ilvl="0">
      <w:lvlJc w:val="left"/>
      <w:lvlText w:val="(%1)"/>
      <w:numFmt w:val="lowerLetter"/>
      <w:start w:val="4"/>
    </w:lvl>
    <w:lvl w:ilvl="1">
      <w:lvlJc w:val="left"/>
      <w:lvlText w:val="%2"/>
      <w:numFmt w:val="lowerLetter"/>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2019-12-13T08:13:37Z</dcterms:created>
  <dcterms:modified xsi:type="dcterms:W3CDTF">2019-12-13T08:13:37Z</dcterms:modified>
</cp:coreProperties>
</file>