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June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156210</wp:posOffset>
            </wp:positionV>
            <wp:extent cx="292290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Iowa</w:t>
            </w:r>
          </w:p>
        </w:tc>
        <w:tc>
          <w:tcPr>
            <w:tcW w:w="19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001-06403</w:t>
            </w:r>
          </w:p>
        </w:tc>
        <w:tc>
          <w:tcPr>
            <w:tcW w:w="4260" w:type="dxa"/>
            <w:vAlign w:val="bottom"/>
            <w:tcBorders>
              <w:bottom w:val="single" w:sz="8" w:color="auto"/>
            </w:tcBorders>
          </w:tcPr>
          <w:p>
            <w:pPr>
              <w:jc w:val="right"/>
              <w:ind w:right="1619"/>
              <w:spacing w:after="0"/>
              <w:rPr>
                <w:sz w:val="20"/>
                <w:szCs w:val="20"/>
                <w:color w:val="auto"/>
              </w:rPr>
            </w:pPr>
            <w:r>
              <w:rPr>
                <w:rFonts w:ascii="Arial" w:cs="Arial" w:eastAsia="Arial" w:hAnsi="Arial"/>
                <w:sz w:val="16"/>
                <w:szCs w:val="16"/>
                <w:b w:val="1"/>
                <w:bCs w:val="1"/>
                <w:color w:val="auto"/>
              </w:rPr>
              <w:t>42-0802678</w:t>
            </w:r>
          </w:p>
        </w:tc>
      </w:tr>
      <w:tr>
        <w:trPr>
          <w:trHeight w:val="224"/>
        </w:trPr>
        <w:tc>
          <w:tcPr>
            <w:tcW w:w="494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198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4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9"/>
        </w:trPr>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P.O. Box 152</w:t>
            </w:r>
          </w:p>
        </w:tc>
        <w:tc>
          <w:tcPr>
            <w:tcW w:w="13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Forest City</w:t>
            </w:r>
          </w:p>
        </w:tc>
        <w:tc>
          <w:tcPr>
            <w:tcW w:w="19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Iowa</w:t>
            </w:r>
          </w:p>
        </w:tc>
        <w:tc>
          <w:tcPr>
            <w:tcW w:w="1980" w:type="dxa"/>
            <w:vAlign w:val="bottom"/>
          </w:tcPr>
          <w:p>
            <w:pPr>
              <w:spacing w:after="0"/>
              <w:rPr>
                <w:sz w:val="24"/>
                <w:szCs w:val="24"/>
                <w:color w:val="auto"/>
              </w:rPr>
            </w:pPr>
          </w:p>
        </w:tc>
        <w:tc>
          <w:tcPr>
            <w:tcW w:w="426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b w:val="1"/>
                <w:bCs w:val="1"/>
                <w:color w:val="auto"/>
              </w:rPr>
              <w:t>50436</w:t>
            </w:r>
          </w:p>
        </w:tc>
      </w:tr>
      <w:tr>
        <w:trPr>
          <w:trHeight w:val="224"/>
        </w:trPr>
        <w:tc>
          <w:tcPr>
            <w:tcW w:w="494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98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575"/>
        </w:trPr>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80" w:type="dxa"/>
            <w:vAlign w:val="bottom"/>
            <w:gridSpan w:val="2"/>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4260" w:type="dxa"/>
            <w:vAlign w:val="bottom"/>
          </w:tcPr>
          <w:p>
            <w:pPr>
              <w:jc w:val="right"/>
              <w:ind w:right="3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680" w:type="dxa"/>
            <w:vAlign w:val="bottom"/>
          </w:tcPr>
          <w:p>
            <w:pPr>
              <w:spacing w:after="0"/>
              <w:rPr>
                <w:sz w:val="16"/>
                <w:szCs w:val="16"/>
                <w:color w:val="auto"/>
              </w:rPr>
            </w:pPr>
          </w:p>
        </w:tc>
        <w:tc>
          <w:tcPr>
            <w:tcW w:w="9500" w:type="dxa"/>
            <w:vAlign w:val="bottom"/>
            <w:gridSpan w:val="4"/>
          </w:tcPr>
          <w:p>
            <w:pPr>
              <w:jc w:val="right"/>
              <w:ind w:right="235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140" w:type="dxa"/>
            <w:vAlign w:val="bottom"/>
            <w:gridSpan w:val="3"/>
          </w:tcPr>
          <w:p>
            <w:pPr>
              <w:ind w:left="14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237"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6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On June 24, 2020, Winnebago Industries, Inc. issued a press release to report financial results for the third quarter of Fiscal 2020 ended May 30, 2020. A copy of the press release is attached as Exhibit 99.1 and is incorporated by reference herein.</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2020.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19050</wp:posOffset>
            </wp:positionV>
            <wp:extent cx="6849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9" w:lineRule="exact"/>
        <w:rPr>
          <w:sz w:val="20"/>
          <w:szCs w:val="20"/>
          <w:color w:val="auto"/>
        </w:rPr>
      </w:pPr>
    </w:p>
    <w:p>
      <w:pPr>
        <w:ind w:left="440"/>
        <w:spacing w:after="0"/>
        <w:tabs>
          <w:tab w:leader="none" w:pos="138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color w:val="0000FF"/>
        </w:rPr>
        <w:tab/>
      </w:r>
      <w:hyperlink w:anchor="page4">
        <w:r>
          <w:rPr>
            <w:rFonts w:ascii="Arial" w:cs="Arial" w:eastAsia="Arial" w:hAnsi="Arial"/>
            <w:sz w:val="16"/>
            <w:szCs w:val="16"/>
            <w:u w:val="single" w:color="auto"/>
            <w:color w:val="0000FF"/>
          </w:rPr>
          <w:t xml:space="preserve">Press Release of Winnebago Industries, Inc. dated June </w:t>
        </w:r>
        <w:r>
          <w:rPr>
            <w:rFonts w:ascii="Arial" w:cs="Arial" w:eastAsia="Arial" w:hAnsi="Arial"/>
            <w:sz w:val="16"/>
            <w:szCs w:val="16"/>
            <w:color w:val="0000FF"/>
          </w:rPr>
          <w:t>24,</w:t>
        </w:r>
        <w:r>
          <w:rPr>
            <w:rFonts w:ascii="Arial" w:cs="Arial" w:eastAsia="Arial" w:hAnsi="Arial"/>
            <w:sz w:val="16"/>
            <w:szCs w:val="16"/>
            <w:u w:val="single" w:color="auto"/>
            <w:color w:val="0000FF"/>
          </w:rPr>
          <w:t xml:space="preserve">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6660" w:type="dxa"/>
            <w:vAlign w:val="bottom"/>
            <w:gridSpan w:val="2"/>
          </w:tcPr>
          <w:p>
            <w:pPr>
              <w:ind w:left="12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56"/>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80" w:type="dxa"/>
            <w:vAlign w:val="bottom"/>
          </w:tcPr>
          <w:p>
            <w:pPr>
              <w:ind w:left="140"/>
              <w:spacing w:after="0"/>
              <w:rPr>
                <w:sz w:val="20"/>
                <w:szCs w:val="20"/>
                <w:color w:val="auto"/>
              </w:rPr>
            </w:pPr>
            <w:r>
              <w:rPr>
                <w:rFonts w:ascii="Arial" w:cs="Arial" w:eastAsia="Arial" w:hAnsi="Arial"/>
                <w:sz w:val="16"/>
                <w:szCs w:val="16"/>
                <w:color w:val="auto"/>
              </w:rPr>
              <w:t>June 24, 2020</w:t>
            </w:r>
          </w:p>
        </w:tc>
        <w:tc>
          <w:tcPr>
            <w:tcW w:w="2000" w:type="dxa"/>
            <w:vAlign w:val="bottom"/>
          </w:tcPr>
          <w:p>
            <w:pPr>
              <w:ind w:left="120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24"/>
        </w:trPr>
        <w:tc>
          <w:tcPr>
            <w:tcW w:w="5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0" w:type="dxa"/>
            <w:vAlign w:val="bottom"/>
          </w:tcPr>
          <w:p>
            <w:pPr>
              <w:ind w:left="120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43"/>
        </w:trPr>
        <w:tc>
          <w:tcPr>
            <w:tcW w:w="5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00" w:type="dxa"/>
            <w:vAlign w:val="bottom"/>
          </w:tcPr>
          <w:p>
            <w:pPr>
              <w:ind w:left="120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320" w:top="881" w:right="359" w:bottom="1440" w:gutter="0" w:footer="0" w:header="0"/>
        </w:sectPr>
      </w:pPr>
    </w:p>
    <w:bookmarkStart w:id="3" w:name="page4"/>
    <w:bookmarkEnd w:id="3"/>
    <w:p>
      <w:pPr>
        <w:ind w:left="578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-381000</wp:posOffset>
            </wp:positionV>
            <wp:extent cx="2305685"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31686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ANNOUNCES THIRD QUARTER FISCAL 2020 RESULTS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March to May Period Impacted by Shutdown and Restart of Operations Due to Global Pandemic --</w:t>
      </w:r>
    </w:p>
    <w:p>
      <w:pPr>
        <w:spacing w:after="0" w:line="181" w:lineRule="exact"/>
        <w:rPr>
          <w:sz w:val="20"/>
          <w:szCs w:val="20"/>
          <w:color w:val="auto"/>
        </w:rPr>
      </w:pPr>
    </w:p>
    <w:p>
      <w:pPr>
        <w:ind w:left="1600" w:hanging="162"/>
        <w:spacing w:after="0"/>
        <w:tabs>
          <w:tab w:leader="none" w:pos="16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Focus on Employee Health and Safety as Business Activities Recover and Consumers Flock to Outdoors –</w:t>
      </w:r>
    </w:p>
    <w:p>
      <w:pPr>
        <w:spacing w:after="0" w:line="180" w:lineRule="exact"/>
        <w:rPr>
          <w:rFonts w:ascii="Arial" w:cs="Arial" w:eastAsia="Arial" w:hAnsi="Arial"/>
          <w:sz w:val="16"/>
          <w:szCs w:val="16"/>
          <w:b w:val="1"/>
          <w:bCs w:val="1"/>
          <w:color w:val="auto"/>
        </w:rPr>
      </w:pPr>
    </w:p>
    <w:p>
      <w:pPr>
        <w:ind w:left="2400" w:hanging="154"/>
        <w:spacing w:after="0"/>
        <w:tabs>
          <w:tab w:leader="none" w:pos="2400" w:val="left"/>
        </w:tabs>
        <w:numPr>
          <w:ilvl w:val="1"/>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RV Market Share Growth Continues – Witnessing Positive Retail Momentum in June --</w:t>
      </w:r>
    </w:p>
    <w:p>
      <w:pPr>
        <w:spacing w:after="0" w:line="180" w:lineRule="exact"/>
        <w:rPr>
          <w:rFonts w:ascii="Arial" w:cs="Arial" w:eastAsia="Arial" w:hAnsi="Arial"/>
          <w:sz w:val="16"/>
          <w:szCs w:val="16"/>
          <w:b w:val="1"/>
          <w:bCs w:val="1"/>
          <w:color w:val="auto"/>
        </w:rPr>
      </w:pPr>
    </w:p>
    <w:p>
      <w:pPr>
        <w:ind w:left="3720" w:hanging="162"/>
        <w:spacing w:after="0"/>
        <w:tabs>
          <w:tab w:leader="none" w:pos="3720" w:val="left"/>
        </w:tabs>
        <w:numPr>
          <w:ilvl w:val="3"/>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YTD Operating Cash Flow Up 96% Over Prior Year –</w:t>
      </w:r>
    </w:p>
    <w:p>
      <w:pPr>
        <w:spacing w:after="0" w:line="180" w:lineRule="exact"/>
        <w:rPr>
          <w:rFonts w:ascii="Arial" w:cs="Arial" w:eastAsia="Arial" w:hAnsi="Arial"/>
          <w:sz w:val="16"/>
          <w:szCs w:val="16"/>
          <w:b w:val="1"/>
          <w:bCs w:val="1"/>
          <w:color w:val="auto"/>
        </w:rPr>
      </w:pPr>
    </w:p>
    <w:p>
      <w:pPr>
        <w:ind w:left="2480" w:hanging="155"/>
        <w:spacing w:after="0"/>
        <w:tabs>
          <w:tab w:leader="none" w:pos="2480" w:val="left"/>
        </w:tabs>
        <w:numPr>
          <w:ilvl w:val="2"/>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Remains Strong with Cash Balances Rising During the Quarter to $152.5 --</w:t>
      </w:r>
    </w:p>
    <w:p>
      <w:pPr>
        <w:spacing w:after="0" w:line="37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FOREST CITY, IOWA, June 24, 2020 - Winnebago Industries, Inc. (NYSE:WGO), a leading outdoor lifestyle product manufacturer, today reported financial results for the Company's third quarter Fiscal 2020 ended May 30, 2020. The Company’s results were impacted by the unprecedented series of events related to the COVID-19 pandemic which included the suspension of manufacturing operations as well as disruptions across its dealer network, supply chain and end consumers during most of the quarter. In response, Winnebago Industries took immediate and decisive actions to keep employees safe, control costs and maintain its financial strength and flexibility. The Company’s financial position remains strong primarily due to its variable cost structure, entering the crisis with a very healthy cash balance, and ample additional capacity under its revolving credit facility if needed. Winnebago Industries is continuing to adapt to this challenging period by prioritizing decisions that are in the best interests of both its employees’ health and its long-term business prospects.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Third Quarter Fiscal 2020 Results</w:t>
      </w:r>
    </w:p>
    <w:p>
      <w:pPr>
        <w:spacing w:after="0" w:line="3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Revenues for the Fiscal 2020 third quarter ended May 30, 2020, were $402.5 million, a decrease of 23.9% compared to $528.9 million for the Fiscal 2019 period. Revenues for Newmar, which was acquired in the first quarter of Fiscal 2020, were $88.0 million. Revenues excluding Newmar were $314.5 million, a decrease of 40.5%. Gross profit was $32.0 million compared to $86.6 million for the Fiscal 2019 period. Gross profit margin decreased 840 basis points in the quarter, primarily driven by deleverage due to the significant revenue decline and an unfavorable mix as Towable’s revenue, as a percent of total revenue, was lower compared to the same period a year ago. Operating income was an $8.2 million loss for the quarter, compared to operating income of $49.0 million in the third quarter of last year. Fiscal 2020 third quarter net income was a loss of $12.4 million, compared to net income of $36.2 million in the same period last year. Net loss per diluted share was $(0.37), compared to earnings per diluted share of $1.14 in the same period last year. Consolidated adjusted net loss per diluted share was $(0.26) for the third quarter, excluding costs totaling $3.5 million, or $0.11 per diluted share, after tax, driven by the non-cash portion of interest expense and restructuring charges. Consolidated Adjusted EBITDA was $4.1 million for the quarter, compared to $55.9 million last year, a decrease of 92.7%.</w:t>
      </w:r>
    </w:p>
    <w:p>
      <w:pPr>
        <w:spacing w:after="0" w:line="234"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President and Chief Executive Officer Michael Happe commented, “Our third fiscal quarter was a uniquely challenging time for Winnebago Industries, as it spanned the most intense portion of the unexpected COVID-19 pandemic in the U.S. While the pandemic has significantly changed how we conduct business on a day-to-day basis, I couldn’t be prouder of how our teams have worked collaboratively to respond to this tremendous test. We would like to especially recognize and thank the first responders, health care professionals, and public health officials across the country and specifically in the communities in which we have a physical presence. As we ramp up operations across our portfolio, I have been inspired by the efforts our team members have put forth to ensure our manufacturing, warehouse, service, office, and remote environments are as safe as possible. Despite the COVID-19 disruption and ongoing related obstacles, we have not lost our focus on quality, innovation and customer service. We have grown market share, strengthened dealer and supplier relationships, and maintained key investments in initiatives critical to our future. Our portfolio of premium outdoor brands continues to perform well and be desired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20" w:top="1190" w:right="359" w:bottom="1440" w:gutter="0" w:footer="0" w:header="0"/>
        </w:sectPr>
      </w:pPr>
    </w:p>
    <w:bookmarkStart w:id="4" w:name="page5"/>
    <w:bookmarkEnd w:id="4"/>
    <w:p>
      <w:pPr>
        <w:ind w:right="260"/>
        <w:spacing w:after="0" w:line="285" w:lineRule="auto"/>
        <w:rPr>
          <w:sz w:val="20"/>
          <w:szCs w:val="20"/>
          <w:color w:val="auto"/>
        </w:rPr>
      </w:pPr>
      <w:r>
        <w:rPr>
          <w:rFonts w:ascii="Arial" w:cs="Arial" w:eastAsia="Arial" w:hAnsi="Arial"/>
          <w:sz w:val="16"/>
          <w:szCs w:val="16"/>
          <w:color w:val="auto"/>
        </w:rPr>
        <w:t>by channel partners and end consumers alike. Winnebago Industries’ North American RV retail market share was 11.7% on a trailing three-month basis through April, 2020, up 1.7 share points (up 1.2 share points on an organic basis) over the same period last year. I want to thank all of our Winnebago Industries employees for their commitment and cooperation as we continue the process of returning to work in a thoughtful and safe manner. We are especially grateful for the support of our dealer network as they also guided their teams through these truly unique times with great passion and fortitude, always serving our collective end consumers during a time of extraordinary challenges.”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3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Revenues for the Towable segment were $188.9 million for the third quarter, down 45.5% from the prior year, primarily driven by the suspension of manufacturing and the disruption to consumer buying patterns due to COVID-19. The overall strength of the Towable product portfolio and increased consumer demand in the month of May, as stay-at-home orders were eased, has contributed to accelerated momentum, especially in the Company’s Grand Design RV business. Winnebago Industries’ unit share of the North American towable market on a trailing three-month basis through April 2020, excluding folding and truck campers, was 10.7%, an increase of 2.0 share points over the same 2019 period. Segment Adjusted EBITDA was $16.5 million, down 71.2% from the prior year. Adjusted EBITDA margin of 8.7% decreased 780 basis points, primarily due to deleverage</w:t>
      </w:r>
    </w:p>
    <w:p>
      <w:pPr>
        <w:spacing w:after="0" w:line="4"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related to the significant revenue decline. Backlog increased 86.7%, in units, over the prior year, reflecting a strong rebound in dealer demand in May as April was the period most impacted by COVID-19.</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32"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In the third quarter, revenues for the Motorhome segment increased 27.1% to $203.6 million, driven by the year over year impact of Newmar, which was acquired in November 2019, partially offset by the suspension of manufacturing and the disruption to consumer buying patterns due to COVID-19. Underlying demand for the Class B product line-up, including the Revel, Travato, Boldt, and Solis models, remains strong despite the impact from the pandemic. Winnebago Industries’ unit share of the North American Class B segment, on a trailing three-month basis through April 2020, was 45.4%, an increase of 5.2 share points over the same 2019 period. Excluding Newmar, segment revenues decreased 27.9% from the prior year period. Segment Adjusted EBITDA was $(10.8) million, down $11.2 million from the prior year primarily due to the revenue decline and cost impact driven by COVID-19, partially offset by favorable mix and the addition of Newmar. Adjusted EBITDA margin of (5.3%) decreased 550 basis points primarily due to deleverage related to the significant revenue decline, partially offset by favorable mix driven by strong Class B demand and the contribution from Newmar. Backlog increased 99.2%, in units, over the prior year, due to the addition of Newmar and a strong rebound in dealer demand in May as April was the period most impacted by COVID-19.</w:t>
      </w:r>
    </w:p>
    <w:p>
      <w:pPr>
        <w:spacing w:after="0" w:line="234"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Despite challenges posed by the COVID-19 pandemic, the operational integration of Newmar into the Winnebago Industries portfolio is proceeding as planned. The Company remains focused on maximizing targeted synergies and expanding Newmar’s market share in the high-end motorhome segment.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May 30, 2020, the Company had total outstanding debt of $465.0 million ($553.5 million of debt, net of convertible note discount of $77.6 million, net of debt issuance costs of $10.9 million) and working capital of $299.8 million. Cash flow from operations was $162.4 million for the first nine months of Fiscal 2020, an increase of $79.6 million from the same period in Fiscal 2019.</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32" w:lineRule="exact"/>
        <w:rPr>
          <w:sz w:val="20"/>
          <w:szCs w:val="20"/>
          <w:color w:val="auto"/>
        </w:rPr>
      </w:pPr>
    </w:p>
    <w:p>
      <w:pPr>
        <w:ind w:right="900"/>
        <w:spacing w:after="0" w:line="295" w:lineRule="auto"/>
        <w:rPr>
          <w:sz w:val="20"/>
          <w:szCs w:val="20"/>
          <w:color w:val="auto"/>
        </w:rPr>
      </w:pPr>
      <w:r>
        <w:rPr>
          <w:rFonts w:ascii="Arial" w:cs="Arial" w:eastAsia="Arial" w:hAnsi="Arial"/>
          <w:sz w:val="16"/>
          <w:szCs w:val="16"/>
          <w:color w:val="auto"/>
        </w:rPr>
        <w:t>On May 19, 2020, the Company’s board of directors approved a quarterly cash dividend of $0.11 per share payable on July 1, 2020, to common stockholders of record at the close of business on June 17, 2020.</w:t>
      </w:r>
    </w:p>
    <w:p>
      <w:pPr>
        <w:spacing w:after="0" w:line="22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Mr. Happe continued, “As we look ahead to the final quarter of Fiscal 2020, we are optimistic about the slope of our Company’s and industry’s recovery path due to the strong demand rebound we witnessed in May and the positive trends we are seeing continue this summer. Retail and wholesale demand for outdoor recreation products are both recovering and headed in a strong upward direction as the COVID-19 pandemic has impacted travelers’ views toward how they desire to spend their leisure time experiencing nature and the outdoors. As states navigate the reopening of their communities, people are increasingly looking toward RVing and boating as ways to socially distance in a safe and memorable way. As indicated by our robust backlogs as compared to last year and our second fiscal quarter of 2020, Winnebago Industries’ RV, Marine, and Specialty Vehicles brands and businesses remain poised for strong growth and are solidly positioned to offer great value to our end consumers. Going forward, we are committed to prudently managing our business in a disciplined fashion to preserve liquidity and ensure that Winnebago Industries maintains the financial flexibility to continue to outpace the market and navigate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924" w:right="37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Conference Call</w:t>
      </w:r>
    </w:p>
    <w:p>
      <w:pPr>
        <w:spacing w:after="0" w:line="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Winnebago Industries, Inc. will discuss third quarter Fiscal 2020 earnings results during a conference call scheduled for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3051F2"/>
        </w:rPr>
        <w:t>http://investor.wgo.net</w:t>
      </w:r>
      <w:r>
        <w:rPr>
          <w:rFonts w:ascii="Arial" w:cs="Arial" w:eastAsia="Arial" w:hAnsi="Arial"/>
          <w:sz w:val="16"/>
          <w:szCs w:val="16"/>
          <w:color w:val="auto"/>
        </w:rPr>
        <w:t>. The event will be archived and available for replay for the next 90 days.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Winnebago Industries, Inc. is a leading North American manufacturer of outdoor lifestyle products under the Winnebago, Grand Design, Newmar, and Chris-Craft brands, which are used primarily in leisure travel and outdoor recreation activities. The Company builds quality motorhomes, travel trailers, fifth wheel products and boats.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u w:val="single" w:color="auto"/>
          <w:color w:val="3051F2"/>
        </w:rPr>
        <w:t>http://investor.wgo.net</w:t>
      </w:r>
      <w:r>
        <w:rPr>
          <w:rFonts w:ascii="Arial" w:cs="Arial" w:eastAsia="Arial" w:hAnsi="Arial"/>
          <w:sz w:val="16"/>
          <w:szCs w:val="16"/>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3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enterprise resource planning, impacts of public health crises, such as COVID-19, risks related to compliance with debt covenants and leverage ratios, cyber-attacks,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924" w:right="3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37"/>
        </w:trPr>
        <w:tc>
          <w:tcPr>
            <w:tcW w:w="4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May 30, 2020</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May 25, 2019</w:t>
            </w:r>
          </w:p>
        </w:tc>
        <w:tc>
          <w:tcPr>
            <w:tcW w:w="880" w:type="dxa"/>
            <w:vAlign w:val="bottom"/>
            <w:tcBorders>
              <w:bottom w:val="single" w:sz="8" w:color="auto"/>
            </w:tcBorders>
          </w:tcPr>
          <w:p>
            <w:pPr>
              <w:spacing w:after="0"/>
              <w:rPr>
                <w:sz w:val="20"/>
                <w:szCs w:val="20"/>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402,458</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528,940</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370,434</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92.0 %</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442,356</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83.6 %</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32,024</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86,584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33,271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35,332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4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6,926</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3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40,197</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37,610</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7.1 %</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(8,173)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48,974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8,440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4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(16,539)</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44,888</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provision for income taxes</w:t>
            </w:r>
          </w:p>
        </w:tc>
        <w:tc>
          <w:tcPr>
            <w:tcW w:w="4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8,717</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(12,353)</w:t>
            </w: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36,171</w:t>
            </w:r>
          </w:p>
        </w:tc>
        <w:tc>
          <w:tcPr>
            <w:tcW w:w="1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per common share:</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3"/>
        </w:trPr>
        <w:tc>
          <w:tcPr>
            <w:tcW w:w="4660" w:type="dxa"/>
            <w:vAlign w:val="bottom"/>
          </w:tcPr>
          <w:p>
            <w:pPr>
              <w:ind w:left="180"/>
              <w:spacing w:after="0"/>
              <w:rPr>
                <w:sz w:val="20"/>
                <w:szCs w:val="20"/>
                <w:color w:val="auto"/>
              </w:rPr>
            </w:pPr>
            <w:r>
              <w:rPr>
                <w:rFonts w:ascii="Arial" w:cs="Arial" w:eastAsia="Arial" w:hAnsi="Arial"/>
                <w:sz w:val="16"/>
                <w:szCs w:val="16"/>
                <w:color w:val="auto"/>
              </w:rPr>
              <w:t>Basic</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33,625</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31,493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3"/>
        </w:trPr>
        <w:tc>
          <w:tcPr>
            <w:tcW w:w="4660" w:type="dxa"/>
            <w:vAlign w:val="bottom"/>
          </w:tcPr>
          <w:p>
            <w:pPr>
              <w:ind w:left="180"/>
              <w:spacing w:after="0"/>
              <w:rPr>
                <w:sz w:val="20"/>
                <w:szCs w:val="20"/>
                <w:color w:val="auto"/>
              </w:rPr>
            </w:pPr>
            <w:r>
              <w:rPr>
                <w:rFonts w:ascii="Arial" w:cs="Arial" w:eastAsia="Arial" w:hAnsi="Arial"/>
                <w:sz w:val="16"/>
                <w:szCs w:val="16"/>
                <w:color w:val="auto"/>
              </w:rPr>
              <w:t>Diluted</w:t>
            </w:r>
          </w:p>
        </w:tc>
        <w:tc>
          <w:tcPr>
            <w:tcW w:w="46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33,625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31,644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b w:val="1"/>
                <w:bCs w:val="1"/>
                <w:color w:val="auto"/>
              </w:rPr>
              <w:t>Nine Months Ended</w:t>
            </w:r>
          </w:p>
        </w:tc>
        <w:tc>
          <w:tcPr>
            <w:tcW w:w="880" w:type="dxa"/>
            <w:vAlign w:val="bottom"/>
            <w:tcBorders>
              <w:bottom w:val="single" w:sz="8" w:color="auto"/>
            </w:tcBorders>
          </w:tcPr>
          <w:p>
            <w:pPr>
              <w:spacing w:after="0"/>
              <w:rPr>
                <w:sz w:val="19"/>
                <w:szCs w:val="19"/>
                <w:color w:val="auto"/>
              </w:rPr>
            </w:pPr>
          </w:p>
        </w:tc>
      </w:tr>
      <w:tr>
        <w:trPr>
          <w:trHeight w:val="236"/>
        </w:trPr>
        <w:tc>
          <w:tcPr>
            <w:tcW w:w="46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May 30, 2020</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May 25, 2019</w:t>
            </w:r>
          </w:p>
        </w:tc>
        <w:tc>
          <w:tcPr>
            <w:tcW w:w="880" w:type="dxa"/>
            <w:vAlign w:val="bottom"/>
            <w:tcBorders>
              <w:bottom w:val="single" w:sz="8" w:color="auto"/>
            </w:tcBorders>
          </w:tcPr>
          <w:p>
            <w:pPr>
              <w:spacing w:after="0"/>
              <w:rPr>
                <w:sz w:val="20"/>
                <w:szCs w:val="20"/>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1,617,726</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1,455,278</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1,427,307</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88.2 %</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1,231,269</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84.6 %</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190,419</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224,009</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15.4 %</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126,540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106,303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18,514</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7,204</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37"/>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145,054</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113,507</w:t>
            </w:r>
          </w:p>
        </w:tc>
        <w:tc>
          <w:tcPr>
            <w:tcW w:w="1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45,365</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110,502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23,140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13,293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22,685</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98,539</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6.8 %</w:t>
            </w:r>
          </w:p>
        </w:tc>
      </w:tr>
      <w:tr>
        <w:trPr>
          <w:trHeight w:val="24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taxes</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3,702</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18,609</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18,983</w:t>
            </w: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79,930</w:t>
            </w:r>
          </w:p>
        </w:tc>
        <w:tc>
          <w:tcPr>
            <w:tcW w:w="1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5.5 %</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common share: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3"/>
        </w:trPr>
        <w:tc>
          <w:tcPr>
            <w:tcW w:w="4660" w:type="dxa"/>
            <w:vAlign w:val="bottom"/>
          </w:tcPr>
          <w:p>
            <w:pPr>
              <w:ind w:left="18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46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33,102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31,546</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3"/>
        </w:trPr>
        <w:tc>
          <w:tcPr>
            <w:tcW w:w="4660" w:type="dxa"/>
            <w:vAlign w:val="bottom"/>
          </w:tcPr>
          <w:p>
            <w:pPr>
              <w:ind w:left="18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33,289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31,722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886" w:right="3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30, 2020</w:t>
            </w:r>
          </w:p>
        </w:tc>
        <w:tc>
          <w:tcPr>
            <w:tcW w:w="14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8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152,480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37,431</w:t>
            </w:r>
          </w:p>
        </w:tc>
      </w:tr>
      <w:tr>
        <w:trPr>
          <w:trHeight w:val="233"/>
        </w:trPr>
        <w:tc>
          <w:tcPr>
            <w:tcW w:w="8000" w:type="dxa"/>
            <w:vAlign w:val="bottom"/>
          </w:tcPr>
          <w:p>
            <w:pPr>
              <w:ind w:left="12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163,590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158,049</w:t>
            </w:r>
          </w:p>
        </w:tc>
      </w:tr>
      <w:tr>
        <w:trPr>
          <w:trHeight w:val="253"/>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190,359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201,126</w:t>
            </w:r>
          </w:p>
        </w:tc>
      </w:tr>
      <w:tr>
        <w:trPr>
          <w:trHeight w:val="237"/>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21,566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14,051</w:t>
            </w:r>
          </w:p>
        </w:tc>
      </w:tr>
      <w:tr>
        <w:trPr>
          <w:trHeight w:val="243"/>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527,995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410,657</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Total property, plant, and equipment, net</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175,431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127,572</w:t>
            </w:r>
          </w:p>
        </w:tc>
      </w:tr>
      <w:tr>
        <w:trPr>
          <w:trHeight w:val="25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8000" w:type="dxa"/>
            <w:vAlign w:val="bottom"/>
          </w:tcPr>
          <w:p>
            <w:pPr>
              <w:ind w:left="1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348,058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274,931</w:t>
            </w:r>
          </w:p>
        </w:tc>
      </w:tr>
      <w:tr>
        <w:trPr>
          <w:trHeight w:val="253"/>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408,358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256,082</w:t>
            </w:r>
          </w:p>
        </w:tc>
      </w:tr>
      <w:tr>
        <w:trPr>
          <w:trHeight w:val="233"/>
        </w:trPr>
        <w:tc>
          <w:tcPr>
            <w:tcW w:w="8000" w:type="dxa"/>
            <w:vAlign w:val="bottom"/>
          </w:tcPr>
          <w:p>
            <w:pPr>
              <w:ind w:left="120"/>
              <w:spacing w:after="0"/>
              <w:rPr>
                <w:sz w:val="20"/>
                <w:szCs w:val="20"/>
                <w:color w:val="auto"/>
              </w:rPr>
            </w:pPr>
            <w:r>
              <w:rPr>
                <w:rFonts w:ascii="Arial" w:cs="Arial" w:eastAsia="Arial" w:hAnsi="Arial"/>
                <w:sz w:val="16"/>
                <w:szCs w:val="16"/>
                <w:color w:val="auto"/>
              </w:rPr>
              <w:t>Investment in life insurance</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27,336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26,846</w:t>
            </w:r>
          </w:p>
        </w:tc>
      </w:tr>
      <w:tr>
        <w:trPr>
          <w:trHeight w:val="253"/>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29,790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16,072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8,143</w:t>
            </w:r>
          </w:p>
        </w:tc>
      </w:tr>
      <w:tr>
        <w:trPr>
          <w:trHeight w:val="26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1,533,040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1,104,231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81,998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81,635</w:t>
            </w:r>
          </w:p>
        </w:tc>
      </w:tr>
      <w:tr>
        <w:trPr>
          <w:trHeight w:val="233"/>
        </w:trPr>
        <w:tc>
          <w:tcPr>
            <w:tcW w:w="800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132,509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107,217</w:t>
            </w:r>
          </w:p>
        </w:tc>
      </w:tr>
      <w:tr>
        <w:trPr>
          <w:trHeight w:val="236"/>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13,668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8,892</w:t>
            </w:r>
          </w:p>
        </w:tc>
      </w:tr>
      <w:tr>
        <w:trPr>
          <w:trHeight w:val="243"/>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228,175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197,744</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3"/>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451,306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245,402</w:t>
            </w:r>
          </w:p>
        </w:tc>
      </w:tr>
      <w:tr>
        <w:trPr>
          <w:trHeight w:val="233"/>
        </w:trPr>
        <w:tc>
          <w:tcPr>
            <w:tcW w:w="80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16,708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12,032</w:t>
            </w:r>
          </w:p>
        </w:tc>
      </w:tr>
      <w:tr>
        <w:trPr>
          <w:trHeight w:val="253"/>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Unrecognized tax benefits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3,591</w:t>
            </w:r>
          </w:p>
        </w:tc>
      </w:tr>
      <w:tr>
        <w:trPr>
          <w:trHeight w:val="233"/>
        </w:trPr>
        <w:tc>
          <w:tcPr>
            <w:tcW w:w="8000" w:type="dxa"/>
            <w:vAlign w:val="bottom"/>
          </w:tcPr>
          <w:p>
            <w:pPr>
              <w:ind w:left="12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27,366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12,878</w:t>
            </w:r>
          </w:p>
        </w:tc>
      </w:tr>
      <w:tr>
        <w:trPr>
          <w:trHeight w:val="237"/>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6,952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372</w:t>
            </w:r>
          </w:p>
        </w:tc>
      </w:tr>
      <w:tr>
        <w:trPr>
          <w:trHeight w:val="243"/>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liabilities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520,055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274,275</w:t>
            </w:r>
          </w:p>
        </w:tc>
      </w:tr>
      <w:tr>
        <w:trPr>
          <w:trHeight w:val="236"/>
        </w:trPr>
        <w:tc>
          <w:tcPr>
            <w:tcW w:w="8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784,810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632,212</w:t>
            </w:r>
          </w:p>
        </w:tc>
      </w:tr>
      <w:tr>
        <w:trPr>
          <w:trHeight w:val="243"/>
        </w:trPr>
        <w:tc>
          <w:tcPr>
            <w:tcW w:w="80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1,533,040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1,104,231</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00"/>
          </w:cols>
          <w:pgMar w:left="320" w:top="886"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36"/>
        </w:trPr>
        <w:tc>
          <w:tcPr>
            <w:tcW w:w="7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May 30, 2020</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25, 2019</w:t>
            </w:r>
          </w:p>
        </w:tc>
      </w:tr>
      <w:tr>
        <w:trPr>
          <w:trHeight w:val="243"/>
        </w:trPr>
        <w:tc>
          <w:tcPr>
            <w:tcW w:w="7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18,983</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79,930</w:t>
            </w:r>
          </w:p>
        </w:tc>
      </w:tr>
      <w:tr>
        <w:trPr>
          <w:trHeight w:val="253"/>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11,854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9,788</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of intangibles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18,514</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7,204</w:t>
            </w: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Non-cash interest expense, net</w:t>
            </w: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7,440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2,181</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1,186</w:t>
            </w: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Last in, first-out expense</w:t>
            </w: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1,450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1,544</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3,332</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5,735</w:t>
            </w: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365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362</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516</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1,265</w:t>
            </w:r>
          </w:p>
        </w:tc>
      </w:tr>
      <w:tr>
        <w:trPr>
          <w:trHeight w:val="233"/>
        </w:trPr>
        <w:tc>
          <w:tcPr>
            <w:tcW w:w="7840" w:type="dxa"/>
            <w:vAlign w:val="bottom"/>
          </w:tcPr>
          <w:p>
            <w:pPr>
              <w:spacing w:after="0"/>
              <w:rPr>
                <w:sz w:val="20"/>
                <w:szCs w:val="20"/>
                <w:color w:val="auto"/>
              </w:rPr>
            </w:pPr>
            <w:r>
              <w:rPr>
                <w:rFonts w:ascii="Arial" w:cs="Arial" w:eastAsia="Arial" w:hAnsi="Arial"/>
                <w:sz w:val="16"/>
                <w:szCs w:val="16"/>
                <w:color w:val="auto"/>
              </w:rPr>
              <w:t>Change in assets and liabilities: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Receivables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31,440</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(20,961)</w:t>
            </w: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91,938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2,701</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(13,528)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3,954</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(2,622)</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(13,898)</w:t>
            </w:r>
          </w:p>
        </w:tc>
      </w:tr>
      <w:tr>
        <w:trPr>
          <w:trHeight w:val="237"/>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(9,585)</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4,692</w:t>
            </w:r>
          </w:p>
        </w:tc>
      </w:tr>
      <w:tr>
        <w:trPr>
          <w:trHeight w:val="236"/>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162,437</w:t>
            </w:r>
          </w:p>
        </w:tc>
        <w:tc>
          <w:tcPr>
            <w:tcW w:w="3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82,849</w:t>
            </w:r>
          </w:p>
        </w:tc>
      </w:tr>
      <w:tr>
        <w:trPr>
          <w:trHeight w:val="243"/>
        </w:trPr>
        <w:tc>
          <w:tcPr>
            <w:tcW w:w="7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7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(28,582)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(31,681)</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(260,965)</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Proceeds from the sale of property</w:t>
            </w: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134</w:t>
            </w:r>
          </w:p>
        </w:tc>
      </w:tr>
      <w:tr>
        <w:trPr>
          <w:trHeight w:val="246"/>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141</w:t>
            </w:r>
          </w:p>
        </w:tc>
        <w:tc>
          <w:tcPr>
            <w:tcW w:w="3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1,752</w:t>
            </w:r>
          </w:p>
        </w:tc>
      </w:tr>
      <w:tr>
        <w:trPr>
          <w:trHeight w:val="236"/>
        </w:trPr>
        <w:tc>
          <w:tcPr>
            <w:tcW w:w="784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(289,406)</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(30,497)</w:t>
            </w:r>
          </w:p>
        </w:tc>
      </w:tr>
      <w:tr>
        <w:trPr>
          <w:trHeight w:val="243"/>
        </w:trPr>
        <w:tc>
          <w:tcPr>
            <w:tcW w:w="7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33"/>
        </w:trPr>
        <w:tc>
          <w:tcPr>
            <w:tcW w:w="78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Borrowings on credit agreement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1,495,209</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342,549</w:t>
            </w: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Repayments of credit agreement</w:t>
            </w: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(1,495,209)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(375,438)</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issuance of convertible senior notes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300,000</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Purchase of convertible note hedge</w:t>
            </w: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(70,800)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issuance of warrants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42,210</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Payments on long-term debt</w:t>
            </w: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(6,500)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of offering costs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(10,761)</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840" w:type="dxa"/>
            <w:vAlign w:val="bottom"/>
          </w:tcPr>
          <w:p>
            <w:pPr>
              <w:ind w:left="100"/>
              <w:spacing w:after="0"/>
              <w:rPr>
                <w:sz w:val="20"/>
                <w:szCs w:val="20"/>
                <w:color w:val="auto"/>
              </w:rPr>
            </w:pPr>
            <w:r>
              <w:rPr>
                <w:rFonts w:ascii="Arial" w:cs="Arial" w:eastAsia="Arial" w:hAnsi="Arial"/>
                <w:sz w:val="16"/>
                <w:szCs w:val="16"/>
                <w:color w:val="auto"/>
              </w:rPr>
              <w:t>Payments of cash dividends</w:t>
            </w:r>
          </w:p>
        </w:tc>
        <w:tc>
          <w:tcPr>
            <w:tcW w:w="1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(10,881)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(10,201)</w:t>
            </w:r>
          </w:p>
        </w:tc>
      </w:tr>
      <w:tr>
        <w:trPr>
          <w:trHeight w:val="253"/>
        </w:trPr>
        <w:tc>
          <w:tcPr>
            <w:tcW w:w="7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for repurchase of common stock</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(7,724)</w:t>
            </w:r>
          </w:p>
        </w:tc>
      </w:tr>
      <w:tr>
        <w:trPr>
          <w:trHeight w:val="237"/>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(1,250)</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296</w:t>
            </w:r>
          </w:p>
        </w:tc>
      </w:tr>
      <w:tr>
        <w:trPr>
          <w:trHeight w:val="236"/>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242,018</w:t>
            </w:r>
          </w:p>
        </w:tc>
        <w:tc>
          <w:tcPr>
            <w:tcW w:w="3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710628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180"/>
          </w:cols>
          <w:pgMar w:left="360" w:top="846" w:right="359" w:bottom="1440" w:gutter="0" w:footer="0" w:header="0"/>
        </w:sect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Net increase in cash and cash equivalents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0628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115,049</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1,834</w:t>
            </w:r>
          </w:p>
        </w:tc>
      </w:tr>
      <w:tr>
        <w:trPr>
          <w:trHeight w:val="256"/>
        </w:trPr>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37,431</w:t>
            </w:r>
          </w:p>
        </w:tc>
        <w:tc>
          <w:tcPr>
            <w:tcW w:w="3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2,342</w:t>
            </w:r>
          </w:p>
        </w:tc>
      </w:tr>
      <w:tr>
        <w:trPr>
          <w:trHeight w:val="236"/>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152,480</w:t>
            </w:r>
          </w:p>
        </w:tc>
        <w:tc>
          <w:tcPr>
            <w:tcW w:w="30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4,176</w:t>
            </w:r>
          </w:p>
        </w:tc>
      </w:tr>
      <w:tr>
        <w:trPr>
          <w:trHeight w:val="27"/>
        </w:trPr>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20" w:space="720"/>
            <w:col w:w="3340"/>
          </w:cols>
          <w:pgMar w:left="360" w:top="846" w:right="35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80"/>
          </w:cols>
          <w:pgMar w:left="360" w:top="846"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748665</wp:posOffset>
            </wp:positionV>
            <wp:extent cx="710628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page">
              <wp:posOffset>5308600</wp:posOffset>
            </wp:positionH>
            <wp:positionV relativeFrom="page">
              <wp:posOffset>568960</wp:posOffset>
            </wp:positionV>
            <wp:extent cx="202311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110" cy="34290"/>
                    </a:xfrm>
                    <a:prstGeom prst="rect">
                      <a:avLst/>
                    </a:prstGeom>
                    <a:noFill/>
                  </pic:spPr>
                </pic:pic>
              </a:graphicData>
            </a:graphic>
          </wp:anchor>
        </w:drawing>
        <w:t>Supplement cash flow disclosure: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0" w:type="dxa"/>
            <w:vAlign w:val="bottom"/>
          </w:tcPr>
          <w:p>
            <w:pPr>
              <w:ind w:left="100"/>
              <w:spacing w:after="0"/>
              <w:rPr>
                <w:sz w:val="20"/>
                <w:szCs w:val="20"/>
                <w:color w:val="auto"/>
              </w:rPr>
            </w:pPr>
            <w:r>
              <w:rPr>
                <w:rFonts w:ascii="Arial" w:cs="Arial" w:eastAsia="Arial" w:hAnsi="Arial"/>
                <w:sz w:val="16"/>
                <w:szCs w:val="16"/>
                <w:color w:val="auto"/>
              </w:rPr>
              <w:t>Income taxes paid, net</w:t>
            </w:r>
          </w:p>
        </w:tc>
        <w:tc>
          <w:tcPr>
            <w:tcW w:w="21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6,240</w:t>
            </w:r>
          </w:p>
        </w:tc>
        <w:tc>
          <w:tcPr>
            <w:tcW w:w="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33,852</w:t>
            </w:r>
          </w:p>
        </w:tc>
      </w:tr>
      <w:tr>
        <w:trPr>
          <w:trHeight w:val="25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paid</w:t>
            </w:r>
          </w:p>
        </w:tc>
        <w:tc>
          <w:tcPr>
            <w:tcW w:w="21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14,961</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10,335</w:t>
            </w:r>
          </w:p>
        </w:tc>
      </w:tr>
      <w:tr>
        <w:trPr>
          <w:trHeight w:val="256"/>
        </w:trPr>
        <w:tc>
          <w:tcPr>
            <w:tcW w:w="64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3"/>
        </w:trPr>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transactions:</w:t>
            </w:r>
          </w:p>
        </w:tc>
        <w:tc>
          <w:tcPr>
            <w:tcW w:w="2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3"/>
        </w:trPr>
        <w:tc>
          <w:tcPr>
            <w:tcW w:w="6400" w:type="dxa"/>
            <w:vAlign w:val="bottom"/>
          </w:tcPr>
          <w:p>
            <w:pPr>
              <w:ind w:left="100"/>
              <w:spacing w:after="0"/>
              <w:rPr>
                <w:sz w:val="20"/>
                <w:szCs w:val="20"/>
                <w:color w:val="auto"/>
              </w:rPr>
            </w:pPr>
            <w:r>
              <w:rPr>
                <w:rFonts w:ascii="Arial" w:cs="Arial" w:eastAsia="Arial" w:hAnsi="Arial"/>
                <w:sz w:val="16"/>
                <w:szCs w:val="16"/>
                <w:color w:val="auto"/>
              </w:rPr>
              <w:t>Issuance of Winnebago common stock for acquisition of business</w:t>
            </w:r>
          </w:p>
        </w:tc>
        <w:tc>
          <w:tcPr>
            <w:tcW w:w="21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92,572</w:t>
            </w:r>
          </w:p>
        </w:tc>
        <w:tc>
          <w:tcPr>
            <w:tcW w:w="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expenditures in accounts payable</w:t>
            </w:r>
          </w:p>
        </w:tc>
        <w:tc>
          <w:tcPr>
            <w:tcW w:w="21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255</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60" w:top="1188" w:right="359" w:bottom="1440" w:gutter="0" w:footer="0" w:header="0"/>
        </w:sectPr>
      </w:pPr>
    </w:p>
    <w:bookmarkStart w:id="10" w:name="page11"/>
    <w:bookmarkEnd w:id="10"/>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unit data)</w:t>
      </w:r>
    </w:p>
    <w:p>
      <w:pPr>
        <w:spacing w:after="0" w:line="289" w:lineRule="exact"/>
        <w:rPr>
          <w:sz w:val="20"/>
          <w:szCs w:val="20"/>
          <w:color w:val="auto"/>
        </w:rPr>
      </w:pPr>
    </w:p>
    <w:tbl>
      <w:tblPr>
        <w:tblLayout w:type="fixed"/>
        <w:tblInd w:w="12"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98"/>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9"/>
                <w:szCs w:val="19"/>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25, 2019</w:t>
            </w: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188,898</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346,811</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(157,913)</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24"/>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16,451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57,172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16.5 %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(40,721)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(71.2)%</w:t>
            </w:r>
          </w:p>
        </w:tc>
      </w:tr>
      <w:tr>
        <w:trPr>
          <w:trHeight w:val="418"/>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25, 2019</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3,537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60.3 %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6,185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59.5 %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(2,648)</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37"/>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2,324</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4,216</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(1,892)</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r>
      <w:tr>
        <w:trPr>
          <w:trHeight w:val="263"/>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5,861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10,401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3"/>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9"/>
                <w:szCs w:val="19"/>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25, 2019</w:t>
            </w: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813,611</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890,335</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(76,724)</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86,982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121,638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(34,656)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418"/>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25, 2019</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15,319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60.8 %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16,564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(1,245)</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9,874</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10,818</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(944)</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63"/>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25,193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27,382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80" w:type="dxa"/>
            <w:vAlign w:val="bottom"/>
          </w:tcPr>
          <w:p>
            <w:pPr>
              <w:spacing w:after="0"/>
              <w:rPr>
                <w:sz w:val="24"/>
                <w:szCs w:val="24"/>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May 25, 2019</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3160" w:type="dxa"/>
            <w:vAlign w:val="bottom"/>
            <w:tcBorders>
              <w:top w:val="single" w:sz="8" w:color="auto"/>
            </w:tcBorders>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43"/>
        </w:trPr>
        <w:tc>
          <w:tcPr>
            <w:tcW w:w="3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13,235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7,089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6,146</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86.7 %</w:t>
            </w:r>
          </w:p>
        </w:tc>
      </w:tr>
      <w:tr>
        <w:trPr>
          <w:trHeight w:val="233"/>
        </w:trPr>
        <w:tc>
          <w:tcPr>
            <w:tcW w:w="3160" w:type="dxa"/>
            <w:vAlign w:val="bottom"/>
          </w:tcPr>
          <w:p>
            <w:pPr>
              <w:ind w:left="360"/>
              <w:spacing w:after="0"/>
              <w:rPr>
                <w:sz w:val="20"/>
                <w:szCs w:val="20"/>
                <w:color w:val="auto"/>
              </w:rPr>
            </w:pPr>
            <w:r>
              <w:rPr>
                <w:rFonts w:ascii="Arial" w:cs="Arial" w:eastAsia="Arial" w:hAnsi="Arial"/>
                <w:sz w:val="16"/>
                <w:szCs w:val="16"/>
                <w:color w:val="auto"/>
              </w:rPr>
              <w:t>Dollars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417,176</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237,708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179,468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75.5 %</w:t>
            </w:r>
          </w:p>
        </w:tc>
      </w:tr>
      <w:tr>
        <w:trPr>
          <w:trHeight w:val="253"/>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3"/>
        </w:trPr>
        <w:tc>
          <w:tcPr>
            <w:tcW w:w="3160" w:type="dxa"/>
            <w:vAlign w:val="bottom"/>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15,562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18,984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(3,422)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w:t>
            </w:r>
          </w:p>
        </w:tc>
      </w:tr>
    </w:tbl>
    <w:p>
      <w:pPr>
        <w:spacing w:after="0" w:line="132" w:lineRule="exact"/>
        <w:rPr>
          <w:sz w:val="20"/>
          <w:szCs w:val="20"/>
          <w:color w:val="auto"/>
        </w:rPr>
      </w:pPr>
    </w:p>
    <w:p>
      <w:pPr>
        <w:ind w:left="212" w:hanging="212"/>
        <w:spacing w:after="0"/>
        <w:tabs>
          <w:tab w:leader="none" w:pos="212"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52" w:hanging="252"/>
        <w:spacing w:after="0" w:line="258" w:lineRule="auto"/>
        <w:tabs>
          <w:tab w:leader="none" w:pos="225"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355"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12"/>
          </w:cols>
          <w:pgMar w:left="328" w:top="886" w:right="35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(Unaudited) - Motorhome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unit data)</w:t>
      </w:r>
    </w:p>
    <w:p>
      <w:pPr>
        <w:spacing w:after="0" w:line="289" w:lineRule="exact"/>
        <w:rPr>
          <w:sz w:val="20"/>
          <w:szCs w:val="20"/>
          <w:color w:val="auto"/>
        </w:rPr>
      </w:pPr>
    </w:p>
    <w:tbl>
      <w:tblPr>
        <w:tblLayout w:type="fixed"/>
        <w:tblInd w:w="12"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98"/>
        </w:trPr>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9"/>
                <w:szCs w:val="19"/>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25, 2019</w:t>
            </w:r>
          </w:p>
        </w:tc>
        <w:tc>
          <w:tcPr>
            <w:tcW w:w="1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203,590</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160,239</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43,351</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27.1 %</w:t>
            </w:r>
          </w:p>
        </w:tc>
      </w:tr>
      <w:tr>
        <w:trPr>
          <w:trHeight w:val="224"/>
        </w:trPr>
        <w:tc>
          <w:tcPr>
            <w:tcW w:w="31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(10,789)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(11,170)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(2,931.8)%</w:t>
            </w:r>
          </w:p>
        </w:tc>
      </w:tr>
      <w:tr>
        <w:trPr>
          <w:trHeight w:val="418"/>
        </w:trPr>
        <w:tc>
          <w:tcPr>
            <w:tcW w:w="3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25, 2019</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r>
      <w:tr>
        <w:trPr>
          <w:trHeight w:val="233"/>
        </w:trPr>
        <w:tc>
          <w:tcPr>
            <w:tcW w:w="318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694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44.4 %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515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26.2 %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34.8 %</w:t>
            </w:r>
          </w:p>
        </w:tc>
      </w:tr>
      <w:tr>
        <w:trPr>
          <w:trHeight w:val="24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12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1"/>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3"/>
        </w:trPr>
        <w:tc>
          <w:tcPr>
            <w:tcW w:w="3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6"/>
                <w:szCs w:val="16"/>
                <w:b w:val="1"/>
                <w:bCs w:val="1"/>
                <w:color w:val="auto"/>
                <w:w w:val="98"/>
              </w:rPr>
              <w:t>Nine Months Ended</w:t>
            </w:r>
            <w:r>
              <w:rPr>
                <w:rFonts w:ascii="Arial" w:cs="Arial" w:eastAsia="Arial" w:hAnsi="Arial"/>
                <w:sz w:val="21"/>
                <w:szCs w:val="21"/>
                <w:b w:val="1"/>
                <w:bCs w:val="1"/>
                <w:color w:val="auto"/>
                <w:w w:val="98"/>
                <w:vertAlign w:val="superscript"/>
              </w:rPr>
              <w:t>(2)</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1"/>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8"/>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80" w:type="dxa"/>
            <w:vAlign w:val="bottom"/>
          </w:tcPr>
          <w:p>
            <w:pPr>
              <w:spacing w:after="0"/>
              <w:rPr>
                <w:sz w:val="19"/>
                <w:szCs w:val="19"/>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9"/>
                <w:szCs w:val="19"/>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25, 2019</w:t>
            </w:r>
          </w:p>
        </w:tc>
        <w:tc>
          <w:tcPr>
            <w:tcW w:w="1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755,023</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506,229</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248,794</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49.1 %</w:t>
            </w:r>
          </w:p>
        </w:tc>
      </w:tr>
      <w:tr>
        <w:trPr>
          <w:trHeight w:val="224"/>
        </w:trPr>
        <w:tc>
          <w:tcPr>
            <w:tcW w:w="31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13,488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16,716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(3,228)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472"/>
        </w:trPr>
        <w:tc>
          <w:tcPr>
            <w:tcW w:w="3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25, 2019</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35.7 %</w:t>
            </w:r>
          </w:p>
        </w:tc>
      </w:tr>
      <w:tr>
        <w:trPr>
          <w:trHeight w:val="233"/>
        </w:trPr>
        <w:tc>
          <w:tcPr>
            <w:tcW w:w="318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2,287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39.3 %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1,847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33.0 %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23.8 %</w:t>
            </w:r>
          </w:p>
        </w:tc>
      </w:tr>
      <w:tr>
        <w:trPr>
          <w:trHeight w:val="24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1,734</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2,430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43"/>
        </w:trPr>
        <w:tc>
          <w:tcPr>
            <w:tcW w:w="318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5,824</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5,606</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r>
      <w:tr>
        <w:trPr>
          <w:trHeight w:val="20"/>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3"/>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80" w:type="dxa"/>
            <w:vAlign w:val="bottom"/>
          </w:tcPr>
          <w:p>
            <w:pPr>
              <w:spacing w:after="0"/>
              <w:rPr>
                <w:sz w:val="24"/>
                <w:szCs w:val="24"/>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30, 2020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25, 2019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3180" w:type="dxa"/>
            <w:vAlign w:val="bottom"/>
            <w:tcBorders>
              <w:top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3"/>
        </w:trPr>
        <w:tc>
          <w:tcPr>
            <w:tcW w:w="3180" w:type="dxa"/>
            <w:vAlign w:val="bottom"/>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4,131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2,057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99.2 %</w:t>
            </w:r>
          </w:p>
        </w:tc>
      </w:tr>
      <w:tr>
        <w:trPr>
          <w:trHeight w:val="253"/>
        </w:trPr>
        <w:tc>
          <w:tcPr>
            <w:tcW w:w="3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515,035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182,354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332,681</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182.4 %</w:t>
            </w:r>
          </w:p>
        </w:tc>
      </w:tr>
      <w:tr>
        <w:trPr>
          <w:trHeight w:val="233"/>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3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5,013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4,235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778</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r>
    </w:tbl>
    <w:p>
      <w:pPr>
        <w:spacing w:after="0" w:line="113" w:lineRule="exact"/>
        <w:rPr>
          <w:sz w:val="20"/>
          <w:szCs w:val="20"/>
          <w:color w:val="auto"/>
        </w:rPr>
      </w:pPr>
    </w:p>
    <w:p>
      <w:pPr>
        <w:ind w:left="212" w:hanging="212"/>
        <w:spacing w:after="0"/>
        <w:tabs>
          <w:tab w:leader="none" w:pos="212"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52" w:right="280" w:hanging="252"/>
        <w:spacing w:after="0" w:line="241" w:lineRule="auto"/>
        <w:tabs>
          <w:tab w:leader="none" w:pos="225" w:val="left"/>
        </w:tabs>
        <w:numPr>
          <w:ilvl w:val="0"/>
          <w:numId w:val="4"/>
        </w:numPr>
        <w:rPr>
          <w:rFonts w:ascii="Arial" w:cs="Arial" w:eastAsia="Arial" w:hAnsi="Arial"/>
          <w:sz w:val="14"/>
          <w:szCs w:val="14"/>
          <w:color w:val="auto"/>
        </w:rPr>
      </w:pPr>
      <w:r>
        <w:rPr>
          <w:rFonts w:ascii="Arial" w:cs="Arial" w:eastAsia="Arial" w:hAnsi="Arial"/>
          <w:sz w:val="14"/>
          <w:szCs w:val="14"/>
          <w:color w:val="auto"/>
        </w:rPr>
        <w:t>May 30, 2020 nine months ended data includes Newmar results from the time of acquisition (11/08/19); 2019 data excludes Newmar for both the three month ended and nine month ended periods</w:t>
      </w:r>
    </w:p>
    <w:p>
      <w:pPr>
        <w:ind w:left="252" w:hanging="252"/>
        <w:spacing w:after="0" w:line="258" w:lineRule="auto"/>
        <w:tabs>
          <w:tab w:leader="none" w:pos="225"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12"/>
          </w:cols>
          <w:pgMar w:left="328" w:top="886"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income per share to Adjusted diluted income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243"/>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r>
              <w:rPr>
                <w:rFonts w:ascii="Arial" w:cs="Arial" w:eastAsia="Arial" w:hAnsi="Arial"/>
                <w:sz w:val="21"/>
                <w:szCs w:val="21"/>
                <w:b w:val="1"/>
                <w:bCs w:val="1"/>
                <w:color w:val="auto"/>
                <w:vertAlign w:val="superscript"/>
              </w:rPr>
              <w:t>(1)</w:t>
            </w:r>
          </w:p>
        </w:tc>
        <w:tc>
          <w:tcPr>
            <w:tcW w:w="18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30, 2020</w:t>
            </w: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25, 2019</w:t>
            </w: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30, 2020</w:t>
            </w:r>
          </w:p>
        </w:tc>
        <w:tc>
          <w:tcPr>
            <w:tcW w:w="200" w:type="dxa"/>
            <w:vAlign w:val="bottom"/>
          </w:tcPr>
          <w:p>
            <w:pPr>
              <w:spacing w:after="0"/>
              <w:rPr>
                <w:sz w:val="21"/>
                <w:szCs w:val="21"/>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May 25, 2019</w:t>
            </w:r>
          </w:p>
        </w:tc>
      </w:tr>
      <w:tr>
        <w:trPr>
          <w:trHeight w:val="237"/>
        </w:trPr>
        <w:tc>
          <w:tcPr>
            <w:tcW w:w="4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income per share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1.14</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0.57</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2.52</w:t>
            </w:r>
          </w:p>
        </w:tc>
      </w:tr>
      <w:tr>
        <w:trPr>
          <w:trHeight w:val="243"/>
        </w:trPr>
        <w:tc>
          <w:tcPr>
            <w:tcW w:w="4800" w:type="dxa"/>
            <w:vAlign w:val="bottom"/>
          </w:tcPr>
          <w:p>
            <w:pPr>
              <w:ind w:left="20"/>
              <w:spacing w:after="0"/>
              <w:rPr>
                <w:sz w:val="20"/>
                <w:szCs w:val="20"/>
                <w:color w:val="auto"/>
              </w:rPr>
            </w:pPr>
            <w:r>
              <w:rPr>
                <w:rFonts w:ascii="Arial" w:cs="Arial" w:eastAsia="Arial" w:hAnsi="Arial"/>
                <w:sz w:val="16"/>
                <w:szCs w:val="16"/>
                <w:color w:val="auto"/>
              </w:rPr>
              <w:t>Pretax acquisition-related costs</w:t>
            </w:r>
            <w:r>
              <w:rPr>
                <w:rFonts w:ascii="Arial" w:cs="Arial" w:eastAsia="Arial" w:hAnsi="Arial"/>
                <w:sz w:val="21"/>
                <w:szCs w:val="21"/>
                <w:color w:val="auto"/>
                <w:vertAlign w:val="superscript"/>
              </w:rPr>
              <w:t>(2)</w:t>
            </w:r>
          </w:p>
        </w:tc>
        <w:tc>
          <w:tcPr>
            <w:tcW w:w="18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acquisition-related fair-value inventory step-up</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4800" w:type="dxa"/>
            <w:vAlign w:val="bottom"/>
          </w:tcPr>
          <w:p>
            <w:pPr>
              <w:ind w:left="20"/>
              <w:spacing w:after="0"/>
              <w:rPr>
                <w:sz w:val="20"/>
                <w:szCs w:val="20"/>
                <w:color w:val="auto"/>
              </w:rPr>
            </w:pPr>
            <w:r>
              <w:rPr>
                <w:rFonts w:ascii="Arial" w:cs="Arial" w:eastAsia="Arial" w:hAnsi="Arial"/>
                <w:sz w:val="16"/>
                <w:szCs w:val="16"/>
                <w:color w:val="auto"/>
              </w:rPr>
              <w:t>Pretax non-cash interest expense</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0.04</w:t>
            </w:r>
          </w:p>
        </w:tc>
      </w:tr>
      <w:tr>
        <w:trPr>
          <w:trHeight w:val="233"/>
        </w:trPr>
        <w:tc>
          <w:tcPr>
            <w:tcW w:w="4800" w:type="dxa"/>
            <w:vAlign w:val="bottom"/>
          </w:tcPr>
          <w:p>
            <w:pPr>
              <w:ind w:left="20"/>
              <w:spacing w:after="0"/>
              <w:rPr>
                <w:sz w:val="20"/>
                <w:szCs w:val="20"/>
                <w:color w:val="auto"/>
              </w:rPr>
            </w:pPr>
            <w:r>
              <w:rPr>
                <w:rFonts w:ascii="Arial" w:cs="Arial" w:eastAsia="Arial" w:hAnsi="Arial"/>
                <w:sz w:val="16"/>
                <w:szCs w:val="16"/>
                <w:color w:val="auto"/>
              </w:rPr>
              <w:t>Research and development tax credits</w:t>
            </w:r>
          </w:p>
        </w:tc>
        <w:tc>
          <w:tcPr>
            <w:tcW w:w="18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(0.10)</w:t>
            </w:r>
          </w:p>
        </w:tc>
      </w:tr>
      <w:tr>
        <w:trPr>
          <w:trHeight w:val="25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(4)</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6"/>
        </w:trPr>
        <w:tc>
          <w:tcPr>
            <w:tcW w:w="4800" w:type="dxa"/>
            <w:vAlign w:val="bottom"/>
          </w:tcPr>
          <w:p>
            <w:pPr>
              <w:ind w:left="20"/>
              <w:spacing w:after="0"/>
              <w:rPr>
                <w:sz w:val="20"/>
                <w:szCs w:val="20"/>
                <w:color w:val="auto"/>
              </w:rPr>
            </w:pPr>
            <w:r>
              <w:rPr>
                <w:rFonts w:ascii="Arial" w:cs="Arial" w:eastAsia="Arial" w:hAnsi="Arial"/>
                <w:sz w:val="16"/>
                <w:szCs w:val="16"/>
                <w:color w:val="auto"/>
              </w:rPr>
              <w:t>Adjusted diluted income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w:t>
            </w:r>
          </w:p>
        </w:tc>
      </w:tr>
      <w:tr>
        <w:trPr>
          <w:trHeight w:val="21"/>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 share numbers may not foot due to rounding</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transaction-closing costs.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Non-cash interest expense associated with the Convertible Notes issued related to our acquisition of Newmar.</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Income tax charge calculated using the statutory tax rate for the U.S. of 21.0% for both periods presented.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237"/>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30, 2020</w:t>
            </w:r>
          </w:p>
        </w:tc>
        <w:tc>
          <w:tcPr>
            <w:tcW w:w="18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25, 2019</w:t>
            </w:r>
          </w:p>
        </w:tc>
        <w:tc>
          <w:tcPr>
            <w:tcW w:w="18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30, 2020</w:t>
            </w:r>
          </w:p>
        </w:tc>
        <w:tc>
          <w:tcPr>
            <w:tcW w:w="200" w:type="dxa"/>
            <w:vAlign w:val="bottom"/>
          </w:tcPr>
          <w:p>
            <w:pPr>
              <w:spacing w:after="0"/>
              <w:rPr>
                <w:sz w:val="20"/>
                <w:szCs w:val="20"/>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May 25, 2019</w:t>
            </w:r>
          </w:p>
        </w:tc>
      </w:tr>
      <w:tr>
        <w:trPr>
          <w:trHeight w:val="24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(12,353)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36,171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18,983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79,930</w:t>
            </w:r>
          </w:p>
        </w:tc>
      </w:tr>
      <w:tr>
        <w:trPr>
          <w:trHeight w:val="233"/>
        </w:trPr>
        <w:tc>
          <w:tcPr>
            <w:tcW w:w="4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8,440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4,446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23,140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13,293</w:t>
            </w:r>
          </w:p>
        </w:tc>
      </w:tr>
      <w:tr>
        <w:trPr>
          <w:trHeight w:val="25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18,609</w:t>
            </w:r>
          </w:p>
        </w:tc>
      </w:tr>
      <w:tr>
        <w:trPr>
          <w:trHeight w:val="233"/>
        </w:trPr>
        <w:tc>
          <w:tcPr>
            <w:tcW w:w="47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3,520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11,854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9,788</w:t>
            </w:r>
          </w:p>
        </w:tc>
      </w:tr>
      <w:tr>
        <w:trPr>
          <w:trHeight w:val="24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6,926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2,278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18,514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7,204</w:t>
            </w:r>
          </w:p>
        </w:tc>
      </w:tr>
      <w:tr>
        <w:trPr>
          <w:trHeight w:val="233"/>
        </w:trPr>
        <w:tc>
          <w:tcPr>
            <w:tcW w:w="4780" w:type="dxa"/>
            <w:vAlign w:val="bottom"/>
          </w:tcPr>
          <w:p>
            <w:pPr>
              <w:ind w:left="12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2,961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55,132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76,193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128,824</w:t>
            </w:r>
          </w:p>
        </w:tc>
      </w:tr>
      <w:tr>
        <w:trPr>
          <w:trHeight w:val="25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478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2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9,761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1,321</w:t>
            </w:r>
          </w:p>
        </w:tc>
      </w:tr>
      <w:tr>
        <w:trPr>
          <w:trHeight w:val="236"/>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(1,330)</w:t>
            </w:r>
          </w:p>
        </w:tc>
      </w:tr>
      <w:tr>
        <w:trPr>
          <w:trHeight w:val="268"/>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55,874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91,551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128,815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We have provided non-GAAP performance measures of Adjusted diluted income per share, EBITDA, and Adjusted EBITDA as comparable measures to illustrate the effect of non-recurring transactions occurring during the reported periods and improve comparability of our results from period to period. Adjusted diluted income per share is defined as income per share adjusted for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believe Adjusted diluted income per share and Adjusted EBITDA provide meaningful supplemental information about our operating performance because these measures exclude amounts that we do not consider part of our core operating results when assessing our performance. Examples of items excluded from Adjusted income per share include acquisition-related costs, acquisition-related fair-value inventory step-up, non-cash interest</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86" w:right="339" w:bottom="1440" w:gutter="0" w:footer="0" w:header="0"/>
          <w:type w:val="continuous"/>
        </w:sectPr>
      </w:pPr>
    </w:p>
    <w:bookmarkStart w:id="13" w:name="page14"/>
    <w:bookmarkEnd w:id="13"/>
    <w:p>
      <w:pPr>
        <w:ind w:right="100"/>
        <w:spacing w:after="0" w:line="295" w:lineRule="auto"/>
        <w:rPr>
          <w:sz w:val="20"/>
          <w:szCs w:val="20"/>
          <w:color w:val="auto"/>
        </w:rPr>
      </w:pPr>
      <w:r>
        <w:rPr>
          <w:rFonts w:ascii="Arial" w:cs="Arial" w:eastAsia="Arial" w:hAnsi="Arial"/>
          <w:sz w:val="16"/>
          <w:szCs w:val="16"/>
          <w:color w:val="auto"/>
        </w:rPr>
        <w:t>expense, and the tax impact of the adjustments. Examples of items excluded from Adjusted EBITDA include acquisition-related fair-value inventory step-up, acquisition-related costs, restructuring expenses, and non-operating income.</w:t>
      </w: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debt agreements.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sectPr>
      <w:pgSz w:w="11900" w:h="16838" w:orient="portrait"/>
      <w:cols w:equalWidth="0" w:num="1">
        <w:col w:w="11240"/>
      </w:cols>
      <w:pgMar w:left="320" w:top="9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2020-06-24T06:04:46Z</dcterms:created>
  <dcterms:modified xsi:type="dcterms:W3CDTF">2020-06-24T06:04:46Z</dcterms:modified>
</cp:coreProperties>
</file>