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34)*</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20,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Hanson Capital Partners, L.L.C.  I.R.S. Identification No. 52-2286575</w:t>
      </w:r>
    </w:p>
    <w:tbl>
      <w:tblPr>
        <w:tblLayout w:type="fixed"/>
        <w:tblInd w:w="740" w:type="dxa"/>
        <w:tblCellMar>
          <w:top w:w="0" w:type="dxa"/>
          <w:left w:w="0" w:type="dxa"/>
          <w:bottom w:w="0" w:type="dxa"/>
          <w:right w:w="0" w:type="dxa"/>
        </w:tblCellMar>
      </w:tblPr>
      <w:tr>
        <w:trPr>
          <w:trHeight w:val="203"/>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John V. Hanson</w:t>
            </w:r>
          </w:p>
        </w:tc>
        <w:tc>
          <w:tcPr>
            <w:tcW w:w="20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Joan Boman</w:t>
            </w: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Hanson</w:t>
            </w: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422"/>
        <w:spacing w:after="0" w:line="238" w:lineRule="auto"/>
        <w:tabs>
          <w:tab w:leader="none" w:pos="8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422"/>
        <w:spacing w:after="0" w:line="238" w:lineRule="auto"/>
        <w:tabs>
          <w:tab w:leader="none" w:pos="8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24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w:t>
      </w:r>
    </w:p>
    <w:p>
      <w:pPr>
        <w:ind w:left="740"/>
        <w:spacing w:after="0"/>
        <w:tabs>
          <w:tab w:leader="none" w:pos="810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74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22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3,005,812+ shares (8.8%)</w:t>
            </w:r>
          </w:p>
        </w:tc>
      </w:tr>
      <w:tr>
        <w:trPr>
          <w:trHeight w:val="405"/>
        </w:trPr>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wife</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40,000+ shares which</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John V. Hanson has a right</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405"/>
        </w:trPr>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w w:val="96"/>
              </w:rPr>
              <w:t>145,496+ (includes 53,070+</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and</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40,000+ shares which</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has the</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2800" w:type="dxa"/>
            <w:vAlign w:val="bottom"/>
          </w:tcPr>
          <w:p>
            <w:pPr>
              <w:spacing w:after="0"/>
              <w:rPr>
                <w:sz w:val="17"/>
                <w:szCs w:val="17"/>
                <w:color w:val="auto"/>
              </w:rPr>
            </w:pPr>
          </w:p>
        </w:tc>
      </w:tr>
      <w:tr>
        <w:trPr>
          <w:trHeight w:val="810"/>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420" w:type="dxa"/>
            <w:vAlign w:val="bottom"/>
            <w:gridSpan w:val="2"/>
          </w:tcPr>
          <w:p>
            <w:pPr>
              <w:ind w:left="220"/>
              <w:spacing w:after="0"/>
              <w:rPr>
                <w:sz w:val="20"/>
                <w:szCs w:val="20"/>
                <w:color w:val="auto"/>
              </w:rPr>
            </w:pPr>
            <w:r>
              <w:rPr>
                <w:rFonts w:ascii="Courier New" w:cs="Courier New" w:eastAsia="Courier New" w:hAnsi="Courier New"/>
                <w:sz w:val="13"/>
                <w:szCs w:val="13"/>
                <w:color w:val="auto"/>
                <w:w w:val="71"/>
              </w:rPr>
              <w:t>---------------------------------------------------------</w:t>
            </w:r>
          </w:p>
        </w:tc>
        <w:tc>
          <w:tcPr>
            <w:tcW w:w="28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0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2800" w:type="dxa"/>
            <w:vAlign w:val="bottom"/>
          </w:tcPr>
          <w:p>
            <w:pPr>
              <w:spacing w:after="0"/>
              <w:rPr>
                <w:sz w:val="17"/>
                <w:szCs w:val="17"/>
                <w:color w:val="auto"/>
              </w:rPr>
            </w:pPr>
          </w:p>
        </w:tc>
      </w:tr>
      <w:tr>
        <w:trPr>
          <w:trHeight w:val="40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3420" w:type="dxa"/>
            <w:vAlign w:val="bottom"/>
            <w:gridSpan w:val="2"/>
          </w:tcPr>
          <w:p>
            <w:pPr>
              <w:ind w:left="220"/>
              <w:spacing w:after="0"/>
              <w:rPr>
                <w:sz w:val="20"/>
                <w:szCs w:val="20"/>
                <w:color w:val="auto"/>
              </w:rPr>
            </w:pPr>
            <w:r>
              <w:rPr>
                <w:rFonts w:ascii="Courier New" w:cs="Courier New" w:eastAsia="Courier New" w:hAnsi="Courier New"/>
                <w:sz w:val="13"/>
                <w:szCs w:val="13"/>
                <w:color w:val="auto"/>
                <w:w w:val="71"/>
              </w:rPr>
              <w:t>---------------------------------------------------------</w:t>
            </w:r>
          </w:p>
        </w:tc>
        <w:tc>
          <w:tcPr>
            <w:tcW w:w="2800" w:type="dxa"/>
            <w:vAlign w:val="bottom"/>
          </w:tcPr>
          <w:p>
            <w:pPr>
              <w:spacing w:after="0"/>
              <w:rPr>
                <w:sz w:val="24"/>
                <w:szCs w:val="24"/>
                <w:color w:val="auto"/>
              </w:rPr>
            </w:pP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0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3,005,812+ shares (8.8%)</w:t>
            </w:r>
          </w:p>
        </w:tc>
      </w:tr>
      <w:tr>
        <w:trPr>
          <w:trHeight w:val="405"/>
        </w:trPr>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wife and</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40,000+ shares which John</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 Hanson has a right to</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w w:val="96"/>
              </w:rPr>
              <w:t>145,496+ (includes 53,070+</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and</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40,000+ shares which</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has the</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320+ shares*</w:t>
            </w:r>
          </w:p>
        </w:tc>
      </w:tr>
    </w:tbl>
    <w:p>
      <w:pPr>
        <w:ind w:left="3160"/>
        <w:spacing w:after="0" w:line="238" w:lineRule="auto"/>
        <w:rPr>
          <w:sz w:val="20"/>
          <w:szCs w:val="20"/>
          <w:color w:val="auto"/>
        </w:rPr>
      </w:pPr>
      <w:r>
        <w:rPr>
          <w:rFonts w:ascii="Courier New" w:cs="Courier New" w:eastAsia="Courier New" w:hAnsi="Courier New"/>
          <w:sz w:val="18"/>
          <w:szCs w:val="18"/>
          <w:color w:val="auto"/>
        </w:rPr>
        <w:t>*less than 1.0 percent.</w:t>
      </w:r>
    </w:p>
    <w:p>
      <w:pPr>
        <w:ind w:left="1160"/>
        <w:spacing w:after="0"/>
        <w:tabs>
          <w:tab w:leader="none" w:pos="242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ind w:left="2440"/>
        <w:spacing w:after="0" w:line="237" w:lineRule="auto"/>
        <w:tabs>
          <w:tab w:leader="none" w:pos="336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p>
    <w:p>
      <w:pPr>
        <w:ind w:left="3380"/>
        <w:spacing w:after="0" w:line="238" w:lineRule="auto"/>
        <w:rPr>
          <w:sz w:val="20"/>
          <w:szCs w:val="20"/>
          <w:color w:val="auto"/>
        </w:rPr>
      </w:pPr>
      <w:r>
        <w:rPr>
          <w:rFonts w:ascii="Courier New" w:cs="Courier New" w:eastAsia="Courier New" w:hAnsi="Courier New"/>
          <w:sz w:val="18"/>
          <w:szCs w:val="18"/>
          <w:color w:val="auto"/>
        </w:rPr>
        <w:t>See (9) above.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2839" w:hanging="212"/>
        <w:spacing w:after="0" w:line="235"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159" w:hanging="732"/>
        <w:spacing w:after="0" w:line="470"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74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740" w:right="4199" w:hanging="732"/>
        <w:spacing w:after="0" w:line="470"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40" w:right="4939" w:hanging="732"/>
        <w:spacing w:after="0" w:line="536" w:lineRule="auto"/>
        <w:tabs>
          <w:tab w:leader="none" w:pos="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999" w:firstLine="948"/>
        <w:spacing w:after="0" w:line="272"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186"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93,800 shares of Common Stock as a result of the sale by HCP on April 14, 2004 of 13,800 shares of Common Stock through a broker pursuant to the Rule 10b5-1 Trading Plan (the "TRADING PLAN") with Bessemer Trust Company of Florida; the sale by HCP on April 20, 2004 of 40,000 shares of Common Stock through a broker pursuant to the Trading Plan; and the sale by HCP on April 21, 2004 of 40,000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April 14, 2004, HCP sold 13,800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$442,980 or an average price per share of $32.1000; on April 20, 2004, HCP sold</w:t>
      </w:r>
    </w:p>
    <w:p>
      <w:pPr>
        <w:spacing w:after="0" w:line="237" w:lineRule="auto"/>
        <w:rPr>
          <w:sz w:val="20"/>
          <w:szCs w:val="20"/>
          <w:color w:val="auto"/>
        </w:rPr>
      </w:pPr>
      <w:r>
        <w:rPr>
          <w:rFonts w:ascii="Courier New" w:cs="Courier New" w:eastAsia="Courier New" w:hAnsi="Courier New"/>
          <w:sz w:val="18"/>
          <w:szCs w:val="18"/>
          <w:color w:val="auto"/>
        </w:rPr>
        <w:t>40,000 shares of Common Stock through a broker pursuant to the Trading Plan for</w:t>
      </w:r>
    </w:p>
    <w:p>
      <w:pPr>
        <w:spacing w:after="0" w:line="238" w:lineRule="auto"/>
        <w:rPr>
          <w:sz w:val="20"/>
          <w:szCs w:val="20"/>
          <w:color w:val="auto"/>
        </w:rPr>
      </w:pPr>
      <w:r>
        <w:rPr>
          <w:rFonts w:ascii="Courier New" w:cs="Courier New" w:eastAsia="Courier New" w:hAnsi="Courier New"/>
          <w:sz w:val="18"/>
          <w:szCs w:val="18"/>
          <w:color w:val="auto"/>
        </w:rPr>
        <w:t>an approximate purchase price of $1,296,882 or an average price per share of</w:t>
      </w:r>
    </w:p>
    <w:p>
      <w:pPr>
        <w:spacing w:after="0"/>
        <w:rPr>
          <w:sz w:val="20"/>
          <w:szCs w:val="20"/>
          <w:color w:val="auto"/>
        </w:rPr>
      </w:pPr>
      <w:r>
        <w:rPr>
          <w:rFonts w:ascii="Courier New" w:cs="Courier New" w:eastAsia="Courier New" w:hAnsi="Courier New"/>
          <w:sz w:val="18"/>
          <w:szCs w:val="18"/>
          <w:color w:val="auto"/>
        </w:rPr>
        <w:t>$32.4221; and on April 21, 2004, HCP sold 40,000 shares of Common Stock through</w:t>
      </w:r>
    </w:p>
    <w:p>
      <w:pPr>
        <w:spacing w:after="0" w:line="237" w:lineRule="auto"/>
        <w:rPr>
          <w:sz w:val="20"/>
          <w:szCs w:val="20"/>
          <w:color w:val="auto"/>
        </w:rPr>
      </w:pPr>
      <w:r>
        <w:rPr>
          <w:rFonts w:ascii="Courier New" w:cs="Courier New" w:eastAsia="Courier New" w:hAnsi="Courier New"/>
          <w:sz w:val="18"/>
          <w:szCs w:val="18"/>
          <w:color w:val="auto"/>
        </w:rPr>
        <w:t>a 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$1,297,752 or an average price per share of $32.4438.</w:t>
      </w:r>
    </w:p>
    <w:p>
      <w:pPr>
        <w:spacing w:after="0" w:line="20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3,005,812+ shares of Common Stock, which represent approximately 8.8%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hanging="952"/>
        <w:spacing w:after="0" w:line="237"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 respect to 3,005,812+ shares of Common Stock of which HCP is the beneficial owner. A majority of the Individual Trustees together with the Corporate Trustee have sole dispositive power with respect to the 3,005,812+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779" w:hanging="952"/>
        <w:spacing w:after="0" w:line="269"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85,300 shares of Common Stock by HCP during the period from April 8, 2004 through April 13, 2004, as reported on Schedule 13D (Amendment No. 33), (iii) the sale of an aggregate of 127,300 shares of Common Stock by HCP on April 6, 2004 and April 7, 2004, as reported on Schedule 13D (Amendment No. 32), (iv) the sale of an aggregate of 103,300 shares of Common Stock by HCP on April 2, 2004 and April 5, 2004, as reported on Schedule 13D (Amendment No. 31), (v) the sale of an aggregate of 59,500 shares of Common Stock by HCP on March 31, 2004 and April 1, 2004, as reported on Schedule 13D (Amendment No. 30), (vi) the sale of an aggregate of 151,200 shares of Common Stock by HCP on March 29, 2004 and March 30, 2004, as reported on Schedule 13D (Amendment No. 29), (vii) the sale of an aggregate of 260,000 shares of Common Stock by HCP on March 25, 2004 and March 26, 2004, as reported on Schedule 13D (Amendment No. 28), (viii) the sale of an aggregate of 240,000 shares of Common Stock by HCP on March 18, 2004 and March 19, 2004, as reported on Schedule 13D (Amendment No. 27), (ix) the sale of an aggregate of 103,400 shares of Common Stock by HCP on March 11, 2004 and March 12, 2004, as reported on Schedule 13D (Amendment No. 26), (x) the sale of an aggregate of 152,200 shares of Common Stock by HCP on March 9, 2004 and March 10, 2004, as reported on Schedule 13D (Amendment No. 25), (xi) the sale of 25,000 shares of Common Stock by HCP on March 5, 2004, as reported on Schedule 13D (Amendment No. 24), and (xii) the sale of 46,100 shares of Common Stock by HCP on March 4, 2004, as reported on Schedule 13D (Amendment No. 23); none of HCP, John V. Hanson, Mary Joan Boman or Paul D. Hanson has had any transactions in Common Stock during the past 60 days.</w:t>
      </w:r>
    </w:p>
    <w:p>
      <w:pPr>
        <w:spacing w:after="0" w:line="200" w:lineRule="exact"/>
        <w:rPr>
          <w:rFonts w:ascii="Courier New" w:cs="Courier New" w:eastAsia="Courier New" w:hAnsi="Courier New"/>
          <w:sz w:val="16"/>
          <w:szCs w:val="16"/>
          <w:color w:val="auto"/>
        </w:rPr>
      </w:pPr>
    </w:p>
    <w:p>
      <w:pPr>
        <w:spacing w:after="0" w:line="387"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3679" w:hanging="842"/>
        <w:spacing w:after="0" w:line="290"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70"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requires the consent of members representing a majority of the member percentage interests, except that certain actions, such as the disposition of all or substantially all of HCP's assets, requires the unanimous approval of all members of HCP.</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HANSON CAPITAL PARTNERS, L.L.C.</w:t>
            </w:r>
          </w:p>
        </w:tc>
      </w:tr>
      <w:tr>
        <w:trPr>
          <w:trHeight w:val="405"/>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April 22,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5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April 22,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5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April 22,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April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2"/>
    </w:lvl>
    <w:lvl w:ilvl="1">
      <w:lvlJc w:val="left"/>
      <w:lvlText w:val="(%2)"/>
      <w:numFmt w:val="lowerLetter"/>
      <w:start w:val="1"/>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5"/>
    </w:lvl>
  </w:abstractNum>
  <w:abstractNum w:abstractNumId="6">
    <w:nsid w:val="66EF438D"/>
    <w:multiLevelType w:val="hybridMultilevel"/>
    <w:lvl w:ilvl="0">
      <w:lvlJc w:val="left"/>
      <w:lvlText w:val="(%1)"/>
      <w:numFmt w:val="decimal"/>
      <w:start w:val="6"/>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decimal"/>
      <w:start w:val="13"/>
    </w:lvl>
  </w:abstractNum>
  <w:abstractNum w:abstractNumId="11">
    <w:nsid w:val="7FDCC233"/>
    <w:multiLevelType w:val="hybridMultilevel"/>
    <w:lvl w:ilvl="0">
      <w:lvlJc w:val="left"/>
      <w:lvlText w:val="(%1)"/>
      <w:numFmt w:val="decimal"/>
      <w:start w:val="14"/>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2019-12-13T08:14:18Z</dcterms:created>
  <dcterms:modified xsi:type="dcterms:W3CDTF">2019-12-13T08:14:18Z</dcterms:modified>
</cp:coreProperties>
</file>