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On December 19, 2025, Winnebago Industries, Inc. (the "Company") issued a press release to report financial results for the first quarter of Fiscal 2026 ended November 29, 2025. A copy of the press release is attached as Exhibit 99.1 and is incorporated by reference herein.</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2026.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5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December 19, 2025</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80" w:type="dxa"/>
            <w:vAlign w:val="bottom"/>
            <w:gridSpan w:val="2"/>
          </w:tcPr>
          <w:p>
            <w:pPr>
              <w:ind w:left="18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380" w:type="dxa"/>
            <w:vAlign w:val="bottom"/>
          </w:tcPr>
          <w:p>
            <w:pPr>
              <w:ind w:left="160"/>
              <w:spacing w:after="0"/>
              <w:rPr>
                <w:sz w:val="20"/>
                <w:szCs w:val="20"/>
                <w:color w:val="auto"/>
              </w:rPr>
            </w:pPr>
            <w:r>
              <w:rPr>
                <w:rFonts w:ascii="Arial" w:cs="Arial" w:eastAsia="Arial" w:hAnsi="Arial"/>
                <w:sz w:val="16"/>
                <w:szCs w:val="16"/>
                <w:color w:val="auto"/>
              </w:rPr>
              <w:t>December 19, 2025</w:t>
            </w:r>
          </w:p>
        </w:tc>
        <w:tc>
          <w:tcPr>
            <w:tcW w:w="2620" w:type="dxa"/>
            <w:vAlign w:val="bottom"/>
          </w:tcPr>
          <w:p>
            <w:pPr>
              <w:ind w:left="18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20" w:type="dxa"/>
            <w:vAlign w:val="bottom"/>
          </w:tcPr>
          <w:p>
            <w:pPr>
              <w:ind w:left="18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vMerge w:val="restart"/>
          </w:tcPr>
          <w:p>
            <w:pPr>
              <w:ind w:left="18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FIRST QUARTER FISCAL 2026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Quarterly Net Revenues Increase 12.3%, Driven by Growth in Motorhome and Towable RV Segments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Improved Top-Line Performance and Cost Discipline Deliver Margin Gains and Strengthen Balance Sheet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Barletta Continues Share Expansion in U.S. Aluminum Pontoon Segment</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Motorized Offerings from Newmar and Grand Design Fuel Share Growth in Class A and Class C</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Company Raises FY 2026 Earnings Guidance Range --</w:t>
      </w:r>
    </w:p>
    <w:p>
      <w:pPr>
        <w:spacing w:after="0" w:line="200" w:lineRule="exact"/>
        <w:rPr>
          <w:sz w:val="20"/>
          <w:szCs w:val="20"/>
          <w:color w:val="auto"/>
        </w:rPr>
      </w:pPr>
    </w:p>
    <w:p>
      <w:pPr>
        <w:spacing w:after="0" w:line="291" w:lineRule="exact"/>
        <w:rPr>
          <w:sz w:val="20"/>
          <w:szCs w:val="20"/>
          <w:color w:val="auto"/>
        </w:rPr>
      </w:pPr>
    </w:p>
    <w:p>
      <w:pPr>
        <w:ind w:right="180"/>
        <w:spacing w:after="0" w:line="392" w:lineRule="auto"/>
        <w:rPr>
          <w:sz w:val="20"/>
          <w:szCs w:val="20"/>
          <w:color w:val="auto"/>
        </w:rPr>
      </w:pPr>
      <w:r>
        <w:rPr>
          <w:rFonts w:ascii="Arial" w:cs="Arial" w:eastAsia="Arial" w:hAnsi="Arial"/>
          <w:sz w:val="16"/>
          <w:szCs w:val="16"/>
          <w:b w:val="1"/>
          <w:bCs w:val="1"/>
          <w:color w:val="auto"/>
        </w:rPr>
        <w:t xml:space="preserve">EDEN PRAIRIE, MINN, December 19, 2025 </w:t>
      </w:r>
      <w:r>
        <w:rPr>
          <w:rFonts w:ascii="Arial" w:cs="Arial" w:eastAsia="Arial" w:hAnsi="Arial"/>
          <w:sz w:val="16"/>
          <w:szCs w:val="16"/>
          <w:color w:val="auto"/>
        </w:rPr>
        <w:t>-- Winnebago Industries, Inc. (NYSE: WGO), a leading outdoor lifestyle product manufacturer,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Fiscal 2026 first quarter ended November 29, 2025.</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Fiscal 2026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of $702.7 million compared to $625.6 million in the first quarter of Fiscal 2025</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$89.0 million, representing 12.7% gross margin compared to 12.3% in the first quarter of Fiscal 2025</w:t>
      </w:r>
    </w:p>
    <w:p>
      <w:pPr>
        <w:spacing w:after="0" w:line="99" w:lineRule="exact"/>
        <w:rPr>
          <w:rFonts w:ascii="Arial" w:cs="Arial" w:eastAsia="Arial" w:hAnsi="Arial"/>
          <w:sz w:val="16"/>
          <w:szCs w:val="16"/>
          <w:color w:val="auto"/>
        </w:rPr>
      </w:pPr>
    </w:p>
    <w:p>
      <w:pPr>
        <w:ind w:left="660" w:right="180" w:hanging="328"/>
        <w:spacing w:after="0" w:line="369"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$5.5 million, or $0.19 per diluted share; adjusted earnings per diluted share of $0.38 compared to adjusted loss per diluted share of $0.03 in the first quarter of Fiscal 2025</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of $30.2 million, up 109.7% year-over-year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cash flow from operations of $25.4 million compared to net cash flow used in operations of $16.7 million in the first quarter of Fiscal 2025</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leverage ratio improves to 2.7x at quarter-end from 3.1x at Fiscal 2025 year-end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spacing w:after="0" w:line="379" w:lineRule="auto"/>
        <w:rPr>
          <w:sz w:val="20"/>
          <w:szCs w:val="20"/>
          <w:color w:val="auto"/>
        </w:rPr>
      </w:pPr>
      <w:r>
        <w:rPr>
          <w:rFonts w:ascii="Arial" w:cs="Arial" w:eastAsia="Arial" w:hAnsi="Arial"/>
          <w:sz w:val="16"/>
          <w:szCs w:val="16"/>
          <w:color w:val="auto"/>
        </w:rPr>
        <w:t>“Winnebago Industries performed ahead of our expectations in the first quarter and demonstrated clear progress on our priorities,” said Michael Happe, the Company’s President and Chief Executive Officer. “Although the retail demand environment is dynamic and dealer order patterns remain highly seasonal, we delivered meaningful top-line growth and margin expansion in both our Motorhome and Towable RV segments. These results were driven primarily by new products, select pricing actions, production discipline, strong cost management, and the benefit of a product portfolio that is increasingly aligned to where consumers are spending. We also strengthened our balance sheet, reinforcing the financial flexibility that supports our long-term ambitions.</w:t>
      </w:r>
    </w:p>
    <w:p>
      <w:pPr>
        <w:spacing w:after="0" w:line="208" w:lineRule="exact"/>
        <w:rPr>
          <w:sz w:val="20"/>
          <w:szCs w:val="20"/>
          <w:color w:val="auto"/>
        </w:rPr>
      </w:pPr>
    </w:p>
    <w:p>
      <w:pPr>
        <w:ind w:right="80"/>
        <w:spacing w:after="0" w:line="379" w:lineRule="auto"/>
        <w:rPr>
          <w:sz w:val="20"/>
          <w:szCs w:val="20"/>
          <w:color w:val="auto"/>
        </w:rPr>
      </w:pPr>
      <w:r>
        <w:rPr>
          <w:rFonts w:ascii="Arial" w:cs="Arial" w:eastAsia="Arial" w:hAnsi="Arial"/>
          <w:sz w:val="16"/>
          <w:szCs w:val="16"/>
          <w:color w:val="auto"/>
        </w:rPr>
        <w:t>“Our Motorhome RV segment continued its momentum, propelled by the sustained appeal of our premium Newmar products and the growing presence of our Grand Design motorized offerings,” said Happe. “These brands are deepening our reach in both the luxury Class A and core Class C markets, and their performance in the quarter reflects the advantages of our focused innovation roadmap. Our Towable RV segment also posted solid top-line growth and higher operating income margins, supported by a refreshed dual brand lineup that continues to resonate with consumers seeking high quality and thoughtful design. Together, these RV platforms demonstrate the power of our diversified approach and our ability to compete effectively across price bands and use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ind w:right="300"/>
        <w:spacing w:after="0" w:line="358" w:lineRule="auto"/>
        <w:rPr>
          <w:sz w:val="20"/>
          <w:szCs w:val="20"/>
          <w:color w:val="auto"/>
        </w:rPr>
      </w:pPr>
      <w:r>
        <w:rPr>
          <w:rFonts w:ascii="Arial" w:cs="Arial" w:eastAsia="Arial" w:hAnsi="Arial"/>
          <w:sz w:val="16"/>
          <w:szCs w:val="16"/>
          <w:color w:val="auto"/>
        </w:rPr>
        <w:t>“Our Marine segment also performed well in the first quarter, with modest year-over-year revenue growth and healthy operating income margins as we navigate a softer market. Barletta continues to outperform the U.S. aluminum pontoon segment, achieving a 9.1% market share for the 12 months ended October 31, up 30 basis points from the prior year</w:t>
      </w:r>
      <w:r>
        <w:rPr>
          <w:rFonts w:ascii="Arial" w:cs="Arial" w:eastAsia="Arial" w:hAnsi="Arial"/>
          <w:sz w:val="21"/>
          <w:szCs w:val="21"/>
          <w:color w:val="auto"/>
          <w:vertAlign w:val="superscript"/>
        </w:rPr>
        <w:t>(1)</w:t>
      </w:r>
      <w:r>
        <w:rPr>
          <w:rFonts w:ascii="Arial" w:cs="Arial" w:eastAsia="Arial" w:hAnsi="Arial"/>
          <w:sz w:val="16"/>
          <w:szCs w:val="16"/>
          <w:color w:val="auto"/>
        </w:rPr>
        <w:t>. We continue to prioritize brand strength, operational efficiency and channel health, positioning our marine business to capitalize as conditions improve.</w:t>
      </w:r>
    </w:p>
    <w:p>
      <w:pPr>
        <w:spacing w:after="0" w:line="193" w:lineRule="exact"/>
        <w:rPr>
          <w:sz w:val="20"/>
          <w:szCs w:val="20"/>
          <w:color w:val="auto"/>
        </w:rPr>
      </w:pPr>
    </w:p>
    <w:p>
      <w:pPr>
        <w:ind w:right="180"/>
        <w:spacing w:after="0" w:line="380" w:lineRule="auto"/>
        <w:rPr>
          <w:sz w:val="20"/>
          <w:szCs w:val="20"/>
          <w:color w:val="auto"/>
        </w:rPr>
      </w:pPr>
      <w:r>
        <w:rPr>
          <w:rFonts w:ascii="Arial" w:cs="Arial" w:eastAsia="Arial" w:hAnsi="Arial"/>
          <w:sz w:val="16"/>
          <w:szCs w:val="16"/>
          <w:color w:val="auto"/>
        </w:rPr>
        <w:t>“Our continued commitment to financial discipline underscores the strength of Winnebago Industries,” Happe said. “In Q1, we generated positive operating cash flow, reflecting a meaningful increase over the prior year and continued to improve our net leverage position. Our capital allocation strategy remains focused on supporting profitable growth initiatives across the company while strengthening the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Fiscal 2026 Results</w:t>
      </w:r>
    </w:p>
    <w:p>
      <w:pPr>
        <w:spacing w:after="0" w:line="235" w:lineRule="exact"/>
        <w:rPr>
          <w:sz w:val="20"/>
          <w:szCs w:val="20"/>
          <w:color w:val="auto"/>
        </w:rPr>
      </w:pPr>
    </w:p>
    <w:p>
      <w:pPr>
        <w:ind w:right="100"/>
        <w:spacing w:after="0" w:line="409" w:lineRule="auto"/>
        <w:rPr>
          <w:sz w:val="20"/>
          <w:szCs w:val="20"/>
          <w:color w:val="auto"/>
        </w:rPr>
      </w:pPr>
      <w:r>
        <w:rPr>
          <w:rFonts w:ascii="Arial" w:cs="Arial" w:eastAsia="Arial" w:hAnsi="Arial"/>
          <w:sz w:val="16"/>
          <w:szCs w:val="16"/>
          <w:color w:val="auto"/>
        </w:rPr>
        <w:t>Net revenues were $702.7 million, an increase of 12.3% compared to $625.6 million in the first quarter of Fiscal 2025, driven primarily by higher unit volume and selective price increases.</w:t>
      </w:r>
    </w:p>
    <w:p>
      <w:pPr>
        <w:spacing w:after="0" w:line="88" w:lineRule="exact"/>
        <w:rPr>
          <w:sz w:val="20"/>
          <w:szCs w:val="20"/>
          <w:color w:val="auto"/>
        </w:rPr>
      </w:pPr>
    </w:p>
    <w:p>
      <w:pPr>
        <w:ind w:right="380"/>
        <w:spacing w:after="0" w:line="409" w:lineRule="auto"/>
        <w:rPr>
          <w:sz w:val="20"/>
          <w:szCs w:val="20"/>
          <w:color w:val="auto"/>
        </w:rPr>
      </w:pPr>
      <w:r>
        <w:rPr>
          <w:rFonts w:ascii="Arial" w:cs="Arial" w:eastAsia="Arial" w:hAnsi="Arial"/>
          <w:sz w:val="16"/>
          <w:szCs w:val="16"/>
          <w:color w:val="auto"/>
        </w:rPr>
        <w:t>Gross profit was $89.0 million, an increase of 15.9% compared to $76.8 million in the first quarter of Fiscal 2025. Gross profit margin increased 40 basis points in the quarter to 12.7%, primarily due to volume leverage, partially offset by higher warranty expense.</w:t>
      </w:r>
    </w:p>
    <w:p>
      <w:pPr>
        <w:spacing w:after="0" w:line="75" w:lineRule="exact"/>
        <w:rPr>
          <w:sz w:val="20"/>
          <w:szCs w:val="20"/>
          <w:color w:val="auto"/>
        </w:rPr>
      </w:pPr>
    </w:p>
    <w:p>
      <w:pPr>
        <w:ind w:right="440"/>
        <w:spacing w:after="0" w:line="409" w:lineRule="auto"/>
        <w:rPr>
          <w:sz w:val="20"/>
          <w:szCs w:val="20"/>
          <w:color w:val="auto"/>
        </w:rPr>
      </w:pPr>
      <w:r>
        <w:rPr>
          <w:rFonts w:ascii="Arial" w:cs="Arial" w:eastAsia="Arial" w:hAnsi="Arial"/>
          <w:sz w:val="16"/>
          <w:szCs w:val="16"/>
          <w:color w:val="auto"/>
        </w:rPr>
        <w:t>Operating expenses were $75.2 million, a decrease of 3.2% compared to $77.7 million in the first quarter of Fiscal 2025, primarily due to cost reduction initiatives, partially offset by costs to support the growth of the Grand Design motorhome business.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$13.8 million compared to operating loss of $0.9 million in the first quarter of Fiscal 2025.</w:t>
      </w:r>
    </w:p>
    <w:p>
      <w:pPr>
        <w:spacing w:after="0" w:line="235" w:lineRule="exact"/>
        <w:rPr>
          <w:sz w:val="20"/>
          <w:szCs w:val="20"/>
          <w:color w:val="auto"/>
        </w:rPr>
      </w:pPr>
    </w:p>
    <w:p>
      <w:pPr>
        <w:jc w:val="both"/>
        <w:ind w:right="480"/>
        <w:spacing w:after="0" w:line="389" w:lineRule="auto"/>
        <w:rPr>
          <w:sz w:val="20"/>
          <w:szCs w:val="20"/>
          <w:color w:val="auto"/>
        </w:rPr>
      </w:pPr>
      <w:r>
        <w:rPr>
          <w:rFonts w:ascii="Arial" w:cs="Arial" w:eastAsia="Arial" w:hAnsi="Arial"/>
          <w:sz w:val="16"/>
          <w:szCs w:val="16"/>
          <w:color w:val="auto"/>
        </w:rPr>
        <w:t>Net income was $5.5 million, compared to net loss of $5.2 million in the first quarter of Fiscal 2025. Reported net income per diluted share was $0.19, compared to reported net loss per diluted share of $0.18 in the first quarter of Fiscal 2025. Adjusted earnings per diluted share was $0.38 compared to adjusted loss per diluted share of $0.03 in the first quarter of Fiscal 2025.</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$30.2 million, an increase of 109.7%, compared to $14.4 million in the first quarter of Fiscal 2025.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First Quarter Fiscal 2026 Segments Summary</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45"/>
        </w:trPr>
        <w:tc>
          <w:tcPr>
            <w:tcW w:w="456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10"/>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 2025</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1920" w:type="dxa"/>
            <w:vAlign w:val="bottom"/>
          </w:tcPr>
          <w:p>
            <w:pPr>
              <w:jc w:val="right"/>
              <w:ind w:right="35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340" w:type="dxa"/>
            <w:vAlign w:val="bottom"/>
          </w:tcPr>
          <w:p>
            <w:pPr>
              <w:spacing w:after="0"/>
              <w:rPr>
                <w:sz w:val="18"/>
                <w:szCs w:val="18"/>
                <w:color w:val="auto"/>
              </w:rPr>
            </w:pPr>
          </w:p>
        </w:tc>
      </w:tr>
      <w:tr>
        <w:trPr>
          <w:trHeight w:val="210"/>
        </w:trPr>
        <w:tc>
          <w:tcPr>
            <w:tcW w:w="45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293.4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254.0</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24.8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bps</w:t>
            </w:r>
          </w:p>
        </w:tc>
      </w:tr>
    </w:tbl>
    <w:p>
      <w:pPr>
        <w:spacing w:after="0" w:line="34"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50" w:lineRule="exact"/>
        <w:rPr>
          <w:rFonts w:ascii="Arial" w:cs="Arial" w:eastAsia="Arial" w:hAnsi="Arial"/>
          <w:sz w:val="21"/>
          <w:szCs w:val="21"/>
          <w:color w:val="auto"/>
          <w:vertAlign w:val="superscript"/>
        </w:rPr>
      </w:pPr>
    </w:p>
    <w:p>
      <w:pPr>
        <w:ind w:left="660" w:right="40" w:hanging="328"/>
        <w:spacing w:after="0" w:line="36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and selective price increases, partially offset by a shift in product mix toward lower price point models.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volume leverage, partially offset by higher warranty expense.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56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9"/>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 2025</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1920" w:type="dxa"/>
            <w:vAlign w:val="bottom"/>
          </w:tcPr>
          <w:p>
            <w:pPr>
              <w:jc w:val="right"/>
              <w:ind w:right="35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340" w:type="dxa"/>
            <w:vAlign w:val="bottom"/>
          </w:tcPr>
          <w:p>
            <w:pPr>
              <w:spacing w:after="0"/>
              <w:rPr>
                <w:sz w:val="18"/>
                <w:szCs w:val="18"/>
                <w:color w:val="auto"/>
              </w:rPr>
            </w:pPr>
          </w:p>
        </w:tc>
      </w:tr>
      <w:tr>
        <w:trPr>
          <w:trHeight w:val="210"/>
        </w:trPr>
        <w:tc>
          <w:tcPr>
            <w:tcW w:w="45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271.7</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bps</w:t>
            </w:r>
          </w:p>
        </w:tc>
      </w:tr>
    </w:tbl>
    <w:p>
      <w:pPr>
        <w:spacing w:after="0" w:line="85" w:lineRule="exact"/>
        <w:rPr>
          <w:sz w:val="20"/>
          <w:szCs w:val="20"/>
          <w:color w:val="auto"/>
        </w:rPr>
      </w:pPr>
    </w:p>
    <w:p>
      <w:pPr>
        <w:ind w:right="2880" w:firstLine="8"/>
        <w:spacing w:after="0" w:line="280" w:lineRule="auto"/>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187"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increased primarily due to favorable product mix and selective price increases, partially offset by lower unit volume.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targeted price increases, lower discounts and allowances and lower warranty expense.</w:t>
      </w:r>
    </w:p>
    <w:p>
      <w:pPr>
        <w:spacing w:after="0" w:line="9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Marine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 2025</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2020" w:type="dxa"/>
            <w:vAlign w:val="bottom"/>
          </w:tcPr>
          <w:p>
            <w:pPr>
              <w:ind w:left="76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09"/>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90.5</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bps</w:t>
            </w:r>
          </w:p>
        </w:tc>
      </w:tr>
    </w:tbl>
    <w:p>
      <w:pPr>
        <w:spacing w:after="0" w:line="6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increased primarily due to selective price increases, partially offset by lower unit volume.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income decreased primarily due to volume deleverage.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20"/>
        <w:spacing w:after="0" w:line="379" w:lineRule="auto"/>
        <w:rPr>
          <w:sz w:val="20"/>
          <w:szCs w:val="20"/>
          <w:color w:val="auto"/>
        </w:rPr>
      </w:pPr>
      <w:r>
        <w:rPr>
          <w:rFonts w:ascii="Arial" w:cs="Arial" w:eastAsia="Arial" w:hAnsi="Arial"/>
          <w:sz w:val="16"/>
          <w:szCs w:val="16"/>
          <w:color w:val="auto"/>
        </w:rPr>
        <w:t>At the end of the first quarter of Fiscal 2026, cash and cash equivalents totaled $181.7 million compared to $174.0 million at the end of Fiscal 2025 fourth quarter. Total outstanding debt was $541.0 million, which included $550.0 million of debt, net of debt issuance costs of $9.0 million. Working capital improved to $488.1 million, reflecting disciplined balance sheet management and stronger operating efficiency. Cash flow provided by operations was $25.4 million in the first quarter of Fiscal 2026 compared to cash flow used in operations of $16.7 million in the first quarter of Fiscal 2025. The Company's net leverage ratio improved to 2.7x at the end of the first quarter of Fiscal 2026 compared to 3.1x at the end of the Fiscal 2025 fourth quarter.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w:t>
      </w:r>
    </w:p>
    <w:p>
      <w:pPr>
        <w:spacing w:after="0" w:line="100" w:lineRule="exact"/>
        <w:rPr>
          <w:sz w:val="20"/>
          <w:szCs w:val="20"/>
          <w:color w:val="auto"/>
        </w:rPr>
      </w:pPr>
    </w:p>
    <w:p>
      <w:pPr>
        <w:ind w:right="80"/>
        <w:spacing w:after="0" w:line="392" w:lineRule="auto"/>
        <w:rPr>
          <w:sz w:val="20"/>
          <w:szCs w:val="20"/>
          <w:color w:val="auto"/>
        </w:rPr>
      </w:pPr>
      <w:r>
        <w:rPr>
          <w:rFonts w:ascii="Arial" w:cs="Arial" w:eastAsia="Arial" w:hAnsi="Arial"/>
          <w:sz w:val="16"/>
          <w:szCs w:val="16"/>
          <w:color w:val="auto"/>
        </w:rPr>
        <w:t>On December 17, 2025, the Company’s Board of Directors approved a quarterly cash dividend of $0.35 per share payable on January 28, 2026, to common stockholders of record at the close of business on January 14, 2026.</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00" w:lineRule="exact"/>
        <w:rPr>
          <w:sz w:val="20"/>
          <w:szCs w:val="20"/>
          <w:color w:val="auto"/>
        </w:rPr>
      </w:pPr>
    </w:p>
    <w:p>
      <w:pPr>
        <w:ind w:right="40"/>
        <w:spacing w:after="0" w:line="383" w:lineRule="auto"/>
        <w:rPr>
          <w:sz w:val="20"/>
          <w:szCs w:val="20"/>
          <w:color w:val="auto"/>
        </w:rPr>
      </w:pPr>
      <w:r>
        <w:rPr>
          <w:rFonts w:ascii="Arial" w:cs="Arial" w:eastAsia="Arial" w:hAnsi="Arial"/>
          <w:sz w:val="16"/>
          <w:szCs w:val="16"/>
          <w:color w:val="auto"/>
        </w:rPr>
        <w:t>For calendar year 2025, Winnebago Industries now expects North American RV wholesale shipments in the range of 335,000 to 345,000 units, or a midpoint of 340,000 units, compared with a prior midpoint of 330,000 units. For calendar year 2026, North American RV wholesale shipments in the range of 315,000 to 345,000 units, unchanged from the Company’s prior estimate. Based on this outlook, the current business environment, and its first quarter results, Winnebago Industries revised its Fiscal 2026 financial guidance as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1" w:right="339" w:bottom="1440" w:gutter="0" w:footer="0" w:header="0"/>
        </w:sectPr>
      </w:pPr>
    </w:p>
    <w:bookmarkStart w:id="6" w:name="page7"/>
    <w:bookmarkEnd w:id="6"/>
    <w:p>
      <w:pPr>
        <w:ind w:left="660" w:right="80" w:hanging="328"/>
        <w:spacing w:after="0" w:line="22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6"/>
          <w:szCs w:val="16"/>
          <w:color w:val="auto"/>
        </w:rPr>
        <w:t>Consolidated net revenues in the range of $2.8 billion to $3.0 billion, compared with the Company’s prior expectation for consolidated net revenues in the range of $2.75 billion to $2.95 billion;</w:t>
      </w:r>
    </w:p>
    <w:p>
      <w:pPr>
        <w:spacing w:after="0" w:line="42" w:lineRule="exact"/>
        <w:rPr>
          <w:rFonts w:ascii="Arial" w:cs="Arial" w:eastAsia="Arial" w:hAnsi="Arial"/>
          <w:sz w:val="22"/>
          <w:szCs w:val="22"/>
          <w:color w:val="auto"/>
        </w:rPr>
      </w:pPr>
    </w:p>
    <w:p>
      <w:pPr>
        <w:ind w:left="660" w:right="500" w:hanging="328"/>
        <w:spacing w:after="0" w:line="22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6"/>
          <w:szCs w:val="16"/>
          <w:color w:val="auto"/>
        </w:rPr>
        <w:t>Reported earnings per diluted share in the range of $1.40 to $2.10, compared with the Company’s prior expectation for reported earnings per diluted share in the range of $1.25 to $1.95; and</w:t>
      </w:r>
    </w:p>
    <w:p>
      <w:pPr>
        <w:spacing w:after="0" w:line="21" w:lineRule="exact"/>
        <w:rPr>
          <w:rFonts w:ascii="Times New Roman" w:cs="Times New Roman" w:eastAsia="Times New Roman" w:hAnsi="Times New Roman"/>
          <w:sz w:val="22"/>
          <w:szCs w:val="22"/>
          <w:color w:val="auto"/>
        </w:rPr>
      </w:pPr>
    </w:p>
    <w:p>
      <w:pPr>
        <w:ind w:left="660" w:right="100" w:hanging="328"/>
        <w:spacing w:after="0" w:line="226"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6"/>
          <w:szCs w:val="16"/>
          <w:color w:val="auto"/>
        </w:rPr>
        <w:t>Adjusted earnings per diluted share guidance to a range of $2.10 to $2.80</w:t>
      </w:r>
      <w:r>
        <w:rPr>
          <w:rFonts w:ascii="Arial" w:cs="Arial" w:eastAsia="Arial" w:hAnsi="Arial"/>
          <w:sz w:val="23"/>
          <w:szCs w:val="23"/>
          <w:color w:val="auto"/>
          <w:vertAlign w:val="superscript"/>
        </w:rPr>
        <w:t>(2)</w:t>
      </w:r>
      <w:r>
        <w:rPr>
          <w:rFonts w:ascii="Arial" w:cs="Arial" w:eastAsia="Arial" w:hAnsi="Arial"/>
          <w:sz w:val="16"/>
          <w:szCs w:val="16"/>
          <w:color w:val="auto"/>
        </w:rPr>
        <w:t>, compared with the Company’s prior expectation for adjusted earnings per diluted share in the range of $2.00 to $2.70.</w:t>
      </w:r>
    </w:p>
    <w:p>
      <w:pPr>
        <w:spacing w:after="0" w:line="273" w:lineRule="exact"/>
        <w:rPr>
          <w:sz w:val="20"/>
          <w:szCs w:val="20"/>
          <w:color w:val="auto"/>
        </w:rPr>
      </w:pPr>
    </w:p>
    <w:p>
      <w:pPr>
        <w:ind w:right="180"/>
        <w:spacing w:after="0" w:line="409" w:lineRule="auto"/>
        <w:rPr>
          <w:sz w:val="20"/>
          <w:szCs w:val="20"/>
          <w:color w:val="auto"/>
        </w:rPr>
      </w:pPr>
      <w:r>
        <w:rPr>
          <w:rFonts w:ascii="Arial" w:cs="Arial" w:eastAsia="Arial" w:hAnsi="Arial"/>
          <w:sz w:val="16"/>
          <w:szCs w:val="16"/>
          <w:color w:val="auto"/>
        </w:rPr>
        <w:t>The Company’s outlook takes into account prevailing trends in the RV sector, including the current tariff structure and rates, competitive dynamics, shifts in consumer preferences, and key macroeconomic factors that may influence overall demand.</w:t>
      </w:r>
    </w:p>
    <w:p>
      <w:pPr>
        <w:spacing w:after="0" w:line="169" w:lineRule="exact"/>
        <w:rPr>
          <w:sz w:val="20"/>
          <w:szCs w:val="20"/>
          <w:color w:val="auto"/>
        </w:rPr>
      </w:pPr>
    </w:p>
    <w:p>
      <w:pPr>
        <w:ind w:right="60"/>
        <w:spacing w:after="0" w:line="377" w:lineRule="auto"/>
        <w:rPr>
          <w:sz w:val="20"/>
          <w:szCs w:val="20"/>
          <w:color w:val="auto"/>
        </w:rPr>
      </w:pPr>
      <w:r>
        <w:rPr>
          <w:rFonts w:ascii="Arial" w:cs="Arial" w:eastAsia="Arial" w:hAnsi="Arial"/>
          <w:sz w:val="16"/>
          <w:szCs w:val="16"/>
          <w:color w:val="auto"/>
        </w:rPr>
        <w:t>“Even with macroeconomic uncertainty persisting and industry short-term retail demand still tempered, we expect our second-quarter Fiscal 2026 performance to be stronger than the same period last year, but seasonally lower than the first-quarter results announced today. We continue to focus on relentless, quarter-by-quarter execution supported by new product momentum, efficient inventory management, the revitalization of our Winnebago-branded RV businesses, and clear strategy to prioritize stronger profitability and cash flow across our portfolio,” Happe said. “As industry demand gradually recovers, the margin and efficiency improvements we are executing, together with new product offerings, enhance our competitive position and provide a solid foundation for second half success in Fiscal 2026, which is reflected in our positive, but still disciplined guidance outlook.”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FY 2026 Conference Call</w:t>
      </w:r>
    </w:p>
    <w:p>
      <w:pPr>
        <w:spacing w:after="0" w:line="100"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color w:val="auto"/>
        </w:rPr>
        <w:t>Winnebago Industries, Inc. will discuss first quarter of Fiscal 2026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7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2026.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49" w:right="339" w:bottom="1440" w:gutter="0" w:footer="0" w:header="0"/>
        </w:sectPr>
      </w:pPr>
    </w:p>
    <w:bookmarkStart w:id="7" w:name="page8"/>
    <w:bookmarkEnd w:id="7"/>
    <w:p>
      <w:pPr>
        <w:spacing w:after="0" w:line="371" w:lineRule="auto"/>
        <w:rPr>
          <w:sz w:val="20"/>
          <w:szCs w:val="20"/>
          <w:color w:val="auto"/>
        </w:rPr>
      </w:pPr>
      <w:r>
        <w:rPr>
          <w:rFonts w:ascii="Arial" w:cs="Arial" w:eastAsia="Arial" w:hAnsi="Arial"/>
          <w:sz w:val="16"/>
          <w:szCs w:val="16"/>
          <w:color w:val="auto"/>
        </w:rPr>
        <w:t>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securities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Joan Ondala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935" w:right="359" w:bottom="1440" w:gutter="0" w:footer="0" w:header="0"/>
        </w:sectPr>
      </w:pPr>
    </w:p>
    <w:bookmarkStart w:id="8" w:name="page9"/>
    <w:bookmarkEnd w:id="8"/>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Footnotes to News Release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4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color w:val="auto"/>
        </w:rPr>
        <w:t>Source: Statistical Surveys Inc. for the trailing 12 months ended 10/31/2025 and 10/31/2024.</w:t>
      </w:r>
    </w:p>
    <w:p>
      <w:pPr>
        <w:spacing w:after="0" w:line="153" w:lineRule="exact"/>
        <w:rPr>
          <w:rFonts w:ascii="Arial" w:cs="Arial" w:eastAsia="Arial" w:hAnsi="Arial"/>
          <w:sz w:val="9"/>
          <w:szCs w:val="9"/>
          <w:color w:val="auto"/>
        </w:rPr>
      </w:pPr>
    </w:p>
    <w:p>
      <w:pPr>
        <w:ind w:left="260" w:hanging="252"/>
        <w:spacing w:after="0"/>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color w:val="auto"/>
        </w:rPr>
        <w:t>Fiscal 2026 adjusted EPS guidance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139"/>
          </w:cols>
          <w:pgMar w:left="320" w:top="89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3400" w:type="dxa"/>
            <w:vAlign w:val="bottom"/>
            <w:gridSpan w:val="5"/>
          </w:tcPr>
          <w:p>
            <w:pPr>
              <w:ind w:left="980"/>
              <w:spacing w:after="0"/>
              <w:rPr>
                <w:sz w:val="20"/>
                <w:szCs w:val="20"/>
                <w:color w:val="auto"/>
              </w:rPr>
            </w:pPr>
            <w:r>
              <w:rPr>
                <w:rFonts w:ascii="Arial" w:cs="Arial" w:eastAsia="Arial" w:hAnsi="Arial"/>
                <w:sz w:val="16"/>
                <w:szCs w:val="16"/>
                <w:b w:val="1"/>
                <w:bCs w:val="1"/>
                <w:color w:val="auto"/>
              </w:rPr>
              <w:t>Winnebago Industries, Inc.</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4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Condensed Consolidated Statements of Income</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3620" w:type="dxa"/>
            <w:vAlign w:val="bottom"/>
          </w:tcPr>
          <w:p>
            <w:pPr>
              <w:spacing w:after="0"/>
              <w:rPr>
                <w:sz w:val="19"/>
                <w:szCs w:val="19"/>
                <w:color w:val="auto"/>
              </w:rPr>
            </w:pPr>
          </w:p>
        </w:tc>
        <w:tc>
          <w:tcPr>
            <w:tcW w:w="43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(Unaudited and subject to reclassification)</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November 29, 2025</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30, 2024</w:t>
            </w:r>
          </w:p>
        </w:tc>
        <w:tc>
          <w:tcPr>
            <w:tcW w:w="76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9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Earning (loss) per common share:</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4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5"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8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Winnebago Industries, Inc.</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3660" w:type="dxa"/>
            <w:vAlign w:val="bottom"/>
          </w:tcPr>
          <w:p>
            <w:pPr>
              <w:spacing w:after="0"/>
              <w:rPr>
                <w:sz w:val="17"/>
                <w:szCs w:val="17"/>
                <w:color w:val="auto"/>
              </w:rPr>
            </w:pPr>
          </w:p>
        </w:tc>
        <w:tc>
          <w:tcPr>
            <w:tcW w:w="3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Condensed Consolidated Balance Sheets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3"/>
        </w:trPr>
        <w:tc>
          <w:tcPr>
            <w:tcW w:w="3660" w:type="dxa"/>
            <w:vAlign w:val="bottom"/>
          </w:tcPr>
          <w:p>
            <w:pPr>
              <w:spacing w:after="0"/>
              <w:rPr>
                <w:sz w:val="19"/>
                <w:szCs w:val="19"/>
                <w:color w:val="auto"/>
              </w:rPr>
            </w:pPr>
          </w:p>
        </w:tc>
        <w:tc>
          <w:tcPr>
            <w:tcW w:w="38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(Unaudited and subject to reclassification)</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29, 2025</w:t>
            </w:r>
          </w:p>
        </w:tc>
        <w:tc>
          <w:tcPr>
            <w:tcW w:w="220" w:type="dxa"/>
            <w:vAlign w:val="bottom"/>
          </w:tcPr>
          <w:p>
            <w:pPr>
              <w:spacing w:after="0"/>
              <w:rPr>
                <w:sz w:val="19"/>
                <w:szCs w:val="19"/>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2025</w:t>
            </w:r>
          </w:p>
        </w:tc>
      </w:tr>
      <w:tr>
        <w:trPr>
          <w:trHeight w:val="20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15"/>
        </w:trPr>
        <w:tc>
          <w:tcPr>
            <w:tcW w:w="36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217"/>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215"/>
        </w:trPr>
        <w:tc>
          <w:tcPr>
            <w:tcW w:w="3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10"/>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3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792.2</w:t>
            </w: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3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3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7"/>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3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09"/>
        </w:trPr>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9"/>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929.7</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3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1,224.7</w:t>
            </w:r>
          </w:p>
        </w:tc>
      </w:tr>
      <w:tr>
        <w:trPr>
          <w:trHeight w:val="210"/>
        </w:trPr>
        <w:tc>
          <w:tcPr>
            <w:tcW w:w="36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3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3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Winnebago Industries, Inc.</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3"/>
        </w:trPr>
        <w:tc>
          <w:tcPr>
            <w:tcW w:w="9280" w:type="dxa"/>
            <w:vAlign w:val="bottom"/>
            <w:gridSpan w:val="4"/>
          </w:tcPr>
          <w:p>
            <w:pPr>
              <w:jc w:val="center"/>
              <w:ind w:left="1827"/>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3"/>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(Unaudited and subject to reclassification)</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28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29, 2025</w:t>
            </w:r>
          </w:p>
        </w:tc>
        <w:tc>
          <w:tcPr>
            <w:tcW w:w="160" w:type="dxa"/>
            <w:vAlign w:val="bottom"/>
          </w:tcPr>
          <w:p>
            <w:pPr>
              <w:spacing w:after="0"/>
              <w:rPr>
                <w:sz w:val="18"/>
                <w:szCs w:val="18"/>
                <w:color w:val="auto"/>
              </w:rPr>
            </w:pPr>
          </w:p>
        </w:tc>
        <w:tc>
          <w:tcPr>
            <w:tcW w:w="1740" w:type="dxa"/>
            <w:vAlign w:val="bottom"/>
          </w:tcPr>
          <w:p>
            <w:pPr>
              <w:jc w:val="right"/>
              <w:ind w:right="148"/>
              <w:spacing w:after="0"/>
              <w:rPr>
                <w:sz w:val="20"/>
                <w:szCs w:val="20"/>
                <w:color w:val="auto"/>
              </w:rPr>
            </w:pPr>
            <w:r>
              <w:rPr>
                <w:rFonts w:ascii="Arial" w:cs="Arial" w:eastAsia="Arial" w:hAnsi="Arial"/>
                <w:sz w:val="16"/>
                <w:szCs w:val="16"/>
                <w:b w:val="1"/>
                <w:bCs w:val="1"/>
                <w:color w:val="auto"/>
              </w:rPr>
              <w:t>November 30, 2024</w:t>
            </w:r>
          </w:p>
        </w:tc>
      </w:tr>
      <w:tr>
        <w:trPr>
          <w:trHeight w:val="196"/>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("LIFO") expense</w:t>
            </w: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Restructuring and related costs</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Inventories, net</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199"/>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25.4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r>
      <w:tr>
        <w:trPr>
          <w:trHeight w:val="197"/>
        </w:trPr>
        <w:tc>
          <w:tcPr>
            <w:tcW w:w="7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r>
      <w:tr>
        <w:trPr>
          <w:trHeight w:val="197"/>
        </w:trPr>
        <w:tc>
          <w:tcPr>
            <w:tcW w:w="7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cash dividends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repurchases of common stock</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w:t>
            </w:r>
          </w:p>
        </w:tc>
      </w:tr>
      <w:tr>
        <w:trPr>
          <w:trHeight w:val="197"/>
        </w:trPr>
        <w:tc>
          <w:tcPr>
            <w:tcW w:w="7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r>
      <w:tr>
        <w:trPr>
          <w:trHeight w:val="169"/>
        </w:trPr>
        <w:tc>
          <w:tcPr>
            <w:tcW w:w="7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4"/>
                <w:szCs w:val="14"/>
                <w:b w:val="1"/>
                <w:bCs w:val="1"/>
                <w:color w:val="auto"/>
              </w:rPr>
              <w:t>Supplemental Disclosures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received,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Interest paid</w:t>
            </w:r>
          </w:p>
        </w:tc>
        <w:tc>
          <w:tcPr>
            <w:tcW w:w="14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0"/>
        </w:trPr>
        <w:tc>
          <w:tcPr>
            <w:tcW w:w="7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expenditures in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Increase in lease assets in exchange for lease liabilities: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821"/>
        </w:trPr>
        <w:tc>
          <w:tcPr>
            <w:tcW w:w="7280" w:type="dxa"/>
            <w:vAlign w:val="bottom"/>
          </w:tcPr>
          <w:p>
            <w:pPr>
              <w:jc w:val="center"/>
              <w:ind w:left="3807"/>
              <w:spacing w:after="0"/>
              <w:rPr>
                <w:sz w:val="20"/>
                <w:szCs w:val="20"/>
                <w:color w:val="auto"/>
              </w:rPr>
            </w:pPr>
            <w:r>
              <w:rPr>
                <w:rFonts w:ascii="Arial" w:cs="Arial" w:eastAsia="Arial" w:hAnsi="Arial"/>
                <w:sz w:val="16"/>
                <w:szCs w:val="16"/>
                <w:color w:val="auto"/>
                <w:w w:val="89"/>
              </w:rPr>
              <w:t>9</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180"/>
          </w:cols>
          <w:pgMar w:left="360" w:top="854" w:right="359" w:bottom="1440" w:gutter="0" w:footer="0" w:header="0"/>
        </w:sectPr>
      </w:pPr>
    </w:p>
    <w:bookmarkStart w:id="12" w:name="page13"/>
    <w:bookmarkEnd w:id="12"/>
    <w:p>
      <w:pPr>
        <w:jc w:val="center"/>
        <w:ind w:right="-15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Supplemental Information by Reportable Segment - Towable RV</w:t>
      </w:r>
    </w:p>
    <w:p>
      <w:pPr>
        <w:spacing w:after="0" w:line="19"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474"/>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72"/>
          </w:cols>
          <w:pgMar w:left="328" w:top="854" w:right="499" w:bottom="1440" w:gutter="0" w:footer="0" w:header="0"/>
        </w:sectPr>
      </w:pPr>
    </w:p>
    <w:bookmarkStart w:id="13" w:name="page14"/>
    <w:bookmarkEnd w:id="13"/>
    <w:p>
      <w:pPr>
        <w:jc w:val="center"/>
        <w:ind w:right="-17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Information by Reportable Segment - Motorhome RV</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474"/>
        </w:trPr>
        <w:tc>
          <w:tcPr>
            <w:tcW w:w="2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13"/>
                <w:szCs w:val="13"/>
                <w:color w:val="auto"/>
              </w:rPr>
            </w:pPr>
          </w:p>
        </w:tc>
        <w:tc>
          <w:tcPr>
            <w:tcW w:w="13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November 30,</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8" w:right="2480" w:firstLine="8"/>
        <w:spacing w:after="0" w:line="233" w:lineRule="auto"/>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52"/>
          </w:cols>
          <w:pgMar w:left="328" w:top="1151" w:right="519" w:bottom="1440" w:gutter="0" w:footer="0" w:header="0"/>
        </w:sectPr>
      </w:pPr>
    </w:p>
    <w:bookmarkStart w:id="14" w:name="page15"/>
    <w:bookmarkEnd w:id="14"/>
    <w:tbl>
      <w:tblPr>
        <w:tblLayout w:type="fixed"/>
        <w:tblInd w:w="192"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5"/>
          </w:tcPr>
          <w:p>
            <w:pPr>
              <w:ind w:left="700"/>
              <w:spacing w:after="0"/>
              <w:rPr>
                <w:sz w:val="20"/>
                <w:szCs w:val="20"/>
                <w:color w:val="auto"/>
              </w:rPr>
            </w:pPr>
            <w:r>
              <w:rPr>
                <w:rFonts w:ascii="Arial" w:cs="Arial" w:eastAsia="Arial" w:hAnsi="Arial"/>
                <w:sz w:val="16"/>
                <w:szCs w:val="16"/>
                <w:b w:val="1"/>
                <w:bCs w:val="1"/>
                <w:color w:val="auto"/>
              </w:rPr>
              <w:t>Winnebago Industries, Inc.</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60" w:type="dxa"/>
            <w:vAlign w:val="bottom"/>
            <w:gridSpan w:val="9"/>
          </w:tcPr>
          <w:p>
            <w:pPr>
              <w:jc w:val="center"/>
              <w:ind w:left="479"/>
              <w:spacing w:after="0"/>
              <w:rPr>
                <w:sz w:val="20"/>
                <w:szCs w:val="20"/>
                <w:color w:val="auto"/>
              </w:rPr>
            </w:pPr>
            <w:r>
              <w:rPr>
                <w:rFonts w:ascii="Arial" w:cs="Arial" w:eastAsia="Arial" w:hAnsi="Arial"/>
                <w:sz w:val="16"/>
                <w:szCs w:val="16"/>
                <w:b w:val="1"/>
                <w:bCs w:val="1"/>
                <w:color w:val="auto"/>
              </w:rPr>
              <w:t>Supplemental Information by Reportable Segment - Marine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5"/>
          </w:tcPr>
          <w:p>
            <w:pPr>
              <w:jc w:val="center"/>
              <w:ind w:left="559"/>
              <w:spacing w:after="0"/>
              <w:rPr>
                <w:sz w:val="20"/>
                <w:szCs w:val="20"/>
                <w:color w:val="auto"/>
              </w:rPr>
            </w:pPr>
            <w:r>
              <w:rPr>
                <w:rFonts w:ascii="Arial" w:cs="Arial" w:eastAsia="Arial" w:hAnsi="Arial"/>
                <w:sz w:val="16"/>
                <w:szCs w:val="16"/>
                <w:b w:val="1"/>
                <w:bCs w:val="1"/>
                <w:color w:val="auto"/>
              </w:rPr>
              <w:t>(in millions, except unit data)</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7"/>
          </w:tcPr>
          <w:p>
            <w:pPr>
              <w:jc w:val="center"/>
              <w:ind w:right="840"/>
              <w:spacing w:after="0"/>
              <w:rPr>
                <w:sz w:val="20"/>
                <w:szCs w:val="20"/>
                <w:color w:val="auto"/>
              </w:rPr>
            </w:pPr>
            <w:r>
              <w:rPr>
                <w:rFonts w:ascii="Arial" w:cs="Arial" w:eastAsia="Arial" w:hAnsi="Arial"/>
                <w:sz w:val="16"/>
                <w:szCs w:val="16"/>
                <w:b w:val="1"/>
                <w:bCs w:val="1"/>
                <w:color w:val="auto"/>
              </w:rPr>
              <w:t>(Unaudited and subject to reclassification)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November 30,</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474"/>
        </w:trPr>
        <w:tc>
          <w:tcPr>
            <w:tcW w:w="2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November 30,</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18"/>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(2,3)</w:t>
            </w: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November 30,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12" w:hanging="212"/>
        <w:spacing w:after="0"/>
        <w:tabs>
          <w:tab w:leader="none" w:pos="212"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 w:lineRule="exact"/>
        <w:rPr>
          <w:rFonts w:ascii="Arial" w:cs="Arial" w:eastAsia="Arial" w:hAnsi="Arial"/>
          <w:sz w:val="9"/>
          <w:szCs w:val="9"/>
          <w:color w:val="auto"/>
        </w:rPr>
      </w:pPr>
    </w:p>
    <w:p>
      <w:pPr>
        <w:ind w:left="212" w:hanging="212"/>
        <w:spacing w:after="0" w:line="237" w:lineRule="auto"/>
        <w:tabs>
          <w:tab w:leader="none" w:pos="21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53" w:lineRule="exact"/>
        <w:rPr>
          <w:rFonts w:ascii="Arial" w:cs="Arial" w:eastAsia="Arial" w:hAnsi="Arial"/>
          <w:sz w:val="19"/>
          <w:szCs w:val="19"/>
          <w:color w:val="auto"/>
          <w:vertAlign w:val="superscript"/>
        </w:rPr>
      </w:pPr>
    </w:p>
    <w:p>
      <w:pPr>
        <w:ind w:left="-8" w:right="2480" w:firstLine="8"/>
        <w:spacing w:after="0" w:line="239" w:lineRule="auto"/>
        <w:tabs>
          <w:tab w:leader="none" w:pos="2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908" w:right="519" w:bottom="1440" w:gutter="0" w:footer="0" w:header="0"/>
        </w:sectPr>
      </w:pPr>
    </w:p>
    <w:bookmarkStart w:id="15" w:name="page16"/>
    <w:bookmarkEnd w:id="15"/>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Non-GAAP Reconciliation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29, 2025</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2024</w:t>
            </w:r>
          </w:p>
        </w:tc>
      </w:tr>
      <w:tr>
        <w:trPr>
          <w:trHeight w:val="210"/>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0.19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56"/>
        </w:trPr>
        <w:tc>
          <w:tcPr>
            <w:tcW w:w="732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740" w:type="dxa"/>
            <w:vAlign w:val="bottom"/>
          </w:tcPr>
          <w:p>
            <w:pPr>
              <w:jc w:val="center"/>
              <w:ind w:left="121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6"/>
        </w:trPr>
        <w:tc>
          <w:tcPr>
            <w:tcW w:w="7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35"/>
        </w:trPr>
        <w:tc>
          <w:tcPr>
            <w:tcW w:w="7320" w:type="dxa"/>
            <w:vAlign w:val="bottom"/>
            <w:tcBorders>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Adjusted diluted earnings (loss) per share</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20" w:hanging="212"/>
        <w:spacing w:after="0" w:line="192"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Income tax impact calculated using the statutory tax rate for the U.S. of 22.0% for Fiscal 2026 and 23.0% for Fiscal 2025.</w:t>
      </w:r>
    </w:p>
    <w:p>
      <w:pPr>
        <w:ind w:left="220" w:hanging="212"/>
        <w:spacing w:after="0" w:line="193"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29, 2025</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2024</w:t>
            </w:r>
          </w:p>
        </w:tc>
      </w:tr>
      <w:tr>
        <w:trPr>
          <w:trHeight w:val="209"/>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32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related costs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12"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2025-12-19T06:48:26Z</dcterms:created>
  <dcterms:modified xsi:type="dcterms:W3CDTF">2025-12-19T06:48:26Z</dcterms:modified>
</cp:coreProperties>
</file>