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6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660"/>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03"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ind w:left="180"/>
        <w:spacing w:after="0"/>
        <w:tabs>
          <w:tab w:leader="none" w:pos="680" w:val="left"/>
        </w:tabs>
        <w:rPr>
          <w:sz w:val="20"/>
          <w:szCs w:val="20"/>
          <w:color w:val="auto"/>
        </w:rPr>
      </w:pP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4"/>
          <w:szCs w:val="14"/>
          <w:color w:val="auto"/>
        </w:rPr>
        <w:t>QUARTERLY REPORT PURSUANT TO SECTION 13 OR 15(d) OF THE SECURITIES</w:t>
      </w:r>
    </w:p>
    <w:p>
      <w:pPr>
        <w:spacing w:after="0" w:line="3"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EXCHANGE ACT OF 1934</w:t>
      </w:r>
    </w:p>
    <w:p>
      <w:pPr>
        <w:sectPr>
          <w:pgSz w:w="11900" w:h="16838" w:orient="portrait"/>
          <w:cols w:equalWidth="0" w:num="1">
            <w:col w:w="10680"/>
          </w:cols>
          <w:pgMar w:left="220" w:top="1066" w:right="999" w:bottom="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quarterly period ended</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March 1, 2003</w:t>
      </w:r>
    </w:p>
    <w:p>
      <w:pPr>
        <w:spacing w:after="0" w:line="10" w:lineRule="exact"/>
        <w:rPr>
          <w:sz w:val="24"/>
          <w:szCs w:val="24"/>
          <w:color w:val="auto"/>
        </w:rPr>
      </w:pPr>
    </w:p>
    <w:p>
      <w:pPr>
        <w:sectPr>
          <w:pgSz w:w="11900" w:h="16838" w:orient="portrait"/>
          <w:cols w:equalWidth="0" w:num="2">
            <w:col w:w="3760" w:space="720"/>
            <w:col w:w="6200"/>
          </w:cols>
          <w:pgMar w:left="220" w:top="1066" w:right="999" w:bottom="0" w:gutter="0" w:footer="0" w:header="0"/>
          <w:type w:val="continuous"/>
        </w:sect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TRANSITION REPORT PURSUANT TO SECTION 13 OR 15(d) OF THE SECURITIES</w:t>
      </w:r>
    </w:p>
    <w:p>
      <w:pPr>
        <w:ind w:left="180" w:hanging="170"/>
        <w:spacing w:after="0"/>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EXCHANGE ACT OF 1934</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transition period from _______________________ to ______________________</w:t>
      </w:r>
    </w:p>
    <w:p>
      <w:pPr>
        <w:spacing w:after="0" w:line="171" w:lineRule="exact"/>
        <w:rPr>
          <w:sz w:val="24"/>
          <w:szCs w:val="24"/>
          <w:color w:val="auto"/>
        </w:rPr>
      </w:pPr>
    </w:p>
    <w:p>
      <w:pPr>
        <w:spacing w:after="0"/>
        <w:tabs>
          <w:tab w:leader="none" w:pos="2080" w:val="left"/>
        </w:tabs>
        <w:rPr>
          <w:sz w:val="20"/>
          <w:szCs w:val="20"/>
          <w:color w:val="auto"/>
        </w:rPr>
      </w:pPr>
      <w:r>
        <w:rPr>
          <w:rFonts w:ascii="Courier New" w:cs="Courier New" w:eastAsia="Courier New" w:hAnsi="Courier New"/>
          <w:sz w:val="15"/>
          <w:szCs w:val="15"/>
          <w:color w:val="auto"/>
        </w:rPr>
        <w:t>Commission file number</w:t>
      </w:r>
      <w:r>
        <w:rPr>
          <w:sz w:val="20"/>
          <w:szCs w:val="20"/>
          <w:color w:val="auto"/>
        </w:rPr>
        <w:tab/>
      </w:r>
      <w:r>
        <w:rPr>
          <w:rFonts w:ascii="Courier New" w:cs="Courier New" w:eastAsia="Courier New" w:hAnsi="Courier New"/>
          <w:sz w:val="14"/>
          <w:szCs w:val="14"/>
          <w:color w:val="auto"/>
        </w:rPr>
        <w:t>1-6403</w:t>
      </w:r>
    </w:p>
    <w:p>
      <w:pPr>
        <w:spacing w:after="0" w:line="335" w:lineRule="exact"/>
        <w:rPr>
          <w:sz w:val="24"/>
          <w:szCs w:val="24"/>
          <w:color w:val="auto"/>
        </w:rPr>
      </w:pPr>
    </w:p>
    <w:p>
      <w:pPr>
        <w:jc w:val="center"/>
        <w:ind w:right="3680"/>
        <w:spacing w:after="0"/>
        <w:rPr>
          <w:sz w:val="20"/>
          <w:szCs w:val="20"/>
          <w:color w:val="auto"/>
        </w:rPr>
      </w:pPr>
      <w:r>
        <w:rPr>
          <w:rFonts w:ascii="Courier New" w:cs="Courier New" w:eastAsia="Courier New" w:hAnsi="Courier New"/>
          <w:sz w:val="15"/>
          <w:szCs w:val="15"/>
          <w:color w:val="auto"/>
        </w:rPr>
        <w:t>WINNEBAGO INDUSTRIES, INC.</w:t>
      </w:r>
    </w:p>
    <w:p>
      <w:pPr>
        <w:spacing w:after="0" w:line="166"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680"/>
          </w:cols>
          <w:pgMar w:left="220" w:top="1066" w:right="999" w:bottom="0" w:gutter="0" w:footer="0" w:header="0"/>
          <w:type w:val="continuous"/>
        </w:sectPr>
      </w:pPr>
    </w:p>
    <w:p>
      <w:pPr>
        <w:spacing w:after="0" w:line="166"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IOWA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42-0802678</w:t>
      </w:r>
    </w:p>
    <w:p>
      <w:pPr>
        <w:ind w:left="10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7" w:lineRule="exact"/>
        <w:rPr>
          <w:sz w:val="24"/>
          <w:szCs w:val="24"/>
          <w:color w:val="auto"/>
        </w:rPr>
      </w:pPr>
    </w:p>
    <w:p>
      <w:pPr>
        <w:sectPr>
          <w:pgSz w:w="11900" w:h="16838" w:orient="portrait"/>
          <w:cols w:equalWidth="0" w:num="2">
            <w:col w:w="4620" w:space="720"/>
            <w:col w:w="5340"/>
          </w:cols>
          <w:pgMar w:left="220" w:top="1066" w:right="99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 O. Box 152, Forest City, Iowa 50436 (Address of principal executive offices)</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ectPr>
          <w:pgSz w:w="11900" w:h="16838" w:orient="portrait"/>
          <w:cols w:equalWidth="0" w:num="1">
            <w:col w:w="10680"/>
          </w:cols>
          <w:pgMar w:left="220" w:top="1066" w:right="999" w:bottom="0" w:gutter="0" w:footer="0" w:header="0"/>
          <w:type w:val="continuous"/>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(641) 585-3535</w:t>
      </w:r>
    </w:p>
    <w:p>
      <w:pPr>
        <w:spacing w:after="0" w:line="178" w:lineRule="exact"/>
        <w:rPr>
          <w:sz w:val="24"/>
          <w:szCs w:val="24"/>
          <w:color w:val="auto"/>
        </w:rPr>
      </w:pPr>
    </w:p>
    <w:p>
      <w:pPr>
        <w:sectPr>
          <w:pgSz w:w="11900" w:h="16838" w:orient="portrait"/>
          <w:cols w:equalWidth="0" w:num="2">
            <w:col w:w="4480" w:space="160"/>
            <w:col w:w="6040"/>
          </w:cols>
          <w:pgMar w:left="220" w:top="1066" w:right="999" w:bottom="0" w:gutter="0" w:footer="0" w:header="0"/>
          <w:type w:val="continuous"/>
        </w:sectPr>
      </w:pPr>
    </w:p>
    <w:p>
      <w:pPr>
        <w:ind w:right="4640"/>
        <w:spacing w:after="0" w:line="234" w:lineRule="auto"/>
        <w:rPr>
          <w:sz w:val="20"/>
          <w:szCs w:val="20"/>
          <w:color w:val="auto"/>
        </w:rPr>
      </w:pPr>
      <w:r>
        <w:rPr>
          <w:rFonts w:ascii="Courier New" w:cs="Courier New" w:eastAsia="Courier New" w:hAnsi="Courier New"/>
          <w:sz w:val="15"/>
          <w:szCs w:val="15"/>
          <w:color w:val="auto"/>
        </w:rPr>
        <w:t>Indicate by check mark whether the registrant is an accelerated filer (as defined in Rule 12b-2 of the Act). Yes __X__ No ___.</w:t>
      </w:r>
    </w:p>
    <w:p>
      <w:pPr>
        <w:sectPr>
          <w:pgSz w:w="11900" w:h="16838" w:orient="portrait"/>
          <w:cols w:equalWidth="0" w:num="1">
            <w:col w:w="10680"/>
          </w:cols>
          <w:pgMar w:left="220" w:top="1066" w:right="999" w:bottom="0" w:gutter="0" w:footer="0" w:header="0"/>
          <w:type w:val="continuous"/>
        </w:sectPr>
      </w:pPr>
    </w:p>
    <w:p>
      <w:pPr>
        <w:spacing w:after="0" w:line="173" w:lineRule="exact"/>
        <w:rPr>
          <w:sz w:val="24"/>
          <w:szCs w:val="24"/>
          <w:color w:val="auto"/>
        </w:rPr>
      </w:pPr>
    </w:p>
    <w:p>
      <w:pPr>
        <w:ind w:right="3680"/>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__X__ No ___.</w:t>
      </w:r>
    </w:p>
    <w:p>
      <w:pPr>
        <w:spacing w:after="0" w:line="174" w:lineRule="exact"/>
        <w:rPr>
          <w:sz w:val="24"/>
          <w:szCs w:val="24"/>
          <w:color w:val="auto"/>
        </w:rPr>
      </w:pPr>
    </w:p>
    <w:p>
      <w:pPr>
        <w:ind w:right="3680"/>
        <w:spacing w:after="0" w:line="234" w:lineRule="auto"/>
        <w:rPr>
          <w:sz w:val="20"/>
          <w:szCs w:val="20"/>
          <w:color w:val="auto"/>
        </w:rPr>
      </w:pPr>
      <w:r>
        <w:rPr>
          <w:rFonts w:ascii="Courier New" w:cs="Courier New" w:eastAsia="Courier New" w:hAnsi="Courier New"/>
          <w:sz w:val="15"/>
          <w:szCs w:val="15"/>
          <w:color w:val="auto"/>
        </w:rPr>
        <w:t>There were 18,129,274 shares of $.50 par value common stock outstanding on April 11, 2003.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ind w:left="1680"/>
        <w:spacing w:after="0"/>
        <w:rPr>
          <w:sz w:val="20"/>
          <w:szCs w:val="20"/>
          <w:color w:val="auto"/>
        </w:rPr>
      </w:pPr>
      <w:r>
        <w:rPr>
          <w:rFonts w:ascii="Courier New" w:cs="Courier New" w:eastAsia="Courier New" w:hAnsi="Courier New"/>
          <w:sz w:val="15"/>
          <w:szCs w:val="15"/>
          <w:color w:val="auto"/>
        </w:rPr>
        <w:t>WINNEBAGO INDUSTRIES, INC. AND SUBSIDIARIES</w:t>
      </w:r>
    </w:p>
    <w:p>
      <w:pPr>
        <w:spacing w:after="0" w:line="166" w:lineRule="exact"/>
        <w:rPr>
          <w:sz w:val="24"/>
          <w:szCs w:val="24"/>
          <w:color w:val="auto"/>
        </w:rPr>
      </w:pPr>
    </w:p>
    <w:tbl>
      <w:tblPr>
        <w:tblLayout w:type="fixed"/>
        <w:tblInd w:w="100" w:type="dxa"/>
        <w:tblCellMar>
          <w:top w:w="0" w:type="dxa"/>
          <w:left w:w="0" w:type="dxa"/>
          <w:bottom w:w="0" w:type="dxa"/>
          <w:right w:w="0" w:type="dxa"/>
        </w:tblCellMar>
      </w:tblPr>
      <w:tr>
        <w:trPr>
          <w:trHeight w:val="170"/>
        </w:trPr>
        <w:tc>
          <w:tcPr>
            <w:tcW w:w="1000" w:type="dxa"/>
            <w:vAlign w:val="bottom"/>
          </w:tcPr>
          <w:p>
            <w:pPr>
              <w:spacing w:after="0"/>
              <w:rPr>
                <w:sz w:val="14"/>
                <w:szCs w:val="14"/>
                <w:color w:val="auto"/>
              </w:rPr>
            </w:pPr>
          </w:p>
        </w:tc>
        <w:tc>
          <w:tcPr>
            <w:tcW w:w="7560" w:type="dxa"/>
            <w:vAlign w:val="bottom"/>
          </w:tcPr>
          <w:p>
            <w:pPr>
              <w:ind w:left="1180"/>
              <w:spacing w:after="0"/>
              <w:rPr>
                <w:sz w:val="20"/>
                <w:szCs w:val="20"/>
                <w:color w:val="auto"/>
              </w:rPr>
            </w:pPr>
            <w:r>
              <w:rPr>
                <w:rFonts w:ascii="Courier New" w:cs="Courier New" w:eastAsia="Courier New" w:hAnsi="Courier New"/>
                <w:sz w:val="15"/>
                <w:szCs w:val="15"/>
                <w:color w:val="auto"/>
              </w:rPr>
              <w:t>INDEX TO REPORT ON FORM 10-Q</w:t>
            </w: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673"/>
        </w:trPr>
        <w:tc>
          <w:tcPr>
            <w:tcW w:w="100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Number</w:t>
            </w:r>
          </w:p>
        </w:tc>
      </w:tr>
      <w:tr>
        <w:trPr>
          <w:trHeight w:val="168"/>
        </w:trPr>
        <w:tc>
          <w:tcPr>
            <w:tcW w:w="100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00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7560" w:type="dxa"/>
            <w:vAlign w:val="bottom"/>
          </w:tcPr>
          <w:p>
            <w:pPr>
              <w:ind w:left="300"/>
              <w:spacing w:after="0"/>
              <w:rPr>
                <w:sz w:val="20"/>
                <w:szCs w:val="20"/>
                <w:color w:val="auto"/>
              </w:rPr>
            </w:pPr>
            <w:r>
              <w:rPr>
                <w:rFonts w:ascii="Courier New" w:cs="Courier New" w:eastAsia="Courier New" w:hAnsi="Courier New"/>
                <w:sz w:val="15"/>
                <w:szCs w:val="15"/>
                <w:color w:val="auto"/>
              </w:rPr>
              <w:t>FINANCIAL INFORMATION:</w:t>
            </w: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6"/>
        </w:trPr>
        <w:tc>
          <w:tcPr>
            <w:tcW w:w="1000" w:type="dxa"/>
            <w:vAlign w:val="bottom"/>
          </w:tcPr>
          <w:p>
            <w:pPr>
              <w:spacing w:after="0"/>
              <w:rPr>
                <w:sz w:val="20"/>
                <w:szCs w:val="20"/>
                <w:color w:val="auto"/>
              </w:rPr>
            </w:pPr>
            <w:r>
              <w:rPr>
                <w:rFonts w:ascii="Courier New" w:cs="Courier New" w:eastAsia="Courier New" w:hAnsi="Courier New"/>
                <w:sz w:val="15"/>
                <w:szCs w:val="15"/>
                <w:color w:val="auto"/>
              </w:rPr>
              <w:t>Item I.</w:t>
            </w:r>
          </w:p>
        </w:tc>
        <w:tc>
          <w:tcPr>
            <w:tcW w:w="7560" w:type="dxa"/>
            <w:vAlign w:val="bottom"/>
          </w:tcPr>
          <w:p>
            <w:pPr>
              <w:ind w:left="300"/>
              <w:spacing w:after="0"/>
              <w:rPr>
                <w:sz w:val="20"/>
                <w:szCs w:val="20"/>
                <w:color w:val="auto"/>
              </w:rPr>
            </w:pPr>
            <w:r>
              <w:rPr>
                <w:rFonts w:ascii="Courier New" w:cs="Courier New" w:eastAsia="Courier New" w:hAnsi="Courier New"/>
                <w:sz w:val="15"/>
                <w:szCs w:val="15"/>
                <w:color w:val="auto"/>
              </w:rPr>
              <w:t>Unaudited Condensed Consolidated Balance Sheets</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- 2</w:t>
            </w:r>
          </w:p>
        </w:tc>
      </w:tr>
      <w:tr>
        <w:trPr>
          <w:trHeight w:val="336"/>
        </w:trPr>
        <w:tc>
          <w:tcPr>
            <w:tcW w:w="1000" w:type="dxa"/>
            <w:vAlign w:val="bottom"/>
          </w:tcPr>
          <w:p>
            <w:pPr>
              <w:spacing w:after="0"/>
              <w:rPr>
                <w:sz w:val="24"/>
                <w:szCs w:val="24"/>
                <w:color w:val="auto"/>
              </w:rPr>
            </w:pPr>
          </w:p>
        </w:tc>
        <w:tc>
          <w:tcPr>
            <w:tcW w:w="7560" w:type="dxa"/>
            <w:vAlign w:val="bottom"/>
          </w:tcPr>
          <w:p>
            <w:pPr>
              <w:ind w:left="300"/>
              <w:spacing w:after="0"/>
              <w:rPr>
                <w:sz w:val="20"/>
                <w:szCs w:val="20"/>
                <w:color w:val="auto"/>
              </w:rPr>
            </w:pPr>
            <w:r>
              <w:rPr>
                <w:rFonts w:ascii="Courier New" w:cs="Courier New" w:eastAsia="Courier New" w:hAnsi="Courier New"/>
                <w:sz w:val="15"/>
                <w:szCs w:val="15"/>
                <w:color w:val="auto"/>
              </w:rPr>
              <w:t>Unaudited Condensed Consolidated Statements of Income</w:t>
            </w:r>
          </w:p>
        </w:tc>
        <w:tc>
          <w:tcPr>
            <w:tcW w:w="146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3</w:t>
            </w:r>
          </w:p>
        </w:tc>
      </w:tr>
      <w:tr>
        <w:trPr>
          <w:trHeight w:val="336"/>
        </w:trPr>
        <w:tc>
          <w:tcPr>
            <w:tcW w:w="1000" w:type="dxa"/>
            <w:vAlign w:val="bottom"/>
          </w:tcPr>
          <w:p>
            <w:pPr>
              <w:spacing w:after="0"/>
              <w:rPr>
                <w:sz w:val="24"/>
                <w:szCs w:val="24"/>
                <w:color w:val="auto"/>
              </w:rPr>
            </w:pPr>
          </w:p>
        </w:tc>
        <w:tc>
          <w:tcPr>
            <w:tcW w:w="7560" w:type="dxa"/>
            <w:vAlign w:val="bottom"/>
          </w:tcPr>
          <w:p>
            <w:pPr>
              <w:ind w:left="300"/>
              <w:spacing w:after="0"/>
              <w:rPr>
                <w:sz w:val="20"/>
                <w:szCs w:val="20"/>
                <w:color w:val="auto"/>
              </w:rPr>
            </w:pPr>
            <w:r>
              <w:rPr>
                <w:rFonts w:ascii="Courier New" w:cs="Courier New" w:eastAsia="Courier New" w:hAnsi="Courier New"/>
                <w:sz w:val="15"/>
                <w:szCs w:val="15"/>
                <w:color w:val="auto"/>
              </w:rPr>
              <w:t>Unaudited Condensed Consolidated Statements of Cash Flows</w:t>
            </w:r>
          </w:p>
        </w:tc>
        <w:tc>
          <w:tcPr>
            <w:tcW w:w="146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4</w:t>
            </w:r>
          </w:p>
        </w:tc>
      </w:tr>
      <w:tr>
        <w:trPr>
          <w:trHeight w:val="336"/>
        </w:trPr>
        <w:tc>
          <w:tcPr>
            <w:tcW w:w="1000" w:type="dxa"/>
            <w:vAlign w:val="bottom"/>
          </w:tcPr>
          <w:p>
            <w:pPr>
              <w:spacing w:after="0"/>
              <w:rPr>
                <w:sz w:val="24"/>
                <w:szCs w:val="24"/>
                <w:color w:val="auto"/>
              </w:rPr>
            </w:pPr>
          </w:p>
        </w:tc>
        <w:tc>
          <w:tcPr>
            <w:tcW w:w="7560" w:type="dxa"/>
            <w:vAlign w:val="bottom"/>
          </w:tcPr>
          <w:p>
            <w:pPr>
              <w:ind w:left="300"/>
              <w:spacing w:after="0"/>
              <w:rPr>
                <w:sz w:val="20"/>
                <w:szCs w:val="20"/>
                <w:color w:val="auto"/>
              </w:rPr>
            </w:pPr>
            <w:r>
              <w:rPr>
                <w:rFonts w:ascii="Courier New" w:cs="Courier New" w:eastAsia="Courier New" w:hAnsi="Courier New"/>
                <w:sz w:val="15"/>
                <w:szCs w:val="15"/>
                <w:color w:val="auto"/>
              </w:rPr>
              <w:t>Unaudited Notes to Condensed Consolidated Financial Statements</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- 8</w:t>
            </w:r>
          </w:p>
        </w:tc>
      </w:tr>
      <w:tr>
        <w:trPr>
          <w:trHeight w:val="336"/>
        </w:trPr>
        <w:tc>
          <w:tcPr>
            <w:tcW w:w="100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7560" w:type="dxa"/>
            <w:vAlign w:val="bottom"/>
          </w:tcPr>
          <w:p>
            <w:pPr>
              <w:ind w:left="300"/>
              <w:spacing w:after="0"/>
              <w:rPr>
                <w:sz w:val="20"/>
                <w:szCs w:val="20"/>
                <w:color w:val="auto"/>
              </w:rPr>
            </w:pPr>
            <w:r>
              <w:rPr>
                <w:rFonts w:ascii="Courier New" w:cs="Courier New" w:eastAsia="Courier New" w:hAnsi="Courier New"/>
                <w:sz w:val="15"/>
                <w:szCs w:val="15"/>
                <w:color w:val="auto"/>
              </w:rPr>
              <w:t>Management's Discussion and Analysis of Financial Condition and Results</w:t>
            </w: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1000" w:type="dxa"/>
            <w:vAlign w:val="bottom"/>
          </w:tcPr>
          <w:p>
            <w:pPr>
              <w:spacing w:after="0"/>
              <w:rPr>
                <w:sz w:val="14"/>
                <w:szCs w:val="14"/>
                <w:color w:val="auto"/>
              </w:rPr>
            </w:pPr>
          </w:p>
        </w:tc>
        <w:tc>
          <w:tcPr>
            <w:tcW w:w="75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of Operations</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- 12</w:t>
            </w:r>
          </w:p>
        </w:tc>
      </w:tr>
      <w:tr>
        <w:trPr>
          <w:trHeight w:val="336"/>
        </w:trPr>
        <w:tc>
          <w:tcPr>
            <w:tcW w:w="100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7560" w:type="dxa"/>
            <w:vAlign w:val="bottom"/>
          </w:tcPr>
          <w:p>
            <w:pPr>
              <w:ind w:left="300"/>
              <w:spacing w:after="0"/>
              <w:rPr>
                <w:sz w:val="20"/>
                <w:szCs w:val="20"/>
                <w:color w:val="auto"/>
              </w:rPr>
            </w:pPr>
            <w:r>
              <w:rPr>
                <w:rFonts w:ascii="Courier New" w:cs="Courier New" w:eastAsia="Courier New" w:hAnsi="Courier New"/>
                <w:sz w:val="15"/>
                <w:szCs w:val="15"/>
                <w:color w:val="auto"/>
              </w:rPr>
              <w:t>Quantitative and Qualitative Disclosures About Market Risk</w:t>
            </w:r>
          </w:p>
        </w:tc>
        <w:tc>
          <w:tcPr>
            <w:tcW w:w="146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r>
      <w:tr>
        <w:trPr>
          <w:trHeight w:val="336"/>
        </w:trPr>
        <w:tc>
          <w:tcPr>
            <w:tcW w:w="100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7560" w:type="dxa"/>
            <w:vAlign w:val="bottom"/>
          </w:tcPr>
          <w:p>
            <w:pPr>
              <w:ind w:left="300"/>
              <w:spacing w:after="0"/>
              <w:rPr>
                <w:sz w:val="20"/>
                <w:szCs w:val="20"/>
                <w:color w:val="auto"/>
              </w:rPr>
            </w:pPr>
            <w:r>
              <w:rPr>
                <w:rFonts w:ascii="Courier New" w:cs="Courier New" w:eastAsia="Courier New" w:hAnsi="Courier New"/>
                <w:sz w:val="15"/>
                <w:szCs w:val="15"/>
                <w:color w:val="auto"/>
              </w:rPr>
              <w:t>Controls and Procedures</w:t>
            </w:r>
          </w:p>
        </w:tc>
        <w:tc>
          <w:tcPr>
            <w:tcW w:w="146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r>
      <w:tr>
        <w:trPr>
          <w:trHeight w:val="336"/>
        </w:trPr>
        <w:tc>
          <w:tcPr>
            <w:tcW w:w="1000" w:type="dxa"/>
            <w:vAlign w:val="bottom"/>
          </w:tcPr>
          <w:p>
            <w:pPr>
              <w:spacing w:after="0"/>
              <w:rPr>
                <w:sz w:val="24"/>
                <w:szCs w:val="24"/>
                <w:color w:val="auto"/>
              </w:rPr>
            </w:pPr>
          </w:p>
        </w:tc>
        <w:tc>
          <w:tcPr>
            <w:tcW w:w="7560" w:type="dxa"/>
            <w:vAlign w:val="bottom"/>
          </w:tcPr>
          <w:p>
            <w:pPr>
              <w:ind w:left="300"/>
              <w:spacing w:after="0"/>
              <w:rPr>
                <w:sz w:val="20"/>
                <w:szCs w:val="20"/>
                <w:color w:val="auto"/>
              </w:rPr>
            </w:pPr>
            <w:r>
              <w:rPr>
                <w:rFonts w:ascii="Courier New" w:cs="Courier New" w:eastAsia="Courier New" w:hAnsi="Courier New"/>
                <w:sz w:val="15"/>
                <w:szCs w:val="15"/>
                <w:color w:val="auto"/>
              </w:rPr>
              <w:t>Independent Accountants' Report</w:t>
            </w:r>
          </w:p>
        </w:tc>
        <w:tc>
          <w:tcPr>
            <w:tcW w:w="146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13</w:t>
            </w:r>
          </w:p>
        </w:tc>
      </w:tr>
      <w:tr>
        <w:trPr>
          <w:trHeight w:val="336"/>
        </w:trPr>
        <w:tc>
          <w:tcPr>
            <w:tcW w:w="100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7560" w:type="dxa"/>
            <w:vAlign w:val="bottom"/>
          </w:tcPr>
          <w:p>
            <w:pPr>
              <w:ind w:left="300"/>
              <w:spacing w:after="0"/>
              <w:rPr>
                <w:sz w:val="20"/>
                <w:szCs w:val="20"/>
                <w:color w:val="auto"/>
              </w:rPr>
            </w:pPr>
            <w:r>
              <w:rPr>
                <w:rFonts w:ascii="Courier New" w:cs="Courier New" w:eastAsia="Courier New" w:hAnsi="Courier New"/>
                <w:sz w:val="15"/>
                <w:szCs w:val="15"/>
                <w:color w:val="auto"/>
              </w:rPr>
              <w:t>OTHER INFORMATION</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- 18</w:t>
            </w:r>
          </w:p>
        </w:tc>
      </w:tr>
      <w:tr>
        <w:trPr>
          <w:trHeight w:val="336"/>
        </w:trPr>
        <w:tc>
          <w:tcPr>
            <w:tcW w:w="10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7560" w:type="dxa"/>
            <w:vAlign w:val="bottom"/>
          </w:tcPr>
          <w:p>
            <w:pPr>
              <w:ind w:left="300"/>
              <w:spacing w:after="0"/>
              <w:rPr>
                <w:sz w:val="20"/>
                <w:szCs w:val="20"/>
                <w:color w:val="auto"/>
              </w:rPr>
            </w:pPr>
            <w:r>
              <w:rPr>
                <w:rFonts w:ascii="Courier New" w:cs="Courier New" w:eastAsia="Courier New" w:hAnsi="Courier New"/>
                <w:sz w:val="15"/>
                <w:szCs w:val="15"/>
                <w:color w:val="auto"/>
              </w:rPr>
              <w:t>Legal Proceedings</w:t>
            </w:r>
          </w:p>
        </w:tc>
        <w:tc>
          <w:tcPr>
            <w:tcW w:w="146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r>
      <w:tr>
        <w:trPr>
          <w:trHeight w:val="336"/>
        </w:trPr>
        <w:tc>
          <w:tcPr>
            <w:tcW w:w="10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7560" w:type="dxa"/>
            <w:vAlign w:val="bottom"/>
          </w:tcPr>
          <w:p>
            <w:pPr>
              <w:ind w:left="300"/>
              <w:spacing w:after="0"/>
              <w:rPr>
                <w:sz w:val="20"/>
                <w:szCs w:val="20"/>
                <w:color w:val="auto"/>
              </w:rPr>
            </w:pPr>
            <w:r>
              <w:rPr>
                <w:rFonts w:ascii="Courier New" w:cs="Courier New" w:eastAsia="Courier New" w:hAnsi="Courier New"/>
                <w:sz w:val="15"/>
                <w:szCs w:val="15"/>
                <w:color w:val="auto"/>
              </w:rPr>
              <w:t>Exhibits and Reports on Form 8-K</w:t>
            </w:r>
          </w:p>
        </w:tc>
        <w:tc>
          <w:tcPr>
            <w:tcW w:w="146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r>
    </w:tbl>
    <w:p>
      <w:pPr>
        <w:sectPr>
          <w:pgSz w:w="11900" w:h="16838" w:orient="portrait"/>
          <w:cols w:equalWidth="0" w:num="1">
            <w:col w:w="10680"/>
          </w:cols>
          <w:pgMar w:left="220" w:top="1066" w:right="999" w:bottom="0" w:gutter="0" w:footer="0" w:header="0"/>
          <w:type w:val="continuous"/>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PART I Financial Information</w:t>
      </w:r>
    </w:p>
    <w:p>
      <w:pPr>
        <w:spacing w:after="0" w:line="237" w:lineRule="auto"/>
        <w:rPr>
          <w:sz w:val="20"/>
          <w:szCs w:val="20"/>
          <w:color w:val="auto"/>
        </w:rPr>
      </w:pPr>
      <w:r>
        <w:rPr>
          <w:rFonts w:ascii="Courier New" w:cs="Courier New" w:eastAsia="Courier New" w:hAnsi="Courier New"/>
          <w:sz w:val="15"/>
          <w:szCs w:val="15"/>
          <w:color w:val="auto"/>
        </w:rPr>
        <w:t>Item 1.</w:t>
      </w:r>
    </w:p>
    <w:p>
      <w:pPr>
        <w:spacing w:after="0" w:line="335"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WINNEBAGO INDUSTRIES, INC. AND SUBSIDIARIES</w:t>
      </w:r>
    </w:p>
    <w:p>
      <w:pPr>
        <w:jc w:val="center"/>
        <w:ind w:right="3400"/>
        <w:spacing w:after="0" w:line="237" w:lineRule="auto"/>
        <w:rPr>
          <w:sz w:val="20"/>
          <w:szCs w:val="20"/>
          <w:color w:val="auto"/>
        </w:rPr>
      </w:pPr>
      <w:r>
        <w:rPr>
          <w:rFonts w:ascii="Courier New" w:cs="Courier New" w:eastAsia="Courier New" w:hAnsi="Courier New"/>
          <w:sz w:val="15"/>
          <w:szCs w:val="15"/>
          <w:color w:val="auto"/>
        </w:rPr>
        <w:t>UNAUDITED CONDENSED CONSOLIDATED BALANCE SHEETS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5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6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MARCH 1,</w:t>
            </w:r>
          </w:p>
        </w:tc>
        <w:tc>
          <w:tcPr>
            <w:tcW w:w="440" w:type="dxa"/>
            <w:vAlign w:val="bottom"/>
          </w:tcPr>
          <w:p>
            <w:pPr>
              <w:spacing w:after="0"/>
              <w:rPr>
                <w:sz w:val="14"/>
                <w:szCs w:val="14"/>
                <w:color w:val="auto"/>
              </w:rPr>
            </w:pP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AUGUST 31,</w:t>
            </w:r>
          </w:p>
        </w:tc>
      </w:tr>
      <w:tr>
        <w:trPr>
          <w:trHeight w:val="168"/>
        </w:trPr>
        <w:tc>
          <w:tcPr>
            <w:tcW w:w="578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ASSETS</w:t>
            </w:r>
          </w:p>
        </w:tc>
        <w:tc>
          <w:tcPr>
            <w:tcW w:w="520" w:type="dxa"/>
            <w:vAlign w:val="bottom"/>
          </w:tcPr>
          <w:p>
            <w:pPr>
              <w:spacing w:after="0"/>
              <w:rPr>
                <w:sz w:val="14"/>
                <w:szCs w:val="14"/>
                <w:color w:val="auto"/>
              </w:rPr>
            </w:pPr>
          </w:p>
        </w:tc>
        <w:tc>
          <w:tcPr>
            <w:tcW w:w="206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2003</w:t>
            </w:r>
          </w:p>
        </w:tc>
        <w:tc>
          <w:tcPr>
            <w:tcW w:w="440" w:type="dxa"/>
            <w:vAlign w:val="bottom"/>
          </w:tcPr>
          <w:p>
            <w:pPr>
              <w:spacing w:after="0"/>
              <w:rPr>
                <w:sz w:val="14"/>
                <w:szCs w:val="14"/>
                <w:color w:val="auto"/>
              </w:rPr>
            </w:pPr>
          </w:p>
        </w:tc>
        <w:tc>
          <w:tcPr>
            <w:tcW w:w="17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20" w:type="dxa"/>
            <w:vAlign w:val="bottom"/>
          </w:tcPr>
          <w:p>
            <w:pPr>
              <w:spacing w:after="0"/>
              <w:rPr>
                <w:sz w:val="14"/>
                <w:szCs w:val="14"/>
                <w:color w:val="auto"/>
              </w:rPr>
            </w:pPr>
          </w:p>
        </w:tc>
        <w:tc>
          <w:tcPr>
            <w:tcW w:w="2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5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39,507</w:t>
            </w:r>
          </w:p>
        </w:tc>
        <w:tc>
          <w:tcPr>
            <w:tcW w:w="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42,225</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Receivables, less allowance for doubtful</w:t>
            </w:r>
          </w:p>
        </w:tc>
        <w:tc>
          <w:tcPr>
            <w:tcW w:w="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($274 and $120, respectively)</w:t>
            </w:r>
          </w:p>
        </w:tc>
        <w:tc>
          <w:tcPr>
            <w:tcW w:w="520" w:type="dxa"/>
            <w:vAlign w:val="bottom"/>
          </w:tcPr>
          <w:p>
            <w:pPr>
              <w:spacing w:after="0"/>
              <w:rPr>
                <w:sz w:val="14"/>
                <w:szCs w:val="14"/>
                <w:color w:val="auto"/>
              </w:rPr>
            </w:pPr>
          </w:p>
        </w:tc>
        <w:tc>
          <w:tcPr>
            <w:tcW w:w="20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17,887</w:t>
            </w:r>
          </w:p>
        </w:tc>
        <w:tc>
          <w:tcPr>
            <w:tcW w:w="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28,616</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Dealer financing receivables, less allowance</w:t>
            </w:r>
          </w:p>
        </w:tc>
        <w:tc>
          <w:tcPr>
            <w:tcW w:w="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doubtful accounts ($109 and $96, respectively)</w:t>
            </w:r>
          </w:p>
        </w:tc>
        <w:tc>
          <w:tcPr>
            <w:tcW w:w="520" w:type="dxa"/>
            <w:vAlign w:val="bottom"/>
          </w:tcPr>
          <w:p>
            <w:pPr>
              <w:spacing w:after="0"/>
              <w:rPr>
                <w:sz w:val="14"/>
                <w:szCs w:val="14"/>
                <w:color w:val="auto"/>
              </w:rPr>
            </w:pPr>
          </w:p>
        </w:tc>
        <w:tc>
          <w:tcPr>
            <w:tcW w:w="20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42,941</w:t>
            </w:r>
          </w:p>
        </w:tc>
        <w:tc>
          <w:tcPr>
            <w:tcW w:w="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37,880</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520" w:type="dxa"/>
            <w:vAlign w:val="bottom"/>
          </w:tcPr>
          <w:p>
            <w:pPr>
              <w:spacing w:after="0"/>
              <w:rPr>
                <w:sz w:val="14"/>
                <w:szCs w:val="14"/>
                <w:color w:val="auto"/>
              </w:rPr>
            </w:pPr>
          </w:p>
        </w:tc>
        <w:tc>
          <w:tcPr>
            <w:tcW w:w="20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127,405</w:t>
            </w:r>
          </w:p>
        </w:tc>
        <w:tc>
          <w:tcPr>
            <w:tcW w:w="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113,654</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w:t>
            </w:r>
          </w:p>
        </w:tc>
        <w:tc>
          <w:tcPr>
            <w:tcW w:w="520" w:type="dxa"/>
            <w:vAlign w:val="bottom"/>
          </w:tcPr>
          <w:p>
            <w:pPr>
              <w:spacing w:after="0"/>
              <w:rPr>
                <w:sz w:val="14"/>
                <w:szCs w:val="14"/>
                <w:color w:val="auto"/>
              </w:rPr>
            </w:pPr>
          </w:p>
        </w:tc>
        <w:tc>
          <w:tcPr>
            <w:tcW w:w="20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4,526</w:t>
            </w:r>
          </w:p>
        </w:tc>
        <w:tc>
          <w:tcPr>
            <w:tcW w:w="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4,314</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520" w:type="dxa"/>
            <w:vAlign w:val="bottom"/>
          </w:tcPr>
          <w:p>
            <w:pPr>
              <w:spacing w:after="0"/>
              <w:rPr>
                <w:sz w:val="14"/>
                <w:szCs w:val="14"/>
                <w:color w:val="auto"/>
              </w:rPr>
            </w:pPr>
          </w:p>
        </w:tc>
        <w:tc>
          <w:tcPr>
            <w:tcW w:w="20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7,801</w:t>
            </w:r>
          </w:p>
        </w:tc>
        <w:tc>
          <w:tcPr>
            <w:tcW w:w="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6,907</w:t>
            </w:r>
          </w:p>
        </w:tc>
      </w:tr>
      <w:tr>
        <w:trPr>
          <w:trHeight w:val="168"/>
        </w:trPr>
        <w:tc>
          <w:tcPr>
            <w:tcW w:w="5780" w:type="dxa"/>
            <w:vAlign w:val="bottom"/>
          </w:tcPr>
          <w:p>
            <w:pPr>
              <w:spacing w:after="0"/>
              <w:rPr>
                <w:sz w:val="14"/>
                <w:szCs w:val="14"/>
                <w:color w:val="auto"/>
              </w:rPr>
            </w:pPr>
          </w:p>
        </w:tc>
        <w:tc>
          <w:tcPr>
            <w:tcW w:w="25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520" w:type="dxa"/>
            <w:vAlign w:val="bottom"/>
          </w:tcPr>
          <w:p>
            <w:pPr>
              <w:spacing w:after="0"/>
              <w:rPr>
                <w:sz w:val="24"/>
                <w:szCs w:val="24"/>
                <w:color w:val="auto"/>
              </w:rPr>
            </w:pPr>
          </w:p>
        </w:tc>
        <w:tc>
          <w:tcPr>
            <w:tcW w:w="2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240,067</w:t>
            </w:r>
          </w:p>
        </w:tc>
        <w:tc>
          <w:tcPr>
            <w:tcW w:w="440" w:type="dxa"/>
            <w:vAlign w:val="bottom"/>
          </w:tcPr>
          <w:p>
            <w:pPr>
              <w:spacing w:after="0"/>
              <w:rPr>
                <w:sz w:val="24"/>
                <w:szCs w:val="24"/>
                <w:color w:val="auto"/>
              </w:rPr>
            </w:pPr>
          </w:p>
        </w:tc>
        <w:tc>
          <w:tcPr>
            <w:tcW w:w="1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233,596</w:t>
            </w:r>
          </w:p>
        </w:tc>
      </w:tr>
      <w:tr>
        <w:trPr>
          <w:trHeight w:val="168"/>
        </w:trPr>
        <w:tc>
          <w:tcPr>
            <w:tcW w:w="5780" w:type="dxa"/>
            <w:vAlign w:val="bottom"/>
          </w:tcPr>
          <w:p>
            <w:pPr>
              <w:spacing w:after="0"/>
              <w:rPr>
                <w:sz w:val="14"/>
                <w:szCs w:val="14"/>
                <w:color w:val="auto"/>
              </w:rPr>
            </w:pPr>
          </w:p>
        </w:tc>
        <w:tc>
          <w:tcPr>
            <w:tcW w:w="25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PROPERTY AND EQUIPMENT, at cost</w:t>
            </w:r>
          </w:p>
        </w:tc>
        <w:tc>
          <w:tcPr>
            <w:tcW w:w="5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Land</w:t>
            </w:r>
          </w:p>
        </w:tc>
        <w:tc>
          <w:tcPr>
            <w:tcW w:w="520" w:type="dxa"/>
            <w:vAlign w:val="bottom"/>
          </w:tcPr>
          <w:p>
            <w:pPr>
              <w:spacing w:after="0"/>
              <w:rPr>
                <w:sz w:val="14"/>
                <w:szCs w:val="14"/>
                <w:color w:val="auto"/>
              </w:rPr>
            </w:pPr>
          </w:p>
        </w:tc>
        <w:tc>
          <w:tcPr>
            <w:tcW w:w="20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1,005</w:t>
            </w:r>
          </w:p>
        </w:tc>
        <w:tc>
          <w:tcPr>
            <w:tcW w:w="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972</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w:t>
            </w:r>
          </w:p>
        </w:tc>
        <w:tc>
          <w:tcPr>
            <w:tcW w:w="520" w:type="dxa"/>
            <w:vAlign w:val="bottom"/>
          </w:tcPr>
          <w:p>
            <w:pPr>
              <w:spacing w:after="0"/>
              <w:rPr>
                <w:sz w:val="14"/>
                <w:szCs w:val="14"/>
                <w:color w:val="auto"/>
              </w:rPr>
            </w:pPr>
          </w:p>
        </w:tc>
        <w:tc>
          <w:tcPr>
            <w:tcW w:w="20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54,174</w:t>
            </w:r>
          </w:p>
        </w:tc>
        <w:tc>
          <w:tcPr>
            <w:tcW w:w="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47,953</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520" w:type="dxa"/>
            <w:vAlign w:val="bottom"/>
          </w:tcPr>
          <w:p>
            <w:pPr>
              <w:spacing w:after="0"/>
              <w:rPr>
                <w:sz w:val="14"/>
                <w:szCs w:val="14"/>
                <w:color w:val="auto"/>
              </w:rPr>
            </w:pPr>
          </w:p>
        </w:tc>
        <w:tc>
          <w:tcPr>
            <w:tcW w:w="20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92,595</w:t>
            </w:r>
          </w:p>
        </w:tc>
        <w:tc>
          <w:tcPr>
            <w:tcW w:w="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86,744</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Transportation equipment</w:t>
            </w:r>
          </w:p>
        </w:tc>
        <w:tc>
          <w:tcPr>
            <w:tcW w:w="520" w:type="dxa"/>
            <w:vAlign w:val="bottom"/>
          </w:tcPr>
          <w:p>
            <w:pPr>
              <w:spacing w:after="0"/>
              <w:rPr>
                <w:sz w:val="14"/>
                <w:szCs w:val="14"/>
                <w:color w:val="auto"/>
              </w:rPr>
            </w:pPr>
          </w:p>
        </w:tc>
        <w:tc>
          <w:tcPr>
            <w:tcW w:w="20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8,959</w:t>
            </w:r>
          </w:p>
        </w:tc>
        <w:tc>
          <w:tcPr>
            <w:tcW w:w="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5,641</w:t>
            </w:r>
          </w:p>
        </w:tc>
      </w:tr>
      <w:tr>
        <w:trPr>
          <w:trHeight w:val="168"/>
        </w:trPr>
        <w:tc>
          <w:tcPr>
            <w:tcW w:w="5780" w:type="dxa"/>
            <w:vAlign w:val="bottom"/>
          </w:tcPr>
          <w:p>
            <w:pPr>
              <w:spacing w:after="0"/>
              <w:rPr>
                <w:sz w:val="14"/>
                <w:szCs w:val="14"/>
                <w:color w:val="auto"/>
              </w:rPr>
            </w:pPr>
          </w:p>
        </w:tc>
        <w:tc>
          <w:tcPr>
            <w:tcW w:w="25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156,733</w:t>
            </w:r>
          </w:p>
        </w:tc>
        <w:tc>
          <w:tcPr>
            <w:tcW w:w="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141,310</w:t>
            </w:r>
          </w:p>
        </w:tc>
      </w:tr>
      <w:tr>
        <w:trPr>
          <w:trHeight w:val="168"/>
        </w:trPr>
        <w:tc>
          <w:tcPr>
            <w:tcW w:w="5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520" w:type="dxa"/>
            <w:vAlign w:val="bottom"/>
          </w:tcPr>
          <w:p>
            <w:pPr>
              <w:spacing w:after="0"/>
              <w:rPr>
                <w:sz w:val="14"/>
                <w:szCs w:val="14"/>
                <w:color w:val="auto"/>
              </w:rPr>
            </w:pPr>
          </w:p>
        </w:tc>
        <w:tc>
          <w:tcPr>
            <w:tcW w:w="20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94,379</w:t>
            </w:r>
          </w:p>
        </w:tc>
        <w:tc>
          <w:tcPr>
            <w:tcW w:w="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92,383</w:t>
            </w:r>
          </w:p>
        </w:tc>
      </w:tr>
      <w:tr>
        <w:trPr>
          <w:trHeight w:val="168"/>
        </w:trPr>
        <w:tc>
          <w:tcPr>
            <w:tcW w:w="5780" w:type="dxa"/>
            <w:vAlign w:val="bottom"/>
          </w:tcPr>
          <w:p>
            <w:pPr>
              <w:spacing w:after="0"/>
              <w:rPr>
                <w:sz w:val="14"/>
                <w:szCs w:val="14"/>
                <w:color w:val="auto"/>
              </w:rPr>
            </w:pPr>
          </w:p>
        </w:tc>
        <w:tc>
          <w:tcPr>
            <w:tcW w:w="25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Total property and equipment, net</w:t>
            </w:r>
          </w:p>
        </w:tc>
        <w:tc>
          <w:tcPr>
            <w:tcW w:w="520" w:type="dxa"/>
            <w:vAlign w:val="bottom"/>
          </w:tcPr>
          <w:p>
            <w:pPr>
              <w:spacing w:after="0"/>
              <w:rPr>
                <w:sz w:val="24"/>
                <w:szCs w:val="24"/>
                <w:color w:val="auto"/>
              </w:rPr>
            </w:pPr>
          </w:p>
        </w:tc>
        <w:tc>
          <w:tcPr>
            <w:tcW w:w="2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62,354</w:t>
            </w:r>
          </w:p>
        </w:tc>
        <w:tc>
          <w:tcPr>
            <w:tcW w:w="440" w:type="dxa"/>
            <w:vAlign w:val="bottom"/>
          </w:tcPr>
          <w:p>
            <w:pPr>
              <w:spacing w:after="0"/>
              <w:rPr>
                <w:sz w:val="24"/>
                <w:szCs w:val="24"/>
                <w:color w:val="auto"/>
              </w:rPr>
            </w:pPr>
          </w:p>
        </w:tc>
        <w:tc>
          <w:tcPr>
            <w:tcW w:w="1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48,927</w:t>
            </w:r>
          </w:p>
        </w:tc>
      </w:tr>
      <w:tr>
        <w:trPr>
          <w:trHeight w:val="168"/>
        </w:trPr>
        <w:tc>
          <w:tcPr>
            <w:tcW w:w="5780" w:type="dxa"/>
            <w:vAlign w:val="bottom"/>
          </w:tcPr>
          <w:p>
            <w:pPr>
              <w:spacing w:after="0"/>
              <w:rPr>
                <w:sz w:val="14"/>
                <w:szCs w:val="14"/>
                <w:color w:val="auto"/>
              </w:rPr>
            </w:pPr>
          </w:p>
        </w:tc>
        <w:tc>
          <w:tcPr>
            <w:tcW w:w="25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INVESTMENT IN LIFE INSURANCE</w:t>
            </w:r>
          </w:p>
        </w:tc>
        <w:tc>
          <w:tcPr>
            <w:tcW w:w="520" w:type="dxa"/>
            <w:vAlign w:val="bottom"/>
          </w:tcPr>
          <w:p>
            <w:pPr>
              <w:spacing w:after="0"/>
              <w:rPr>
                <w:sz w:val="24"/>
                <w:szCs w:val="24"/>
                <w:color w:val="auto"/>
              </w:rPr>
            </w:pPr>
          </w:p>
        </w:tc>
        <w:tc>
          <w:tcPr>
            <w:tcW w:w="2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23,344</w:t>
            </w:r>
          </w:p>
        </w:tc>
        <w:tc>
          <w:tcPr>
            <w:tcW w:w="440" w:type="dxa"/>
            <w:vAlign w:val="bottom"/>
          </w:tcPr>
          <w:p>
            <w:pPr>
              <w:spacing w:after="0"/>
              <w:rPr>
                <w:sz w:val="24"/>
                <w:szCs w:val="24"/>
                <w:color w:val="auto"/>
              </w:rPr>
            </w:pPr>
          </w:p>
        </w:tc>
        <w:tc>
          <w:tcPr>
            <w:tcW w:w="1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23,602</w:t>
            </w:r>
          </w:p>
        </w:tc>
      </w:tr>
      <w:tr>
        <w:trPr>
          <w:trHeight w:val="168"/>
        </w:trPr>
        <w:tc>
          <w:tcPr>
            <w:tcW w:w="5780" w:type="dxa"/>
            <w:vAlign w:val="bottom"/>
          </w:tcPr>
          <w:p>
            <w:pPr>
              <w:spacing w:after="0"/>
              <w:rPr>
                <w:sz w:val="14"/>
                <w:szCs w:val="14"/>
                <w:color w:val="auto"/>
              </w:rPr>
            </w:pPr>
          </w:p>
        </w:tc>
        <w:tc>
          <w:tcPr>
            <w:tcW w:w="25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DEFERRED INCOME TAXES, NET</w:t>
            </w:r>
          </w:p>
        </w:tc>
        <w:tc>
          <w:tcPr>
            <w:tcW w:w="520" w:type="dxa"/>
            <w:vAlign w:val="bottom"/>
          </w:tcPr>
          <w:p>
            <w:pPr>
              <w:spacing w:after="0"/>
              <w:rPr>
                <w:sz w:val="24"/>
                <w:szCs w:val="24"/>
                <w:color w:val="auto"/>
              </w:rPr>
            </w:pPr>
          </w:p>
        </w:tc>
        <w:tc>
          <w:tcPr>
            <w:tcW w:w="2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22,956</w:t>
            </w:r>
          </w:p>
        </w:tc>
        <w:tc>
          <w:tcPr>
            <w:tcW w:w="440" w:type="dxa"/>
            <w:vAlign w:val="bottom"/>
          </w:tcPr>
          <w:p>
            <w:pPr>
              <w:spacing w:after="0"/>
              <w:rPr>
                <w:sz w:val="24"/>
                <w:szCs w:val="24"/>
                <w:color w:val="auto"/>
              </w:rPr>
            </w:pPr>
          </w:p>
        </w:tc>
        <w:tc>
          <w:tcPr>
            <w:tcW w:w="1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22,438</w:t>
            </w:r>
          </w:p>
        </w:tc>
      </w:tr>
      <w:tr>
        <w:trPr>
          <w:trHeight w:val="168"/>
        </w:trPr>
        <w:tc>
          <w:tcPr>
            <w:tcW w:w="5780" w:type="dxa"/>
            <w:vAlign w:val="bottom"/>
          </w:tcPr>
          <w:p>
            <w:pPr>
              <w:spacing w:after="0"/>
              <w:rPr>
                <w:sz w:val="14"/>
                <w:szCs w:val="14"/>
                <w:color w:val="auto"/>
              </w:rPr>
            </w:pPr>
          </w:p>
        </w:tc>
        <w:tc>
          <w:tcPr>
            <w:tcW w:w="25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520" w:type="dxa"/>
            <w:vAlign w:val="bottom"/>
          </w:tcPr>
          <w:p>
            <w:pPr>
              <w:spacing w:after="0"/>
              <w:rPr>
                <w:sz w:val="24"/>
                <w:szCs w:val="24"/>
                <w:color w:val="auto"/>
              </w:rPr>
            </w:pPr>
          </w:p>
        </w:tc>
        <w:tc>
          <w:tcPr>
            <w:tcW w:w="2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9,484</w:t>
            </w:r>
          </w:p>
        </w:tc>
        <w:tc>
          <w:tcPr>
            <w:tcW w:w="440" w:type="dxa"/>
            <w:vAlign w:val="bottom"/>
          </w:tcPr>
          <w:p>
            <w:pPr>
              <w:spacing w:after="0"/>
              <w:rPr>
                <w:sz w:val="24"/>
                <w:szCs w:val="24"/>
                <w:color w:val="auto"/>
              </w:rPr>
            </w:pPr>
          </w:p>
        </w:tc>
        <w:tc>
          <w:tcPr>
            <w:tcW w:w="1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8,514</w:t>
            </w:r>
          </w:p>
        </w:tc>
      </w:tr>
      <w:tr>
        <w:trPr>
          <w:trHeight w:val="168"/>
        </w:trPr>
        <w:tc>
          <w:tcPr>
            <w:tcW w:w="5780" w:type="dxa"/>
            <w:vAlign w:val="bottom"/>
          </w:tcPr>
          <w:p>
            <w:pPr>
              <w:spacing w:after="0"/>
              <w:rPr>
                <w:sz w:val="14"/>
                <w:szCs w:val="14"/>
                <w:color w:val="auto"/>
              </w:rPr>
            </w:pPr>
          </w:p>
        </w:tc>
        <w:tc>
          <w:tcPr>
            <w:tcW w:w="25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358,205</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337,077</w:t>
            </w:r>
          </w:p>
        </w:tc>
      </w:tr>
      <w:tr>
        <w:trPr>
          <w:trHeight w:val="168"/>
        </w:trPr>
        <w:tc>
          <w:tcPr>
            <w:tcW w:w="5780" w:type="dxa"/>
            <w:vAlign w:val="bottom"/>
          </w:tcPr>
          <w:p>
            <w:pPr>
              <w:spacing w:after="0"/>
              <w:rPr>
                <w:sz w:val="14"/>
                <w:szCs w:val="14"/>
                <w:color w:val="auto"/>
              </w:rPr>
            </w:pPr>
          </w:p>
        </w:tc>
        <w:tc>
          <w:tcPr>
            <w:tcW w:w="25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Unaudited Notes to Condensed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500"/>
          </w:cols>
          <w:pgMar w:left="220" w:top="785" w:right="1179" w:bottom="1440" w:gutter="0" w:footer="0" w:header="0"/>
        </w:sectPr>
      </w:pPr>
    </w:p>
    <w:bookmarkStart w:id="3" w:name="page4"/>
    <w:bookmarkEnd w:id="3"/>
    <w:p>
      <w:pPr>
        <w:jc w:val="center"/>
        <w:ind w:right="3400"/>
        <w:spacing w:after="0"/>
        <w:rPr>
          <w:sz w:val="20"/>
          <w:szCs w:val="20"/>
          <w:color w:val="auto"/>
        </w:rPr>
      </w:pPr>
      <w:r>
        <w:rPr>
          <w:rFonts w:ascii="Courier New" w:cs="Courier New" w:eastAsia="Courier New" w:hAnsi="Courier New"/>
          <w:sz w:val="15"/>
          <w:szCs w:val="15"/>
          <w:color w:val="auto"/>
        </w:rPr>
        <w:t>WINNEBAGO INDUSTRIES, INC. AND SUBSIDIARIES</w:t>
      </w:r>
    </w:p>
    <w:p>
      <w:pPr>
        <w:jc w:val="center"/>
        <w:ind w:right="3400"/>
        <w:spacing w:after="0" w:line="237" w:lineRule="auto"/>
        <w:rPr>
          <w:sz w:val="20"/>
          <w:szCs w:val="20"/>
          <w:color w:val="auto"/>
        </w:rPr>
      </w:pPr>
      <w:r>
        <w:rPr>
          <w:rFonts w:ascii="Courier New" w:cs="Courier New" w:eastAsia="Courier New" w:hAnsi="Courier New"/>
          <w:sz w:val="15"/>
          <w:szCs w:val="15"/>
          <w:color w:val="auto"/>
        </w:rPr>
        <w:t>UNAUDITED CONDENSED CONSOLIDATED BALANCE SHEETS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3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w w:val="94"/>
              </w:rPr>
              <w:t>MARCH 1,</w:t>
            </w:r>
          </w:p>
        </w:tc>
        <w:tc>
          <w:tcPr>
            <w:tcW w:w="540" w:type="dxa"/>
            <w:vAlign w:val="bottom"/>
          </w:tcPr>
          <w:p>
            <w:pPr>
              <w:spacing w:after="0"/>
              <w:rPr>
                <w:sz w:val="14"/>
                <w:szCs w:val="14"/>
                <w:color w:val="auto"/>
              </w:rPr>
            </w:pPr>
          </w:p>
        </w:tc>
        <w:tc>
          <w:tcPr>
            <w:tcW w:w="17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AUGUST 31,</w:t>
            </w:r>
          </w:p>
        </w:tc>
      </w:tr>
      <w:tr>
        <w:trPr>
          <w:trHeight w:val="168"/>
        </w:trPr>
        <w:tc>
          <w:tcPr>
            <w:tcW w:w="5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1340" w:type="dxa"/>
            <w:vAlign w:val="bottom"/>
          </w:tcPr>
          <w:p>
            <w:pPr>
              <w:spacing w:after="0"/>
              <w:rPr>
                <w:sz w:val="14"/>
                <w:szCs w:val="14"/>
                <w:color w:val="auto"/>
              </w:rPr>
            </w:pPr>
          </w:p>
        </w:tc>
        <w:tc>
          <w:tcPr>
            <w:tcW w:w="162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2003</w:t>
            </w:r>
          </w:p>
        </w:tc>
        <w:tc>
          <w:tcPr>
            <w:tcW w:w="540" w:type="dxa"/>
            <w:vAlign w:val="bottom"/>
          </w:tcPr>
          <w:p>
            <w:pPr>
              <w:spacing w:after="0"/>
              <w:rPr>
                <w:sz w:val="14"/>
                <w:szCs w:val="14"/>
                <w:color w:val="auto"/>
              </w:rPr>
            </w:pPr>
          </w:p>
        </w:tc>
        <w:tc>
          <w:tcPr>
            <w:tcW w:w="178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220" w:type="dxa"/>
            <w:vAlign w:val="bottom"/>
            <w:gridSpan w:val="2"/>
          </w:tcPr>
          <w:p>
            <w:pPr>
              <w:spacing w:after="0"/>
              <w:rPr>
                <w:sz w:val="20"/>
                <w:szCs w:val="20"/>
                <w:color w:val="auto"/>
              </w:rPr>
            </w:pPr>
            <w:r>
              <w:rPr>
                <w:rFonts w:ascii="Courier New" w:cs="Courier New" w:eastAsia="Courier New" w:hAnsi="Courier New"/>
                <w:sz w:val="12"/>
                <w:szCs w:val="12"/>
                <w:color w:val="auto"/>
                <w:w w:val="79"/>
              </w:rPr>
              <w:t>- -----------------------------------------------------------------------------------------</w:t>
            </w:r>
          </w:p>
        </w:tc>
        <w:tc>
          <w:tcPr>
            <w:tcW w:w="1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Accounts payable, trade</w:t>
            </w:r>
          </w:p>
        </w:tc>
        <w:tc>
          <w:tcPr>
            <w:tcW w:w="3200" w:type="dxa"/>
            <w:vAlign w:val="bottom"/>
          </w:tcPr>
          <w:p>
            <w:pPr>
              <w:spacing w:after="0"/>
              <w:rPr>
                <w:sz w:val="14"/>
                <w:szCs w:val="14"/>
                <w:color w:val="auto"/>
              </w:rPr>
            </w:pPr>
          </w:p>
        </w:tc>
        <w:tc>
          <w:tcPr>
            <w:tcW w:w="134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42,437</w:t>
            </w:r>
          </w:p>
        </w:tc>
        <w:tc>
          <w:tcPr>
            <w:tcW w:w="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44,230</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payable</w:t>
            </w:r>
          </w:p>
        </w:tc>
        <w:tc>
          <w:tcPr>
            <w:tcW w:w="3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4,347</w:t>
            </w:r>
          </w:p>
        </w:tc>
        <w:tc>
          <w:tcPr>
            <w:tcW w:w="540" w:type="dxa"/>
            <w:vAlign w:val="bottom"/>
          </w:tcPr>
          <w:p>
            <w:pPr>
              <w:spacing w:after="0"/>
              <w:rPr>
                <w:sz w:val="14"/>
                <w:szCs w:val="14"/>
                <w:color w:val="auto"/>
              </w:rPr>
            </w:pP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2,610</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expenses</w:t>
            </w:r>
          </w:p>
        </w:tc>
        <w:tc>
          <w:tcPr>
            <w:tcW w:w="3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8"/>
        </w:trPr>
        <w:tc>
          <w:tcPr>
            <w:tcW w:w="2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Insurance</w:t>
            </w:r>
          </w:p>
        </w:tc>
        <w:tc>
          <w:tcPr>
            <w:tcW w:w="3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5,728</w:t>
            </w:r>
          </w:p>
        </w:tc>
        <w:tc>
          <w:tcPr>
            <w:tcW w:w="540" w:type="dxa"/>
            <w:vAlign w:val="bottom"/>
          </w:tcPr>
          <w:p>
            <w:pPr>
              <w:spacing w:after="0"/>
              <w:rPr>
                <w:sz w:val="14"/>
                <w:szCs w:val="14"/>
                <w:color w:val="auto"/>
              </w:rPr>
            </w:pP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5,967</w:t>
            </w:r>
          </w:p>
        </w:tc>
      </w:tr>
      <w:tr>
        <w:trPr>
          <w:trHeight w:val="168"/>
        </w:trPr>
        <w:tc>
          <w:tcPr>
            <w:tcW w:w="2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Product warranties</w:t>
            </w:r>
          </w:p>
        </w:tc>
        <w:tc>
          <w:tcPr>
            <w:tcW w:w="3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9,370</w:t>
            </w:r>
          </w:p>
        </w:tc>
        <w:tc>
          <w:tcPr>
            <w:tcW w:w="540" w:type="dxa"/>
            <w:vAlign w:val="bottom"/>
          </w:tcPr>
          <w:p>
            <w:pPr>
              <w:spacing w:after="0"/>
              <w:rPr>
                <w:sz w:val="14"/>
                <w:szCs w:val="14"/>
                <w:color w:val="auto"/>
              </w:rPr>
            </w:pP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8,151</w:t>
            </w:r>
          </w:p>
        </w:tc>
      </w:tr>
      <w:tr>
        <w:trPr>
          <w:trHeight w:val="168"/>
        </w:trPr>
        <w:tc>
          <w:tcPr>
            <w:tcW w:w="52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Accrued compensation</w:t>
            </w:r>
          </w:p>
        </w:tc>
        <w:tc>
          <w:tcPr>
            <w:tcW w:w="134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13,209</w:t>
            </w:r>
          </w:p>
        </w:tc>
        <w:tc>
          <w:tcPr>
            <w:tcW w:w="540" w:type="dxa"/>
            <w:vAlign w:val="bottom"/>
          </w:tcPr>
          <w:p>
            <w:pPr>
              <w:spacing w:after="0"/>
              <w:rPr>
                <w:sz w:val="14"/>
                <w:szCs w:val="14"/>
                <w:color w:val="auto"/>
              </w:rPr>
            </w:pP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18,673</w:t>
            </w:r>
          </w:p>
        </w:tc>
      </w:tr>
      <w:tr>
        <w:trPr>
          <w:trHeight w:val="168"/>
        </w:trPr>
        <w:tc>
          <w:tcPr>
            <w:tcW w:w="2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Promotional</w:t>
            </w:r>
          </w:p>
        </w:tc>
        <w:tc>
          <w:tcPr>
            <w:tcW w:w="3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8,477</w:t>
            </w:r>
          </w:p>
        </w:tc>
        <w:tc>
          <w:tcPr>
            <w:tcW w:w="540" w:type="dxa"/>
            <w:vAlign w:val="bottom"/>
          </w:tcPr>
          <w:p>
            <w:pPr>
              <w:spacing w:after="0"/>
              <w:rPr>
                <w:sz w:val="14"/>
                <w:szCs w:val="14"/>
                <w:color w:val="auto"/>
              </w:rPr>
            </w:pP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4,499</w:t>
            </w:r>
          </w:p>
        </w:tc>
      </w:tr>
      <w:tr>
        <w:trPr>
          <w:trHeight w:val="168"/>
        </w:trPr>
        <w:tc>
          <w:tcPr>
            <w:tcW w:w="2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3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5,166</w:t>
            </w:r>
          </w:p>
        </w:tc>
        <w:tc>
          <w:tcPr>
            <w:tcW w:w="540" w:type="dxa"/>
            <w:vAlign w:val="bottom"/>
          </w:tcPr>
          <w:p>
            <w:pPr>
              <w:spacing w:after="0"/>
              <w:rPr>
                <w:sz w:val="14"/>
                <w:szCs w:val="14"/>
                <w:color w:val="auto"/>
              </w:rPr>
            </w:pP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4,471</w:t>
            </w:r>
          </w:p>
        </w:tc>
      </w:tr>
      <w:tr>
        <w:trPr>
          <w:trHeight w:val="168"/>
        </w:trPr>
        <w:tc>
          <w:tcPr>
            <w:tcW w:w="20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960" w:type="dxa"/>
            <w:vAlign w:val="bottom"/>
            <w:gridSpan w:val="2"/>
          </w:tcPr>
          <w:p>
            <w:pPr>
              <w:ind w:left="100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Total current liabilities</w:t>
            </w:r>
          </w:p>
        </w:tc>
        <w:tc>
          <w:tcPr>
            <w:tcW w:w="1340" w:type="dxa"/>
            <w:vAlign w:val="bottom"/>
          </w:tcPr>
          <w:p>
            <w:pPr>
              <w:spacing w:after="0"/>
              <w:rPr>
                <w:sz w:val="24"/>
                <w:szCs w:val="24"/>
                <w:color w:val="auto"/>
              </w:rPr>
            </w:pP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88,734</w:t>
            </w:r>
          </w:p>
        </w:tc>
        <w:tc>
          <w:tcPr>
            <w:tcW w:w="540" w:type="dxa"/>
            <w:vAlign w:val="bottom"/>
          </w:tcPr>
          <w:p>
            <w:pPr>
              <w:spacing w:after="0"/>
              <w:rPr>
                <w:sz w:val="24"/>
                <w:szCs w:val="24"/>
                <w:color w:val="auto"/>
              </w:rPr>
            </w:pPr>
          </w:p>
        </w:tc>
        <w:tc>
          <w:tcPr>
            <w:tcW w:w="1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88,601</w:t>
            </w:r>
          </w:p>
        </w:tc>
      </w:tr>
      <w:tr>
        <w:trPr>
          <w:trHeight w:val="168"/>
        </w:trPr>
        <w:tc>
          <w:tcPr>
            <w:tcW w:w="20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960" w:type="dxa"/>
            <w:vAlign w:val="bottom"/>
            <w:gridSpan w:val="2"/>
          </w:tcPr>
          <w:p>
            <w:pPr>
              <w:ind w:left="100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rPr>
              <w:t>POSTRETIREMENT HEALTH CARE AND DEFERRED</w:t>
            </w: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8"/>
        </w:trPr>
        <w:tc>
          <w:tcPr>
            <w:tcW w:w="52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COMPENSATION BENEFITS</w:t>
            </w:r>
          </w:p>
        </w:tc>
        <w:tc>
          <w:tcPr>
            <w:tcW w:w="134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70,489</w:t>
            </w:r>
          </w:p>
        </w:tc>
        <w:tc>
          <w:tcPr>
            <w:tcW w:w="540" w:type="dxa"/>
            <w:vAlign w:val="bottom"/>
          </w:tcPr>
          <w:p>
            <w:pPr>
              <w:spacing w:after="0"/>
              <w:rPr>
                <w:sz w:val="14"/>
                <w:szCs w:val="14"/>
                <w:color w:val="auto"/>
              </w:rPr>
            </w:pP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68,661</w:t>
            </w:r>
          </w:p>
        </w:tc>
      </w:tr>
      <w:tr>
        <w:trPr>
          <w:trHeight w:val="168"/>
        </w:trPr>
        <w:tc>
          <w:tcPr>
            <w:tcW w:w="20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960" w:type="dxa"/>
            <w:vAlign w:val="bottom"/>
            <w:gridSpan w:val="2"/>
          </w:tcPr>
          <w:p>
            <w:pPr>
              <w:ind w:left="100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stock, common,</w:t>
            </w:r>
          </w:p>
        </w:tc>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par value $.50; authorized</w:t>
            </w:r>
          </w:p>
        </w:tc>
        <w:tc>
          <w:tcPr>
            <w:tcW w:w="1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8"/>
        </w:trPr>
        <w:tc>
          <w:tcPr>
            <w:tcW w:w="2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60,000,000 shares:</w:t>
            </w:r>
          </w:p>
        </w:tc>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issued 25,888,000 shares</w:t>
            </w:r>
          </w:p>
        </w:tc>
        <w:tc>
          <w:tcPr>
            <w:tcW w:w="134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12,944</w:t>
            </w:r>
          </w:p>
        </w:tc>
        <w:tc>
          <w:tcPr>
            <w:tcW w:w="540" w:type="dxa"/>
            <w:vAlign w:val="bottom"/>
          </w:tcPr>
          <w:p>
            <w:pPr>
              <w:spacing w:after="0"/>
              <w:rPr>
                <w:sz w:val="14"/>
                <w:szCs w:val="14"/>
                <w:color w:val="auto"/>
              </w:rPr>
            </w:pP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12,944</w:t>
            </w:r>
          </w:p>
        </w:tc>
      </w:tr>
      <w:tr>
        <w:trPr>
          <w:trHeight w:val="168"/>
        </w:trPr>
        <w:tc>
          <w:tcPr>
            <w:tcW w:w="5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34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26,201</w:t>
            </w:r>
          </w:p>
        </w:tc>
        <w:tc>
          <w:tcPr>
            <w:tcW w:w="540" w:type="dxa"/>
            <w:vAlign w:val="bottom"/>
          </w:tcPr>
          <w:p>
            <w:pPr>
              <w:spacing w:after="0"/>
              <w:rPr>
                <w:sz w:val="14"/>
                <w:szCs w:val="14"/>
                <w:color w:val="auto"/>
              </w:rPr>
            </w:pP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25,740</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Reinvested earnings</w:t>
            </w:r>
          </w:p>
        </w:tc>
        <w:tc>
          <w:tcPr>
            <w:tcW w:w="3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311,556</w:t>
            </w:r>
          </w:p>
        </w:tc>
        <w:tc>
          <w:tcPr>
            <w:tcW w:w="540" w:type="dxa"/>
            <w:vAlign w:val="bottom"/>
          </w:tcPr>
          <w:p>
            <w:pPr>
              <w:spacing w:after="0"/>
              <w:rPr>
                <w:sz w:val="14"/>
                <w:szCs w:val="14"/>
                <w:color w:val="auto"/>
              </w:rPr>
            </w:pP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284,856</w:t>
            </w:r>
          </w:p>
        </w:tc>
      </w:tr>
      <w:tr>
        <w:trPr>
          <w:trHeight w:val="168"/>
        </w:trPr>
        <w:tc>
          <w:tcPr>
            <w:tcW w:w="20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960" w:type="dxa"/>
            <w:vAlign w:val="bottom"/>
            <w:gridSpan w:val="2"/>
          </w:tcPr>
          <w:p>
            <w:pPr>
              <w:ind w:left="100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350,701</w:t>
            </w:r>
          </w:p>
        </w:tc>
        <w:tc>
          <w:tcPr>
            <w:tcW w:w="540" w:type="dxa"/>
            <w:vAlign w:val="bottom"/>
          </w:tcPr>
          <w:p>
            <w:pPr>
              <w:spacing w:after="0"/>
              <w:rPr>
                <w:sz w:val="14"/>
                <w:szCs w:val="14"/>
                <w:color w:val="auto"/>
              </w:rPr>
            </w:pP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323,540</w:t>
            </w:r>
          </w:p>
        </w:tc>
      </w:tr>
      <w:tr>
        <w:trPr>
          <w:trHeight w:val="168"/>
        </w:trPr>
        <w:tc>
          <w:tcPr>
            <w:tcW w:w="5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Less treasury stock, at cost</w:t>
            </w:r>
          </w:p>
        </w:tc>
        <w:tc>
          <w:tcPr>
            <w:tcW w:w="134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151,719</w:t>
            </w:r>
          </w:p>
        </w:tc>
        <w:tc>
          <w:tcPr>
            <w:tcW w:w="540" w:type="dxa"/>
            <w:vAlign w:val="bottom"/>
          </w:tcPr>
          <w:p>
            <w:pPr>
              <w:spacing w:after="0"/>
              <w:rPr>
                <w:sz w:val="14"/>
                <w:szCs w:val="14"/>
                <w:color w:val="auto"/>
              </w:rPr>
            </w:pP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143,725</w:t>
            </w:r>
          </w:p>
        </w:tc>
      </w:tr>
      <w:tr>
        <w:trPr>
          <w:trHeight w:val="168"/>
        </w:trPr>
        <w:tc>
          <w:tcPr>
            <w:tcW w:w="20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960" w:type="dxa"/>
            <w:vAlign w:val="bottom"/>
            <w:gridSpan w:val="2"/>
          </w:tcPr>
          <w:p>
            <w:pPr>
              <w:ind w:left="100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rPr>
              <w:t>Total stockholders' equity</w:t>
            </w:r>
          </w:p>
        </w:tc>
        <w:tc>
          <w:tcPr>
            <w:tcW w:w="1340" w:type="dxa"/>
            <w:vAlign w:val="bottom"/>
          </w:tcPr>
          <w:p>
            <w:pPr>
              <w:spacing w:after="0"/>
              <w:rPr>
                <w:sz w:val="24"/>
                <w:szCs w:val="24"/>
                <w:color w:val="auto"/>
              </w:rPr>
            </w:pP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198,982</w:t>
            </w:r>
          </w:p>
        </w:tc>
        <w:tc>
          <w:tcPr>
            <w:tcW w:w="540" w:type="dxa"/>
            <w:vAlign w:val="bottom"/>
          </w:tcPr>
          <w:p>
            <w:pPr>
              <w:spacing w:after="0"/>
              <w:rPr>
                <w:sz w:val="24"/>
                <w:szCs w:val="24"/>
                <w:color w:val="auto"/>
              </w:rPr>
            </w:pPr>
          </w:p>
        </w:tc>
        <w:tc>
          <w:tcPr>
            <w:tcW w:w="1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179,815</w:t>
            </w:r>
          </w:p>
        </w:tc>
      </w:tr>
      <w:tr>
        <w:trPr>
          <w:trHeight w:val="168"/>
        </w:trPr>
        <w:tc>
          <w:tcPr>
            <w:tcW w:w="20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960" w:type="dxa"/>
            <w:vAlign w:val="bottom"/>
            <w:gridSpan w:val="2"/>
          </w:tcPr>
          <w:p>
            <w:pPr>
              <w:ind w:left="100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340" w:type="dxa"/>
            <w:vAlign w:val="bottom"/>
          </w:tcPr>
          <w:p>
            <w:pPr>
              <w:ind w:left="100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358,205</w:t>
            </w:r>
          </w:p>
        </w:tc>
        <w:tc>
          <w:tcPr>
            <w:tcW w:w="5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337,077</w:t>
            </w:r>
          </w:p>
        </w:tc>
      </w:tr>
      <w:tr>
        <w:trPr>
          <w:trHeight w:val="168"/>
        </w:trPr>
        <w:tc>
          <w:tcPr>
            <w:tcW w:w="20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9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Unaudited Notes to Condensed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500"/>
          </w:cols>
          <w:pgMar w:left="220" w:top="953" w:right="1179" w:bottom="1440" w:gutter="0" w:footer="0" w:header="0"/>
        </w:sectPr>
      </w:pPr>
    </w:p>
    <w:bookmarkStart w:id="4" w:name="page5"/>
    <w:bookmarkEnd w:id="4"/>
    <w:p>
      <w:pPr>
        <w:jc w:val="center"/>
        <w:ind w:right="3580"/>
        <w:spacing w:after="0"/>
        <w:rPr>
          <w:sz w:val="20"/>
          <w:szCs w:val="20"/>
          <w:color w:val="auto"/>
        </w:rPr>
      </w:pPr>
      <w:r>
        <w:rPr>
          <w:rFonts w:ascii="Courier New" w:cs="Courier New" w:eastAsia="Courier New" w:hAnsi="Courier New"/>
          <w:sz w:val="15"/>
          <w:szCs w:val="15"/>
          <w:color w:val="auto"/>
        </w:rPr>
        <w:t>WINNEBAGO INDUSTRIES, INC. AND SUBSIDIARIES</w:t>
      </w:r>
    </w:p>
    <w:p>
      <w:pPr>
        <w:jc w:val="center"/>
        <w:ind w:right="3580"/>
        <w:spacing w:after="0" w:line="237" w:lineRule="auto"/>
        <w:rPr>
          <w:sz w:val="20"/>
          <w:szCs w:val="20"/>
          <w:color w:val="auto"/>
        </w:rPr>
      </w:pPr>
      <w:r>
        <w:rPr>
          <w:rFonts w:ascii="Courier New" w:cs="Courier New" w:eastAsia="Courier New" w:hAnsi="Courier New"/>
          <w:sz w:val="15"/>
          <w:szCs w:val="15"/>
          <w:color w:val="auto"/>
        </w:rPr>
        <w:t>UNAUDITED CONDENSED CONSOLIDATED STATEMENTS OF INCOME</w:t>
      </w:r>
    </w:p>
    <w:tbl>
      <w:tblPr>
        <w:tblLayout w:type="fixed"/>
        <w:tblInd w:w="0" w:type="dxa"/>
        <w:tblCellMar>
          <w:top w:w="0" w:type="dxa"/>
          <w:left w:w="0" w:type="dxa"/>
          <w:bottom w:w="0" w:type="dxa"/>
          <w:right w:w="0" w:type="dxa"/>
        </w:tblCellMar>
      </w:tblPr>
      <w:tr>
        <w:trPr>
          <w:trHeight w:val="169"/>
        </w:trPr>
        <w:tc>
          <w:tcPr>
            <w:tcW w:w="7140" w:type="dxa"/>
            <w:vAlign w:val="bottom"/>
            <w:gridSpan w:val="6"/>
          </w:tcPr>
          <w:p>
            <w:pPr>
              <w:spacing w:after="0" w:line="169" w:lineRule="exact"/>
              <w:rPr>
                <w:sz w:val="20"/>
                <w:szCs w:val="20"/>
                <w:color w:val="auto"/>
              </w:rPr>
            </w:pPr>
            <w:r>
              <w:rPr>
                <w:rFonts w:ascii="Courier New" w:cs="Courier New" w:eastAsia="Courier New" w:hAnsi="Courier New"/>
                <w:sz w:val="15"/>
                <w:szCs w:val="15"/>
                <w:color w:val="auto"/>
                <w:w w:val="98"/>
              </w:rPr>
              <w:t>================================================================================</w:t>
            </w: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5"/>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97"/>
              </w:rPr>
              <w:t>TWENTY-SIX</w:t>
            </w:r>
          </w:p>
        </w:tc>
        <w:tc>
          <w:tcPr>
            <w:tcW w:w="18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TWENTY-SEVEN</w:t>
            </w:r>
          </w:p>
        </w:tc>
      </w:tr>
      <w:tr>
        <w:trPr>
          <w:trHeight w:val="168"/>
        </w:trPr>
        <w:tc>
          <w:tcPr>
            <w:tcW w:w="3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THIRTEEN WEEKS ENDED</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WEEKS ENDED</w:t>
            </w:r>
          </w:p>
        </w:tc>
        <w:tc>
          <w:tcPr>
            <w:tcW w:w="18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WEEKS ENDED</w:t>
            </w:r>
          </w:p>
        </w:tc>
      </w:tr>
      <w:tr>
        <w:trPr>
          <w:trHeight w:val="168"/>
        </w:trPr>
        <w:tc>
          <w:tcPr>
            <w:tcW w:w="3240" w:type="dxa"/>
            <w:vAlign w:val="bottom"/>
          </w:tcPr>
          <w:p>
            <w:pPr>
              <w:spacing w:after="0"/>
              <w:rPr>
                <w:sz w:val="14"/>
                <w:szCs w:val="14"/>
                <w:color w:val="auto"/>
              </w:rPr>
            </w:pPr>
          </w:p>
        </w:tc>
        <w:tc>
          <w:tcPr>
            <w:tcW w:w="1940" w:type="dxa"/>
            <w:vAlign w:val="bottom"/>
            <w:gridSpan w:val="2"/>
          </w:tcPr>
          <w:p>
            <w:pPr>
              <w:ind w:left="260"/>
              <w:spacing w:after="0"/>
              <w:rPr>
                <w:sz w:val="20"/>
                <w:szCs w:val="20"/>
                <w:color w:val="auto"/>
              </w:rPr>
            </w:pPr>
            <w:r>
              <w:rPr>
                <w:rFonts w:ascii="Courier New" w:cs="Courier New" w:eastAsia="Courier New" w:hAnsi="Courier New"/>
                <w:sz w:val="10"/>
                <w:szCs w:val="10"/>
                <w:color w:val="auto"/>
                <w:w w:val="74"/>
              </w:rPr>
              <w:t>-------------------------------------</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4"/>
              </w:rPr>
              <w:t>MARCH 1,</w:t>
            </w:r>
          </w:p>
        </w:tc>
        <w:tc>
          <w:tcPr>
            <w:tcW w:w="16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MARCH 2,</w:t>
            </w:r>
          </w:p>
        </w:tc>
        <w:tc>
          <w:tcPr>
            <w:tcW w:w="300" w:type="dxa"/>
            <w:vAlign w:val="bottom"/>
          </w:tcPr>
          <w:p>
            <w:pPr>
              <w:spacing w:after="0"/>
              <w:rPr>
                <w:sz w:val="14"/>
                <w:szCs w:val="14"/>
                <w:color w:val="auto"/>
              </w:rPr>
            </w:pPr>
          </w:p>
        </w:tc>
        <w:tc>
          <w:tcPr>
            <w:tcW w:w="166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7"/>
              </w:rPr>
              <w:t>MARCH 1,</w:t>
            </w:r>
          </w:p>
        </w:tc>
        <w:tc>
          <w:tcPr>
            <w:tcW w:w="18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MARCH 2,</w:t>
            </w:r>
          </w:p>
        </w:tc>
      </w:tr>
      <w:tr>
        <w:trPr>
          <w:trHeight w:val="168"/>
        </w:trPr>
        <w:tc>
          <w:tcPr>
            <w:tcW w:w="3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2003</w:t>
            </w:r>
          </w:p>
        </w:tc>
        <w:tc>
          <w:tcPr>
            <w:tcW w:w="166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rPr>
              <w:t>2002</w:t>
            </w:r>
          </w:p>
        </w:tc>
        <w:tc>
          <w:tcPr>
            <w:tcW w:w="300" w:type="dxa"/>
            <w:vAlign w:val="bottom"/>
          </w:tcPr>
          <w:p>
            <w:pPr>
              <w:spacing w:after="0"/>
              <w:rPr>
                <w:sz w:val="14"/>
                <w:szCs w:val="14"/>
                <w:color w:val="auto"/>
              </w:rPr>
            </w:pPr>
          </w:p>
        </w:tc>
        <w:tc>
          <w:tcPr>
            <w:tcW w:w="166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4"/>
              </w:rPr>
              <w:t>2003</w:t>
            </w:r>
          </w:p>
        </w:tc>
        <w:tc>
          <w:tcPr>
            <w:tcW w:w="11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2002</w:t>
            </w:r>
          </w:p>
        </w:tc>
        <w:tc>
          <w:tcPr>
            <w:tcW w:w="74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9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186,728</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183,055</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420,817</w:t>
            </w:r>
          </w:p>
        </w:tc>
        <w:tc>
          <w:tcPr>
            <w:tcW w:w="114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360,857</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6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159,590</w:t>
            </w:r>
          </w:p>
        </w:tc>
        <w:tc>
          <w:tcPr>
            <w:tcW w:w="8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160,117</w:t>
            </w:r>
          </w:p>
        </w:tc>
        <w:tc>
          <w:tcPr>
            <w:tcW w:w="30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357,865</w:t>
            </w:r>
          </w:p>
        </w:tc>
        <w:tc>
          <w:tcPr>
            <w:tcW w:w="1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313,687</w:t>
            </w:r>
          </w:p>
        </w:tc>
      </w:tr>
      <w:tr>
        <w:trPr>
          <w:trHeight w:val="168"/>
        </w:trPr>
        <w:tc>
          <w:tcPr>
            <w:tcW w:w="3240" w:type="dxa"/>
            <w:vAlign w:val="bottom"/>
          </w:tcPr>
          <w:p>
            <w:pPr>
              <w:spacing w:after="0"/>
              <w:rPr>
                <w:sz w:val="14"/>
                <w:szCs w:val="14"/>
                <w:color w:val="auto"/>
              </w:rPr>
            </w:pPr>
          </w:p>
        </w:tc>
        <w:tc>
          <w:tcPr>
            <w:tcW w:w="19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Gross profit</w:t>
            </w:r>
          </w:p>
        </w:tc>
        <w:tc>
          <w:tcPr>
            <w:tcW w:w="6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27,138</w:t>
            </w:r>
          </w:p>
        </w:tc>
        <w:tc>
          <w:tcPr>
            <w:tcW w:w="8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22,938</w:t>
            </w:r>
          </w:p>
        </w:tc>
        <w:tc>
          <w:tcPr>
            <w:tcW w:w="30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62,952</w:t>
            </w:r>
          </w:p>
        </w:tc>
        <w:tc>
          <w:tcPr>
            <w:tcW w:w="1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47,170</w:t>
            </w:r>
          </w:p>
        </w:tc>
      </w:tr>
      <w:tr>
        <w:trPr>
          <w:trHeight w:val="168"/>
        </w:trPr>
        <w:tc>
          <w:tcPr>
            <w:tcW w:w="3240" w:type="dxa"/>
            <w:vAlign w:val="bottom"/>
          </w:tcPr>
          <w:p>
            <w:pPr>
              <w:spacing w:after="0"/>
              <w:rPr>
                <w:sz w:val="14"/>
                <w:szCs w:val="14"/>
                <w:color w:val="auto"/>
              </w:rPr>
            </w:pPr>
          </w:p>
        </w:tc>
        <w:tc>
          <w:tcPr>
            <w:tcW w:w="19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Selling</w:t>
            </w:r>
          </w:p>
        </w:tc>
        <w:tc>
          <w:tcPr>
            <w:tcW w:w="6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4,068</w:t>
            </w:r>
          </w:p>
        </w:tc>
        <w:tc>
          <w:tcPr>
            <w:tcW w:w="8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4,493</w:t>
            </w:r>
          </w:p>
        </w:tc>
        <w:tc>
          <w:tcPr>
            <w:tcW w:w="30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8,755</w:t>
            </w:r>
          </w:p>
        </w:tc>
        <w:tc>
          <w:tcPr>
            <w:tcW w:w="1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9,310</w:t>
            </w:r>
          </w:p>
        </w:tc>
      </w:tr>
      <w:tr>
        <w:trPr>
          <w:trHeight w:val="168"/>
        </w:trPr>
        <w:tc>
          <w:tcPr>
            <w:tcW w:w="3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6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2,950</w:t>
            </w:r>
          </w:p>
        </w:tc>
        <w:tc>
          <w:tcPr>
            <w:tcW w:w="8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5,031</w:t>
            </w:r>
          </w:p>
        </w:tc>
        <w:tc>
          <w:tcPr>
            <w:tcW w:w="30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8,087</w:t>
            </w:r>
          </w:p>
        </w:tc>
        <w:tc>
          <w:tcPr>
            <w:tcW w:w="1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9,135</w:t>
            </w:r>
          </w:p>
        </w:tc>
      </w:tr>
      <w:tr>
        <w:trPr>
          <w:trHeight w:val="168"/>
        </w:trPr>
        <w:tc>
          <w:tcPr>
            <w:tcW w:w="3240" w:type="dxa"/>
            <w:vAlign w:val="bottom"/>
          </w:tcPr>
          <w:p>
            <w:pPr>
              <w:spacing w:after="0"/>
              <w:rPr>
                <w:sz w:val="14"/>
                <w:szCs w:val="14"/>
                <w:color w:val="auto"/>
              </w:rPr>
            </w:pPr>
          </w:p>
        </w:tc>
        <w:tc>
          <w:tcPr>
            <w:tcW w:w="19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6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7,018</w:t>
            </w:r>
          </w:p>
        </w:tc>
        <w:tc>
          <w:tcPr>
            <w:tcW w:w="8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9,524</w:t>
            </w:r>
          </w:p>
        </w:tc>
        <w:tc>
          <w:tcPr>
            <w:tcW w:w="30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16,842</w:t>
            </w:r>
          </w:p>
        </w:tc>
        <w:tc>
          <w:tcPr>
            <w:tcW w:w="1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18,445</w:t>
            </w:r>
          </w:p>
        </w:tc>
      </w:tr>
      <w:tr>
        <w:trPr>
          <w:trHeight w:val="168"/>
        </w:trPr>
        <w:tc>
          <w:tcPr>
            <w:tcW w:w="3240" w:type="dxa"/>
            <w:vAlign w:val="bottom"/>
          </w:tcPr>
          <w:p>
            <w:pPr>
              <w:spacing w:after="0"/>
              <w:rPr>
                <w:sz w:val="14"/>
                <w:szCs w:val="14"/>
                <w:color w:val="auto"/>
              </w:rPr>
            </w:pPr>
          </w:p>
        </w:tc>
        <w:tc>
          <w:tcPr>
            <w:tcW w:w="19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620" w:type="dxa"/>
            <w:vAlign w:val="bottom"/>
          </w:tcPr>
          <w:p>
            <w:pPr>
              <w:spacing w:after="0"/>
              <w:rPr>
                <w:sz w:val="24"/>
                <w:szCs w:val="2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20,120</w:t>
            </w:r>
          </w:p>
        </w:tc>
        <w:tc>
          <w:tcPr>
            <w:tcW w:w="82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13,314</w:t>
            </w:r>
          </w:p>
        </w:tc>
        <w:tc>
          <w:tcPr>
            <w:tcW w:w="300" w:type="dxa"/>
            <w:vAlign w:val="bottom"/>
          </w:tcPr>
          <w:p>
            <w:pPr>
              <w:spacing w:after="0"/>
              <w:rPr>
                <w:sz w:val="24"/>
                <w:szCs w:val="24"/>
                <w:color w:val="auto"/>
              </w:rPr>
            </w:pPr>
          </w:p>
        </w:tc>
        <w:tc>
          <w:tcPr>
            <w:tcW w:w="1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46,110</w:t>
            </w:r>
          </w:p>
        </w:tc>
        <w:tc>
          <w:tcPr>
            <w:tcW w:w="11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28,725</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Financial income</w:t>
            </w:r>
          </w:p>
        </w:tc>
        <w:tc>
          <w:tcPr>
            <w:tcW w:w="620" w:type="dxa"/>
            <w:vAlign w:val="bottom"/>
          </w:tcPr>
          <w:p>
            <w:pPr>
              <w:spacing w:after="0"/>
              <w:rPr>
                <w:sz w:val="24"/>
                <w:szCs w:val="2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312</w:t>
            </w:r>
          </w:p>
        </w:tc>
        <w:tc>
          <w:tcPr>
            <w:tcW w:w="82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912</w:t>
            </w:r>
          </w:p>
        </w:tc>
        <w:tc>
          <w:tcPr>
            <w:tcW w:w="300" w:type="dxa"/>
            <w:vAlign w:val="bottom"/>
          </w:tcPr>
          <w:p>
            <w:pPr>
              <w:spacing w:after="0"/>
              <w:rPr>
                <w:sz w:val="24"/>
                <w:szCs w:val="24"/>
                <w:color w:val="auto"/>
              </w:rPr>
            </w:pPr>
          </w:p>
        </w:tc>
        <w:tc>
          <w:tcPr>
            <w:tcW w:w="1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493</w:t>
            </w:r>
          </w:p>
        </w:tc>
        <w:tc>
          <w:tcPr>
            <w:tcW w:w="11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1,804</w:t>
            </w:r>
          </w:p>
        </w:tc>
      </w:tr>
      <w:tr>
        <w:trPr>
          <w:trHeight w:val="168"/>
        </w:trPr>
        <w:tc>
          <w:tcPr>
            <w:tcW w:w="3240" w:type="dxa"/>
            <w:vAlign w:val="bottom"/>
          </w:tcPr>
          <w:p>
            <w:pPr>
              <w:spacing w:after="0"/>
              <w:rPr>
                <w:sz w:val="14"/>
                <w:szCs w:val="14"/>
                <w:color w:val="auto"/>
              </w:rPr>
            </w:pPr>
          </w:p>
        </w:tc>
        <w:tc>
          <w:tcPr>
            <w:tcW w:w="19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620" w:type="dxa"/>
            <w:vAlign w:val="bottom"/>
          </w:tcPr>
          <w:p>
            <w:pPr>
              <w:spacing w:after="0"/>
              <w:rPr>
                <w:sz w:val="24"/>
                <w:szCs w:val="2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20,432</w:t>
            </w:r>
          </w:p>
        </w:tc>
        <w:tc>
          <w:tcPr>
            <w:tcW w:w="82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14,326</w:t>
            </w:r>
          </w:p>
        </w:tc>
        <w:tc>
          <w:tcPr>
            <w:tcW w:w="300" w:type="dxa"/>
            <w:vAlign w:val="bottom"/>
          </w:tcPr>
          <w:p>
            <w:pPr>
              <w:spacing w:after="0"/>
              <w:rPr>
                <w:sz w:val="24"/>
                <w:szCs w:val="24"/>
                <w:color w:val="auto"/>
              </w:rPr>
            </w:pPr>
          </w:p>
        </w:tc>
        <w:tc>
          <w:tcPr>
            <w:tcW w:w="1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46,603</w:t>
            </w:r>
          </w:p>
        </w:tc>
        <w:tc>
          <w:tcPr>
            <w:tcW w:w="11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30,529</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Provision for taxes</w:t>
            </w:r>
          </w:p>
        </w:tc>
        <w:tc>
          <w:tcPr>
            <w:tcW w:w="620" w:type="dxa"/>
            <w:vAlign w:val="bottom"/>
          </w:tcPr>
          <w:p>
            <w:pPr>
              <w:spacing w:after="0"/>
              <w:rPr>
                <w:sz w:val="24"/>
                <w:szCs w:val="2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8,123</w:t>
            </w:r>
          </w:p>
        </w:tc>
        <w:tc>
          <w:tcPr>
            <w:tcW w:w="82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4,878</w:t>
            </w:r>
          </w:p>
        </w:tc>
        <w:tc>
          <w:tcPr>
            <w:tcW w:w="300" w:type="dxa"/>
            <w:vAlign w:val="bottom"/>
          </w:tcPr>
          <w:p>
            <w:pPr>
              <w:spacing w:after="0"/>
              <w:rPr>
                <w:sz w:val="24"/>
                <w:szCs w:val="24"/>
                <w:color w:val="auto"/>
              </w:rPr>
            </w:pPr>
          </w:p>
        </w:tc>
        <w:tc>
          <w:tcPr>
            <w:tcW w:w="1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18,016</w:t>
            </w:r>
          </w:p>
        </w:tc>
        <w:tc>
          <w:tcPr>
            <w:tcW w:w="11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10,371</w:t>
            </w:r>
          </w:p>
        </w:tc>
      </w:tr>
      <w:tr>
        <w:trPr>
          <w:trHeight w:val="168"/>
        </w:trPr>
        <w:tc>
          <w:tcPr>
            <w:tcW w:w="3240" w:type="dxa"/>
            <w:vAlign w:val="bottom"/>
          </w:tcPr>
          <w:p>
            <w:pPr>
              <w:spacing w:after="0"/>
              <w:rPr>
                <w:sz w:val="14"/>
                <w:szCs w:val="14"/>
                <w:color w:val="auto"/>
              </w:rPr>
            </w:pPr>
          </w:p>
        </w:tc>
        <w:tc>
          <w:tcPr>
            <w:tcW w:w="19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12,309</w:t>
            </w:r>
          </w:p>
        </w:tc>
        <w:tc>
          <w:tcPr>
            <w:tcW w:w="82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9,448</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28,587</w:t>
            </w:r>
          </w:p>
        </w:tc>
        <w:tc>
          <w:tcPr>
            <w:tcW w:w="114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20,158</w:t>
            </w:r>
          </w:p>
        </w:tc>
      </w:tr>
      <w:tr>
        <w:trPr>
          <w:trHeight w:val="168"/>
        </w:trPr>
        <w:tc>
          <w:tcPr>
            <w:tcW w:w="3240" w:type="dxa"/>
            <w:vAlign w:val="bottom"/>
          </w:tcPr>
          <w:p>
            <w:pPr>
              <w:spacing w:after="0"/>
              <w:rPr>
                <w:sz w:val="14"/>
                <w:szCs w:val="14"/>
                <w:color w:val="auto"/>
              </w:rPr>
            </w:pPr>
          </w:p>
        </w:tc>
        <w:tc>
          <w:tcPr>
            <w:tcW w:w="19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Income per share-basic (Note 9)</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1.52</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w:t>
            </w:r>
          </w:p>
        </w:tc>
      </w:tr>
      <w:tr>
        <w:trPr>
          <w:trHeight w:val="168"/>
        </w:trPr>
        <w:tc>
          <w:tcPr>
            <w:tcW w:w="3240" w:type="dxa"/>
            <w:vAlign w:val="bottom"/>
          </w:tcPr>
          <w:p>
            <w:pPr>
              <w:spacing w:after="0"/>
              <w:rPr>
                <w:sz w:val="14"/>
                <w:szCs w:val="14"/>
                <w:color w:val="auto"/>
              </w:rPr>
            </w:pPr>
          </w:p>
        </w:tc>
        <w:tc>
          <w:tcPr>
            <w:tcW w:w="19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Income per share-diluted (Note 9)</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w:t>
            </w:r>
          </w:p>
        </w:tc>
      </w:tr>
      <w:tr>
        <w:trPr>
          <w:trHeight w:val="168"/>
        </w:trPr>
        <w:tc>
          <w:tcPr>
            <w:tcW w:w="3240" w:type="dxa"/>
            <w:vAlign w:val="bottom"/>
          </w:tcPr>
          <w:p>
            <w:pPr>
              <w:spacing w:after="0"/>
              <w:rPr>
                <w:sz w:val="14"/>
                <w:szCs w:val="14"/>
                <w:color w:val="auto"/>
              </w:rPr>
            </w:pPr>
          </w:p>
        </w:tc>
        <w:tc>
          <w:tcPr>
            <w:tcW w:w="19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Weighted average shares of</w:t>
            </w: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outstanding</w:t>
            </w: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Basic</w:t>
            </w:r>
          </w:p>
        </w:tc>
        <w:tc>
          <w:tcPr>
            <w:tcW w:w="6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18,775</w:t>
            </w:r>
          </w:p>
        </w:tc>
        <w:tc>
          <w:tcPr>
            <w:tcW w:w="8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20,760</w:t>
            </w:r>
          </w:p>
        </w:tc>
        <w:tc>
          <w:tcPr>
            <w:tcW w:w="30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18,750</w:t>
            </w:r>
          </w:p>
        </w:tc>
        <w:tc>
          <w:tcPr>
            <w:tcW w:w="1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20,715</w:t>
            </w:r>
          </w:p>
        </w:tc>
      </w:tr>
      <w:tr>
        <w:trPr>
          <w:trHeight w:val="168"/>
        </w:trPr>
        <w:tc>
          <w:tcPr>
            <w:tcW w:w="3240" w:type="dxa"/>
            <w:vAlign w:val="bottom"/>
          </w:tcPr>
          <w:p>
            <w:pPr>
              <w:spacing w:after="0"/>
              <w:rPr>
                <w:sz w:val="14"/>
                <w:szCs w:val="14"/>
                <w:color w:val="auto"/>
              </w:rPr>
            </w:pPr>
          </w:p>
        </w:tc>
        <w:tc>
          <w:tcPr>
            <w:tcW w:w="19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Diluted</w:t>
            </w:r>
          </w:p>
        </w:tc>
        <w:tc>
          <w:tcPr>
            <w:tcW w:w="6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19,112</w:t>
            </w:r>
          </w:p>
        </w:tc>
        <w:tc>
          <w:tcPr>
            <w:tcW w:w="8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21,215</w:t>
            </w:r>
          </w:p>
        </w:tc>
        <w:tc>
          <w:tcPr>
            <w:tcW w:w="30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19,113</w:t>
            </w:r>
          </w:p>
        </w:tc>
        <w:tc>
          <w:tcPr>
            <w:tcW w:w="1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21,157</w:t>
            </w:r>
          </w:p>
        </w:tc>
      </w:tr>
      <w:tr>
        <w:trPr>
          <w:trHeight w:val="168"/>
        </w:trPr>
        <w:tc>
          <w:tcPr>
            <w:tcW w:w="3240" w:type="dxa"/>
            <w:vAlign w:val="bottom"/>
          </w:tcPr>
          <w:p>
            <w:pPr>
              <w:spacing w:after="0"/>
              <w:rPr>
                <w:sz w:val="14"/>
                <w:szCs w:val="14"/>
                <w:color w:val="auto"/>
              </w:rPr>
            </w:pPr>
          </w:p>
        </w:tc>
        <w:tc>
          <w:tcPr>
            <w:tcW w:w="19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Unaudited Notes to Condensed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680"/>
          </w:cols>
          <w:pgMar w:left="220" w:top="953" w:right="999" w:bottom="1440" w:gutter="0" w:footer="0" w:header="0"/>
        </w:sectPr>
      </w:pPr>
    </w:p>
    <w:bookmarkStart w:id="5" w:name="page6"/>
    <w:bookmarkEnd w:id="5"/>
    <w:p>
      <w:pPr>
        <w:jc w:val="center"/>
        <w:ind w:right="4440"/>
        <w:spacing w:after="0"/>
        <w:rPr>
          <w:sz w:val="20"/>
          <w:szCs w:val="20"/>
          <w:color w:val="auto"/>
        </w:rPr>
      </w:pPr>
      <w:r>
        <w:rPr>
          <w:rFonts w:ascii="Courier New" w:cs="Courier New" w:eastAsia="Courier New" w:hAnsi="Courier New"/>
          <w:sz w:val="15"/>
          <w:szCs w:val="15"/>
          <w:color w:val="auto"/>
        </w:rPr>
        <w:t>WINNEBAGO INDUSTRIES, INC. AND SUBSIDIARIES</w:t>
      </w:r>
    </w:p>
    <w:p>
      <w:pPr>
        <w:jc w:val="center"/>
        <w:ind w:right="4440"/>
        <w:spacing w:after="0" w:line="237" w:lineRule="auto"/>
        <w:rPr>
          <w:sz w:val="20"/>
          <w:szCs w:val="20"/>
          <w:color w:val="auto"/>
        </w:rPr>
      </w:pPr>
      <w:r>
        <w:rPr>
          <w:rFonts w:ascii="Courier New" w:cs="Courier New" w:eastAsia="Courier New" w:hAnsi="Courier New"/>
          <w:sz w:val="15"/>
          <w:szCs w:val="15"/>
          <w:color w:val="auto"/>
        </w:rPr>
        <w:t>UNAUDITED CONDENSED CONSOLIDATED STATEMENTS OF CASH FLOWS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15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THIRTEEN</w:t>
            </w:r>
          </w:p>
        </w:tc>
        <w:tc>
          <w:tcPr>
            <w:tcW w:w="14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THIRTEEN</w:t>
            </w:r>
          </w:p>
        </w:tc>
        <w:tc>
          <w:tcPr>
            <w:tcW w:w="1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TWENTY-SIX</w:t>
            </w:r>
          </w:p>
        </w:tc>
        <w:tc>
          <w:tcPr>
            <w:tcW w:w="1340" w:type="dxa"/>
            <w:vAlign w:val="bottom"/>
            <w:gridSpan w:val="2"/>
          </w:tcPr>
          <w:p>
            <w:pPr>
              <w:jc w:val="center"/>
              <w:ind w:right="127"/>
              <w:spacing w:after="0"/>
              <w:rPr>
                <w:sz w:val="20"/>
                <w:szCs w:val="20"/>
                <w:color w:val="auto"/>
              </w:rPr>
            </w:pPr>
            <w:r>
              <w:rPr>
                <w:rFonts w:ascii="Courier New" w:cs="Courier New" w:eastAsia="Courier New" w:hAnsi="Courier New"/>
                <w:sz w:val="15"/>
                <w:szCs w:val="15"/>
                <w:color w:val="auto"/>
                <w:w w:val="98"/>
              </w:rPr>
              <w:t>TWENTY-SEVEN</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5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WEEKS ENDED</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WEEKS ENDED</w:t>
            </w:r>
          </w:p>
        </w:tc>
        <w:tc>
          <w:tcPr>
            <w:tcW w:w="1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WEEKS ENDED</w:t>
            </w:r>
          </w:p>
        </w:tc>
        <w:tc>
          <w:tcPr>
            <w:tcW w:w="13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8"/>
              </w:rPr>
              <w:t>WEEKS ENDED</w:t>
            </w:r>
          </w:p>
        </w:tc>
      </w:tr>
      <w:tr>
        <w:trPr>
          <w:trHeight w:val="168"/>
        </w:trPr>
        <w:tc>
          <w:tcPr>
            <w:tcW w:w="5740" w:type="dxa"/>
            <w:vAlign w:val="bottom"/>
          </w:tcPr>
          <w:p>
            <w:pPr>
              <w:spacing w:after="0"/>
              <w:rPr>
                <w:sz w:val="14"/>
                <w:szCs w:val="14"/>
                <w:color w:val="auto"/>
              </w:rPr>
            </w:pP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MARCH 1,</w:t>
            </w: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MARCH 2,</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MARCH 1,</w:t>
            </w:r>
          </w:p>
        </w:tc>
        <w:tc>
          <w:tcPr>
            <w:tcW w:w="1340" w:type="dxa"/>
            <w:vAlign w:val="bottom"/>
            <w:gridSpan w:val="2"/>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MARCH 2,</w:t>
            </w:r>
          </w:p>
        </w:tc>
      </w:tr>
      <w:tr>
        <w:trPr>
          <w:trHeight w:val="168"/>
        </w:trPr>
        <w:tc>
          <w:tcPr>
            <w:tcW w:w="5740" w:type="dxa"/>
            <w:vAlign w:val="bottom"/>
          </w:tcPr>
          <w:p>
            <w:pPr>
              <w:spacing w:after="0"/>
              <w:rPr>
                <w:sz w:val="14"/>
                <w:szCs w:val="14"/>
                <w:color w:val="auto"/>
              </w:rPr>
            </w:pPr>
          </w:p>
        </w:tc>
        <w:tc>
          <w:tcPr>
            <w:tcW w:w="15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2003</w:t>
            </w:r>
          </w:p>
        </w:tc>
        <w:tc>
          <w:tcPr>
            <w:tcW w:w="144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2002</w:t>
            </w:r>
          </w:p>
        </w:tc>
        <w:tc>
          <w:tcPr>
            <w:tcW w:w="14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2003</w:t>
            </w:r>
          </w:p>
        </w:tc>
        <w:tc>
          <w:tcPr>
            <w:tcW w:w="400" w:type="dxa"/>
            <w:vAlign w:val="bottom"/>
          </w:tcPr>
          <w:p>
            <w:pPr>
              <w:spacing w:after="0"/>
              <w:rPr>
                <w:sz w:val="14"/>
                <w:szCs w:val="14"/>
                <w:color w:val="auto"/>
              </w:rPr>
            </w:pPr>
          </w:p>
        </w:tc>
        <w:tc>
          <w:tcPr>
            <w:tcW w:w="940" w:type="dxa"/>
            <w:vAlign w:val="bottom"/>
          </w:tcPr>
          <w:p>
            <w:pPr>
              <w:jc w:val="center"/>
              <w:ind w:right="527"/>
              <w:spacing w:after="0" w:line="168" w:lineRule="exact"/>
              <w:rPr>
                <w:sz w:val="20"/>
                <w:szCs w:val="20"/>
                <w:color w:val="auto"/>
              </w:rPr>
            </w:pPr>
            <w:r>
              <w:rPr>
                <w:rFonts w:ascii="Courier New" w:cs="Courier New" w:eastAsia="Courier New" w:hAnsi="Courier New"/>
                <w:sz w:val="15"/>
                <w:szCs w:val="15"/>
                <w:color w:val="auto"/>
                <w:w w:val="94"/>
              </w:rPr>
              <w:t>2002</w:t>
            </w:r>
          </w:p>
        </w:tc>
      </w:tr>
      <w:tr>
        <w:trPr>
          <w:trHeight w:val="168"/>
        </w:trPr>
        <w:tc>
          <w:tcPr>
            <w:tcW w:w="5740" w:type="dxa"/>
            <w:vAlign w:val="bottom"/>
          </w:tcPr>
          <w:p>
            <w:pPr>
              <w:spacing w:after="0"/>
              <w:rPr>
                <w:sz w:val="14"/>
                <w:szCs w:val="14"/>
                <w:color w:val="auto"/>
              </w:rPr>
            </w:pPr>
          </w:p>
        </w:tc>
        <w:tc>
          <w:tcPr>
            <w:tcW w:w="58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as shown on the statements of income</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12,309</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9,448</w:t>
            </w:r>
          </w:p>
        </w:tc>
        <w:tc>
          <w:tcPr>
            <w:tcW w:w="6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28,587</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20,158</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provided by</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7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2,056</w:t>
            </w:r>
          </w:p>
        </w:tc>
        <w:tc>
          <w:tcPr>
            <w:tcW w:w="5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1,913</w:t>
            </w: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4,017</w:t>
            </w:r>
          </w:p>
        </w:tc>
        <w:tc>
          <w:tcPr>
            <w:tcW w:w="40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3,961</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 benefit of stock options</w:t>
            </w:r>
          </w:p>
        </w:tc>
        <w:tc>
          <w:tcPr>
            <w:tcW w:w="7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317</w:t>
            </w:r>
          </w:p>
        </w:tc>
        <w:tc>
          <w:tcPr>
            <w:tcW w:w="5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1,329</w:t>
            </w: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867</w:t>
            </w:r>
          </w:p>
        </w:tc>
        <w:tc>
          <w:tcPr>
            <w:tcW w:w="40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3,008</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7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194</w:t>
            </w:r>
          </w:p>
        </w:tc>
        <w:tc>
          <w:tcPr>
            <w:tcW w:w="5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w:t>
            </w: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w:t>
            </w:r>
          </w:p>
        </w:tc>
        <w:tc>
          <w:tcPr>
            <w:tcW w:w="40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assets and liabilities</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Decrease (increase) in receivable and other assets</w:t>
            </w:r>
          </w:p>
        </w:tc>
        <w:tc>
          <w:tcPr>
            <w:tcW w:w="7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4,519</w:t>
            </w:r>
          </w:p>
        </w:tc>
        <w:tc>
          <w:tcPr>
            <w:tcW w:w="5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(9,258)</w:t>
            </w: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10,474</w:t>
            </w:r>
          </w:p>
        </w:tc>
        <w:tc>
          <w:tcPr>
            <w:tcW w:w="40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(374)</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in inventories</w:t>
            </w:r>
          </w:p>
        </w:tc>
        <w:tc>
          <w:tcPr>
            <w:tcW w:w="7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(22,546)</w:t>
            </w:r>
          </w:p>
        </w:tc>
        <w:tc>
          <w:tcPr>
            <w:tcW w:w="5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(1,654)</w:t>
            </w: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(13,751)</w:t>
            </w:r>
          </w:p>
        </w:tc>
        <w:tc>
          <w:tcPr>
            <w:tcW w:w="40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(3,316)</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in deferred income taxes</w:t>
            </w:r>
          </w:p>
        </w:tc>
        <w:tc>
          <w:tcPr>
            <w:tcW w:w="7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w:t>
            </w:r>
          </w:p>
        </w:tc>
        <w:tc>
          <w:tcPr>
            <w:tcW w:w="5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 -</w:t>
            </w: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(1,412)</w:t>
            </w:r>
          </w:p>
        </w:tc>
        <w:tc>
          <w:tcPr>
            <w:tcW w:w="40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(Decrease) increase in accounts payable and accrued expenses</w:t>
            </w:r>
          </w:p>
        </w:tc>
        <w:tc>
          <w:tcPr>
            <w:tcW w:w="7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7,256</w:t>
            </w:r>
          </w:p>
        </w:tc>
        <w:tc>
          <w:tcPr>
            <w:tcW w:w="5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22,565</w:t>
            </w: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(1,604)</w:t>
            </w:r>
          </w:p>
        </w:tc>
        <w:tc>
          <w:tcPr>
            <w:tcW w:w="40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8,808</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in income taxes payable</w:t>
            </w:r>
          </w:p>
        </w:tc>
        <w:tc>
          <w:tcPr>
            <w:tcW w:w="7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(8,858)</w:t>
            </w:r>
          </w:p>
        </w:tc>
        <w:tc>
          <w:tcPr>
            <w:tcW w:w="5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1,963</w:t>
            </w: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1,737</w:t>
            </w:r>
          </w:p>
        </w:tc>
        <w:tc>
          <w:tcPr>
            <w:tcW w:w="40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5,719</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in postretirement benefits</w:t>
            </w:r>
          </w:p>
        </w:tc>
        <w:tc>
          <w:tcPr>
            <w:tcW w:w="7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775</w:t>
            </w:r>
          </w:p>
        </w:tc>
        <w:tc>
          <w:tcPr>
            <w:tcW w:w="5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1,413</w:t>
            </w: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2,343</w:t>
            </w:r>
          </w:p>
        </w:tc>
        <w:tc>
          <w:tcPr>
            <w:tcW w:w="40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3,238</w:t>
            </w:r>
          </w:p>
        </w:tc>
      </w:tr>
      <w:tr>
        <w:trPr>
          <w:trHeight w:val="168"/>
        </w:trPr>
        <w:tc>
          <w:tcPr>
            <w:tcW w:w="5740" w:type="dxa"/>
            <w:vAlign w:val="bottom"/>
          </w:tcPr>
          <w:p>
            <w:pPr>
              <w:spacing w:after="0"/>
              <w:rPr>
                <w:sz w:val="14"/>
                <w:szCs w:val="14"/>
                <w:color w:val="auto"/>
              </w:rPr>
            </w:pPr>
          </w:p>
        </w:tc>
        <w:tc>
          <w:tcPr>
            <w:tcW w:w="58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7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(4,078)</w:t>
            </w:r>
          </w:p>
        </w:tc>
        <w:tc>
          <w:tcPr>
            <w:tcW w:w="5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27,860</w:t>
            </w: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31,402</w:t>
            </w:r>
          </w:p>
        </w:tc>
        <w:tc>
          <w:tcPr>
            <w:tcW w:w="40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41,288</w:t>
            </w:r>
          </w:p>
        </w:tc>
      </w:tr>
      <w:tr>
        <w:trPr>
          <w:trHeight w:val="168"/>
        </w:trPr>
        <w:tc>
          <w:tcPr>
            <w:tcW w:w="5740" w:type="dxa"/>
            <w:vAlign w:val="bottom"/>
          </w:tcPr>
          <w:p>
            <w:pPr>
              <w:spacing w:after="0"/>
              <w:rPr>
                <w:sz w:val="14"/>
                <w:szCs w:val="14"/>
                <w:color w:val="auto"/>
              </w:rPr>
            </w:pPr>
          </w:p>
        </w:tc>
        <w:tc>
          <w:tcPr>
            <w:tcW w:w="58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Cash flows used by investing activities</w:t>
            </w: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Purchases of property and equipment</w:t>
            </w:r>
          </w:p>
        </w:tc>
        <w:tc>
          <w:tcPr>
            <w:tcW w:w="7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(10,200)</w:t>
            </w:r>
          </w:p>
        </w:tc>
        <w:tc>
          <w:tcPr>
            <w:tcW w:w="5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w:t>
            </w: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(17,559)</w:t>
            </w:r>
          </w:p>
        </w:tc>
        <w:tc>
          <w:tcPr>
            <w:tcW w:w="40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(3,666)</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Investments in dealer receivables</w:t>
            </w:r>
          </w:p>
        </w:tc>
        <w:tc>
          <w:tcPr>
            <w:tcW w:w="7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(32,050)</w:t>
            </w:r>
          </w:p>
        </w:tc>
        <w:tc>
          <w:tcPr>
            <w:tcW w:w="5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(35,837)</w:t>
            </w: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(59,346)</w:t>
            </w:r>
          </w:p>
        </w:tc>
        <w:tc>
          <w:tcPr>
            <w:tcW w:w="40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(52,795)</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Collections of dealer receivables</w:t>
            </w:r>
          </w:p>
        </w:tc>
        <w:tc>
          <w:tcPr>
            <w:tcW w:w="7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32,147</w:t>
            </w:r>
          </w:p>
        </w:tc>
        <w:tc>
          <w:tcPr>
            <w:tcW w:w="5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33,157</w:t>
            </w: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54,272</w:t>
            </w:r>
          </w:p>
        </w:tc>
        <w:tc>
          <w:tcPr>
            <w:tcW w:w="40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54,887</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7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(203)</w:t>
            </w:r>
          </w:p>
        </w:tc>
        <w:tc>
          <w:tcPr>
            <w:tcW w:w="5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(1,094)</w:t>
            </w: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w:t>
            </w:r>
          </w:p>
        </w:tc>
        <w:tc>
          <w:tcPr>
            <w:tcW w:w="40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(2,037)</w:t>
            </w:r>
          </w:p>
        </w:tc>
      </w:tr>
      <w:tr>
        <w:trPr>
          <w:trHeight w:val="168"/>
        </w:trPr>
        <w:tc>
          <w:tcPr>
            <w:tcW w:w="5740" w:type="dxa"/>
            <w:vAlign w:val="bottom"/>
          </w:tcPr>
          <w:p>
            <w:pPr>
              <w:spacing w:after="0"/>
              <w:rPr>
                <w:sz w:val="14"/>
                <w:szCs w:val="14"/>
                <w:color w:val="auto"/>
              </w:rPr>
            </w:pPr>
          </w:p>
        </w:tc>
        <w:tc>
          <w:tcPr>
            <w:tcW w:w="58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by investing activities</w:t>
            </w:r>
          </w:p>
        </w:tc>
        <w:tc>
          <w:tcPr>
            <w:tcW w:w="7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(10,306)</w:t>
            </w:r>
          </w:p>
        </w:tc>
        <w:tc>
          <w:tcPr>
            <w:tcW w:w="5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(5,769)</w:t>
            </w: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(23,833)</w:t>
            </w:r>
          </w:p>
        </w:tc>
        <w:tc>
          <w:tcPr>
            <w:tcW w:w="40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(3,611)</w:t>
            </w:r>
          </w:p>
        </w:tc>
      </w:tr>
      <w:tr>
        <w:trPr>
          <w:trHeight w:val="168"/>
        </w:trPr>
        <w:tc>
          <w:tcPr>
            <w:tcW w:w="5740" w:type="dxa"/>
            <w:vAlign w:val="bottom"/>
          </w:tcPr>
          <w:p>
            <w:pPr>
              <w:spacing w:after="0"/>
              <w:rPr>
                <w:sz w:val="14"/>
                <w:szCs w:val="14"/>
                <w:color w:val="auto"/>
              </w:rPr>
            </w:pPr>
          </w:p>
        </w:tc>
        <w:tc>
          <w:tcPr>
            <w:tcW w:w="58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w w:val="99"/>
              </w:rPr>
              <w:t>Cash flows used by financing activities and capital transactions</w:t>
            </w: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for purchase of common stock</w:t>
            </w:r>
          </w:p>
        </w:tc>
        <w:tc>
          <w:tcPr>
            <w:tcW w:w="7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(10,521)</w:t>
            </w:r>
          </w:p>
        </w:tc>
        <w:tc>
          <w:tcPr>
            <w:tcW w:w="5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 -</w:t>
            </w: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(10,521)</w:t>
            </w:r>
          </w:p>
        </w:tc>
        <w:tc>
          <w:tcPr>
            <w:tcW w:w="40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(4,078)</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 of cash dividends</w:t>
            </w:r>
          </w:p>
        </w:tc>
        <w:tc>
          <w:tcPr>
            <w:tcW w:w="7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(1,887)</w:t>
            </w:r>
          </w:p>
        </w:tc>
        <w:tc>
          <w:tcPr>
            <w:tcW w:w="5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(2,075)</w:t>
            </w: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(1,887)</w:t>
            </w:r>
          </w:p>
        </w:tc>
        <w:tc>
          <w:tcPr>
            <w:tcW w:w="40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(2,075)</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issuance of common and treasury stock</w:t>
            </w:r>
          </w:p>
        </w:tc>
        <w:tc>
          <w:tcPr>
            <w:tcW w:w="7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215</w:t>
            </w:r>
          </w:p>
        </w:tc>
        <w:tc>
          <w:tcPr>
            <w:tcW w:w="5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(1,033)</w:t>
            </w: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2,121</w:t>
            </w:r>
          </w:p>
        </w:tc>
        <w:tc>
          <w:tcPr>
            <w:tcW w:w="40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673</w:t>
            </w:r>
          </w:p>
        </w:tc>
      </w:tr>
      <w:tr>
        <w:trPr>
          <w:trHeight w:val="168"/>
        </w:trPr>
        <w:tc>
          <w:tcPr>
            <w:tcW w:w="5740" w:type="dxa"/>
            <w:vAlign w:val="bottom"/>
          </w:tcPr>
          <w:p>
            <w:pPr>
              <w:spacing w:after="0"/>
              <w:rPr>
                <w:sz w:val="14"/>
                <w:szCs w:val="14"/>
                <w:color w:val="auto"/>
              </w:rPr>
            </w:pPr>
          </w:p>
        </w:tc>
        <w:tc>
          <w:tcPr>
            <w:tcW w:w="58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by financing activities and</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capital transactions</w:t>
            </w:r>
          </w:p>
        </w:tc>
        <w:tc>
          <w:tcPr>
            <w:tcW w:w="7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(12,193)</w:t>
            </w:r>
          </w:p>
        </w:tc>
        <w:tc>
          <w:tcPr>
            <w:tcW w:w="5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(3,108)</w:t>
            </w: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(10,287)</w:t>
            </w:r>
          </w:p>
        </w:tc>
        <w:tc>
          <w:tcPr>
            <w:tcW w:w="40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(5,480)</w:t>
            </w:r>
          </w:p>
        </w:tc>
      </w:tr>
      <w:tr>
        <w:trPr>
          <w:trHeight w:val="168"/>
        </w:trPr>
        <w:tc>
          <w:tcPr>
            <w:tcW w:w="5740" w:type="dxa"/>
            <w:vAlign w:val="bottom"/>
          </w:tcPr>
          <w:p>
            <w:pPr>
              <w:spacing w:after="0"/>
              <w:rPr>
                <w:sz w:val="14"/>
                <w:szCs w:val="14"/>
                <w:color w:val="auto"/>
              </w:rPr>
            </w:pPr>
          </w:p>
        </w:tc>
        <w:tc>
          <w:tcPr>
            <w:tcW w:w="58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(decrease) increase in cash and cash equivalents</w:t>
            </w:r>
          </w:p>
        </w:tc>
        <w:tc>
          <w:tcPr>
            <w:tcW w:w="7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(26,577)</w:t>
            </w:r>
          </w:p>
        </w:tc>
        <w:tc>
          <w:tcPr>
            <w:tcW w:w="5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18,983</w:t>
            </w: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(2,718)</w:t>
            </w:r>
          </w:p>
        </w:tc>
        <w:tc>
          <w:tcPr>
            <w:tcW w:w="40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32,197</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Cash and cash equivalents - beginning of period</w:t>
            </w:r>
          </w:p>
        </w:tc>
        <w:tc>
          <w:tcPr>
            <w:tcW w:w="74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66,084</w:t>
            </w:r>
          </w:p>
        </w:tc>
        <w:tc>
          <w:tcPr>
            <w:tcW w:w="5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115,494</w:t>
            </w:r>
          </w:p>
        </w:tc>
        <w:tc>
          <w:tcPr>
            <w:tcW w:w="6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42,225</w:t>
            </w:r>
          </w:p>
        </w:tc>
        <w:tc>
          <w:tcPr>
            <w:tcW w:w="400" w:type="dxa"/>
            <w:vAlign w:val="bottom"/>
          </w:tcPr>
          <w:p>
            <w:pPr>
              <w:spacing w:after="0"/>
              <w:rPr>
                <w:sz w:val="24"/>
                <w:szCs w:val="24"/>
                <w:color w:val="auto"/>
              </w:rPr>
            </w:pPr>
          </w:p>
        </w:tc>
        <w:tc>
          <w:tcPr>
            <w:tcW w:w="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102,280</w:t>
            </w:r>
          </w:p>
        </w:tc>
      </w:tr>
      <w:tr>
        <w:trPr>
          <w:trHeight w:val="168"/>
        </w:trPr>
        <w:tc>
          <w:tcPr>
            <w:tcW w:w="5740" w:type="dxa"/>
            <w:vAlign w:val="bottom"/>
          </w:tcPr>
          <w:p>
            <w:pPr>
              <w:spacing w:after="0"/>
              <w:rPr>
                <w:sz w:val="14"/>
                <w:szCs w:val="14"/>
                <w:color w:val="auto"/>
              </w:rPr>
            </w:pPr>
          </w:p>
        </w:tc>
        <w:tc>
          <w:tcPr>
            <w:tcW w:w="58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Cash and cash equivalents - end of period</w:t>
            </w:r>
          </w:p>
        </w:tc>
        <w:tc>
          <w:tcPr>
            <w:tcW w:w="7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39,507</w:t>
            </w:r>
          </w:p>
        </w:tc>
        <w:tc>
          <w:tcPr>
            <w:tcW w:w="56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134,477</w:t>
            </w:r>
          </w:p>
        </w:tc>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39,507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134,477</w:t>
            </w:r>
          </w:p>
        </w:tc>
      </w:tr>
      <w:tr>
        <w:trPr>
          <w:trHeight w:val="168"/>
        </w:trPr>
        <w:tc>
          <w:tcPr>
            <w:tcW w:w="5740" w:type="dxa"/>
            <w:vAlign w:val="bottom"/>
          </w:tcPr>
          <w:p>
            <w:pPr>
              <w:spacing w:after="0"/>
              <w:rPr>
                <w:sz w:val="14"/>
                <w:szCs w:val="14"/>
                <w:color w:val="auto"/>
              </w:rPr>
            </w:pPr>
          </w:p>
        </w:tc>
        <w:tc>
          <w:tcPr>
            <w:tcW w:w="58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See Unaudited Notes to Condensed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40"/>
          </w:cols>
          <w:pgMar w:left="220" w:top="953" w:right="139" w:bottom="1440" w:gutter="0" w:footer="0" w:header="0"/>
        </w:sectPr>
      </w:pPr>
    </w:p>
    <w:bookmarkStart w:id="6" w:name="page7"/>
    <w:bookmarkEnd w:id="6"/>
    <w:p>
      <w:pPr>
        <w:jc w:val="center"/>
        <w:ind w:right="3139"/>
        <w:spacing w:after="0"/>
        <w:rPr>
          <w:sz w:val="20"/>
          <w:szCs w:val="20"/>
          <w:color w:val="auto"/>
        </w:rPr>
      </w:pPr>
      <w:r>
        <w:rPr>
          <w:rFonts w:ascii="Courier New" w:cs="Courier New" w:eastAsia="Courier New" w:hAnsi="Courier New"/>
          <w:sz w:val="15"/>
          <w:szCs w:val="15"/>
          <w:color w:val="auto"/>
        </w:rPr>
        <w:t>WINNEBAGO INDUSTRIES, INC.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UNAUDITED NOTES TO CONDENSED CONSOLIDATED FINANCIAL STATEMENTS</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In the opinion of management, the accompanying unaudited condensed consolidated financial statements contain all adjustments, consisting of normal recurring accruals, necessary to present fairly the consolidated financial position as of March 1, 2003, the consolidated results of operations for the 26 and 13 weeks ended March 1, 2003 and the 27 and 13 weeks ended March 2, 2002, and the consolidated cash flows for the 26 weeks ended March 1, 2003 and the 27 weeks ended March 2, 2002. The statement of income for the 26 weeks ended March 1, 2003, is not necessarily indicative of the results to be expected for the full year. The balance sheet data as of August 31, 2002 was derived from audited financial statements, but does not include all of the information and footnotes required by generally accepted accounting principles for complete financial statements. These interim consolidated financial statements should be read in conjunction with the audited financial statements and notes thereto appearing in the Company's Annual Report to Shareholders for the year ended August 31, 2002.</w:t>
      </w:r>
    </w:p>
    <w:p>
      <w:pPr>
        <w:spacing w:after="0" w:line="163" w:lineRule="exact"/>
        <w:rPr>
          <w:sz w:val="20"/>
          <w:szCs w:val="20"/>
          <w:color w:val="auto"/>
        </w:rPr>
      </w:pPr>
    </w:p>
    <w:p>
      <w:pPr>
        <w:jc w:val="both"/>
        <w:ind w:left="440" w:right="3839"/>
        <w:spacing w:after="0" w:line="235" w:lineRule="auto"/>
        <w:rPr>
          <w:sz w:val="20"/>
          <w:szCs w:val="20"/>
          <w:color w:val="auto"/>
        </w:rPr>
      </w:pPr>
      <w:r>
        <w:rPr>
          <w:rFonts w:ascii="Courier New" w:cs="Courier New" w:eastAsia="Courier New" w:hAnsi="Courier New"/>
          <w:sz w:val="15"/>
          <w:szCs w:val="15"/>
          <w:color w:val="auto"/>
        </w:rPr>
        <w:t>Certain prior year balances have been reclassified to conform to the current year presentation. These reclassifications had no impact on previously reported net income or shareholders' equity.</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NEW ACCOUNTING PRONOUNCEMENTS</w:t>
      </w:r>
    </w:p>
    <w:p>
      <w:pPr>
        <w:spacing w:after="0" w:line="173" w:lineRule="exact"/>
        <w:rPr>
          <w:sz w:val="20"/>
          <w:szCs w:val="20"/>
          <w:color w:val="auto"/>
        </w:rPr>
      </w:pPr>
    </w:p>
    <w:p>
      <w:pPr>
        <w:ind w:left="440" w:right="3319"/>
        <w:spacing w:after="0" w:line="254" w:lineRule="auto"/>
        <w:rPr>
          <w:sz w:val="20"/>
          <w:szCs w:val="20"/>
          <w:color w:val="auto"/>
        </w:rPr>
      </w:pPr>
      <w:r>
        <w:rPr>
          <w:rFonts w:ascii="Courier New" w:cs="Courier New" w:eastAsia="Courier New" w:hAnsi="Courier New"/>
          <w:sz w:val="14"/>
          <w:szCs w:val="14"/>
          <w:color w:val="auto"/>
        </w:rPr>
        <w:t>The Company adopted Emerging Issues Task Force (EITF) Issue No. 01-9, Accounting for Consideration Given by a Vendor to a Customer or a Reseller of the Vendor's Products, at the beginning of the third quarter of fiscal 2002. This guidance was effective for periods beginning after December 5,</w:t>
      </w:r>
    </w:p>
    <w:p>
      <w:pPr>
        <w:spacing w:after="0" w:line="1" w:lineRule="exact"/>
        <w:rPr>
          <w:sz w:val="20"/>
          <w:szCs w:val="20"/>
          <w:color w:val="auto"/>
        </w:rPr>
      </w:pPr>
    </w:p>
    <w:p>
      <w:pPr>
        <w:ind w:left="440" w:right="3399"/>
        <w:spacing w:after="0" w:line="256" w:lineRule="auto"/>
        <w:rPr>
          <w:sz w:val="20"/>
          <w:szCs w:val="20"/>
          <w:color w:val="auto"/>
        </w:rPr>
      </w:pPr>
      <w:r>
        <w:rPr>
          <w:rFonts w:ascii="Courier New" w:cs="Courier New" w:eastAsia="Courier New" w:hAnsi="Courier New"/>
          <w:sz w:val="14"/>
          <w:szCs w:val="14"/>
          <w:color w:val="auto"/>
        </w:rPr>
        <w:t>2001. EITF No. 01-9 requires that certain payments to customers for cooperative advertising and certain sales incentive offers that were historically classified in selling expense be shown as a reduction in net revenues. The adoption of this new accounting policy had no impact on previously reported operating income, net income, or earnings per share.</w:t>
      </w:r>
    </w:p>
    <w:p>
      <w:pPr>
        <w:spacing w:after="0" w:line="163"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In July 2002, the Financial Accounting Standards Board (FASB) issued Statement of Financial Accounting Standard (SFAS) No. 146, Accounting for Costs Associated with Exit or Disposal Activities. This standard reviews the accounting for certain exit costs and disposal activities currently set forth in EITF Issue No. 94-3, Liability Recognition for Certain Employee Termination Benefits and Other Costs to Exit an Activity (including Certain Costs Incurred in a Restructuring). The principal change of the new statement requires that a liability for a cost associated with an exit or disposal activity be recognized when the liability is incurred versus the date of commitment to an exit plan. This statement is effective for exit and disposal activities initiated after December 31, 2002. The Company does not believe adoption of this standard will significantly affect the Company's financial condition or operating results.</w:t>
      </w:r>
    </w:p>
    <w:p>
      <w:pPr>
        <w:spacing w:after="0" w:line="164" w:lineRule="exact"/>
        <w:rPr>
          <w:sz w:val="20"/>
          <w:szCs w:val="20"/>
          <w:color w:val="auto"/>
        </w:rPr>
      </w:pPr>
    </w:p>
    <w:p>
      <w:pPr>
        <w:ind w:left="440" w:right="3239"/>
        <w:spacing w:after="0" w:line="237" w:lineRule="auto"/>
        <w:rPr>
          <w:sz w:val="20"/>
          <w:szCs w:val="20"/>
          <w:color w:val="auto"/>
        </w:rPr>
      </w:pPr>
      <w:r>
        <w:rPr>
          <w:rFonts w:ascii="Courier New" w:cs="Courier New" w:eastAsia="Courier New" w:hAnsi="Courier New"/>
          <w:sz w:val="15"/>
          <w:szCs w:val="15"/>
          <w:color w:val="auto"/>
        </w:rPr>
        <w:t>In November 2002, the FASB issued FASB Interpretation No. (FIN) 45, Guarantor's Accounting and Disclosure Requirements for Guarantees, Including Indirect Guarantees of Indebtedness of Others. FIN 45 clarifies the requirements for a guarantor's accounting for and disclosure of certain guarantees issued and outstanding. The initial recognition and initial measurement provisions of FIN 45 are applicable to guarantees issued or modified after December 31, 2002. The disclosure requirements of FIN 45 are effective for financial statements of interim or annual periods ending after December 15, 2002. The adoption of FIN 45 did not have an impact on the consolidated results of operations, financial position, or cash flows. See Note 4 for expanded warranty disclosure requirements of this new standard.</w:t>
      </w:r>
    </w:p>
    <w:p>
      <w:pPr>
        <w:spacing w:after="0" w:line="17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In December 2002, the FASB issued SFAS N0. 148, ACCOUNTING FOR STOCK-BASED COMPENSATION - TRANSITION AND DISCLOSURE - AN AMENDMENT OF FASB STATEMENT NO. 123. SFAS N0. 148 provides alternative methods of transition for a voluntary change to the fair value based method of accounting for stock-based employee compensation. In addition, SFAS No. 148 amends the disclosure requirements of SFAS No. 123 to require prominent disclosures in both annual and interim financial statements about the method of accounting for stock-based employee compensation</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85" w:right="1440" w:bottom="1440" w:gutter="0" w:footer="0" w:header="0"/>
        </w:sectPr>
      </w:pPr>
    </w:p>
    <w:bookmarkStart w:id="7" w:name="page8"/>
    <w:bookmarkEnd w:id="7"/>
    <w:p>
      <w:pPr>
        <w:ind w:left="440" w:right="3239"/>
        <w:spacing w:after="0" w:line="236" w:lineRule="auto"/>
        <w:rPr>
          <w:sz w:val="20"/>
          <w:szCs w:val="20"/>
          <w:color w:val="auto"/>
        </w:rPr>
      </w:pPr>
      <w:r>
        <w:rPr>
          <w:rFonts w:ascii="Courier New" w:cs="Courier New" w:eastAsia="Courier New" w:hAnsi="Courier New"/>
          <w:sz w:val="15"/>
          <w:szCs w:val="15"/>
          <w:color w:val="auto"/>
        </w:rPr>
        <w:t>and the effect of the method used on reported results. The Company will continue to account for stock-based compensation in accordance with APB Opinion No. 25. As such, the Company does not expect this standard will have a material impact on the consolidated financial position or results of operations. The Company will adopt the disclosure-only provisions of SFAS No. 148 in the third quarter of 2003.</w:t>
      </w:r>
    </w:p>
    <w:p>
      <w:pPr>
        <w:spacing w:after="0" w:line="16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INVENTORIES</w:t>
      </w:r>
    </w:p>
    <w:p>
      <w:pPr>
        <w:spacing w:after="0" w:line="173"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Inventories are valued at the lower of cost or market, with cost being determined under the last-in, first-out (LIFO) method and market defined as net realizable value.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Inventories are composed of the following (dollars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2100" w:type="dxa"/>
        <w:tblCellMar>
          <w:top w:w="0" w:type="dxa"/>
          <w:left w:w="0" w:type="dxa"/>
          <w:bottom w:w="0" w:type="dxa"/>
          <w:right w:w="0" w:type="dxa"/>
        </w:tblCellMar>
      </w:tblPr>
      <w:tr>
        <w:trPr>
          <w:trHeight w:val="170"/>
        </w:trPr>
        <w:tc>
          <w:tcPr>
            <w:tcW w:w="4740" w:type="dxa"/>
            <w:vAlign w:val="bottom"/>
            <w:gridSpan w:val="2"/>
          </w:tcPr>
          <w:p>
            <w:pPr>
              <w:ind w:left="3420"/>
              <w:spacing w:after="0"/>
              <w:rPr>
                <w:sz w:val="20"/>
                <w:szCs w:val="20"/>
                <w:color w:val="auto"/>
              </w:rPr>
            </w:pPr>
            <w:r>
              <w:rPr>
                <w:rFonts w:ascii="Courier New" w:cs="Courier New" w:eastAsia="Courier New" w:hAnsi="Courier New"/>
                <w:sz w:val="15"/>
                <w:szCs w:val="15"/>
                <w:color w:val="auto"/>
              </w:rPr>
              <w:t>March 1,</w:t>
            </w:r>
          </w:p>
        </w:tc>
        <w:tc>
          <w:tcPr>
            <w:tcW w:w="20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August 31,</w:t>
            </w:r>
          </w:p>
        </w:tc>
      </w:tr>
      <w:tr>
        <w:trPr>
          <w:trHeight w:val="168"/>
        </w:trPr>
        <w:tc>
          <w:tcPr>
            <w:tcW w:w="3500" w:type="dxa"/>
            <w:vAlign w:val="bottom"/>
          </w:tcPr>
          <w:p>
            <w:pPr>
              <w:spacing w:after="0"/>
              <w:rPr>
                <w:sz w:val="14"/>
                <w:szCs w:val="14"/>
                <w:color w:val="auto"/>
              </w:rPr>
            </w:pPr>
          </w:p>
        </w:tc>
        <w:tc>
          <w:tcPr>
            <w:tcW w:w="12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2003</w:t>
            </w:r>
          </w:p>
        </w:tc>
        <w:tc>
          <w:tcPr>
            <w:tcW w:w="920" w:type="dxa"/>
            <w:vAlign w:val="bottom"/>
          </w:tcPr>
          <w:p>
            <w:pPr>
              <w:spacing w:after="0"/>
              <w:rPr>
                <w:sz w:val="14"/>
                <w:szCs w:val="14"/>
                <w:color w:val="auto"/>
              </w:rPr>
            </w:pPr>
          </w:p>
        </w:tc>
        <w:tc>
          <w:tcPr>
            <w:tcW w:w="10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9"/>
              </w:rPr>
              <w:t>2002</w:t>
            </w:r>
          </w:p>
        </w:tc>
      </w:tr>
      <w:tr>
        <w:trPr>
          <w:trHeight w:val="168"/>
        </w:trPr>
        <w:tc>
          <w:tcPr>
            <w:tcW w:w="4740" w:type="dxa"/>
            <w:vAlign w:val="bottom"/>
            <w:gridSpan w:val="2"/>
          </w:tcPr>
          <w:p>
            <w:pPr>
              <w:ind w:left="2900"/>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505"/>
        </w:trPr>
        <w:tc>
          <w:tcPr>
            <w:tcW w:w="350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   59,105</w:t>
            </w:r>
          </w:p>
        </w:tc>
        <w:tc>
          <w:tcPr>
            <w:tcW w:w="92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48,037</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30,886</w:t>
            </w:r>
          </w:p>
        </w:tc>
        <w:tc>
          <w:tcPr>
            <w:tcW w:w="920" w:type="dxa"/>
            <w:vAlign w:val="bottom"/>
          </w:tcPr>
          <w:p>
            <w:pPr>
              <w:spacing w:after="0"/>
              <w:rPr>
                <w:sz w:val="24"/>
                <w:szCs w:val="24"/>
                <w:color w:val="auto"/>
              </w:rPr>
            </w:pP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26,995</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Raw materials.................</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61,673</w:t>
            </w:r>
          </w:p>
        </w:tc>
        <w:tc>
          <w:tcPr>
            <w:tcW w:w="92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62,194</w:t>
            </w:r>
          </w:p>
        </w:tc>
      </w:tr>
      <w:tr>
        <w:trPr>
          <w:trHeight w:val="168"/>
        </w:trPr>
        <w:tc>
          <w:tcPr>
            <w:tcW w:w="4740" w:type="dxa"/>
            <w:vAlign w:val="bottom"/>
            <w:gridSpan w:val="2"/>
          </w:tcPr>
          <w:p>
            <w:pPr>
              <w:ind w:left="2900"/>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151,664</w:t>
            </w:r>
          </w:p>
        </w:tc>
        <w:tc>
          <w:tcPr>
            <w:tcW w:w="92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137,226</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LIFO reserve..................</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(24,259)</w:t>
            </w:r>
          </w:p>
        </w:tc>
        <w:tc>
          <w:tcPr>
            <w:tcW w:w="92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(23,572)</w:t>
            </w:r>
          </w:p>
        </w:tc>
      </w:tr>
      <w:tr>
        <w:trPr>
          <w:trHeight w:val="168"/>
        </w:trPr>
        <w:tc>
          <w:tcPr>
            <w:tcW w:w="4740" w:type="dxa"/>
            <w:vAlign w:val="bottom"/>
            <w:gridSpan w:val="2"/>
          </w:tcPr>
          <w:p>
            <w:pPr>
              <w:ind w:left="2900"/>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ind w:left="342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127,405</w:t>
            </w:r>
          </w:p>
        </w:tc>
        <w:tc>
          <w:tcPr>
            <w:tcW w:w="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113,654</w:t>
            </w:r>
          </w:p>
        </w:tc>
      </w:tr>
      <w:tr>
        <w:trPr>
          <w:trHeight w:val="168"/>
        </w:trPr>
        <w:tc>
          <w:tcPr>
            <w:tcW w:w="4740" w:type="dxa"/>
            <w:vAlign w:val="bottom"/>
            <w:gridSpan w:val="2"/>
          </w:tcPr>
          <w:p>
            <w:pPr>
              <w:ind w:left="2900"/>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WARRANTIES</w:t>
      </w:r>
    </w:p>
    <w:p>
      <w:pPr>
        <w:spacing w:after="0" w:line="17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Estimated warranty costs are provided at the time of sale of the warranted products. Estimates of future warranty costs are based on prior experience and known current events. The changes in the provision for warranty reserve for the 26 weeks ended March 1, 2003, are as follows (dollars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ind w:left="2200"/>
              <w:spacing w:after="0"/>
              <w:rPr>
                <w:sz w:val="20"/>
                <w:szCs w:val="20"/>
                <w:color w:val="auto"/>
              </w:rPr>
            </w:pPr>
            <w:r>
              <w:rPr>
                <w:rFonts w:ascii="Courier New" w:cs="Courier New" w:eastAsia="Courier New" w:hAnsi="Courier New"/>
                <w:sz w:val="15"/>
                <w:szCs w:val="15"/>
                <w:color w:val="auto"/>
                <w:w w:val="99"/>
              </w:rPr>
              <w:t>Balance as</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of August 31, 2002</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8,151</w:t>
            </w:r>
          </w:p>
        </w:tc>
      </w:tr>
      <w:tr>
        <w:trPr>
          <w:trHeight w:val="168"/>
        </w:trPr>
        <w:tc>
          <w:tcPr>
            <w:tcW w:w="5040" w:type="dxa"/>
            <w:vAlign w:val="bottom"/>
            <w:gridSpan w:val="2"/>
          </w:tcPr>
          <w:p>
            <w:pPr>
              <w:ind w:left="2200"/>
              <w:spacing w:after="0" w:line="168" w:lineRule="exact"/>
              <w:rPr>
                <w:sz w:val="20"/>
                <w:szCs w:val="20"/>
                <w:color w:val="auto"/>
              </w:rPr>
            </w:pPr>
            <w:r>
              <w:rPr>
                <w:rFonts w:ascii="Courier New" w:cs="Courier New" w:eastAsia="Courier New" w:hAnsi="Courier New"/>
                <w:sz w:val="15"/>
                <w:szCs w:val="15"/>
                <w:color w:val="auto"/>
              </w:rPr>
              <w:t>Product warranty provision</w:t>
            </w:r>
          </w:p>
        </w:tc>
        <w:tc>
          <w:tcPr>
            <w:tcW w:w="1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6,723</w:t>
            </w:r>
          </w:p>
        </w:tc>
      </w:tr>
      <w:tr>
        <w:trPr>
          <w:trHeight w:val="168"/>
        </w:trPr>
        <w:tc>
          <w:tcPr>
            <w:tcW w:w="31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Payments</w:t>
            </w: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(5,504)</w:t>
            </w:r>
          </w:p>
        </w:tc>
      </w:tr>
      <w:tr>
        <w:trPr>
          <w:trHeight w:val="168"/>
        </w:trPr>
        <w:tc>
          <w:tcPr>
            <w:tcW w:w="3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20" w:type="dxa"/>
            <w:vAlign w:val="bottom"/>
          </w:tcPr>
          <w:p>
            <w:pPr>
              <w:ind w:left="2200"/>
              <w:spacing w:after="0"/>
              <w:rPr>
                <w:sz w:val="20"/>
                <w:szCs w:val="20"/>
                <w:color w:val="auto"/>
              </w:rPr>
            </w:pPr>
            <w:r>
              <w:rPr>
                <w:rFonts w:ascii="Courier New" w:cs="Courier New" w:eastAsia="Courier New" w:hAnsi="Courier New"/>
                <w:sz w:val="15"/>
                <w:szCs w:val="15"/>
                <w:color w:val="auto"/>
                <w:w w:val="99"/>
              </w:rPr>
              <w:t>Balance at</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March 1, 2003</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9,370</w:t>
            </w:r>
          </w:p>
        </w:tc>
      </w:tr>
      <w:tr>
        <w:trPr>
          <w:trHeight w:val="168"/>
        </w:trPr>
        <w:tc>
          <w:tcPr>
            <w:tcW w:w="3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NOTE 5:  CONTINGENT LIABILITIES AND</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COMMITMENTS</w:t>
            </w: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It is customary practice for companies in the recreation vehicle industry</w:t>
      </w:r>
    </w:p>
    <w:p>
      <w:pPr>
        <w:ind w:left="440"/>
        <w:spacing w:after="0" w:line="237" w:lineRule="auto"/>
        <w:rPr>
          <w:sz w:val="20"/>
          <w:szCs w:val="20"/>
          <w:color w:val="auto"/>
        </w:rPr>
      </w:pPr>
      <w:r>
        <w:rPr>
          <w:rFonts w:ascii="Courier New" w:cs="Courier New" w:eastAsia="Courier New" w:hAnsi="Courier New"/>
          <w:sz w:val="15"/>
          <w:szCs w:val="15"/>
          <w:color w:val="auto"/>
        </w:rPr>
        <w:t>to enter into repurchase agreements with lending institutions which have</w:t>
      </w:r>
    </w:p>
    <w:p>
      <w:pPr>
        <w:ind w:left="440"/>
        <w:spacing w:after="0" w:line="238" w:lineRule="auto"/>
        <w:rPr>
          <w:sz w:val="20"/>
          <w:szCs w:val="20"/>
          <w:color w:val="auto"/>
        </w:rPr>
      </w:pPr>
      <w:r>
        <w:rPr>
          <w:rFonts w:ascii="Courier New" w:cs="Courier New" w:eastAsia="Courier New" w:hAnsi="Courier New"/>
          <w:sz w:val="15"/>
          <w:szCs w:val="15"/>
          <w:color w:val="auto"/>
        </w:rPr>
        <w:t>provided wholesale floor plan financing to dealers. The Company's</w:t>
      </w:r>
    </w:p>
    <w:p>
      <w:pPr>
        <w:ind w:left="440"/>
        <w:spacing w:after="0" w:line="237" w:lineRule="auto"/>
        <w:rPr>
          <w:sz w:val="20"/>
          <w:szCs w:val="20"/>
          <w:color w:val="auto"/>
        </w:rPr>
      </w:pPr>
      <w:r>
        <w:rPr>
          <w:rFonts w:ascii="Courier New" w:cs="Courier New" w:eastAsia="Courier New" w:hAnsi="Courier New"/>
          <w:sz w:val="15"/>
          <w:szCs w:val="15"/>
          <w:color w:val="auto"/>
        </w:rPr>
        <w:t>agreements provide for the repurchase of its products from the financing</w:t>
      </w:r>
    </w:p>
    <w:p>
      <w:pPr>
        <w:ind w:left="440"/>
        <w:spacing w:after="0" w:line="238" w:lineRule="auto"/>
        <w:rPr>
          <w:sz w:val="20"/>
          <w:szCs w:val="20"/>
          <w:color w:val="auto"/>
        </w:rPr>
      </w:pPr>
      <w:r>
        <w:rPr>
          <w:rFonts w:ascii="Courier New" w:cs="Courier New" w:eastAsia="Courier New" w:hAnsi="Courier New"/>
          <w:sz w:val="15"/>
          <w:szCs w:val="15"/>
          <w:color w:val="auto"/>
        </w:rPr>
        <w:t>institution in the event of repossession upon a dealer's default. The</w:t>
      </w:r>
    </w:p>
    <w:p>
      <w:pPr>
        <w:ind w:left="440"/>
        <w:spacing w:after="0" w:line="237" w:lineRule="auto"/>
        <w:rPr>
          <w:sz w:val="20"/>
          <w:szCs w:val="20"/>
          <w:color w:val="auto"/>
        </w:rPr>
      </w:pPr>
      <w:r>
        <w:rPr>
          <w:rFonts w:ascii="Courier New" w:cs="Courier New" w:eastAsia="Courier New" w:hAnsi="Courier New"/>
          <w:sz w:val="15"/>
          <w:szCs w:val="15"/>
          <w:color w:val="auto"/>
        </w:rPr>
        <w:t>Company was contingently liable for approximately $275,355,000 and</w:t>
      </w:r>
    </w:p>
    <w:p>
      <w:pPr>
        <w:ind w:left="440"/>
        <w:spacing w:after="0" w:line="238" w:lineRule="auto"/>
        <w:rPr>
          <w:sz w:val="20"/>
          <w:szCs w:val="20"/>
          <w:color w:val="auto"/>
        </w:rPr>
      </w:pPr>
      <w:r>
        <w:rPr>
          <w:rFonts w:ascii="Courier New" w:cs="Courier New" w:eastAsia="Courier New" w:hAnsi="Courier New"/>
          <w:sz w:val="15"/>
          <w:szCs w:val="15"/>
          <w:color w:val="auto"/>
        </w:rPr>
        <w:t>$206,155,000 under repurchase agreements with lending institutions as of</w:t>
      </w:r>
    </w:p>
    <w:p>
      <w:pPr>
        <w:ind w:left="440"/>
        <w:spacing w:after="0" w:line="237" w:lineRule="auto"/>
        <w:rPr>
          <w:sz w:val="20"/>
          <w:szCs w:val="20"/>
          <w:color w:val="auto"/>
        </w:rPr>
      </w:pPr>
      <w:r>
        <w:rPr>
          <w:rFonts w:ascii="Courier New" w:cs="Courier New" w:eastAsia="Courier New" w:hAnsi="Courier New"/>
          <w:sz w:val="15"/>
          <w:szCs w:val="15"/>
          <w:color w:val="auto"/>
        </w:rPr>
        <w:t>March 1, 2003 and August 31, 2002, respectively. These repurchase</w:t>
      </w:r>
    </w:p>
    <w:p>
      <w:pPr>
        <w:ind w:left="440"/>
        <w:spacing w:after="0" w:line="238" w:lineRule="auto"/>
        <w:rPr>
          <w:sz w:val="20"/>
          <w:szCs w:val="20"/>
          <w:color w:val="auto"/>
        </w:rPr>
      </w:pPr>
      <w:r>
        <w:rPr>
          <w:rFonts w:ascii="Courier New" w:cs="Courier New" w:eastAsia="Courier New" w:hAnsi="Courier New"/>
          <w:sz w:val="15"/>
          <w:szCs w:val="15"/>
          <w:color w:val="auto"/>
        </w:rPr>
        <w:t>obligations have a term of one year from the date of the original invoice.</w:t>
      </w:r>
    </w:p>
    <w:p>
      <w:pPr>
        <w:ind w:left="440"/>
        <w:spacing w:after="0" w:line="238" w:lineRule="auto"/>
        <w:rPr>
          <w:sz w:val="20"/>
          <w:szCs w:val="20"/>
          <w:color w:val="auto"/>
        </w:rPr>
      </w:pPr>
      <w:r>
        <w:rPr>
          <w:rFonts w:ascii="Courier New" w:cs="Courier New" w:eastAsia="Courier New" w:hAnsi="Courier New"/>
          <w:sz w:val="15"/>
          <w:szCs w:val="15"/>
          <w:color w:val="auto"/>
        </w:rPr>
        <w:t>The Company's losses under these repurchase agreements were approximately</w:t>
      </w:r>
    </w:p>
    <w:p>
      <w:pPr>
        <w:ind w:left="440"/>
        <w:spacing w:after="0" w:line="237" w:lineRule="auto"/>
        <w:rPr>
          <w:sz w:val="20"/>
          <w:szCs w:val="20"/>
          <w:color w:val="auto"/>
        </w:rPr>
      </w:pPr>
      <w:r>
        <w:rPr>
          <w:rFonts w:ascii="Courier New" w:cs="Courier New" w:eastAsia="Courier New" w:hAnsi="Courier New"/>
          <w:sz w:val="15"/>
          <w:szCs w:val="15"/>
          <w:color w:val="auto"/>
        </w:rPr>
        <w:t>$39,000 during the 26 weeks ended March 1, 2003. Included in these</w:t>
      </w:r>
    </w:p>
    <w:p>
      <w:pPr>
        <w:ind w:left="440"/>
        <w:spacing w:after="0" w:line="238" w:lineRule="auto"/>
        <w:rPr>
          <w:sz w:val="20"/>
          <w:szCs w:val="20"/>
          <w:color w:val="auto"/>
        </w:rPr>
      </w:pPr>
      <w:r>
        <w:rPr>
          <w:rFonts w:ascii="Courier New" w:cs="Courier New" w:eastAsia="Courier New" w:hAnsi="Courier New"/>
          <w:sz w:val="15"/>
          <w:szCs w:val="15"/>
          <w:color w:val="auto"/>
        </w:rPr>
        <w:t>contingent liabilities as of March 1, 2003 and August 31, 2002 are</w:t>
      </w:r>
    </w:p>
    <w:p>
      <w:pPr>
        <w:ind w:left="440"/>
        <w:spacing w:after="0" w:line="237" w:lineRule="auto"/>
        <w:rPr>
          <w:sz w:val="20"/>
          <w:szCs w:val="20"/>
          <w:color w:val="auto"/>
        </w:rPr>
      </w:pPr>
      <w:r>
        <w:rPr>
          <w:rFonts w:ascii="Courier New" w:cs="Courier New" w:eastAsia="Courier New" w:hAnsi="Courier New"/>
          <w:sz w:val="15"/>
          <w:szCs w:val="15"/>
          <w:color w:val="auto"/>
        </w:rPr>
        <w:t>approximately $531,000 and $1,049,000, respectively, of certain dealer</w:t>
      </w:r>
    </w:p>
    <w:p>
      <w:pPr>
        <w:ind w:left="440"/>
        <w:spacing w:after="0" w:line="238" w:lineRule="auto"/>
        <w:rPr>
          <w:sz w:val="20"/>
          <w:szCs w:val="20"/>
          <w:color w:val="auto"/>
        </w:rPr>
      </w:pPr>
      <w:r>
        <w:rPr>
          <w:rFonts w:ascii="Courier New" w:cs="Courier New" w:eastAsia="Courier New" w:hAnsi="Courier New"/>
          <w:sz w:val="15"/>
          <w:szCs w:val="15"/>
          <w:color w:val="auto"/>
        </w:rPr>
        <w:t>receivables subject to recourse agreements with Bank of America Specialty</w:t>
      </w:r>
    </w:p>
    <w:p>
      <w:pPr>
        <w:ind w:left="440"/>
        <w:spacing w:after="0" w:line="237" w:lineRule="auto"/>
        <w:rPr>
          <w:sz w:val="20"/>
          <w:szCs w:val="20"/>
          <w:color w:val="auto"/>
        </w:rPr>
      </w:pPr>
      <w:r>
        <w:rPr>
          <w:rFonts w:ascii="Courier New" w:cs="Courier New" w:eastAsia="Courier New" w:hAnsi="Courier New"/>
          <w:sz w:val="15"/>
          <w:szCs w:val="15"/>
          <w:color w:val="auto"/>
        </w:rPr>
        <w:t>Group. The Company did not incur any actual losses under these recourse</w:t>
      </w:r>
    </w:p>
    <w:p>
      <w:pPr>
        <w:ind w:left="440"/>
        <w:spacing w:after="0" w:line="238" w:lineRule="auto"/>
        <w:rPr>
          <w:sz w:val="20"/>
          <w:szCs w:val="20"/>
          <w:color w:val="auto"/>
        </w:rPr>
      </w:pPr>
      <w:r>
        <w:rPr>
          <w:rFonts w:ascii="Courier New" w:cs="Courier New" w:eastAsia="Courier New" w:hAnsi="Courier New"/>
          <w:sz w:val="15"/>
          <w:szCs w:val="15"/>
          <w:color w:val="auto"/>
        </w:rPr>
        <w:t>agreements during the 26 weeks ended March 1, 2003.</w:t>
      </w:r>
    </w:p>
    <w:p>
      <w:pPr>
        <w:spacing w:after="0" w:line="173"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The Company has also entered into a repurchase agreement with a lending institution that covers approximately $1,564,000 and $1,698,000 of repurchase liability as of March 1, 2003 and August 31, 2002, respectively. This repurchase obligation has a term of two years from the date of the original invoice. The Company did not incur any actual losses under these repurchase agreements during the 26 weeks ended March 1, 2003.</w:t>
      </w:r>
    </w:p>
    <w:p>
      <w:pPr>
        <w:spacing w:after="0" w:line="166"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The Company records repurchase and recourse reserves based on prior experience and known current events. The combined repurchase and recourse reserve balances are approximately $392,000 and $333,000 as of March 1, 2003 and August 31, 2002, respectively.</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792" w:right="1440" w:bottom="1440" w:gutter="0" w:footer="0" w:header="0"/>
        </w:sectPr>
      </w:pPr>
    </w:p>
    <w:bookmarkStart w:id="8" w:name="page9"/>
    <w:bookmarkEnd w:id="8"/>
    <w:p>
      <w:pPr>
        <w:spacing w:after="0"/>
        <w:tabs>
          <w:tab w:leader="none" w:pos="7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SUPPLEMENTAL CASH FLOW DISCLOSURE</w:t>
      </w:r>
    </w:p>
    <w:p>
      <w:pPr>
        <w:spacing w:after="0" w:line="173" w:lineRule="exact"/>
        <w:rPr>
          <w:sz w:val="20"/>
          <w:szCs w:val="20"/>
          <w:color w:val="auto"/>
        </w:rPr>
      </w:pPr>
    </w:p>
    <w:p>
      <w:pPr>
        <w:ind w:right="4460" w:firstLine="437"/>
        <w:spacing w:after="0" w:line="234" w:lineRule="auto"/>
        <w:rPr>
          <w:sz w:val="20"/>
          <w:szCs w:val="20"/>
          <w:color w:val="auto"/>
        </w:rPr>
      </w:pPr>
      <w:r>
        <w:rPr>
          <w:rFonts w:ascii="Courier New" w:cs="Courier New" w:eastAsia="Courier New" w:hAnsi="Courier New"/>
          <w:sz w:val="15"/>
          <w:szCs w:val="15"/>
          <w:color w:val="auto"/>
        </w:rPr>
        <w:t>For the periods indicated, the Company paid cash for the following (dollars in thousands):</w:t>
      </w:r>
    </w:p>
    <w:p>
      <w:pPr>
        <w:sectPr>
          <w:pgSz w:w="11900" w:h="16838" w:orient="portrait"/>
          <w:cols w:equalWidth="0" w:num="1">
            <w:col w:w="11460"/>
          </w:cols>
          <w:pgMar w:left="220" w:top="785" w:right="21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Twenty-Six Weeks</w:t>
      </w:r>
    </w:p>
    <w:p>
      <w:pPr>
        <w:ind w:left="4560"/>
        <w:spacing w:after="0" w:line="237" w:lineRule="auto"/>
        <w:rPr>
          <w:sz w:val="20"/>
          <w:szCs w:val="20"/>
          <w:color w:val="auto"/>
        </w:rPr>
      </w:pPr>
      <w:r>
        <w:rPr>
          <w:rFonts w:ascii="Courier New" w:cs="Courier New" w:eastAsia="Courier New" w:hAnsi="Courier New"/>
          <w:sz w:val="15"/>
          <w:szCs w:val="15"/>
          <w:color w:val="auto"/>
        </w:rPr>
        <w:t>Ended</w:t>
      </w:r>
    </w:p>
    <w:p>
      <w:pPr>
        <w:ind w:left="4380"/>
        <w:spacing w:after="0" w:line="238" w:lineRule="auto"/>
        <w:rPr>
          <w:sz w:val="20"/>
          <w:szCs w:val="20"/>
          <w:color w:val="auto"/>
        </w:rPr>
      </w:pPr>
      <w:r>
        <w:rPr>
          <w:rFonts w:ascii="Courier New" w:cs="Courier New" w:eastAsia="Courier New" w:hAnsi="Courier New"/>
          <w:sz w:val="15"/>
          <w:szCs w:val="15"/>
          <w:color w:val="auto"/>
        </w:rPr>
        <w:t>March 1,</w:t>
      </w:r>
    </w:p>
    <w:p>
      <w:pPr>
        <w:ind w:left="4560"/>
        <w:spacing w:after="0" w:line="237" w:lineRule="auto"/>
        <w:rPr>
          <w:sz w:val="20"/>
          <w:szCs w:val="20"/>
          <w:color w:val="auto"/>
        </w:rPr>
      </w:pPr>
      <w:r>
        <w:rPr>
          <w:rFonts w:ascii="Courier New" w:cs="Courier New" w:eastAsia="Courier New" w:hAnsi="Courier New"/>
          <w:sz w:val="15"/>
          <w:szCs w:val="15"/>
          <w:color w:val="auto"/>
        </w:rPr>
        <w:t>2003</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Twenty-Seven</w:t>
      </w:r>
    </w:p>
    <w:p>
      <w:pPr>
        <w:ind w:left="360"/>
        <w:spacing w:after="0" w:line="237" w:lineRule="auto"/>
        <w:rPr>
          <w:sz w:val="20"/>
          <w:szCs w:val="20"/>
          <w:color w:val="auto"/>
        </w:rPr>
      </w:pPr>
      <w:r>
        <w:rPr>
          <w:rFonts w:ascii="Courier New" w:cs="Courier New" w:eastAsia="Courier New" w:hAnsi="Courier New"/>
          <w:sz w:val="15"/>
          <w:szCs w:val="15"/>
          <w:color w:val="auto"/>
        </w:rPr>
        <w:t>Weeks Ended</w:t>
      </w:r>
    </w:p>
    <w:p>
      <w:pPr>
        <w:ind w:left="440"/>
        <w:spacing w:after="0" w:line="238" w:lineRule="auto"/>
        <w:rPr>
          <w:sz w:val="20"/>
          <w:szCs w:val="20"/>
          <w:color w:val="auto"/>
        </w:rPr>
      </w:pPr>
      <w:r>
        <w:rPr>
          <w:rFonts w:ascii="Courier New" w:cs="Courier New" w:eastAsia="Courier New" w:hAnsi="Courier New"/>
          <w:sz w:val="15"/>
          <w:szCs w:val="15"/>
          <w:color w:val="auto"/>
        </w:rPr>
        <w:t>March 2,</w:t>
      </w:r>
    </w:p>
    <w:p>
      <w:pPr>
        <w:ind w:left="620"/>
        <w:spacing w:after="0" w:line="237" w:lineRule="auto"/>
        <w:rPr>
          <w:sz w:val="20"/>
          <w:szCs w:val="20"/>
          <w:color w:val="auto"/>
        </w:rPr>
      </w:pPr>
      <w:r>
        <w:rPr>
          <w:rFonts w:ascii="Courier New" w:cs="Courier New" w:eastAsia="Courier New" w:hAnsi="Courier New"/>
          <w:sz w:val="15"/>
          <w:szCs w:val="15"/>
          <w:color w:val="auto"/>
        </w:rPr>
        <w:t>2002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5700" w:space="340"/>
            <w:col w:w="5420"/>
          </w:cols>
          <w:pgMar w:left="220" w:top="785" w:right="219" w:bottom="1440" w:gutter="0" w:footer="0" w:header="0"/>
          <w:type w:val="continuous"/>
        </w:sectPr>
      </w:pPr>
    </w:p>
    <w:p>
      <w:pPr>
        <w:ind w:left="2280"/>
        <w:spacing w:after="0"/>
        <w:rPr>
          <w:sz w:val="20"/>
          <w:szCs w:val="20"/>
          <w:color w:val="auto"/>
        </w:rPr>
      </w:pPr>
      <w:r>
        <w:rPr>
          <w:rFonts w:ascii="Courier New" w:cs="Courier New" w:eastAsia="Courier New" w:hAnsi="Courier New"/>
          <w:sz w:val="15"/>
          <w:szCs w:val="15"/>
          <w:color w:val="auto"/>
        </w:rPr>
        <w:t>Interest</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Income taxes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 -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16,707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4,500</w:t>
      </w:r>
    </w:p>
    <w:p>
      <w:pPr>
        <w:spacing w:after="0" w:line="200" w:lineRule="exact"/>
        <w:rPr>
          <w:sz w:val="20"/>
          <w:szCs w:val="20"/>
          <w:color w:val="auto"/>
        </w:rPr>
      </w:pPr>
    </w:p>
    <w:p>
      <w:pPr>
        <w:sectPr>
          <w:pgSz w:w="11900" w:h="16838" w:orient="portrait"/>
          <w:cols w:equalWidth="0" w:num="5">
            <w:col w:w="3400" w:space="720"/>
            <w:col w:w="80" w:space="540"/>
            <w:col w:w="840" w:space="720"/>
            <w:col w:w="100" w:space="520"/>
            <w:col w:w="4540"/>
          </w:cols>
          <w:pgMar w:left="220" w:top="785" w:right="219" w:bottom="1440" w:gutter="0" w:footer="0" w:header="0"/>
          <w:type w:val="continuous"/>
        </w:sectPr>
      </w:pPr>
    </w:p>
    <w:p>
      <w:pPr>
        <w:spacing w:after="0" w:line="14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DIVIDEND DECLARED</w:t>
      </w:r>
    </w:p>
    <w:p>
      <w:pPr>
        <w:spacing w:after="0" w:line="173" w:lineRule="exact"/>
        <w:rPr>
          <w:sz w:val="20"/>
          <w:szCs w:val="20"/>
          <w:color w:val="auto"/>
        </w:rPr>
      </w:pPr>
    </w:p>
    <w:p>
      <w:pPr>
        <w:ind w:left="620" w:right="4460"/>
        <w:spacing w:after="0" w:line="235" w:lineRule="auto"/>
        <w:rPr>
          <w:sz w:val="20"/>
          <w:szCs w:val="20"/>
          <w:color w:val="auto"/>
        </w:rPr>
      </w:pPr>
      <w:r>
        <w:rPr>
          <w:rFonts w:ascii="Courier New" w:cs="Courier New" w:eastAsia="Courier New" w:hAnsi="Courier New"/>
          <w:sz w:val="15"/>
          <w:szCs w:val="15"/>
          <w:color w:val="auto"/>
        </w:rPr>
        <w:t>On March 19, 2003 the Board of Directors declared a cash dividend of $.10 per common share payable July 7, 2003 to shareholders of record on June 6, 2003.</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REPURCHASE OF OUTSTANDING STOCK</w:t>
      </w:r>
    </w:p>
    <w:p>
      <w:pPr>
        <w:spacing w:after="0" w:line="173" w:lineRule="exact"/>
        <w:rPr>
          <w:sz w:val="20"/>
          <w:szCs w:val="20"/>
          <w:color w:val="auto"/>
        </w:rPr>
      </w:pPr>
    </w:p>
    <w:p>
      <w:pPr>
        <w:ind w:left="620" w:right="4620"/>
        <w:spacing w:after="0" w:line="236" w:lineRule="auto"/>
        <w:rPr>
          <w:sz w:val="20"/>
          <w:szCs w:val="20"/>
          <w:color w:val="auto"/>
        </w:rPr>
      </w:pPr>
      <w:r>
        <w:rPr>
          <w:rFonts w:ascii="Courier New" w:cs="Courier New" w:eastAsia="Courier New" w:hAnsi="Courier New"/>
          <w:sz w:val="15"/>
          <w:szCs w:val="15"/>
          <w:color w:val="auto"/>
        </w:rPr>
        <w:t>On June 19, 2002, the Board of Directors authorized the repurchase of outstanding shares of the Company's common stock, depending on market conditions, for an aggregate purchase price of up to $15,000,000. As of March 1, 2003, 450,200 shares had been repurchased for an aggregate consideration of approximately $14,814,000 under this authorization. On March 19, 2003, the Board of Directors authorized the purchase of outstanding shares of the Company's common stock for an aggregate price of up to $20 million.</w:t>
      </w:r>
    </w:p>
    <w:p>
      <w:pPr>
        <w:spacing w:after="0" w:line="17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INCOME PER SHARE</w:t>
      </w:r>
    </w:p>
    <w:p>
      <w:pPr>
        <w:spacing w:after="0" w:line="173" w:lineRule="exact"/>
        <w:rPr>
          <w:sz w:val="20"/>
          <w:szCs w:val="20"/>
          <w:color w:val="auto"/>
        </w:rPr>
      </w:pPr>
    </w:p>
    <w:p>
      <w:pPr>
        <w:ind w:left="620" w:right="4460"/>
        <w:spacing w:after="0" w:line="235" w:lineRule="auto"/>
        <w:rPr>
          <w:sz w:val="20"/>
          <w:szCs w:val="20"/>
          <w:color w:val="auto"/>
        </w:rPr>
      </w:pPr>
      <w:r>
        <w:rPr>
          <w:rFonts w:ascii="Courier New" w:cs="Courier New" w:eastAsia="Courier New" w:hAnsi="Courier New"/>
          <w:sz w:val="15"/>
          <w:szCs w:val="15"/>
          <w:color w:val="auto"/>
        </w:rPr>
        <w:t>The following table reflects the calculation of basic and diluted earnings per share for the 13 and 26 weeks ended March 1, 2003 and the 13 and 27 weeks ended March 2, 2002.</w:t>
      </w:r>
    </w:p>
    <w:p>
      <w:pPr>
        <w:spacing w:after="0" w:line="200" w:lineRule="exact"/>
        <w:rPr>
          <w:sz w:val="20"/>
          <w:szCs w:val="20"/>
          <w:color w:val="auto"/>
        </w:rPr>
      </w:pPr>
    </w:p>
    <w:p>
      <w:pPr>
        <w:spacing w:after="0" w:line="30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4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7"/>
              </w:rPr>
              <w:t>Twenty-Six</w:t>
            </w:r>
          </w:p>
        </w:tc>
        <w:tc>
          <w:tcPr>
            <w:tcW w:w="17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Twenty-Seven</w:t>
            </w:r>
          </w:p>
        </w:tc>
      </w:tr>
      <w:tr>
        <w:trPr>
          <w:trHeight w:val="168"/>
        </w:trPr>
        <w:tc>
          <w:tcPr>
            <w:tcW w:w="3720" w:type="dxa"/>
            <w:vAlign w:val="bottom"/>
          </w:tcPr>
          <w:p>
            <w:pPr>
              <w:spacing w:after="0"/>
              <w:rPr>
                <w:sz w:val="14"/>
                <w:szCs w:val="14"/>
                <w:color w:val="auto"/>
              </w:rPr>
            </w:pPr>
          </w:p>
        </w:tc>
        <w:tc>
          <w:tcPr>
            <w:tcW w:w="28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Thirteen Weeks Ended</w:t>
            </w:r>
          </w:p>
        </w:tc>
        <w:tc>
          <w:tcPr>
            <w:tcW w:w="700" w:type="dxa"/>
            <w:vAlign w:val="bottom"/>
          </w:tcPr>
          <w:p>
            <w:pPr>
              <w:spacing w:after="0"/>
              <w:rPr>
                <w:sz w:val="14"/>
                <w:szCs w:val="14"/>
                <w:color w:val="auto"/>
              </w:rPr>
            </w:pP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Weeks Ended</w:t>
            </w: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Weeks Ended</w:t>
            </w:r>
          </w:p>
        </w:tc>
      </w:tr>
      <w:tr>
        <w:trPr>
          <w:trHeight w:val="168"/>
        </w:trPr>
        <w:tc>
          <w:tcPr>
            <w:tcW w:w="3720" w:type="dxa"/>
            <w:vAlign w:val="bottom"/>
          </w:tcPr>
          <w:p>
            <w:pPr>
              <w:spacing w:after="0"/>
              <w:rPr>
                <w:sz w:val="14"/>
                <w:szCs w:val="14"/>
                <w:color w:val="auto"/>
              </w:rPr>
            </w:pPr>
          </w:p>
        </w:tc>
        <w:tc>
          <w:tcPr>
            <w:tcW w:w="1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196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March 1,</w:t>
            </w:r>
          </w:p>
        </w:tc>
        <w:tc>
          <w:tcPr>
            <w:tcW w:w="158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March 2, 2002</w:t>
            </w:r>
          </w:p>
        </w:tc>
        <w:tc>
          <w:tcPr>
            <w:tcW w:w="184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March 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March 2,</w:t>
            </w:r>
          </w:p>
        </w:tc>
        <w:tc>
          <w:tcPr>
            <w:tcW w:w="52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2003</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w w:val="99"/>
              </w:rPr>
              <w:t>2003</w:t>
            </w:r>
          </w:p>
        </w:tc>
        <w:tc>
          <w:tcPr>
            <w:tcW w:w="74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2002</w:t>
            </w:r>
          </w:p>
        </w:tc>
        <w:tc>
          <w:tcPr>
            <w:tcW w:w="52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1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Earnings per share - basic</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12,309</w:t>
            </w:r>
          </w:p>
        </w:tc>
        <w:tc>
          <w:tcPr>
            <w:tcW w:w="88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9,448</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28,587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20,158</w:t>
            </w:r>
          </w:p>
        </w:tc>
      </w:tr>
      <w:tr>
        <w:trPr>
          <w:trHeight w:val="168"/>
        </w:trPr>
        <w:tc>
          <w:tcPr>
            <w:tcW w:w="3720" w:type="dxa"/>
            <w:vAlign w:val="bottom"/>
          </w:tcPr>
          <w:p>
            <w:pPr>
              <w:spacing w:after="0"/>
              <w:rPr>
                <w:sz w:val="14"/>
                <w:szCs w:val="14"/>
                <w:color w:val="auto"/>
              </w:rPr>
            </w:pPr>
          </w:p>
        </w:tc>
        <w:tc>
          <w:tcPr>
            <w:tcW w:w="1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outstanding</w:t>
            </w:r>
          </w:p>
        </w:tc>
        <w:tc>
          <w:tcPr>
            <w:tcW w:w="12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18,775</w:t>
            </w:r>
          </w:p>
        </w:tc>
        <w:tc>
          <w:tcPr>
            <w:tcW w:w="8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20,760</w:t>
            </w:r>
          </w:p>
        </w:tc>
        <w:tc>
          <w:tcPr>
            <w:tcW w:w="11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18,750</w:t>
            </w:r>
          </w:p>
        </w:tc>
        <w:tc>
          <w:tcPr>
            <w:tcW w:w="12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20,715</w:t>
            </w:r>
          </w:p>
        </w:tc>
      </w:tr>
      <w:tr>
        <w:trPr>
          <w:trHeight w:val="168"/>
        </w:trPr>
        <w:tc>
          <w:tcPr>
            <w:tcW w:w="3720" w:type="dxa"/>
            <w:vAlign w:val="bottom"/>
          </w:tcPr>
          <w:p>
            <w:pPr>
              <w:spacing w:after="0"/>
              <w:rPr>
                <w:sz w:val="14"/>
                <w:szCs w:val="14"/>
                <w:color w:val="auto"/>
              </w:rPr>
            </w:pPr>
          </w:p>
        </w:tc>
        <w:tc>
          <w:tcPr>
            <w:tcW w:w="1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share - basic</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3720" w:type="dxa"/>
            <w:vAlign w:val="bottom"/>
          </w:tcPr>
          <w:p>
            <w:pPr>
              <w:spacing w:after="0"/>
              <w:rPr>
                <w:sz w:val="14"/>
                <w:szCs w:val="14"/>
                <w:color w:val="auto"/>
              </w:rPr>
            </w:pPr>
          </w:p>
        </w:tc>
        <w:tc>
          <w:tcPr>
            <w:tcW w:w="1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Earnings per share - assuming dilution</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12,309</w:t>
            </w:r>
          </w:p>
        </w:tc>
        <w:tc>
          <w:tcPr>
            <w:tcW w:w="88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9,448</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28,587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20,158</w:t>
            </w:r>
          </w:p>
        </w:tc>
      </w:tr>
      <w:tr>
        <w:trPr>
          <w:trHeight w:val="168"/>
        </w:trPr>
        <w:tc>
          <w:tcPr>
            <w:tcW w:w="3720" w:type="dxa"/>
            <w:vAlign w:val="bottom"/>
          </w:tcPr>
          <w:p>
            <w:pPr>
              <w:spacing w:after="0"/>
              <w:rPr>
                <w:sz w:val="14"/>
                <w:szCs w:val="14"/>
                <w:color w:val="auto"/>
              </w:rPr>
            </w:pPr>
          </w:p>
        </w:tc>
        <w:tc>
          <w:tcPr>
            <w:tcW w:w="1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outstanding</w:t>
            </w:r>
          </w:p>
        </w:tc>
        <w:tc>
          <w:tcPr>
            <w:tcW w:w="12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18,775</w:t>
            </w:r>
          </w:p>
        </w:tc>
        <w:tc>
          <w:tcPr>
            <w:tcW w:w="8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20,760</w:t>
            </w:r>
          </w:p>
        </w:tc>
        <w:tc>
          <w:tcPr>
            <w:tcW w:w="11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18,750</w:t>
            </w:r>
          </w:p>
        </w:tc>
        <w:tc>
          <w:tcPr>
            <w:tcW w:w="12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20,715</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Dilutive impact of options outstanding</w:t>
            </w:r>
          </w:p>
        </w:tc>
        <w:tc>
          <w:tcPr>
            <w:tcW w:w="12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337</w:t>
            </w:r>
          </w:p>
        </w:tc>
        <w:tc>
          <w:tcPr>
            <w:tcW w:w="8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455</w:t>
            </w:r>
          </w:p>
        </w:tc>
        <w:tc>
          <w:tcPr>
            <w:tcW w:w="11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363</w:t>
            </w:r>
          </w:p>
        </w:tc>
        <w:tc>
          <w:tcPr>
            <w:tcW w:w="12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442</w:t>
            </w:r>
          </w:p>
        </w:tc>
      </w:tr>
      <w:tr>
        <w:trPr>
          <w:trHeight w:val="168"/>
        </w:trPr>
        <w:tc>
          <w:tcPr>
            <w:tcW w:w="3720" w:type="dxa"/>
            <w:vAlign w:val="bottom"/>
          </w:tcPr>
          <w:p>
            <w:pPr>
              <w:spacing w:after="0"/>
              <w:rPr>
                <w:sz w:val="14"/>
                <w:szCs w:val="14"/>
                <w:color w:val="auto"/>
              </w:rPr>
            </w:pPr>
          </w:p>
        </w:tc>
        <w:tc>
          <w:tcPr>
            <w:tcW w:w="1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&amp; potential</w:t>
            </w: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dilutive shares outstanding</w:t>
            </w:r>
          </w:p>
        </w:tc>
        <w:tc>
          <w:tcPr>
            <w:tcW w:w="12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19,112</w:t>
            </w:r>
          </w:p>
        </w:tc>
        <w:tc>
          <w:tcPr>
            <w:tcW w:w="8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21,215</w:t>
            </w:r>
          </w:p>
        </w:tc>
        <w:tc>
          <w:tcPr>
            <w:tcW w:w="11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19,113</w:t>
            </w:r>
          </w:p>
        </w:tc>
        <w:tc>
          <w:tcPr>
            <w:tcW w:w="12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21,157</w:t>
            </w:r>
          </w:p>
        </w:tc>
      </w:tr>
      <w:tr>
        <w:trPr>
          <w:trHeight w:val="168"/>
        </w:trPr>
        <w:tc>
          <w:tcPr>
            <w:tcW w:w="3720" w:type="dxa"/>
            <w:vAlign w:val="bottom"/>
          </w:tcPr>
          <w:p>
            <w:pPr>
              <w:spacing w:after="0"/>
              <w:rPr>
                <w:sz w:val="14"/>
                <w:szCs w:val="14"/>
                <w:color w:val="auto"/>
              </w:rPr>
            </w:pPr>
          </w:p>
        </w:tc>
        <w:tc>
          <w:tcPr>
            <w:tcW w:w="1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share - assuming dilution</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3720" w:type="dxa"/>
            <w:vAlign w:val="bottom"/>
          </w:tcPr>
          <w:p>
            <w:pPr>
              <w:spacing w:after="0"/>
              <w:rPr>
                <w:sz w:val="14"/>
                <w:szCs w:val="14"/>
                <w:color w:val="auto"/>
              </w:rPr>
            </w:pPr>
          </w:p>
        </w:tc>
        <w:tc>
          <w:tcPr>
            <w:tcW w:w="1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4460"/>
        <w:spacing w:after="0" w:line="236" w:lineRule="auto"/>
        <w:rPr>
          <w:sz w:val="20"/>
          <w:szCs w:val="20"/>
          <w:color w:val="auto"/>
        </w:rPr>
      </w:pPr>
      <w:r>
        <w:rPr>
          <w:rFonts w:ascii="Courier New" w:cs="Courier New" w:eastAsia="Courier New" w:hAnsi="Courier New"/>
          <w:sz w:val="15"/>
          <w:szCs w:val="15"/>
          <w:color w:val="auto"/>
        </w:rPr>
        <w:t>There were options to purchase 14,000 shares of common stock outstanding at a price of $39.475 per share during the 13 weeks ended March 1, 2003. These options were not included in the computation of diluted earnings per share because the options' exercise price was greater than the average market price of the common stock.</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460"/>
          </w:cols>
          <w:pgMar w:left="220" w:top="785" w:right="219" w:bottom="1440" w:gutter="0" w:footer="0" w:header="0"/>
          <w:type w:val="continuous"/>
        </w:sectPr>
      </w:pPr>
    </w:p>
    <w:bookmarkStart w:id="9" w:name="page10"/>
    <w:bookmarkEnd w:id="9"/>
    <w:p>
      <w:pPr>
        <w:spacing w:after="0"/>
        <w:tabs>
          <w:tab w:leader="none" w:pos="86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BUSINESS SEGMENT INFORMATION</w:t>
      </w:r>
    </w:p>
    <w:p>
      <w:pPr>
        <w:spacing w:after="0" w:line="173" w:lineRule="exact"/>
        <w:rPr>
          <w:sz w:val="20"/>
          <w:szCs w:val="20"/>
          <w:color w:val="auto"/>
        </w:rPr>
      </w:pPr>
    </w:p>
    <w:p>
      <w:pPr>
        <w:ind w:left="440" w:right="3239"/>
        <w:spacing w:after="0" w:line="254" w:lineRule="auto"/>
        <w:rPr>
          <w:sz w:val="20"/>
          <w:szCs w:val="20"/>
          <w:color w:val="auto"/>
        </w:rPr>
      </w:pPr>
      <w:r>
        <w:rPr>
          <w:rFonts w:ascii="Courier New" w:cs="Courier New" w:eastAsia="Courier New" w:hAnsi="Courier New"/>
          <w:sz w:val="14"/>
          <w:szCs w:val="14"/>
          <w:color w:val="auto"/>
        </w:rPr>
        <w:t>The Company defines its operations into two business segments: Recreational vehicles and other manufactured products, and dealer financing. Recreation vehicles and other manufactured products includes all data relating to the manufacturing and selling of the Company's Class A, B and C motor home products as well as sales of component products for other manufacturers and recreation vehicle related parts and service revenue. Dealer financing includes floorplan, used and rental unit financing for a limited number of the Company's dealers. Management focuses on operating income as a segment's measure of profit or loss when evaluating a segment's financial performance. Operating income for recreational vehicles and other manufactured products is before interest expense, interest income, and income taxes. Operating income for dealer financing includes interest income and interest expense, but is before income taxes. A variety of balance sheet ratios are used by management to measure the business segments. Maximizing the return from each segment's assets excluding cash and cash equivalents is the primary focus. Identifiable assets are those assets used in the operations of each industry segment. General corporate assets consist of cash and cash equivalents, deferred income taxes and other corporate assets not related to the two business segments. General corporate income includes interest income and administrative and miscellaneous costs. Inter segment sales and expenses are not significant.</w:t>
      </w:r>
    </w:p>
    <w:p>
      <w:pPr>
        <w:spacing w:after="0" w:line="343" w:lineRule="exact"/>
        <w:rPr>
          <w:sz w:val="20"/>
          <w:szCs w:val="20"/>
          <w:color w:val="auto"/>
        </w:rPr>
      </w:pPr>
    </w:p>
    <w:p>
      <w:pPr>
        <w:ind w:left="440" w:right="3319"/>
        <w:spacing w:after="0" w:line="234" w:lineRule="auto"/>
        <w:rPr>
          <w:sz w:val="20"/>
          <w:szCs w:val="20"/>
          <w:color w:val="auto"/>
        </w:rPr>
      </w:pPr>
      <w:r>
        <w:rPr>
          <w:rFonts w:ascii="Courier New" w:cs="Courier New" w:eastAsia="Courier New" w:hAnsi="Courier New"/>
          <w:sz w:val="15"/>
          <w:szCs w:val="15"/>
          <w:color w:val="auto"/>
        </w:rPr>
        <w:t>For the 26 weeks ended March 1, 2003 and the 27 weeks ended March 2, 2002, the Company's segment information is as follows:</w:t>
      </w:r>
    </w:p>
    <w:p>
      <w:pPr>
        <w:spacing w:after="0" w:line="200" w:lineRule="exact"/>
        <w:rPr>
          <w:sz w:val="20"/>
          <w:szCs w:val="20"/>
          <w:color w:val="auto"/>
        </w:rPr>
      </w:pPr>
    </w:p>
    <w:p>
      <w:pPr>
        <w:spacing w:after="0" w:line="30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Recreation</w:t>
      </w:r>
    </w:p>
    <w:p>
      <w:pPr>
        <w:ind w:left="3600"/>
        <w:spacing w:after="0" w:line="237" w:lineRule="auto"/>
        <w:rPr>
          <w:sz w:val="20"/>
          <w:szCs w:val="20"/>
          <w:color w:val="auto"/>
        </w:rPr>
      </w:pPr>
      <w:r>
        <w:rPr>
          <w:rFonts w:ascii="Courier New" w:cs="Courier New" w:eastAsia="Courier New" w:hAnsi="Courier New"/>
          <w:sz w:val="15"/>
          <w:szCs w:val="15"/>
          <w:color w:val="auto"/>
        </w:rPr>
        <w:t>Vehicles &amp; Other</w:t>
      </w:r>
    </w:p>
    <w:p>
      <w:pPr>
        <w:ind w:left="3780"/>
        <w:spacing w:after="0"/>
        <w:tabs>
          <w:tab w:leader="none" w:pos="5420" w:val="left"/>
          <w:tab w:leader="none" w:pos="6640" w:val="left"/>
        </w:tabs>
        <w:rPr>
          <w:sz w:val="20"/>
          <w:szCs w:val="20"/>
          <w:color w:val="auto"/>
        </w:rPr>
      </w:pPr>
      <w:r>
        <w:rPr>
          <w:rFonts w:ascii="Courier New" w:cs="Courier New" w:eastAsia="Courier New" w:hAnsi="Courier New"/>
          <w:sz w:val="15"/>
          <w:szCs w:val="15"/>
          <w:color w:val="auto"/>
        </w:rPr>
        <w:t>Manufactured</w:t>
      </w:r>
      <w:r>
        <w:rPr>
          <w:sz w:val="20"/>
          <w:szCs w:val="20"/>
          <w:color w:val="auto"/>
        </w:rPr>
        <w:tab/>
      </w:r>
      <w:r>
        <w:rPr>
          <w:rFonts w:ascii="Courier New" w:cs="Courier New" w:eastAsia="Courier New" w:hAnsi="Courier New"/>
          <w:sz w:val="15"/>
          <w:szCs w:val="15"/>
          <w:color w:val="auto"/>
        </w:rPr>
        <w:t>Dealer</w:t>
      </w:r>
      <w:r>
        <w:rPr>
          <w:sz w:val="20"/>
          <w:szCs w:val="20"/>
          <w:color w:val="auto"/>
        </w:rPr>
        <w:tab/>
      </w:r>
      <w:r>
        <w:rPr>
          <w:rFonts w:ascii="Courier New" w:cs="Courier New" w:eastAsia="Courier New" w:hAnsi="Courier New"/>
          <w:sz w:val="14"/>
          <w:szCs w:val="14"/>
          <w:color w:val="auto"/>
        </w:rPr>
        <w:t>General</w:t>
      </w:r>
    </w:p>
    <w:p>
      <w:pPr>
        <w:ind w:left="440"/>
        <w:spacing w:after="0"/>
        <w:tabs>
          <w:tab w:leader="none" w:pos="3920" w:val="left"/>
          <w:tab w:leader="none" w:pos="5240" w:val="left"/>
          <w:tab w:leader="none" w:pos="6540" w:val="left"/>
          <w:tab w:leader="none" w:pos="830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Products</w:t>
      </w:r>
      <w:r>
        <w:rPr>
          <w:sz w:val="20"/>
          <w:szCs w:val="20"/>
          <w:color w:val="auto"/>
        </w:rPr>
        <w:tab/>
      </w:r>
      <w:r>
        <w:rPr>
          <w:rFonts w:ascii="Courier New" w:cs="Courier New" w:eastAsia="Courier New" w:hAnsi="Courier New"/>
          <w:sz w:val="15"/>
          <w:szCs w:val="15"/>
          <w:color w:val="auto"/>
        </w:rPr>
        <w:t>Financing</w:t>
      </w:r>
      <w:r>
        <w:rPr>
          <w:sz w:val="20"/>
          <w:szCs w:val="20"/>
          <w:color w:val="auto"/>
        </w:rPr>
        <w:tab/>
      </w:r>
      <w:r>
        <w:rPr>
          <w:rFonts w:ascii="Courier New" w:cs="Courier New" w:eastAsia="Courier New" w:hAnsi="Courier New"/>
          <w:sz w:val="15"/>
          <w:szCs w:val="15"/>
          <w:color w:val="auto"/>
        </w:rPr>
        <w:t>Corporate</w:t>
      </w:r>
      <w:r>
        <w:rPr>
          <w:sz w:val="20"/>
          <w:szCs w:val="20"/>
          <w:color w:val="auto"/>
        </w:rPr>
        <w:tab/>
      </w:r>
      <w:r>
        <w:rPr>
          <w:rFonts w:ascii="Courier New" w:cs="Courier New" w:eastAsia="Courier New" w:hAnsi="Courier New"/>
          <w:sz w:val="14"/>
          <w:szCs w:val="14"/>
          <w:color w:val="auto"/>
        </w:rPr>
        <w:t>Total</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26 Weeks Ended March 1, 2003</w:t>
            </w:r>
          </w:p>
        </w:tc>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revenues</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$ 419,305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$ 1,512</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 -</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$ 420,817</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45,383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559</w:t>
            </w:r>
          </w:p>
        </w:tc>
        <w:tc>
          <w:tcPr>
            <w:tcW w:w="4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46,110</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236,605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43,193</w:t>
            </w:r>
          </w:p>
        </w:tc>
        <w:tc>
          <w:tcPr>
            <w:tcW w:w="4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78,407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358,205</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27 Weeks Ended March 2, 2002</w:t>
            </w:r>
          </w:p>
        </w:tc>
        <w:tc>
          <w:tcPr>
            <w:tcW w:w="1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revenues</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$ 359,209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$ 1,648</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 -</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$ 360,857</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27,752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630</w:t>
            </w:r>
          </w:p>
        </w:tc>
        <w:tc>
          <w:tcPr>
            <w:tcW w:w="4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28,725</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182,137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38,483</w:t>
            </w:r>
          </w:p>
        </w:tc>
        <w:tc>
          <w:tcPr>
            <w:tcW w:w="4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170,849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391,469</w:t>
            </w:r>
          </w:p>
        </w:tc>
      </w:tr>
    </w:tbl>
    <w:p>
      <w:pPr>
        <w:spacing w:after="0" w:line="341"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Certain prior year information has been reclassified to conform to current year presentation.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85" w:right="1440" w:bottom="1440" w:gutter="0" w:footer="0" w:header="0"/>
        </w:sectPr>
      </w:pPr>
    </w:p>
    <w:bookmarkStart w:id="10" w:name="page11"/>
    <w:bookmarkEnd w:id="10"/>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INFORMATION</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Certain of the matters discussed in this report are "forward looking statements" as defined in the Private Securities Litigation Reform Act of 1995, which involve risks and uncertainties, including, but not limited to the war with Iraq, reactions to actual or threatened terrorist attacks, availability and price of fuel, a significant increase in interest rates, a slowdown in the economy, availability of chassis, slower than anticipated sales of new or existing products, new product introductions by competitors, collections of dealer financing receivables and other factors which may be disclosed throughout this report.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 The Company undertakes no obligation to publicly update or revise any forward looking statements whether as a result of new information, future events or otherwise, except as required by law or the rules of the New York Stock Exchange.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preparing the consolidated financial statements, we follow accounting principles generally accepted in the United States of America, which in many cases requires us to make assumptions, estimates and judgments that affect the amounts reported. There are some policies that are especially critical because they are important in determining the financial condition and results of operations. These policies are described below and involve additional management judgment due to the sensitivity of the methods, assumptions and estimates necessary in determining the related income statement, asset and/or liability amounts.</w:t>
      </w:r>
    </w:p>
    <w:p>
      <w:pPr>
        <w:spacing w:after="0" w:line="178"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 offers to its customers a variety of warranties on its products ranging from 1 to 10 years in length. Estimated costs related to product warranty are accrued at the time of sale and included in cost of sales. Estimated costs are based upon past warranty claims and unit sales history and are adjusted as required to reflect actual costs incurred, as information becomes available (see Note 4 of Unaudited Notes to Condensed Consolidated Financial Statements).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has reserves for other loss exposures such as product liability, litigation and accounts receivable. The Company also has loss exposure on loan guarantees and repurchase agreements (see Note 5 of Unaudited Notes to Condensed Consolidated Financial Statements). Establishing loss reserves for these matters requires the use of estimates and judgments in regards to risk exposure and ultimate liability. The Company estimates losses using consistent and appropriate methods; however, changes in assumptions could materially affect the Company's recorded liabilities for loss. Reference is also made to the description of the Company's critical accounting policies included in the Company's Annual Report on Form 10-K for the fiscal year ended August 31, 2002.</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Thirteen Weeks Ended March 1, 2003 Compared to Thirteen Weeks Ended</w:t>
      </w:r>
    </w:p>
    <w:p>
      <w:pPr>
        <w:ind w:left="180" w:hanging="170"/>
        <w:spacing w:after="0" w:line="237" w:lineRule="auto"/>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March 2, 2002</w:t>
      </w:r>
    </w:p>
    <w:p>
      <w:pPr>
        <w:ind w:left="180" w:hanging="170"/>
        <w:spacing w:after="0" w:line="237" w:lineRule="auto"/>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Net revenues for recreation vehicle and other manufactured products for the 13 weeks ended March 1, 2003 were $185,958,000, an increase of $3,606,000, or 2.0 percent from the 13-week period ended March 2, 2002. Motor home unit sales (Class A and C) were 2,259 units, a decrease of 189 units, or 7.7 percent, during the second quarter of fiscal 2003 compared to the second quarter of fiscal 2002. When comparing the two quarters, the Company, as a percentage of the total unit sales, sold more higher-priced slideout featured units during the second quarter of fiscal 2003 than during the second quarter of fiscal 2002. The introduction of the Company's Vista and Sunstar Class C motor homes during the second quarter of fiscal 2002 contributed to the difference in number of unit shipments.</w:t>
      </w:r>
    </w:p>
    <w:p>
      <w:pPr>
        <w:spacing w:after="0" w:line="18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Net revenues for dealer financing of Winnebago Acceptance Corporation (WAC) were $770,000 for the 13 weeks ended March 1, 2003; an increase of $67,000 or 9.5 percent from the 13-week period ended March 2, 2002. Increased revenues for dealer financing reflect higher average outstanding dealer receivable balances partially offset by a decrease in interest rates.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792" w:right="1440" w:bottom="1440" w:gutter="0" w:footer="0" w:header="0"/>
        </w:sectPr>
      </w:pPr>
    </w:p>
    <w:bookmarkStart w:id="11" w:name="page12"/>
    <w:bookmarkEnd w:id="11"/>
    <w:p>
      <w:pPr>
        <w:ind w:right="3499"/>
        <w:spacing w:after="0" w:line="236" w:lineRule="auto"/>
        <w:rPr>
          <w:sz w:val="20"/>
          <w:szCs w:val="20"/>
          <w:color w:val="auto"/>
        </w:rPr>
      </w:pPr>
      <w:r>
        <w:rPr>
          <w:rFonts w:ascii="Courier New" w:cs="Courier New" w:eastAsia="Courier New" w:hAnsi="Courier New"/>
          <w:sz w:val="15"/>
          <w:szCs w:val="15"/>
          <w:color w:val="auto"/>
        </w:rPr>
        <w:t>Gross profit, as a percent of net revenues, was 14.5 percent for the 13 weeks ended March 1, 2003 compared to 12.5 percent for the 13 weeks ended March 2, 2002. The Company's higher margins were due primarily to an improved mix of products and a favorable physical inventory adjustment which were partially offset by the start-up costs of the new production facility in Charles City, Iowa.</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Selling expenses were $4,068,000 or 2.2 percent of net revenues during the second quarter of fiscal 2003 compared to $4,493,000 or 2.5 percent of net revenues during the second quarter of fiscal 2002. The decreases in dollars and percentage were caused primarily by reductions in advertising expenses during the second quarter of fiscal 2003.</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General and administrative expenses were $2,950,000 or 1.6 percent of net revenues during the 13 weeks ended March 1, 2003 compared to $5,031,000 or 2.7 percent of new revenues during the 13 weeks ended March 2, 2002. The decreases in dollars and percentage were caused primarily by lower stock-based incentive compensation expense, decreases in management incentive programs and a reduction in the Company's product liability expense.</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had net financial income of $312,000 for the second quarter of fiscal 2003 compared to net financial income of $912,000 for the comparable quarter of fiscal 2002. The decrease in interest income when comparing the two periods was due primarily to lower cash balances available for investing, principally as a result of Company stock buybacks during the past 12 months and, to a lesser degree, lower interest rates during the period ended March 1, 2003.</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effective income tax rate increased to 39.8 percent during the second quarter of fiscal 2003 from 34.0 percent during the second quarter of fiscal 2002. The increase in the effective tax rate was caused primarily by losses in the Winnebago Health Care Management Company which are likely not deductible for tax purposes due to a change in the Company's tax planning and a reduction of tax-free financial income during the second quarter of fiscal 2003.</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second quarter of fiscal 2003, the Company had net income of</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$12,309,000, or $.64 per diluted share compared to the second quarter of fiscal 2002's net income of $9,448,000, or $.45 per diluted share. Net income and earnings per diluted share increased by 30.3 percent and 42.2 percent, respectively, when comparing the second quarter of fiscal 2003 to the second quarter of fiscal 2002. The differences in percentages when comparing net income to net earnings per share were primarily due to a lower number of outstanding shares of the Company's common stock during the 13 weeks ended March 1, 2003 due to the Company's repurchase of shares during fiscal 2003 and 2002. (See Note 9 of the Unaudited Notes to Condensed Consolidated Financial Statements.)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Twenty-Six Weeks Ended March 1, 2003 Compared to Twenty-Seven Weeks Ended</w:t>
      </w:r>
    </w:p>
    <w:p>
      <w:pPr>
        <w:ind w:left="180" w:hanging="170"/>
        <w:spacing w:after="0" w:line="237"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March 2, 2002</w:t>
      </w:r>
    </w:p>
    <w:p>
      <w:pPr>
        <w:ind w:left="180" w:hanging="170"/>
        <w:spacing w:after="0" w:line="237"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Net revenues for recreation vehicle and other manufactured products for the 26 weeks ended March 1, 2003 were $419,305,000, an increase of $60,096,000, or 16.7 percent from the 27-week period ended March 2, 2002. Motor home unit sales (Class A and C) were 5,184 units, an increase of 419 units, or 8.8 percent, during the first half of fiscal 2003 compared to the first half of fiscal 2002. The percentage increase in net revenues for the 26 weeks ended March 1, 2003 was greater than the percentage increase in motor home unit sales for that period as a result of the Company's sales of more units, as a percentage of the total unit sales, with the higher-priced slideout feature during the period.</w:t>
      </w:r>
    </w:p>
    <w:p>
      <w:pPr>
        <w:spacing w:after="0" w:line="16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Net revenues for dealer financing of WAC were $1,512,000 for the 26 weeks ended March 1, 2003, a decrease of $136,000 or 8.3 percent from the 27-week period ended March 2, 2002. Decreased revenues for dealer financing reflect a significant decrease in interest rates partially offset by higher average outstanding dealer receivable balances when comparing the two periods.</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Gross profit, as a percent of net revenues, was 15.0 percent for the 26 weeks ended March 1, 2003 compared to 13.1 percent for the 27 weeks ended March 2, 2002. The Company's higher margins were due primarily to increased volume of motor home production, increased deliveries to the Company's dealers, an improved mix of products and a favorable physical inventory adjustment which were partially offset by the start-up costs of the new production facility in Charles City, Iowa.</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792" w:right="1440" w:bottom="1440" w:gutter="0" w:footer="0" w:header="0"/>
        </w:sectPr>
      </w:pPr>
    </w:p>
    <w:bookmarkStart w:id="12" w:name="page13"/>
    <w:bookmarkEnd w:id="12"/>
    <w:p>
      <w:pPr>
        <w:ind w:right="3239"/>
        <w:spacing w:after="0" w:line="236" w:lineRule="auto"/>
        <w:rPr>
          <w:sz w:val="20"/>
          <w:szCs w:val="20"/>
          <w:color w:val="auto"/>
        </w:rPr>
      </w:pPr>
      <w:r>
        <w:rPr>
          <w:rFonts w:ascii="Courier New" w:cs="Courier New" w:eastAsia="Courier New" w:hAnsi="Courier New"/>
          <w:sz w:val="15"/>
          <w:szCs w:val="15"/>
          <w:color w:val="auto"/>
        </w:rPr>
        <w:t>Selling expenses were $8,755,000 or 2.1 percent of net revenues during the 26 weeks ended March 2, 2002 compared to $9,310,000 or 2.6 percent of net revenues during the 27 weeks ended March 2, 2002. The decreases in dollars and percentage were caused primarily by reductions in advertising expenses during the first half of fiscal 2003.</w:t>
      </w:r>
    </w:p>
    <w:p>
      <w:pPr>
        <w:spacing w:after="0" w:line="174"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General and administrative expenses were $8,087,000 or 1.9 percent of net revenues during the 26 weeks ended March 1, 2003 compared to $9,135,000 or 2.5 percent of net revenues during the 27 weeks ended March 2, 2002. The decreases in dollars and percentage when comparing the two periods were caused primarily by lower stock-based incentive compensation expense, decreases in management incentive programs and a reduction in the Company's product liability expense.</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had net financial income of $493,000 for the 26 weeks ended March 1, 2003 compared to net financial income of $1,804,000 for the 27 weeks ended March 2, 2002. The decrease in interest income when comparing the two periods was due primarily to lower cash balances available for investing, principally as a result of Company stock buybacks during the past 12 months and, to a lesser degree, lower interest rates during the period ended March 1, 2003.</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effective income tax rate increased to 38.7 percent during the 26 weeks ended March 2, 2003 from 34.0 percent during the 27 weeks ended March 2, 2002. The increase in the effective tax rate was caused primarily by losses in the Winnebago Health Care Management Company which are likely not deductible for tax purposes due to a change in the Company's tax planning and a reduction of tax-free financial income during the first half of fiscal 2003.</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For the first half of fiscal 2003, the Company had net income of $28,587,000, or $1.50 per diluted share compared to the first half of fiscal 2002's net income of $20,158,000, or $.95 per diluted share. Net income and earnings per diluted share increased by 41.8 percent and 57.9 percent, respectively, when comparing the first half of fiscal 2003 to the first half of fiscal 2002. The differences in percentages when comparing net income to net earnings per share were primarily due to a lower number of outstanding shares of the Company's common stock during the 26 weeks ended March 1, 2003 due to the Company's repurchase of shares during fiscal 2003 and 2002. (See Note 9 of the Unaudited Notes to Condensed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FINANCIAL CONDITION</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Company generally meets its working capital, capital equipment and cash requirements with funds generated from operations.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At March 1, 2003, working capital was $151,333,000, an increase of $6,338,000 from the amount at August 31, 2002. The Company's principal uses of cash during the 26 weeks ended March 1, 2003 were $17,559,000 for the purchase of property and equipment, $10,521,000 for the purchase of shares of the Company's Common Stock and $1,887,000 for the payment of cash dividends. The Company's sources and uses of cash during the 26 weeks ended March 1, 2003 are set forth in the unaudited consolidated condensed statement of cash flows for that period.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known demands at March 1, 2003 on the Company's liquid assets for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remainder of fiscal 2003 include capital expenditures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$7,800,000 and the payment of cash dividends. Also, on March 19, 2003, the Board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Directors authorized the purchase of outstanding shares of the Company's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depending on market conditions, for an aggregate purchase price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 to $20 million.</w:t>
      </w:r>
    </w:p>
    <w:p>
      <w:pPr>
        <w:spacing w:after="0" w:line="173"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Management currently expects its cash on hand and funds from operations to be sufficient to cover both short-term and long-term operating requirements.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OUTLOOK</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Due to the lowest consumer confidence levels in recent history in the United States (U.S.) caused mainly by uncertainties related to the war with Iraq, it appears that the RV market has recently slowed. On April 10, 2003, Bruce D. Hertzke, the Company's CEO, commented in an interview with Bloomberg TV that as a result of the aforementioned factors impacting RV market conditions, the Company does not expect to meet current analysts' earnings estimates for the remainder of fiscal 2003.</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792" w:right="1440" w:bottom="1440" w:gutter="0" w:footer="0" w:header="0"/>
        </w:sectPr>
      </w:pPr>
    </w:p>
    <w:bookmarkStart w:id="13" w:name="page14"/>
    <w:bookmarkEnd w:id="13"/>
    <w:p>
      <w:pPr>
        <w:ind w:right="3239"/>
        <w:spacing w:after="0" w:line="255" w:lineRule="auto"/>
        <w:rPr>
          <w:sz w:val="20"/>
          <w:szCs w:val="20"/>
          <w:color w:val="auto"/>
        </w:rPr>
      </w:pPr>
      <w:r>
        <w:rPr>
          <w:rFonts w:ascii="Courier New" w:cs="Courier New" w:eastAsia="Courier New" w:hAnsi="Courier New"/>
          <w:sz w:val="14"/>
          <w:szCs w:val="14"/>
          <w:color w:val="auto"/>
        </w:rPr>
        <w:t>However, long-term demographics are favorable to the Company, as the target market of U.S. consumers' age 50 and older is anticipated to nearly double within the next 30 years. A recent Consumer Demographic Profile Study completed by the University of Michigan also found the age of people interested in purchasing recreation vehicles is expanding to include younger buyers as well as older buyers. Order backlog for the Company's Class A and Class C motor homes was 1,890 orders on March 1, 2003 compared to 3,206 orders on March 2, 2002. The Company includes in its backlog all accepted purchase orders from dealers shippable within the next six months. Orders in backlog can be canceled or postponed at the option of the purchaser at any time without penalty and, therefore, backlog may not necessarily be a measure of future sales.</w:t>
      </w:r>
    </w:p>
    <w:p>
      <w:pPr>
        <w:spacing w:after="0" w:line="15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As of March 1, 2003, the Company has an investment portfolio of fixed income securities, which are classified as cash and cash equivalents of $39,507,000, of which $33,333,000 are fixed income investments that are subject to interest rate risk.</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As of March 1, 2003, the Company had dealer-financing receivables in the amount of $42,941,000. Interest rate charges on these receivables vary based on the prime rate.</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CONTROLS AND PROCEDURES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Within the 90-day period prior to the filing of this report, an evaluation was carried out under the supervision and with the participation of the Company's management, including our Chief Executive Officer and Chief Financial Officer, of the effectiveness of our disclosure controls and procedures (as defined in Rule 13a-14(c) and 15d-14 (c) under the Securities Exchange Act of 1934). Based on their evaluation, our Chief Executive Officer and Chief Financial Officer have concluded that the Company's disclosure controls and procedures are, to the best of their knowledge, effective to ensure that information required to be disclosed by the Company in reports that it files or submits under the Exchange Act is recorded, processed, summarized and reported within the time periods specified in Securities and Exchange Commission rules and forms. Subsequent to the date of their evaluation, there were no significant changes in the Company's internal controls or in other factors that could significantly affect these controls, including any corrective actions with regard to significant deficiencies and material weaknesses.</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79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INDEPENDENT ACCOUNTANTS'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w:t>
      </w:r>
    </w:p>
    <w:p>
      <w:pPr>
        <w:spacing w:after="0" w:line="237" w:lineRule="auto"/>
        <w:rPr>
          <w:sz w:val="20"/>
          <w:szCs w:val="20"/>
          <w:color w:val="auto"/>
        </w:rPr>
      </w:pPr>
      <w:r>
        <w:rPr>
          <w:rFonts w:ascii="Courier New" w:cs="Courier New" w:eastAsia="Courier New" w:hAnsi="Courier New"/>
          <w:sz w:val="15"/>
          <w:szCs w:val="15"/>
          <w:color w:val="auto"/>
        </w:rPr>
        <w:t>Winnebago Industries, Inc.</w:t>
      </w:r>
    </w:p>
    <w:p>
      <w:pPr>
        <w:spacing w:after="0" w:line="238" w:lineRule="auto"/>
        <w:rPr>
          <w:sz w:val="20"/>
          <w:szCs w:val="20"/>
          <w:color w:val="auto"/>
        </w:rPr>
      </w:pPr>
      <w:r>
        <w:rPr>
          <w:rFonts w:ascii="Courier New" w:cs="Courier New" w:eastAsia="Courier New" w:hAnsi="Courier New"/>
          <w:sz w:val="15"/>
          <w:szCs w:val="15"/>
          <w:color w:val="auto"/>
        </w:rPr>
        <w:t>Forest City, Iowa</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reviewed the accompanying condensed consolidated balance sheet of Winnebago Industries, Inc. and subsidiaries (the Company) as of March 1, 2003, and the related condensed consolidated statements of income and cash flows for the 13-week and 26-week periods ended March 1, 2003 and the 13-week and 27-week periods ended March 2, 2002, respectively. These financial statements are the responsibility of the Company's management.</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conducted our review in accordance with standards established by the American Institute of Certified Public Accountants. A review of interim financial information consists principally of applying analytical procedures to financial data and of making inquiries of persons responsible for financial and accounting matters. It is substantially less in scope than an audit conducted in accordance with auditing standards generally accepted in the United States of America (generally accepted auditing standards), the objective of which is the expression of an opinion regarding the financial statements taken as a whole. Accordingly, we do not express such an opinion.</w:t>
      </w:r>
    </w:p>
    <w:p>
      <w:pPr>
        <w:spacing w:after="0" w:line="17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Based on our review, we are not aware of any material modifications that should be made to such condensed consolidated financial statements for them to be in conformity with accounting principles generally accepted in the United States of America.</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previously audited, in accordance with generally accepted auditing standards, the consolidated balance sheet of the Company as of August 31, 2002, and the related consolidated statements of income, stockholders' equity, and cash flows for the year then ended (not presented herein); and in our report dated October 4, 2002, we expressed an unqualified opinion on those consolidated financial statements. In our opinion, the information set forth in the accompanying condensed consolidated balance sheet as of August 31, 2002 is fairly stated, in all material respects, in relation to the consolidated balance sheet from which it has been derived.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237" w:lineRule="auto"/>
        <w:rPr>
          <w:sz w:val="20"/>
          <w:szCs w:val="20"/>
          <w:color w:val="auto"/>
        </w:rPr>
      </w:pPr>
      <w:r>
        <w:rPr>
          <w:rFonts w:ascii="Courier New" w:cs="Courier New" w:eastAsia="Courier New" w:hAnsi="Courier New"/>
          <w:sz w:val="15"/>
          <w:szCs w:val="15"/>
          <w:color w:val="auto"/>
        </w:rPr>
        <w:t>March 17, 2003</w:t>
      </w:r>
    </w:p>
    <w:p>
      <w:pPr>
        <w:spacing w:after="0" w:line="238" w:lineRule="auto"/>
        <w:rPr>
          <w:sz w:val="20"/>
          <w:szCs w:val="20"/>
          <w:color w:val="auto"/>
        </w:rPr>
      </w:pPr>
      <w:r>
        <w:rPr>
          <w:rFonts w:ascii="Courier New" w:cs="Courier New" w:eastAsia="Courier New" w:hAnsi="Courier New"/>
          <w:sz w:val="15"/>
          <w:szCs w:val="15"/>
          <w:color w:val="auto"/>
        </w:rPr>
        <w:t>(March 19, 2003 as to Note 7 and 8)</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785" w:right="1440" w:bottom="1440" w:gutter="0" w:footer="0" w:header="0"/>
        </w:sectPr>
      </w:pPr>
    </w:p>
    <w:bookmarkStart w:id="15" w:name="page16"/>
    <w:bookmarkEnd w:id="15"/>
    <w:p>
      <w:pPr>
        <w:spacing w:after="0"/>
        <w:tabs>
          <w:tab w:leader="none" w:pos="96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left="980" w:right="3239"/>
        <w:spacing w:after="0" w:line="255" w:lineRule="auto"/>
        <w:rPr>
          <w:sz w:val="20"/>
          <w:szCs w:val="20"/>
          <w:color w:val="auto"/>
        </w:rPr>
      </w:pPr>
      <w:r>
        <w:rPr>
          <w:rFonts w:ascii="Courier New" w:cs="Courier New" w:eastAsia="Courier New" w:hAnsi="Courier New"/>
          <w:sz w:val="14"/>
          <w:szCs w:val="14"/>
          <w:color w:val="auto"/>
        </w:rPr>
        <w:t>Reference is made to the comments in the Form 10-K for the fiscal year ended August 31, 2002 with respect to the purported class action captioned Sanft, et al vs. Winnebago Industries, Inc., et al which was filed in the United States District Court, Northern District of Iowa, Central Division on August 30, 2001. Since the Form 10-Q for the quarter ending November 30, 2002 was filed, the Plantiffs filed a Motion for Class Certification on January 31, 2003. The Company has filed a Resistance to Motion for Class Certification and oral arguments on such Motion and Resistance are scheduled to be held on April 22, 2003. We would anticipate a ruling on the Motion for Class Certification within a few weeks thereafter.</w:t>
      </w:r>
    </w:p>
    <w:p>
      <w:pPr>
        <w:spacing w:after="0" w:line="165" w:lineRule="exact"/>
        <w:rPr>
          <w:sz w:val="20"/>
          <w:szCs w:val="20"/>
          <w:color w:val="auto"/>
        </w:rPr>
      </w:pPr>
    </w:p>
    <w:p>
      <w:pPr>
        <w:ind w:left="980" w:right="3239"/>
        <w:spacing w:after="0" w:line="255" w:lineRule="auto"/>
        <w:rPr>
          <w:sz w:val="20"/>
          <w:szCs w:val="20"/>
          <w:color w:val="auto"/>
        </w:rPr>
      </w:pPr>
      <w:r>
        <w:rPr>
          <w:rFonts w:ascii="Courier New" w:cs="Courier New" w:eastAsia="Courier New" w:hAnsi="Courier New"/>
          <w:sz w:val="14"/>
          <w:szCs w:val="14"/>
          <w:color w:val="auto"/>
        </w:rPr>
        <w:t>The Company is also involved in various other legal proceedings which are ordinary routine litigation to its business, many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15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ind w:left="1320" w:hanging="348"/>
        <w:spacing w:after="0"/>
        <w:tabs>
          <w:tab w:leader="none" w:pos="13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meeting of shareholders was held January 14, 2003.</w:t>
      </w:r>
    </w:p>
    <w:p>
      <w:pPr>
        <w:spacing w:after="0" w:line="172" w:lineRule="exact"/>
        <w:rPr>
          <w:rFonts w:ascii="Courier New" w:cs="Courier New" w:eastAsia="Courier New" w:hAnsi="Courier New"/>
          <w:sz w:val="15"/>
          <w:szCs w:val="15"/>
          <w:color w:val="auto"/>
        </w:rPr>
      </w:pPr>
    </w:p>
    <w:p>
      <w:pPr>
        <w:ind w:left="1320" w:right="3239" w:hanging="348"/>
        <w:spacing w:after="0" w:line="234" w:lineRule="auto"/>
        <w:tabs>
          <w:tab w:leader="none" w:pos="13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breakdown of votes for the election of three directors was as follows*</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1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Votes Cast For</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Authority Withheld</w:t>
            </w:r>
          </w:p>
        </w:tc>
      </w:tr>
      <w:tr>
        <w:trPr>
          <w:trHeight w:val="168"/>
        </w:trPr>
        <w:tc>
          <w:tcPr>
            <w:tcW w:w="2580" w:type="dxa"/>
            <w:vAlign w:val="bottom"/>
          </w:tcPr>
          <w:p>
            <w:pPr>
              <w:spacing w:after="0"/>
              <w:rPr>
                <w:sz w:val="14"/>
                <w:szCs w:val="14"/>
                <w:color w:val="auto"/>
              </w:rPr>
            </w:pP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V. Hanson (2006)</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17,413,727</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175,056</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Bruce D. Hertzke (2006)</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15,480,170</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2,108,613</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Gerald C. Kitch (2006)</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17,511,374</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77,409</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were no broker non-votes.</w:t>
      </w:r>
    </w:p>
    <w:p>
      <w:pPr>
        <w:ind w:left="180" w:hanging="170"/>
        <w:spacing w:after="0" w:line="237" w:lineRule="auto"/>
        <w:tabs>
          <w:tab w:leader="none" w:pos="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represents year of Annual Meeting that individual's term will expire.</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Item 6.</w:t>
      </w:r>
      <w:r>
        <w:rPr>
          <w:rFonts w:ascii="Courier New" w:cs="Courier New" w:eastAsia="Courier New" w:hAnsi="Courier New"/>
          <w:sz w:val="14"/>
          <w:szCs w:val="14"/>
          <w:color w:val="auto"/>
        </w:rPr>
        <w:t>Exhibits and Reports on Form 8-K</w:t>
      </w:r>
    </w:p>
    <w:p>
      <w:pPr>
        <w:spacing w:after="0" w:line="166" w:lineRule="exact"/>
        <w:rPr>
          <w:rFonts w:ascii="Courier New" w:cs="Courier New" w:eastAsia="Courier New" w:hAnsi="Courier New"/>
          <w:sz w:val="15"/>
          <w:szCs w:val="15"/>
          <w:color w:val="auto"/>
        </w:rPr>
      </w:pPr>
    </w:p>
    <w:p>
      <w:pPr>
        <w:ind w:left="1320" w:hanging="348"/>
        <w:spacing w:after="0"/>
        <w:tabs>
          <w:tab w:leader="none" w:pos="132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 See Exhibit Index on page 18.</w:t>
      </w:r>
    </w:p>
    <w:p>
      <w:pPr>
        <w:spacing w:after="0" w:line="172" w:lineRule="exact"/>
        <w:rPr>
          <w:rFonts w:ascii="Courier New" w:cs="Courier New" w:eastAsia="Courier New" w:hAnsi="Courier New"/>
          <w:sz w:val="15"/>
          <w:szCs w:val="15"/>
          <w:color w:val="auto"/>
        </w:rPr>
      </w:pPr>
    </w:p>
    <w:p>
      <w:pPr>
        <w:ind w:right="3759" w:firstLine="972"/>
        <w:spacing w:after="0" w:line="234" w:lineRule="auto"/>
        <w:tabs>
          <w:tab w:leader="none" w:pos="1312"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did not file any reports on Form 8-K during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785" w:right="1440" w:bottom="1440" w:gutter="0" w:footer="0" w:header="0"/>
        </w:sectPr>
      </w:pPr>
    </w:p>
    <w:bookmarkStart w:id="16" w:name="page17"/>
    <w:bookmarkEnd w:id="16"/>
    <w:p>
      <w:pPr>
        <w:ind w:left="1760"/>
        <w:spacing w:after="0"/>
        <w:rPr>
          <w:sz w:val="20"/>
          <w:szCs w:val="20"/>
          <w:color w:val="auto"/>
        </w:rPr>
      </w:pPr>
      <w:r>
        <w:rPr>
          <w:rFonts w:ascii="Courier New" w:cs="Courier New" w:eastAsia="Courier New" w:hAnsi="Courier New"/>
          <w:sz w:val="15"/>
          <w:szCs w:val="15"/>
          <w:color w:val="auto"/>
        </w:rPr>
        <w:t>CERTIFICATION BY CHIEF EXECUTIVE OFFICER</w:t>
      </w:r>
    </w:p>
    <w:p>
      <w:pPr>
        <w:ind w:left="2020"/>
        <w:spacing w:after="0" w:line="237" w:lineRule="auto"/>
        <w:rPr>
          <w:sz w:val="20"/>
          <w:szCs w:val="20"/>
          <w:color w:val="auto"/>
        </w:rPr>
      </w:pPr>
      <w:r>
        <w:rPr>
          <w:rFonts w:ascii="Courier New" w:cs="Courier New" w:eastAsia="Courier New" w:hAnsi="Courier New"/>
          <w:sz w:val="15"/>
          <w:szCs w:val="15"/>
          <w:color w:val="auto"/>
        </w:rPr>
        <w:t>PURSUANT TO 18 U.S.C. SECTION 1350,</w:t>
      </w:r>
    </w:p>
    <w:p>
      <w:pPr>
        <w:ind w:left="2020"/>
        <w:spacing w:after="0" w:line="238" w:lineRule="auto"/>
        <w:rPr>
          <w:sz w:val="20"/>
          <w:szCs w:val="20"/>
          <w:color w:val="auto"/>
        </w:rPr>
      </w:pPr>
      <w:r>
        <w:rPr>
          <w:rFonts w:ascii="Courier New" w:cs="Courier New" w:eastAsia="Courier New" w:hAnsi="Courier New"/>
          <w:sz w:val="15"/>
          <w:szCs w:val="15"/>
          <w:color w:val="auto"/>
        </w:rPr>
        <w:t>AS ADOPTED PURSUANT TO SECTION 302</w:t>
      </w:r>
    </w:p>
    <w:p>
      <w:pPr>
        <w:ind w:left="2100"/>
        <w:spacing w:after="0" w:line="237" w:lineRule="auto"/>
        <w:rPr>
          <w:sz w:val="20"/>
          <w:szCs w:val="20"/>
          <w:color w:val="auto"/>
        </w:rPr>
      </w:pPr>
      <w:r>
        <w:rPr>
          <w:rFonts w:ascii="Courier New" w:cs="Courier New" w:eastAsia="Courier New" w:hAnsi="Courier New"/>
          <w:sz w:val="15"/>
          <w:szCs w:val="15"/>
          <w:color w:val="auto"/>
        </w:rPr>
        <w:t>OF THE SARBANES-OXLEY ACT OF 2002</w:t>
      </w:r>
    </w:p>
    <w:p>
      <w:pPr>
        <w:spacing w:after="0" w:line="342"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I, Bruce D. Hertzke, Chief Executive Officer of Winnebago Industries, Inc., certify that:</w:t>
      </w:r>
    </w:p>
    <w:p>
      <w:pPr>
        <w:spacing w:after="0" w:line="173" w:lineRule="exact"/>
        <w:rPr>
          <w:sz w:val="20"/>
          <w:szCs w:val="20"/>
          <w:color w:val="auto"/>
        </w:rPr>
      </w:pPr>
    </w:p>
    <w:p>
      <w:pPr>
        <w:ind w:left="1400" w:right="3319" w:hanging="603"/>
        <w:spacing w:after="0" w:line="234" w:lineRule="auto"/>
        <w:tabs>
          <w:tab w:leader="none" w:pos="14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Winnebago Industries, Inc. (the "Registrant");</w:t>
      </w:r>
    </w:p>
    <w:p>
      <w:pPr>
        <w:spacing w:after="0" w:line="173" w:lineRule="exact"/>
        <w:rPr>
          <w:rFonts w:ascii="Courier New" w:cs="Courier New" w:eastAsia="Courier New" w:hAnsi="Courier New"/>
          <w:sz w:val="15"/>
          <w:szCs w:val="15"/>
          <w:color w:val="auto"/>
        </w:rPr>
      </w:pPr>
    </w:p>
    <w:p>
      <w:pPr>
        <w:ind w:left="1400" w:right="3239" w:hanging="603"/>
        <w:spacing w:after="0" w:line="236" w:lineRule="auto"/>
        <w:tabs>
          <w:tab w:leader="none" w:pos="14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4" w:lineRule="exact"/>
        <w:rPr>
          <w:rFonts w:ascii="Courier New" w:cs="Courier New" w:eastAsia="Courier New" w:hAnsi="Courier New"/>
          <w:sz w:val="15"/>
          <w:szCs w:val="15"/>
          <w:color w:val="auto"/>
        </w:rPr>
      </w:pPr>
    </w:p>
    <w:p>
      <w:pPr>
        <w:ind w:left="1400" w:right="3319" w:hanging="603"/>
        <w:spacing w:after="0" w:line="256" w:lineRule="auto"/>
        <w:tabs>
          <w:tab w:leader="none" w:pos="14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3" w:lineRule="exact"/>
        <w:rPr>
          <w:rFonts w:ascii="Courier New" w:cs="Courier New" w:eastAsia="Courier New" w:hAnsi="Courier New"/>
          <w:sz w:val="14"/>
          <w:szCs w:val="14"/>
          <w:color w:val="auto"/>
        </w:rPr>
      </w:pPr>
    </w:p>
    <w:p>
      <w:pPr>
        <w:ind w:left="1400" w:right="3319" w:hanging="603"/>
        <w:spacing w:after="0" w:line="235" w:lineRule="auto"/>
        <w:tabs>
          <w:tab w:leader="none" w:pos="14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13a-14 and 15d-14) for the Registrant and have:</w:t>
      </w:r>
    </w:p>
    <w:p>
      <w:pPr>
        <w:spacing w:after="0" w:line="175" w:lineRule="exact"/>
        <w:rPr>
          <w:rFonts w:ascii="Courier New" w:cs="Courier New" w:eastAsia="Courier New" w:hAnsi="Courier New"/>
          <w:sz w:val="15"/>
          <w:szCs w:val="15"/>
          <w:color w:val="auto"/>
        </w:rPr>
      </w:pPr>
    </w:p>
    <w:p>
      <w:pPr>
        <w:ind w:left="1940" w:right="3239" w:hanging="531"/>
        <w:spacing w:after="0" w:line="236" w:lineRule="auto"/>
        <w:tabs>
          <w:tab w:leader="none" w:pos="194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74" w:lineRule="exact"/>
        <w:rPr>
          <w:rFonts w:ascii="Courier New" w:cs="Courier New" w:eastAsia="Courier New" w:hAnsi="Courier New"/>
          <w:sz w:val="15"/>
          <w:szCs w:val="15"/>
          <w:color w:val="auto"/>
        </w:rPr>
      </w:pPr>
    </w:p>
    <w:p>
      <w:pPr>
        <w:ind w:left="1940" w:right="3239" w:hanging="531"/>
        <w:spacing w:after="0" w:line="235" w:lineRule="auto"/>
        <w:tabs>
          <w:tab w:leader="none" w:pos="194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Quarterly Report (the "Evaluation Date"); and</w:t>
      </w:r>
    </w:p>
    <w:p>
      <w:pPr>
        <w:spacing w:after="0" w:line="175" w:lineRule="exact"/>
        <w:rPr>
          <w:rFonts w:ascii="Courier New" w:cs="Courier New" w:eastAsia="Courier New" w:hAnsi="Courier New"/>
          <w:sz w:val="15"/>
          <w:szCs w:val="15"/>
          <w:color w:val="auto"/>
        </w:rPr>
      </w:pPr>
    </w:p>
    <w:p>
      <w:pPr>
        <w:ind w:left="1940" w:right="3399" w:hanging="531"/>
        <w:spacing w:after="0" w:line="235" w:lineRule="auto"/>
        <w:tabs>
          <w:tab w:leader="none" w:pos="194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Quarterly Report our conclusions about the effectiveness of the disclosure controls and procedures based on our evaluation as of the Evaluation Date;</w:t>
      </w:r>
    </w:p>
    <w:p>
      <w:pPr>
        <w:spacing w:after="0" w:line="175" w:lineRule="exact"/>
        <w:rPr>
          <w:rFonts w:ascii="Courier New" w:cs="Courier New" w:eastAsia="Courier New" w:hAnsi="Courier New"/>
          <w:sz w:val="15"/>
          <w:szCs w:val="15"/>
          <w:color w:val="auto"/>
        </w:rPr>
      </w:pPr>
    </w:p>
    <w:p>
      <w:pPr>
        <w:ind w:left="1400" w:right="3319" w:hanging="603"/>
        <w:spacing w:after="0" w:line="256" w:lineRule="auto"/>
        <w:tabs>
          <w:tab w:leader="none" w:pos="14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164" w:lineRule="exact"/>
        <w:rPr>
          <w:rFonts w:ascii="Courier New" w:cs="Courier New" w:eastAsia="Courier New" w:hAnsi="Courier New"/>
          <w:sz w:val="14"/>
          <w:szCs w:val="14"/>
          <w:color w:val="auto"/>
        </w:rPr>
      </w:pPr>
    </w:p>
    <w:p>
      <w:pPr>
        <w:ind w:left="1940" w:right="3239" w:hanging="531"/>
        <w:spacing w:after="0" w:line="236" w:lineRule="auto"/>
        <w:tabs>
          <w:tab w:leader="none" w:pos="194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4" w:lineRule="exact"/>
        <w:rPr>
          <w:rFonts w:ascii="Courier New" w:cs="Courier New" w:eastAsia="Courier New" w:hAnsi="Courier New"/>
          <w:sz w:val="15"/>
          <w:szCs w:val="15"/>
          <w:color w:val="auto"/>
        </w:rPr>
      </w:pPr>
    </w:p>
    <w:p>
      <w:pPr>
        <w:ind w:left="1940" w:right="3319" w:hanging="531"/>
        <w:spacing w:after="0" w:line="235" w:lineRule="auto"/>
        <w:tabs>
          <w:tab w:leader="none" w:pos="194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involved management or other employees who have a significant role in the Registrant's internal controls; and</w:t>
      </w:r>
    </w:p>
    <w:p>
      <w:pPr>
        <w:spacing w:after="0" w:line="173" w:lineRule="exact"/>
        <w:rPr>
          <w:rFonts w:ascii="Courier New" w:cs="Courier New" w:eastAsia="Courier New" w:hAnsi="Courier New"/>
          <w:sz w:val="15"/>
          <w:szCs w:val="15"/>
          <w:color w:val="auto"/>
        </w:rPr>
      </w:pPr>
    </w:p>
    <w:p>
      <w:pPr>
        <w:ind w:left="1400" w:right="3239" w:hanging="603"/>
        <w:spacing w:after="0" w:line="255" w:lineRule="auto"/>
        <w:tabs>
          <w:tab w:leader="none" w:pos="14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ectPr>
          <w:pgSz w:w="11900" w:h="16838" w:orient="portrait"/>
          <w:cols w:equalWidth="0" w:num="1">
            <w:col w:w="10239"/>
          </w:cols>
          <w:pgMar w:left="220" w:top="785" w:right="1440" w:bottom="144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April 11, 2003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40" w:space="540"/>
            <w:col w:w="9259"/>
          </w:cols>
          <w:pgMar w:left="220" w:top="785" w:right="1440" w:bottom="1440" w:gutter="0" w:footer="0" w:header="0"/>
          <w:type w:val="continuous"/>
        </w:sectPr>
      </w:pP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Bruce D. Hertzke</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Bruce D. Hertzke</w:t>
      </w:r>
    </w:p>
    <w:p>
      <w:pPr>
        <w:ind w:left="3780"/>
        <w:spacing w:after="0" w:line="237" w:lineRule="auto"/>
        <w:rPr>
          <w:sz w:val="20"/>
          <w:szCs w:val="20"/>
          <w:color w:val="auto"/>
        </w:rPr>
      </w:pPr>
      <w:r>
        <w:rPr>
          <w:rFonts w:ascii="Courier New" w:cs="Courier New" w:eastAsia="Courier New" w:hAnsi="Courier New"/>
          <w:sz w:val="15"/>
          <w:szCs w:val="15"/>
          <w:color w:val="auto"/>
        </w:rPr>
        <w:t>Chief Executive Officer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785" w:right="1440" w:bottom="1440" w:gutter="0" w:footer="0" w:header="0"/>
          <w:type w:val="continuous"/>
        </w:sectPr>
      </w:pPr>
    </w:p>
    <w:bookmarkStart w:id="17" w:name="page18"/>
    <w:bookmarkEnd w:id="17"/>
    <w:p>
      <w:pPr>
        <w:ind w:left="1760"/>
        <w:spacing w:after="0"/>
        <w:rPr>
          <w:sz w:val="20"/>
          <w:szCs w:val="20"/>
          <w:color w:val="auto"/>
        </w:rPr>
      </w:pPr>
      <w:r>
        <w:rPr>
          <w:rFonts w:ascii="Courier New" w:cs="Courier New" w:eastAsia="Courier New" w:hAnsi="Courier New"/>
          <w:sz w:val="15"/>
          <w:szCs w:val="15"/>
          <w:color w:val="auto"/>
        </w:rPr>
        <w:t>CERTIFICATION BY CHIEF FINANCIAL OFFICER</w:t>
      </w:r>
    </w:p>
    <w:p>
      <w:pPr>
        <w:ind w:left="2020"/>
        <w:spacing w:after="0" w:line="237" w:lineRule="auto"/>
        <w:rPr>
          <w:sz w:val="20"/>
          <w:szCs w:val="20"/>
          <w:color w:val="auto"/>
        </w:rPr>
      </w:pPr>
      <w:r>
        <w:rPr>
          <w:rFonts w:ascii="Courier New" w:cs="Courier New" w:eastAsia="Courier New" w:hAnsi="Courier New"/>
          <w:sz w:val="15"/>
          <w:szCs w:val="15"/>
          <w:color w:val="auto"/>
        </w:rPr>
        <w:t>PURSUANT TO 18 U.S.C. SECTION 1350,</w:t>
      </w:r>
    </w:p>
    <w:p>
      <w:pPr>
        <w:ind w:left="2020"/>
        <w:spacing w:after="0" w:line="238" w:lineRule="auto"/>
        <w:rPr>
          <w:sz w:val="20"/>
          <w:szCs w:val="20"/>
          <w:color w:val="auto"/>
        </w:rPr>
      </w:pPr>
      <w:r>
        <w:rPr>
          <w:rFonts w:ascii="Courier New" w:cs="Courier New" w:eastAsia="Courier New" w:hAnsi="Courier New"/>
          <w:sz w:val="15"/>
          <w:szCs w:val="15"/>
          <w:color w:val="auto"/>
        </w:rPr>
        <w:t>AS ADOPTED PURSUANT TO SECTION 302</w:t>
      </w:r>
    </w:p>
    <w:p>
      <w:pPr>
        <w:ind w:left="2100"/>
        <w:spacing w:after="0" w:line="237" w:lineRule="auto"/>
        <w:rPr>
          <w:sz w:val="20"/>
          <w:szCs w:val="20"/>
          <w:color w:val="auto"/>
        </w:rPr>
      </w:pPr>
      <w:r>
        <w:rPr>
          <w:rFonts w:ascii="Courier New" w:cs="Courier New" w:eastAsia="Courier New" w:hAnsi="Courier New"/>
          <w:sz w:val="15"/>
          <w:szCs w:val="15"/>
          <w:color w:val="auto"/>
        </w:rPr>
        <w:t>OF THE SARBANES-OXLEY ACT OF 2002</w:t>
      </w:r>
    </w:p>
    <w:p>
      <w:pPr>
        <w:spacing w:after="0" w:line="342"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I, Edwin F. Barker, Chief Financial Officer of Winnebago Industries, Inc., certify that:</w:t>
      </w:r>
    </w:p>
    <w:p>
      <w:pPr>
        <w:spacing w:after="0" w:line="173" w:lineRule="exact"/>
        <w:rPr>
          <w:sz w:val="20"/>
          <w:szCs w:val="20"/>
          <w:color w:val="auto"/>
        </w:rPr>
      </w:pPr>
    </w:p>
    <w:p>
      <w:pPr>
        <w:ind w:left="1400" w:right="3319" w:hanging="603"/>
        <w:spacing w:after="0" w:line="234" w:lineRule="auto"/>
        <w:tabs>
          <w:tab w:leader="none" w:pos="14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Winnebago Industries, Inc. ("the Registrant");</w:t>
      </w:r>
    </w:p>
    <w:p>
      <w:pPr>
        <w:spacing w:after="0" w:line="173" w:lineRule="exact"/>
        <w:rPr>
          <w:rFonts w:ascii="Courier New" w:cs="Courier New" w:eastAsia="Courier New" w:hAnsi="Courier New"/>
          <w:sz w:val="15"/>
          <w:szCs w:val="15"/>
          <w:color w:val="auto"/>
        </w:rPr>
      </w:pPr>
    </w:p>
    <w:p>
      <w:pPr>
        <w:ind w:left="1400" w:right="3239" w:hanging="603"/>
        <w:spacing w:after="0" w:line="236" w:lineRule="auto"/>
        <w:tabs>
          <w:tab w:leader="none" w:pos="14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4" w:lineRule="exact"/>
        <w:rPr>
          <w:rFonts w:ascii="Courier New" w:cs="Courier New" w:eastAsia="Courier New" w:hAnsi="Courier New"/>
          <w:sz w:val="15"/>
          <w:szCs w:val="15"/>
          <w:color w:val="auto"/>
        </w:rPr>
      </w:pPr>
    </w:p>
    <w:p>
      <w:pPr>
        <w:ind w:left="1400" w:right="3319" w:hanging="603"/>
        <w:spacing w:after="0" w:line="256" w:lineRule="auto"/>
        <w:tabs>
          <w:tab w:leader="none" w:pos="14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3" w:lineRule="exact"/>
        <w:rPr>
          <w:rFonts w:ascii="Courier New" w:cs="Courier New" w:eastAsia="Courier New" w:hAnsi="Courier New"/>
          <w:sz w:val="14"/>
          <w:szCs w:val="14"/>
          <w:color w:val="auto"/>
        </w:rPr>
      </w:pPr>
    </w:p>
    <w:p>
      <w:pPr>
        <w:ind w:left="1400" w:right="3319" w:hanging="603"/>
        <w:spacing w:after="0" w:line="235" w:lineRule="auto"/>
        <w:tabs>
          <w:tab w:leader="none" w:pos="14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13a-14 and 15d-14) for the Registrant and have:</w:t>
      </w:r>
    </w:p>
    <w:p>
      <w:pPr>
        <w:spacing w:after="0" w:line="175" w:lineRule="exact"/>
        <w:rPr>
          <w:rFonts w:ascii="Courier New" w:cs="Courier New" w:eastAsia="Courier New" w:hAnsi="Courier New"/>
          <w:sz w:val="15"/>
          <w:szCs w:val="15"/>
          <w:color w:val="auto"/>
        </w:rPr>
      </w:pPr>
    </w:p>
    <w:p>
      <w:pPr>
        <w:ind w:left="1940" w:right="3239" w:hanging="531"/>
        <w:spacing w:after="0" w:line="236" w:lineRule="auto"/>
        <w:tabs>
          <w:tab w:leader="none" w:pos="194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74" w:lineRule="exact"/>
        <w:rPr>
          <w:rFonts w:ascii="Courier New" w:cs="Courier New" w:eastAsia="Courier New" w:hAnsi="Courier New"/>
          <w:sz w:val="15"/>
          <w:szCs w:val="15"/>
          <w:color w:val="auto"/>
        </w:rPr>
      </w:pPr>
    </w:p>
    <w:p>
      <w:pPr>
        <w:ind w:left="1940" w:right="3239" w:hanging="531"/>
        <w:spacing w:after="0" w:line="235" w:lineRule="auto"/>
        <w:tabs>
          <w:tab w:leader="none" w:pos="194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Quarterly Report (the "Evaluation Date"); and</w:t>
      </w:r>
    </w:p>
    <w:p>
      <w:pPr>
        <w:spacing w:after="0" w:line="175" w:lineRule="exact"/>
        <w:rPr>
          <w:rFonts w:ascii="Courier New" w:cs="Courier New" w:eastAsia="Courier New" w:hAnsi="Courier New"/>
          <w:sz w:val="15"/>
          <w:szCs w:val="15"/>
          <w:color w:val="auto"/>
        </w:rPr>
      </w:pPr>
    </w:p>
    <w:p>
      <w:pPr>
        <w:ind w:left="1940" w:right="3399" w:hanging="531"/>
        <w:spacing w:after="0" w:line="235" w:lineRule="auto"/>
        <w:tabs>
          <w:tab w:leader="none" w:pos="194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Quarterly Report our conclusions about the effectiveness of the disclosure controls and procedures based on our evaluation as of the Evaluation Date;</w:t>
      </w:r>
    </w:p>
    <w:p>
      <w:pPr>
        <w:spacing w:after="0" w:line="175" w:lineRule="exact"/>
        <w:rPr>
          <w:rFonts w:ascii="Courier New" w:cs="Courier New" w:eastAsia="Courier New" w:hAnsi="Courier New"/>
          <w:sz w:val="15"/>
          <w:szCs w:val="15"/>
          <w:color w:val="auto"/>
        </w:rPr>
      </w:pPr>
    </w:p>
    <w:p>
      <w:pPr>
        <w:ind w:left="1400" w:right="3319" w:hanging="603"/>
        <w:spacing w:after="0" w:line="256" w:lineRule="auto"/>
        <w:tabs>
          <w:tab w:leader="none" w:pos="14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164" w:lineRule="exact"/>
        <w:rPr>
          <w:rFonts w:ascii="Courier New" w:cs="Courier New" w:eastAsia="Courier New" w:hAnsi="Courier New"/>
          <w:sz w:val="14"/>
          <w:szCs w:val="14"/>
          <w:color w:val="auto"/>
        </w:rPr>
      </w:pPr>
    </w:p>
    <w:p>
      <w:pPr>
        <w:ind w:left="1940" w:right="3239" w:hanging="531"/>
        <w:spacing w:after="0" w:line="236" w:lineRule="auto"/>
        <w:tabs>
          <w:tab w:leader="none" w:pos="194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4" w:lineRule="exact"/>
        <w:rPr>
          <w:rFonts w:ascii="Courier New" w:cs="Courier New" w:eastAsia="Courier New" w:hAnsi="Courier New"/>
          <w:sz w:val="15"/>
          <w:szCs w:val="15"/>
          <w:color w:val="auto"/>
        </w:rPr>
      </w:pPr>
    </w:p>
    <w:p>
      <w:pPr>
        <w:ind w:left="1940" w:right="3319" w:hanging="531"/>
        <w:spacing w:after="0" w:line="235" w:lineRule="auto"/>
        <w:tabs>
          <w:tab w:leader="none" w:pos="194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3" w:lineRule="exact"/>
        <w:rPr>
          <w:rFonts w:ascii="Courier New" w:cs="Courier New" w:eastAsia="Courier New" w:hAnsi="Courier New"/>
          <w:sz w:val="15"/>
          <w:szCs w:val="15"/>
          <w:color w:val="auto"/>
        </w:rPr>
      </w:pPr>
    </w:p>
    <w:p>
      <w:pPr>
        <w:ind w:left="1400" w:right="3239" w:hanging="603"/>
        <w:spacing w:after="0" w:line="255" w:lineRule="auto"/>
        <w:tabs>
          <w:tab w:leader="none" w:pos="14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ectPr>
          <w:pgSz w:w="11900" w:h="16838" w:orient="portrait"/>
          <w:cols w:equalWidth="0" w:num="1">
            <w:col w:w="10239"/>
          </w:cols>
          <w:pgMar w:left="220" w:top="785" w:right="1440" w:bottom="144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April 11, 2003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40" w:space="540"/>
            <w:col w:w="9259"/>
          </w:cols>
          <w:pgMar w:left="220" w:top="785" w:right="1440" w:bottom="1440" w:gutter="0" w:footer="0" w:header="0"/>
          <w:type w:val="continuous"/>
        </w:sectPr>
      </w:pP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Edwin F. Barker</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Edwin F. Barker</w:t>
      </w:r>
    </w:p>
    <w:p>
      <w:pPr>
        <w:ind w:left="3780"/>
        <w:spacing w:after="0" w:line="237" w:lineRule="auto"/>
        <w:rPr>
          <w:sz w:val="20"/>
          <w:szCs w:val="20"/>
          <w:color w:val="auto"/>
        </w:rPr>
      </w:pPr>
      <w:r>
        <w:rPr>
          <w:rFonts w:ascii="Courier New" w:cs="Courier New" w:eastAsia="Courier New" w:hAnsi="Courier New"/>
          <w:sz w:val="15"/>
          <w:szCs w:val="15"/>
          <w:color w:val="auto"/>
        </w:rPr>
        <w:t>Chief Financial Officer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785" w:right="1440" w:bottom="1440" w:gutter="0" w:footer="0" w:header="0"/>
          <w:type w:val="continuous"/>
        </w:sectPr>
      </w:pPr>
    </w:p>
    <w:bookmarkStart w:id="18" w:name="page19"/>
    <w:bookmarkEnd w:id="18"/>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jc w:val="both"/>
        <w:ind w:right="4640"/>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4" w:lineRule="exact"/>
        <w:rPr>
          <w:sz w:val="20"/>
          <w:szCs w:val="20"/>
          <w:color w:val="auto"/>
        </w:rPr>
      </w:pPr>
    </w:p>
    <w:p>
      <w:pPr>
        <w:ind w:left="7100"/>
        <w:spacing w:after="0"/>
        <w:rPr>
          <w:sz w:val="20"/>
          <w:szCs w:val="20"/>
          <w:color w:val="auto"/>
        </w:rPr>
      </w:pPr>
      <w:r>
        <w:rPr>
          <w:rFonts w:ascii="Courier New" w:cs="Courier New" w:eastAsia="Courier New" w:hAnsi="Courier New"/>
          <w:sz w:val="15"/>
          <w:szCs w:val="15"/>
          <w:color w:val="auto"/>
        </w:rPr>
        <w:t>WINNEBAGO INDUSTRIES, INC.</w:t>
      </w:r>
    </w:p>
    <w:p>
      <w:pPr>
        <w:spacing w:after="0" w:line="5"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770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940"/>
          </w:cols>
          <w:pgMar w:left="220" w:top="785" w:right="7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April 11, 2003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Bruce D. Hertzke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w:t>
      </w:r>
    </w:p>
    <w:p>
      <w:pPr>
        <w:spacing w:after="0" w:line="237" w:lineRule="auto"/>
        <w:rPr>
          <w:sz w:val="20"/>
          <w:szCs w:val="20"/>
          <w:color w:val="auto"/>
        </w:rPr>
      </w:pPr>
      <w:r>
        <w:rPr>
          <w:rFonts w:ascii="Courier New" w:cs="Courier New" w:eastAsia="Courier New" w:hAnsi="Courier New"/>
          <w:sz w:val="15"/>
          <w:szCs w:val="15"/>
          <w:color w:val="auto"/>
        </w:rPr>
        <w:t>Chairman of the Board, Chief Executive Officer,</w:t>
      </w:r>
    </w:p>
    <w:p>
      <w:pPr>
        <w:spacing w:after="0" w:line="238" w:lineRule="auto"/>
        <w:rPr>
          <w:sz w:val="20"/>
          <w:szCs w:val="20"/>
          <w:color w:val="auto"/>
        </w:rPr>
      </w:pPr>
      <w:r>
        <w:rPr>
          <w:rFonts w:ascii="Courier New" w:cs="Courier New" w:eastAsia="Courier New" w:hAnsi="Courier New"/>
          <w:sz w:val="15"/>
          <w:szCs w:val="15"/>
          <w:color w:val="auto"/>
        </w:rPr>
        <w:t>and President</w:t>
      </w:r>
    </w:p>
    <w:p>
      <w:pPr>
        <w:ind w:left="700"/>
        <w:spacing w:after="0" w:line="237" w:lineRule="auto"/>
        <w:rPr>
          <w:sz w:val="20"/>
          <w:szCs w:val="20"/>
          <w:color w:val="auto"/>
        </w:rPr>
      </w:pPr>
      <w:r>
        <w:rPr>
          <w:rFonts w:ascii="Courier New" w:cs="Courier New" w:eastAsia="Courier New" w:hAnsi="Courier New"/>
          <w:sz w:val="15"/>
          <w:szCs w:val="15"/>
          <w:color w:val="auto"/>
        </w:rPr>
        <w:t>(Principal Executive Officer)</w:t>
      </w:r>
    </w:p>
    <w:p>
      <w:pPr>
        <w:spacing w:after="0" w:line="200" w:lineRule="exact"/>
        <w:rPr>
          <w:sz w:val="20"/>
          <w:szCs w:val="20"/>
          <w:color w:val="auto"/>
        </w:rPr>
      </w:pPr>
    </w:p>
    <w:p>
      <w:pPr>
        <w:sectPr>
          <w:pgSz w:w="11900" w:h="16838" w:orient="portrait"/>
          <w:cols w:equalWidth="0" w:num="3">
            <w:col w:w="360" w:space="620"/>
            <w:col w:w="4000" w:space="720"/>
            <w:col w:w="5240"/>
          </w:cols>
          <w:pgMar w:left="220" w:top="785" w:right="739" w:bottom="1440" w:gutter="0" w:footer="0" w:header="0"/>
          <w:type w:val="continuous"/>
        </w:sect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April 11, 2003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Edwin F. Barker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Edwin F. Barker</w:t>
      </w:r>
    </w:p>
    <w:p>
      <w:pPr>
        <w:spacing w:after="0" w:line="237" w:lineRule="auto"/>
        <w:rPr>
          <w:sz w:val="20"/>
          <w:szCs w:val="20"/>
          <w:color w:val="auto"/>
        </w:rPr>
      </w:pPr>
      <w:r>
        <w:rPr>
          <w:rFonts w:ascii="Courier New" w:cs="Courier New" w:eastAsia="Courier New" w:hAnsi="Courier New"/>
          <w:sz w:val="15"/>
          <w:szCs w:val="15"/>
          <w:color w:val="auto"/>
        </w:rPr>
        <w:t>Senior Vice President - Chief Financial Officer</w:t>
      </w:r>
    </w:p>
    <w:p>
      <w:pPr>
        <w:ind w:left="780"/>
        <w:spacing w:after="0" w:line="238" w:lineRule="auto"/>
        <w:rPr>
          <w:sz w:val="20"/>
          <w:szCs w:val="20"/>
          <w:color w:val="auto"/>
        </w:rPr>
      </w:pPr>
      <w:r>
        <w:rPr>
          <w:rFonts w:ascii="Courier New" w:cs="Courier New" w:eastAsia="Courier New" w:hAnsi="Courier New"/>
          <w:sz w:val="15"/>
          <w:szCs w:val="15"/>
          <w:color w:val="auto"/>
        </w:rPr>
        <w:t>(Principal Financial Officer)</w:t>
      </w:r>
    </w:p>
    <w:p>
      <w:pPr>
        <w:spacing w:after="0" w:line="200" w:lineRule="exact"/>
        <w:rPr>
          <w:sz w:val="20"/>
          <w:szCs w:val="20"/>
          <w:color w:val="auto"/>
        </w:rPr>
      </w:pPr>
    </w:p>
    <w:p>
      <w:pPr>
        <w:sectPr>
          <w:pgSz w:w="11900" w:h="16838" w:orient="portrait"/>
          <w:cols w:equalWidth="0" w:num="3">
            <w:col w:w="360" w:space="620"/>
            <w:col w:w="4000" w:space="720"/>
            <w:col w:w="5240"/>
          </w:cols>
          <w:pgMar w:left="220" w:top="785"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940"/>
          </w:cols>
          <w:pgMar w:left="220" w:top="785" w:right="739" w:bottom="1440" w:gutter="0" w:footer="0" w:header="0"/>
          <w:type w:val="continuous"/>
        </w:sectPr>
      </w:pPr>
    </w:p>
    <w:bookmarkStart w:id="19" w:name="page20"/>
    <w:bookmarkEnd w:id="19"/>
    <w:p>
      <w:pPr>
        <w:ind w:left="2980"/>
        <w:spacing w:after="0"/>
        <w:rPr>
          <w:sz w:val="20"/>
          <w:szCs w:val="20"/>
          <w:color w:val="auto"/>
        </w:rPr>
      </w:pPr>
      <w:r>
        <w:rPr>
          <w:rFonts w:ascii="Courier New" w:cs="Courier New" w:eastAsia="Courier New" w:hAnsi="Courier New"/>
          <w:sz w:val="15"/>
          <w:szCs w:val="15"/>
          <w:color w:val="auto"/>
        </w:rPr>
        <w:t>EXHIBIT INDEX</w:t>
      </w:r>
    </w:p>
    <w:p>
      <w:pPr>
        <w:spacing w:after="0" w:line="341" w:lineRule="exact"/>
        <w:rPr>
          <w:sz w:val="20"/>
          <w:szCs w:val="20"/>
          <w:color w:val="auto"/>
        </w:rPr>
      </w:pPr>
    </w:p>
    <w:p>
      <w:pPr>
        <w:ind w:left="800" w:right="3319" w:hanging="799"/>
        <w:spacing w:after="0" w:line="255" w:lineRule="auto"/>
        <w:tabs>
          <w:tab w:leader="none" w:pos="780" w:val="left"/>
        </w:tabs>
        <w:rPr>
          <w:sz w:val="20"/>
          <w:szCs w:val="20"/>
          <w:color w:val="auto"/>
        </w:rPr>
      </w:pPr>
      <w:r>
        <w:rPr>
          <w:rFonts w:ascii="Courier New" w:cs="Courier New" w:eastAsia="Courier New" w:hAnsi="Courier New"/>
          <w:sz w:val="14"/>
          <w:szCs w:val="14"/>
          <w:color w:val="auto"/>
        </w:rPr>
        <w:t>10i.</w:t>
      </w:r>
      <w:r>
        <w:rPr>
          <w:sz w:val="20"/>
          <w:szCs w:val="20"/>
          <w:color w:val="auto"/>
        </w:rPr>
        <w:tab/>
      </w:r>
      <w:r>
        <w:rPr>
          <w:rFonts w:ascii="Courier New" w:cs="Courier New" w:eastAsia="Courier New" w:hAnsi="Courier New"/>
          <w:sz w:val="14"/>
          <w:szCs w:val="14"/>
          <w:color w:val="auto"/>
        </w:rPr>
        <w:t>Amendment No. 1 to Winnebago Industries, Inc. Rights Plan Agreement dated January 13, 2003 (Amendment allows FMR Corp., its affiliates and Associates, to be the Beneficial Owner of up to 20% of the Company's outstanding stock with the Winnebago Industries, Inc. Rights Plan Agreement prior to such Amendment providing that the ownership of 15% or more of the Company's outstanding stock except by a "Hanson Family Member" was a "triggering event" establishing the holder of such ownership as an Acquiring Person under the terms of such Plan).</w:t>
      </w:r>
    </w:p>
    <w:p>
      <w:pPr>
        <w:spacing w:after="0" w:line="166" w:lineRule="exact"/>
        <w:rPr>
          <w:sz w:val="20"/>
          <w:szCs w:val="20"/>
          <w:color w:val="auto"/>
        </w:rPr>
      </w:pPr>
    </w:p>
    <w:p>
      <w:pPr>
        <w:ind w:left="800" w:right="3679" w:hanging="799"/>
        <w:spacing w:after="0" w:line="234" w:lineRule="auto"/>
        <w:tabs>
          <w:tab w:leader="none" w:pos="780" w:val="left"/>
        </w:tabs>
        <w:rPr>
          <w:sz w:val="20"/>
          <w:szCs w:val="20"/>
          <w:color w:val="auto"/>
        </w:rPr>
      </w:pPr>
      <w:r>
        <w:rPr>
          <w:rFonts w:ascii="Courier New" w:cs="Courier New" w:eastAsia="Courier New" w:hAnsi="Courier New"/>
          <w:sz w:val="15"/>
          <w:szCs w:val="15"/>
          <w:color w:val="auto"/>
        </w:rPr>
        <w:t>10v.</w:t>
      </w:r>
      <w:r>
        <w:rPr>
          <w:sz w:val="20"/>
          <w:szCs w:val="20"/>
          <w:color w:val="auto"/>
        </w:rPr>
        <w:tab/>
      </w:r>
      <w:r>
        <w:rPr>
          <w:rFonts w:ascii="Courier New" w:cs="Courier New" w:eastAsia="Courier New" w:hAnsi="Courier New"/>
          <w:sz w:val="15"/>
          <w:szCs w:val="15"/>
          <w:color w:val="auto"/>
        </w:rPr>
        <w:t>Executive Change of Control Agreement dated March 13, 2003 between Winnebago Industries, Inc. and Roger W. Martin.</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99.</w:t>
      </w:r>
      <w:r>
        <w:rPr>
          <w:sz w:val="20"/>
          <w:szCs w:val="20"/>
          <w:color w:val="auto"/>
        </w:rPr>
        <w:tab/>
      </w:r>
      <w:r>
        <w:rPr>
          <w:rFonts w:ascii="Courier New" w:cs="Courier New" w:eastAsia="Courier New" w:hAnsi="Courier New"/>
          <w:sz w:val="15"/>
          <w:szCs w:val="15"/>
          <w:color w:val="auto"/>
        </w:rPr>
        <w:t>906 certification.</w:t>
      </w:r>
    </w:p>
    <w:p>
      <w:pPr>
        <w:sectPr>
          <w:pgSz w:w="11900" w:h="16838" w:orient="portrait"/>
          <w:cols w:equalWidth="0" w:num="1">
            <w:col w:w="10239"/>
          </w:cols>
          <w:pgMar w:left="220" w:top="785" w:right="1440" w:bottom="1440" w:gutter="0" w:footer="0" w:header="0"/>
        </w:sectPr>
      </w:pPr>
    </w:p>
    <w:bookmarkStart w:id="20" w:name="page21"/>
    <w:bookmarkEnd w:id="20"/>
    <w:p>
      <w:pPr>
        <w:jc w:val="center"/>
        <w:ind w:right="3239"/>
        <w:spacing w:after="0"/>
        <w:rPr>
          <w:sz w:val="20"/>
          <w:szCs w:val="20"/>
          <w:color w:val="auto"/>
        </w:rPr>
      </w:pPr>
      <w:r>
        <w:rPr>
          <w:rFonts w:ascii="Courier New" w:cs="Courier New" w:eastAsia="Courier New" w:hAnsi="Courier New"/>
          <w:sz w:val="15"/>
          <w:szCs w:val="15"/>
          <w:color w:val="auto"/>
        </w:rPr>
        <w:t>EXHIBIT 10i.</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AMENDMENT NO.1</w:t>
      </w:r>
    </w:p>
    <w:p>
      <w:pPr>
        <w:ind w:left="3420"/>
        <w:spacing w:after="0" w:line="237" w:lineRule="auto"/>
        <w:rPr>
          <w:sz w:val="20"/>
          <w:szCs w:val="20"/>
          <w:color w:val="auto"/>
        </w:rPr>
      </w:pPr>
      <w:r>
        <w:rPr>
          <w:rFonts w:ascii="Courier New" w:cs="Courier New" w:eastAsia="Courier New" w:hAnsi="Courier New"/>
          <w:sz w:val="15"/>
          <w:szCs w:val="15"/>
          <w:color w:val="auto"/>
        </w:rPr>
        <w:t>TO</w:t>
      </w:r>
    </w:p>
    <w:p>
      <w:pPr>
        <w:ind w:left="2380"/>
        <w:spacing w:after="0" w:line="238" w:lineRule="auto"/>
        <w:rPr>
          <w:sz w:val="20"/>
          <w:szCs w:val="20"/>
          <w:color w:val="auto"/>
        </w:rPr>
      </w:pPr>
      <w:r>
        <w:rPr>
          <w:rFonts w:ascii="Courier New" w:cs="Courier New" w:eastAsia="Courier New" w:hAnsi="Courier New"/>
          <w:sz w:val="15"/>
          <w:szCs w:val="15"/>
          <w:color w:val="auto"/>
        </w:rPr>
        <w:t>WINNEBAGO INDUSTRIES, INC.</w:t>
      </w:r>
    </w:p>
    <w:p>
      <w:pPr>
        <w:ind w:left="2640"/>
        <w:spacing w:after="0" w:line="237" w:lineRule="auto"/>
        <w:rPr>
          <w:sz w:val="20"/>
          <w:szCs w:val="20"/>
          <w:color w:val="auto"/>
        </w:rPr>
      </w:pPr>
      <w:r>
        <w:rPr>
          <w:rFonts w:ascii="Courier New" w:cs="Courier New" w:eastAsia="Courier New" w:hAnsi="Courier New"/>
          <w:sz w:val="15"/>
          <w:szCs w:val="15"/>
          <w:color w:val="auto"/>
        </w:rPr>
        <w:t>RIGHTS PLAN AGREEMENT</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Amendment No.1 to Winnebago Industries, Inc. Rights Plan Agreement is dated as of January 13, 2003 (this "Amendment") between Winnebago Industries, Inc. (the "Company"), an Iowa corporation, and Wells Fargo Bank Minnesota, N.A. f/k/a Norwest Bank Minnesota, N.A., as Rights Agent (the "Rights Agent"), to the Winnebago Industries, Inc. Rights Plan Agreement (the "Rights Agreement"), dated as of May 3, 2000, between the Company and the Rights Agent.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WITNESSETH:</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WHEREAS, the Board of Directors of the Company has determined to amend the Rights Agreement (the terms defined therein and not otherwise defined herein being used herein as therein defined);</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NOW, THEREFORE, in consideration of the premises and the mutual agreement herein set forth, the parties hereto agree as follows:</w:t>
      </w:r>
    </w:p>
    <w:p>
      <w:pPr>
        <w:spacing w:after="0" w:line="173" w:lineRule="exact"/>
        <w:rPr>
          <w:sz w:val="20"/>
          <w:szCs w:val="20"/>
          <w:color w:val="auto"/>
        </w:rPr>
      </w:pPr>
    </w:p>
    <w:p>
      <w:pPr>
        <w:jc w:val="both"/>
        <w:ind w:left="1400" w:right="3499" w:hanging="961"/>
        <w:spacing w:after="0" w:line="235" w:lineRule="auto"/>
        <w:rPr>
          <w:sz w:val="20"/>
          <w:szCs w:val="20"/>
          <w:color w:val="auto"/>
        </w:rPr>
      </w:pPr>
      <w:r>
        <w:rPr>
          <w:rFonts w:ascii="Courier New" w:cs="Courier New" w:eastAsia="Courier New" w:hAnsi="Courier New"/>
          <w:sz w:val="15"/>
          <w:szCs w:val="15"/>
          <w:color w:val="auto"/>
        </w:rPr>
        <w:t>SECTION 1. Amendment of Section 1 of Rights Agreement. The definition of "Acquiring Person" in Section 1 is amended in full to read as follows:</w:t>
      </w:r>
    </w:p>
    <w:p>
      <w:pPr>
        <w:spacing w:after="0" w:line="174" w:lineRule="exact"/>
        <w:rPr>
          <w:sz w:val="20"/>
          <w:szCs w:val="20"/>
          <w:color w:val="auto"/>
        </w:rPr>
      </w:pPr>
    </w:p>
    <w:p>
      <w:pPr>
        <w:ind w:left="800" w:right="3239"/>
        <w:spacing w:after="0" w:line="254" w:lineRule="auto"/>
        <w:rPr>
          <w:sz w:val="20"/>
          <w:szCs w:val="20"/>
          <w:color w:val="auto"/>
        </w:rPr>
      </w:pPr>
      <w:r>
        <w:rPr>
          <w:rFonts w:ascii="Courier New" w:cs="Courier New" w:eastAsia="Courier New" w:hAnsi="Courier New"/>
          <w:sz w:val="14"/>
          <w:szCs w:val="14"/>
          <w:color w:val="auto"/>
        </w:rPr>
        <w:t>"Acquiring Person" shall mean any Person who or which, together with all Affiliates and Associates of such Person, shall be the Beneficial Owner of 15 % or more of the Common Shares of the Company then outstanding, but shall not include (i) the Company, (ii) any Subsidiary (as such term is hereinafter defined) of the Company, (iii) any employee benefit plan of the Company or any Subsidiary of the Company,</w:t>
      </w:r>
    </w:p>
    <w:p>
      <w:pPr>
        <w:spacing w:after="0" w:line="2" w:lineRule="exact"/>
        <w:rPr>
          <w:sz w:val="20"/>
          <w:szCs w:val="20"/>
          <w:color w:val="auto"/>
        </w:rPr>
      </w:pPr>
    </w:p>
    <w:p>
      <w:pPr>
        <w:jc w:val="both"/>
        <w:ind w:left="800" w:right="3399" w:hanging="3"/>
        <w:spacing w:after="0" w:line="254" w:lineRule="auto"/>
        <w:tabs>
          <w:tab w:leader="none" w:pos="1237"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holding Common Shares for or pursuant to the terms of any such employee benefit plan, (v) any Hanson Family Member, or (vi) FMR Corp., its Affiliates and Associates ("FMR"), but only so long as</w:t>
      </w:r>
    </w:p>
    <w:p>
      <w:pPr>
        <w:spacing w:after="0" w:line="1" w:lineRule="exact"/>
        <w:rPr>
          <w:rFonts w:ascii="Courier New" w:cs="Courier New" w:eastAsia="Courier New" w:hAnsi="Courier New"/>
          <w:sz w:val="14"/>
          <w:szCs w:val="14"/>
          <w:color w:val="auto"/>
        </w:rPr>
      </w:pPr>
    </w:p>
    <w:p>
      <w:pPr>
        <w:ind w:left="800" w:right="32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FMR is the beneficial owner of less than twenty percent (20 %) of the shares of common stock then outstanding and (B) FMR reports or is required to report such ownership on Schedule 13G of the Exchange Act or on Schedule 13D under the Exchange Act (or any comparable or successor report) which Schedule 13D does not state any present intention to hold such shares of common stock with the purpose or effect of changing or influencing the control of the Company. Notwithstanding the foregoing, no Person shall become an "Acquiring Person" as the result of (x) an acquisition of Common Shares by the Company which, by reducing the number of shares outstanding, increases the proportionate number of shares beneficially owned by such Person to 15 % or more (20% in the case of FMR) of the Common Shares of the Company then outstanding or (y) the acquisition by such Person of newly-issued Common Shares directly from the Company (it being understood that a purchase from an underwriter or other intermediary is not directly from the Company); PROVIDED HOWEVER, that if a Person shall become the Beneficial Owner of 15 % or more (20% in the case of FMR) of the Common Shares of the Company then outstanding by reason of share purchases by the Company or the receipt of newly-issued Common Shares directly from the Company and shall, after such share purchases or direct issuance by the Company, become the Beneficial Owner of any additional Common Shares of the Company, then such Person shall be deemed to be an "Acquiring Person"; PROVIDED FURTHER, HOWEVER, that any transferee from such Person who becomes the Beneficial Owner of 15 % or more (20 % in the case of FMR) of the Common Shares of the Company then outstanding shall nevertheless be deemed to be an "Acquiring Person." Notwithstanding the foregoing, if the Board of Directors of the Company determines in good faith that a Person who would otherwise be an "Acquiring Person," as defined pursuant to the foregoing provisions of this paragraph (a), has become such inadvertently, and such Person divests as promptly as practicable (and in any event within ten Business Days after notification by the Company) a sufficient number of Common Shares so that such Person would no longer be an "Acquiring Person," as defined pursuant to the foregoing provisions of this paragraph (a), the such Person shall not be deemed to be an "Acquiring Person" for any purpose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SECTION 2. Compliance with Rights Agreement. This amendment is an amendment of the Rights Plan in compliance with Section 27 thereof.</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3. No other amendments; full effect. Except as expressly amended hereby, the Rights Agreement shall remain in full force and effect in accordance with the provisions thereof.</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4. Counterparts. This amendment may be executed in any number of counterparts and each of such counterpart shall for all purposes be deemed to be an original, and all such counterparts shall together constitute but one and the same instrument.</w:t>
      </w:r>
    </w:p>
    <w:p>
      <w:pPr>
        <w:spacing w:after="0" w:line="17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SECTION 5. Governing Law. This amendment shall be deemed to be a contract made under the laws of the State of Iowa and for all purposes shall be governed by and construed in accordance with the laws of such state.</w:t>
      </w:r>
    </w:p>
    <w:p>
      <w:pPr>
        <w:spacing w:after="0" w:line="174" w:lineRule="exact"/>
        <w:rPr>
          <w:sz w:val="20"/>
          <w:szCs w:val="20"/>
          <w:color w:val="auto"/>
        </w:rPr>
      </w:pPr>
    </w:p>
    <w:p>
      <w:pPr>
        <w:jc w:val="both"/>
        <w:ind w:right="3579" w:firstLine="437"/>
        <w:spacing w:after="0" w:line="261" w:lineRule="auto"/>
        <w:rPr>
          <w:sz w:val="20"/>
          <w:szCs w:val="20"/>
          <w:color w:val="auto"/>
        </w:rPr>
      </w:pPr>
      <w:r>
        <w:rPr>
          <w:rFonts w:ascii="Courier New" w:cs="Courier New" w:eastAsia="Courier New" w:hAnsi="Courier New"/>
          <w:sz w:val="14"/>
          <w:szCs w:val="14"/>
          <w:color w:val="auto"/>
        </w:rPr>
        <w:t>IN WITNESS WHEREOF, the parties hereto have caused this Amendment to be duly executed and attest it, all as of the day and year first above written.</w:t>
      </w:r>
    </w:p>
    <w:p>
      <w:pPr>
        <w:sectPr>
          <w:pgSz w:w="11900" w:h="16838" w:orient="portrait"/>
          <w:cols w:equalWidth="0" w:num="1">
            <w:col w:w="10239"/>
          </w:cols>
          <w:pgMar w:left="220" w:top="135" w:right="1440" w:bottom="0" w:gutter="0" w:footer="0" w:header="0"/>
        </w:sectPr>
      </w:pPr>
    </w:p>
    <w:bookmarkStart w:id="21" w:name="page22"/>
    <w:bookmarkEnd w:id="21"/>
    <w:p>
      <w:pPr>
        <w:ind w:left="2200"/>
        <w:spacing w:after="0"/>
        <w:rPr>
          <w:sz w:val="20"/>
          <w:szCs w:val="20"/>
          <w:color w:val="auto"/>
        </w:rPr>
      </w:pPr>
      <w:r>
        <w:rPr>
          <w:rFonts w:ascii="Courier New" w:cs="Courier New" w:eastAsia="Courier New" w:hAnsi="Courier New"/>
          <w:sz w:val="15"/>
          <w:szCs w:val="15"/>
          <w:color w:val="auto"/>
        </w:rPr>
        <w:t>WINNEBAGO INDUSTRIES, INC.</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 Bruce D. Hertzke, Chairman of the Board,</w:t>
      </w:r>
    </w:p>
    <w:p>
      <w:pPr>
        <w:ind w:left="2900"/>
        <w:spacing w:after="0" w:line="237" w:lineRule="auto"/>
        <w:rPr>
          <w:sz w:val="20"/>
          <w:szCs w:val="20"/>
          <w:color w:val="auto"/>
        </w:rPr>
      </w:pPr>
      <w:r>
        <w:rPr>
          <w:rFonts w:ascii="Courier New" w:cs="Courier New" w:eastAsia="Courier New" w:hAnsi="Courier New"/>
          <w:sz w:val="15"/>
          <w:szCs w:val="15"/>
          <w:color w:val="auto"/>
        </w:rPr>
        <w:t>Chief Executive Officer and President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800"/>
        <w:spacing w:after="0" w:line="237" w:lineRule="auto"/>
        <w:rPr>
          <w:sz w:val="20"/>
          <w:szCs w:val="20"/>
          <w:color w:val="auto"/>
        </w:rPr>
      </w:pPr>
      <w:r>
        <w:rPr>
          <w:rFonts w:ascii="Courier New" w:cs="Courier New" w:eastAsia="Courier New" w:hAnsi="Courier New"/>
          <w:sz w:val="15"/>
          <w:szCs w:val="15"/>
          <w:color w:val="auto"/>
        </w:rPr>
        <w:t>-------------------------------------------</w:t>
      </w:r>
    </w:p>
    <w:p>
      <w:pPr>
        <w:ind w:left="800"/>
        <w:spacing w:after="0" w:line="238" w:lineRule="auto"/>
        <w:rPr>
          <w:sz w:val="20"/>
          <w:szCs w:val="20"/>
          <w:color w:val="auto"/>
        </w:rPr>
      </w:pPr>
      <w:r>
        <w:rPr>
          <w:rFonts w:ascii="Courier New" w:cs="Courier New" w:eastAsia="Courier New" w:hAnsi="Courier New"/>
          <w:sz w:val="15"/>
          <w:szCs w:val="15"/>
          <w:color w:val="auto"/>
        </w:rPr>
        <w:t>/s/ Raymond M. Beebe, Vice President-</w:t>
      </w:r>
    </w:p>
    <w:p>
      <w:pPr>
        <w:ind w:left="800"/>
        <w:spacing w:after="0" w:line="237" w:lineRule="auto"/>
        <w:rPr>
          <w:sz w:val="20"/>
          <w:szCs w:val="20"/>
          <w:color w:val="auto"/>
        </w:rPr>
      </w:pPr>
      <w:r>
        <w:rPr>
          <w:rFonts w:ascii="Courier New" w:cs="Courier New" w:eastAsia="Courier New" w:hAnsi="Courier New"/>
          <w:sz w:val="15"/>
          <w:szCs w:val="15"/>
          <w:color w:val="auto"/>
        </w:rPr>
        <w:t>General Counsel and Secretary</w:t>
      </w:r>
    </w:p>
    <w:p>
      <w:pPr>
        <w:spacing w:after="0" w:line="200" w:lineRule="exact"/>
        <w:rPr>
          <w:sz w:val="20"/>
          <w:szCs w:val="20"/>
          <w:color w:val="auto"/>
        </w:rPr>
      </w:pPr>
    </w:p>
    <w:p>
      <w:pPr>
        <w:spacing w:after="0" w:line="30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WELLS FARGO BANK MINNESOTA, N.A., as</w:t>
      </w:r>
    </w:p>
    <w:p>
      <w:pPr>
        <w:ind w:left="2460"/>
        <w:spacing w:after="0" w:line="237" w:lineRule="auto"/>
        <w:rPr>
          <w:sz w:val="20"/>
          <w:szCs w:val="20"/>
          <w:color w:val="auto"/>
        </w:rPr>
      </w:pPr>
      <w:r>
        <w:rPr>
          <w:rFonts w:ascii="Courier New" w:cs="Courier New" w:eastAsia="Courier New" w:hAnsi="Courier New"/>
          <w:sz w:val="15"/>
          <w:szCs w:val="15"/>
          <w:color w:val="auto"/>
        </w:rPr>
        <w:t>Rights Agent</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By</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ind w:left="2460"/>
        <w:spacing w:after="0" w:line="238" w:lineRule="auto"/>
        <w:rPr>
          <w:sz w:val="20"/>
          <w:szCs w:val="20"/>
          <w:color w:val="auto"/>
        </w:rPr>
      </w:pPr>
      <w:r>
        <w:rPr>
          <w:rFonts w:ascii="Courier New" w:cs="Courier New" w:eastAsia="Courier New" w:hAnsi="Courier New"/>
          <w:sz w:val="15"/>
          <w:szCs w:val="15"/>
          <w:color w:val="auto"/>
        </w:rPr>
        <w:t>/s/ Barbara M. Novak, Vice President</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ATTEST: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800"/>
        <w:spacing w:after="0" w:line="237" w:lineRule="auto"/>
        <w:rPr>
          <w:sz w:val="20"/>
          <w:szCs w:val="20"/>
          <w:color w:val="auto"/>
        </w:rPr>
      </w:pPr>
      <w:r>
        <w:rPr>
          <w:rFonts w:ascii="Courier New" w:cs="Courier New" w:eastAsia="Courier New" w:hAnsi="Courier New"/>
          <w:sz w:val="15"/>
          <w:szCs w:val="15"/>
          <w:color w:val="auto"/>
        </w:rPr>
        <w:t>-------------------------------------</w:t>
      </w:r>
    </w:p>
    <w:p>
      <w:pPr>
        <w:ind w:left="800"/>
        <w:spacing w:after="0" w:line="238" w:lineRule="auto"/>
        <w:rPr>
          <w:sz w:val="20"/>
          <w:szCs w:val="20"/>
          <w:color w:val="auto"/>
        </w:rPr>
      </w:pPr>
      <w:r>
        <w:rPr>
          <w:rFonts w:ascii="Courier New" w:cs="Courier New" w:eastAsia="Courier New" w:hAnsi="Courier New"/>
          <w:sz w:val="15"/>
          <w:szCs w:val="15"/>
          <w:color w:val="auto"/>
        </w:rPr>
        <w:t>/s/ Nancy Roseny, Vice President</w:t>
      </w:r>
    </w:p>
    <w:p>
      <w:pPr>
        <w:sectPr>
          <w:pgSz w:w="11900" w:h="16838" w:orient="portrait"/>
          <w:cols w:equalWidth="0" w:num="1">
            <w:col w:w="10239"/>
          </w:cols>
          <w:pgMar w:left="220" w:top="135" w:right="1440" w:bottom="1440" w:gutter="0" w:footer="0" w:header="0"/>
        </w:sectPr>
      </w:pPr>
    </w:p>
    <w:bookmarkStart w:id="22" w:name="page23"/>
    <w:bookmarkEnd w:id="22"/>
    <w:p>
      <w:pPr>
        <w:jc w:val="center"/>
        <w:ind w:right="3239"/>
        <w:spacing w:after="0"/>
        <w:rPr>
          <w:sz w:val="20"/>
          <w:szCs w:val="20"/>
          <w:color w:val="auto"/>
        </w:rPr>
      </w:pPr>
      <w:r>
        <w:rPr>
          <w:rFonts w:ascii="Courier New" w:cs="Courier New" w:eastAsia="Courier New" w:hAnsi="Courier New"/>
          <w:sz w:val="15"/>
          <w:szCs w:val="15"/>
          <w:color w:val="auto"/>
        </w:rPr>
        <w:t>EXHIBIT 10v.</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EXECUTIVE CHANGE OF CONTROL AGREEMENT</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This EXECUTIVE CHANGE OF CONTROL AGREEMENT is made as of March 13 2003, by and between WINNEBAGO INDUSTRIES, INC., an Iowa corporation (the "Company"), and Roger W. Martin (the "Executive").</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RECITALS: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WHEREAS, the Executive is a senior executive and officer of the Company and has made and is expected to continue to make major contributions to the profitability, growth and financial strength of the Company;</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WHEREAS, the Company recognizes that, as is the case for most publicly held companies, the possibility of a Change of Control (as hereafter defined) exists;</w:t>
      </w:r>
    </w:p>
    <w:p>
      <w:pPr>
        <w:spacing w:after="0" w:line="17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WHEREAS, it is in the best interests of the Company, considering the past and future services of the Executive, to improve the security and climate for objective decision making by providing for the personal security of the Executive upon a Change of Control.</w:t>
      </w:r>
    </w:p>
    <w:p>
      <w:pPr>
        <w:spacing w:after="0" w:line="17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NOW, THEREFORE, in consideration of the foregoing premises and the past and future services rendered and to be rendered by the Executive to the Company and of the mutual covenants and agreements hereinafter set forth, the parties agree as follows: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73" w:lineRule="exact"/>
        <w:rPr>
          <w:sz w:val="20"/>
          <w:szCs w:val="20"/>
          <w:color w:val="auto"/>
        </w:rPr>
      </w:pPr>
    </w:p>
    <w:p>
      <w:pPr>
        <w:ind w:right="3319" w:firstLine="797"/>
        <w:spacing w:after="0" w:line="236" w:lineRule="auto"/>
        <w:tabs>
          <w:tab w:leader="none" w:pos="1049"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SERVICE BY EXECUTIVE. In the event a person or entity, in order to effect a Change of Control, commences a tender or exchange offer, 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177" w:lineRule="exact"/>
        <w:rPr>
          <w:rFonts w:ascii="Courier New" w:cs="Courier New" w:eastAsia="Courier New" w:hAnsi="Courier New"/>
          <w:sz w:val="15"/>
          <w:szCs w:val="15"/>
          <w:color w:val="auto"/>
        </w:rPr>
      </w:pPr>
    </w:p>
    <w:p>
      <w:pPr>
        <w:ind w:right="3319" w:firstLine="797"/>
        <w:spacing w:after="0" w:line="254" w:lineRule="auto"/>
        <w:tabs>
          <w:tab w:leader="none" w:pos="1049"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For purposes of this Agreement, the term "Change of Control" means the time when (i) any Person becomes an Acquiring Person, or</w:t>
      </w:r>
    </w:p>
    <w:p>
      <w:pPr>
        <w:ind w:right="3319" w:firstLine="10"/>
        <w:spacing w:after="0" w:line="254" w:lineRule="auto"/>
        <w:tabs>
          <w:tab w:leader="none" w:pos="437"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shall qualify as Continuing Directors of the Company shall have ceased for any reason to constitute at least a majority of the Board of Directors of the Company; PROVIDED HOWEVER, that in the case of either clause</w:t>
      </w:r>
    </w:p>
    <w:p>
      <w:pPr>
        <w:ind w:left="360" w:hanging="350"/>
        <w:spacing w:after="0" w:line="237"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(ii) a Change of Control shall not be deemed to have occurred if the</w:t>
      </w:r>
    </w:p>
    <w:p>
      <w:pPr>
        <w:spacing w:after="0" w:line="5"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79"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For the purpose of the foregoing definition of "Change of Control", the capitalized terms shall have the following meanings:</w:t>
      </w:r>
    </w:p>
    <w:p>
      <w:pPr>
        <w:spacing w:after="0" w:line="341" w:lineRule="exact"/>
        <w:rPr>
          <w:sz w:val="20"/>
          <w:szCs w:val="20"/>
          <w:color w:val="auto"/>
        </w:rPr>
      </w:pPr>
    </w:p>
    <w:p>
      <w:pPr>
        <w:ind w:left="800" w:right="3239" w:hanging="440"/>
        <w:spacing w:after="0" w:line="255" w:lineRule="auto"/>
        <w:tabs>
          <w:tab w:leader="none" w:pos="8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51" w:lineRule="exact"/>
        <w:rPr>
          <w:rFonts w:ascii="Courier New" w:cs="Courier New" w:eastAsia="Courier New" w:hAnsi="Courier New"/>
          <w:sz w:val="14"/>
          <w:szCs w:val="14"/>
          <w:color w:val="auto"/>
        </w:rPr>
      </w:pPr>
    </w:p>
    <w:p>
      <w:pPr>
        <w:ind w:left="800" w:right="3399" w:hanging="440"/>
        <w:spacing w:after="0" w:line="236" w:lineRule="auto"/>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January 17, 2001, except that the term "Acquiring Person" shall not include a Hanson Family Member or an Affiliate or Associate of a Hanson Family Member.</w:t>
      </w:r>
    </w:p>
    <w:p>
      <w:pPr>
        <w:spacing w:after="0" w:line="175" w:lineRule="exact"/>
        <w:rPr>
          <w:rFonts w:ascii="Courier New" w:cs="Courier New" w:eastAsia="Courier New" w:hAnsi="Courier New"/>
          <w:sz w:val="15"/>
          <w:szCs w:val="15"/>
          <w:color w:val="auto"/>
        </w:rPr>
      </w:pPr>
    </w:p>
    <w:p>
      <w:pPr>
        <w:ind w:left="800" w:right="3319" w:hanging="440"/>
        <w:spacing w:after="0" w:line="235" w:lineRule="auto"/>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 Person that directly or indirectly through one or more intermediaries, controls, or is controlled by, or is under common control with, the person specified.</w:t>
      </w:r>
    </w:p>
    <w:p>
      <w:pPr>
        <w:spacing w:after="0" w:line="173" w:lineRule="exact"/>
        <w:rPr>
          <w:rFonts w:ascii="Courier New" w:cs="Courier New" w:eastAsia="Courier New" w:hAnsi="Courier New"/>
          <w:sz w:val="15"/>
          <w:szCs w:val="15"/>
          <w:color w:val="auto"/>
        </w:rPr>
      </w:pPr>
    </w:p>
    <w:p>
      <w:pPr>
        <w:ind w:left="800" w:right="3239" w:hanging="440"/>
        <w:spacing w:after="0" w:line="255" w:lineRule="auto"/>
        <w:tabs>
          <w:tab w:leader="none" w:pos="8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w:t>
      </w:r>
    </w:p>
    <w:p>
      <w:pPr>
        <w:sectPr>
          <w:pgSz w:w="11900" w:h="16838" w:orient="portrait"/>
          <w:cols w:equalWidth="0" w:num="1">
            <w:col w:w="10239"/>
          </w:cols>
          <w:pgMar w:left="220" w:top="135" w:right="1440" w:bottom="0" w:gutter="0" w:footer="0" w:header="0"/>
        </w:sectPr>
      </w:pPr>
    </w:p>
    <w:bookmarkStart w:id="23" w:name="page24"/>
    <w:bookmarkEnd w:id="23"/>
    <w:p>
      <w:pPr>
        <w:ind w:left="790" w:right="3239"/>
        <w:spacing w:after="0" w:line="235" w:lineRule="auto"/>
        <w:rPr>
          <w:sz w:val="20"/>
          <w:szCs w:val="20"/>
          <w:color w:val="auto"/>
        </w:rPr>
      </w:pPr>
      <w:r>
        <w:rPr>
          <w:rFonts w:ascii="Courier New" w:cs="Courier New" w:eastAsia="Courier New" w:hAnsi="Courier New"/>
          <w:sz w:val="15"/>
          <w:szCs w:val="15"/>
          <w:color w:val="auto"/>
        </w:rPr>
        <w:t>trustee or in a similar fiduciary capacity, (3) any relative or spouse of such person, or any relative of such spouse, or (4) any investment company for which such person or any Affiliate of such person serves as investment advisor.</w:t>
      </w:r>
    </w:p>
    <w:p>
      <w:pPr>
        <w:spacing w:after="0" w:line="175" w:lineRule="exact"/>
        <w:rPr>
          <w:sz w:val="20"/>
          <w:szCs w:val="20"/>
          <w:color w:val="auto"/>
        </w:rPr>
      </w:pPr>
    </w:p>
    <w:p>
      <w:pPr>
        <w:ind w:left="790" w:right="3239" w:hanging="440"/>
        <w:spacing w:after="0" w:line="236" w:lineRule="auto"/>
        <w:tabs>
          <w:tab w:leader="none" w:pos="79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"Hanson Family Member" means John K. Hanson (deceased)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174" w:lineRule="exact"/>
        <w:rPr>
          <w:rFonts w:ascii="Courier New" w:cs="Courier New" w:eastAsia="Courier New" w:hAnsi="Courier New"/>
          <w:sz w:val="15"/>
          <w:szCs w:val="15"/>
          <w:color w:val="auto"/>
        </w:rPr>
      </w:pPr>
    </w:p>
    <w:p>
      <w:pPr>
        <w:ind w:left="790" w:right="3399" w:hanging="440"/>
        <w:spacing w:after="0" w:line="258" w:lineRule="auto"/>
        <w:tabs>
          <w:tab w:leader="none" w:pos="790"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means an individual, corporation, limited liability company, partnership, association, joint stock company, trust, unincorporated organization or government or political subdivision thereof.</w:t>
      </w:r>
    </w:p>
    <w:p>
      <w:pPr>
        <w:spacing w:after="0" w:line="161" w:lineRule="exact"/>
        <w:rPr>
          <w:rFonts w:ascii="Courier New" w:cs="Courier New" w:eastAsia="Courier New" w:hAnsi="Courier New"/>
          <w:sz w:val="14"/>
          <w:szCs w:val="14"/>
          <w:color w:val="auto"/>
        </w:rPr>
      </w:pPr>
    </w:p>
    <w:p>
      <w:pPr>
        <w:ind w:left="-10" w:right="3239" w:firstLine="797"/>
        <w:spacing w:after="0" w:line="235" w:lineRule="auto"/>
        <w:tabs>
          <w:tab w:leader="none" w:pos="1040" w:val="left"/>
        </w:tabs>
        <w:numPr>
          <w:ilvl w:val="2"/>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BENEFITS EFFECTIVE IMMEDIATELY UPON A CHANGE OF CONTROL. If a Change of Control shall have occurred while the Executive is still an employee of the Company, then the Executive shall immediately be entitled to the following benefits:</w:t>
      </w:r>
    </w:p>
    <w:p>
      <w:pPr>
        <w:spacing w:after="0" w:line="175" w:lineRule="exact"/>
        <w:rPr>
          <w:rFonts w:ascii="Courier New" w:cs="Courier New" w:eastAsia="Courier New" w:hAnsi="Courier New"/>
          <w:sz w:val="15"/>
          <w:szCs w:val="15"/>
          <w:color w:val="auto"/>
        </w:rPr>
      </w:pPr>
    </w:p>
    <w:p>
      <w:pPr>
        <w:ind w:left="-10" w:right="3239" w:firstLine="1584"/>
        <w:spacing w:after="0" w:line="236" w:lineRule="auto"/>
        <w:tabs>
          <w:tab w:leader="none" w:pos="1914" w:val="left"/>
        </w:tabs>
        <w:numPr>
          <w:ilvl w:val="3"/>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 VESTING OF ALL STOCK OPTIONS AND RIGHTS. All options and rights granted to the Executive by the Company pursuant to the Company's Stock Option Plan effective as of August 14, 1997, or any successor or supplemental stock plan shall become immediately exercisable upon a Change of Control.</w:t>
      </w:r>
    </w:p>
    <w:p>
      <w:pPr>
        <w:spacing w:after="0" w:line="173" w:lineRule="exact"/>
        <w:rPr>
          <w:rFonts w:ascii="Courier New" w:cs="Courier New" w:eastAsia="Courier New" w:hAnsi="Courier New"/>
          <w:sz w:val="15"/>
          <w:szCs w:val="15"/>
          <w:color w:val="auto"/>
        </w:rPr>
      </w:pPr>
    </w:p>
    <w:p>
      <w:pPr>
        <w:ind w:left="-10" w:right="3499" w:firstLine="1584"/>
        <w:spacing w:after="0" w:line="236" w:lineRule="auto"/>
        <w:tabs>
          <w:tab w:leader="none" w:pos="1914" w:val="left"/>
        </w:tabs>
        <w:numPr>
          <w:ilvl w:val="3"/>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RETIREE HEALTH INSURANCE. Any plans or policies of the Company providing for medical, dental, vision or similar benefits for retired employees existing as of the time of a Change of Control shall, as to the Executive, not be rescinded or modified in any manner which is adverse to the Executive following a Change of Control.</w:t>
      </w:r>
    </w:p>
    <w:p>
      <w:pPr>
        <w:spacing w:after="0" w:line="173" w:lineRule="exact"/>
        <w:rPr>
          <w:rFonts w:ascii="Courier New" w:cs="Courier New" w:eastAsia="Courier New" w:hAnsi="Courier New"/>
          <w:sz w:val="15"/>
          <w:szCs w:val="15"/>
          <w:color w:val="auto"/>
        </w:rPr>
      </w:pPr>
    </w:p>
    <w:p>
      <w:pPr>
        <w:ind w:left="-10" w:right="3319" w:firstLine="1584"/>
        <w:spacing w:after="0" w:line="254" w:lineRule="auto"/>
        <w:tabs>
          <w:tab w:leader="none" w:pos="1914" w:val="left"/>
        </w:tabs>
        <w:numPr>
          <w:ilvl w:val="3"/>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All non-registered stock of the Company owned by the Executive, which is subject to restrictions on sale or other transfer, shall, at the option of the Executive (exercisable at any time by the delivery of written notice to the Company) be purchased by the Company at its fair market value. The purchase shall be completed by the Company within thirty</w:t>
      </w:r>
    </w:p>
    <w:p>
      <w:pPr>
        <w:spacing w:after="0" w:line="1" w:lineRule="exact"/>
        <w:rPr>
          <w:rFonts w:ascii="Courier New" w:cs="Courier New" w:eastAsia="Courier New" w:hAnsi="Courier New"/>
          <w:sz w:val="14"/>
          <w:szCs w:val="14"/>
          <w:color w:val="auto"/>
        </w:rPr>
      </w:pPr>
    </w:p>
    <w:p>
      <w:pPr>
        <w:ind w:left="-10" w:right="3579" w:firstLine="10"/>
        <w:spacing w:after="0" w:line="236" w:lineRule="auto"/>
        <w:tabs>
          <w:tab w:leader="none" w:pos="42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Company receives the written notice of exercise from the Executive. So long as the Company's stock is traded on the New York Stock Exchange (the "NYSE"), the "fair market value" shall be the mean between the highest and lowest reported selling prices as reported by the NYSE on the business day immediately preceding the day of sale.</w:t>
      </w:r>
    </w:p>
    <w:p>
      <w:pPr>
        <w:spacing w:after="0" w:line="173" w:lineRule="exact"/>
        <w:rPr>
          <w:rFonts w:ascii="Courier New" w:cs="Courier New" w:eastAsia="Courier New" w:hAnsi="Courier New"/>
          <w:sz w:val="15"/>
          <w:szCs w:val="15"/>
          <w:color w:val="auto"/>
        </w:rPr>
      </w:pPr>
    </w:p>
    <w:p>
      <w:pPr>
        <w:ind w:left="-10" w:right="3239" w:firstLine="797"/>
        <w:spacing w:after="0" w:line="237" w:lineRule="auto"/>
        <w:tabs>
          <w:tab w:leader="none" w:pos="1040" w:val="left"/>
        </w:tabs>
        <w:numPr>
          <w:ilvl w:val="2"/>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BENEFITS EFFECTIVE IMMEDIATELY UPON A CHANGE OF CONTROL PURSUANT TO PLAN DOCUMENTS. It is acknowledged that there presently exist other plans and agreements of the Company which may provide benefits to the Executive and which contain specific provisions dealing with the occurrence of a change of control of the Company (as defined in such plan or agreement). Following a Change of Control, no such plan or agreement shall be rescinded or modified in any manner which is adverse to the Executive. Such other plans and agreements of the Company shall mean: (a) the Executive Share Option Program; (b) the Officers Long-Term Incentive Plan; (c) the Deferred Compensation and Deferred Bonus Plans; and (d) the Officers Incentive Compensation Plan. Nothing herein shall be construed to affect the Company's right and ability to terminate or amend any such plan or agreement (subject to the terms thereof) prior to a Change of Control.</w:t>
      </w:r>
    </w:p>
    <w:p>
      <w:pPr>
        <w:sectPr>
          <w:pgSz w:w="11900" w:h="16838" w:orient="portrait"/>
          <w:cols w:equalWidth="0" w:num="1">
            <w:col w:w="10229"/>
          </w:cols>
          <w:pgMar w:left="230" w:top="141" w:right="1440" w:bottom="1440" w:gutter="0" w:footer="0" w:header="0"/>
        </w:sectPr>
      </w:pPr>
    </w:p>
    <w:bookmarkStart w:id="24" w:name="page25"/>
    <w:bookmarkEnd w:id="24"/>
    <w:p>
      <w:pPr>
        <w:ind w:left="-10" w:right="3239" w:firstLine="797"/>
        <w:spacing w:after="0" w:line="255" w:lineRule="auto"/>
        <w:tabs>
          <w:tab w:leader="none" w:pos="1040"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FOLLOWING A CHANGE OF CONTROL. If a Change of Control shall have occurred while the Executive is still an employee of the Company, and if the Executive's employment with the Company is terminated, within three years following such Change of Control, then the Executive shall be entitled to the compensation and benefits provided in Sections 6 and 7, unless such termination is a result of: (a) the Executive's death; (b) the Executive's Disability (as defined in Section 5(a) below); (c) the Executive's Retirement (as defined in Section 5(b) below); (d) the Executive's termination by the Company for Cause (as defined in Section 5(c) below); or (e) the Executive's decision to terminate employment other than for Good Reason (as defined in Section 5(d) below).</w:t>
      </w:r>
    </w:p>
    <w:p>
      <w:pPr>
        <w:spacing w:after="0" w:line="165" w:lineRule="exact"/>
        <w:rPr>
          <w:rFonts w:ascii="Courier New" w:cs="Courier New" w:eastAsia="Courier New" w:hAnsi="Courier New"/>
          <w:sz w:val="14"/>
          <w:szCs w:val="14"/>
          <w:color w:val="auto"/>
        </w:rPr>
      </w:pPr>
    </w:p>
    <w:p>
      <w:pPr>
        <w:ind w:left="-10" w:right="3239" w:firstLine="1584"/>
        <w:spacing w:after="0" w:line="255" w:lineRule="auto"/>
        <w:tabs>
          <w:tab w:leader="none" w:pos="1914" w:val="left"/>
        </w:tabs>
        <w:numPr>
          <w:ilvl w:val="2"/>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If, as a result of the Executive's incapacity due to physical or mental illness, the Executive shall have been absent from his duties with the Company on a full-time basis for six months and within 30 days after written notice of termination is thereafter given by the Company the Executive shall not have returned to the full-time performance of the Executive's duties, the Company may terminate the Executive for "Disability".</w:t>
      </w:r>
    </w:p>
    <w:p>
      <w:pPr>
        <w:spacing w:after="0" w:line="166" w:lineRule="exact"/>
        <w:rPr>
          <w:rFonts w:ascii="Courier New" w:cs="Courier New" w:eastAsia="Courier New" w:hAnsi="Courier New"/>
          <w:sz w:val="14"/>
          <w:szCs w:val="14"/>
          <w:color w:val="auto"/>
        </w:rPr>
      </w:pPr>
    </w:p>
    <w:p>
      <w:pPr>
        <w:ind w:left="-10" w:right="3319" w:firstLine="1584"/>
        <w:spacing w:after="0" w:line="236" w:lineRule="auto"/>
        <w:tabs>
          <w:tab w:leader="none" w:pos="1914" w:val="left"/>
        </w:tabs>
        <w:numPr>
          <w:ilvl w:val="2"/>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The term "Retirement" as used in this Agreement shall mean termination by the Company or the Executive of the Executive's employment based on the Executive having attained the age of 65 or such other age as shall have been fixed in any arrangement established with the Executive's consent with respect to the Executive.</w:t>
      </w:r>
    </w:p>
    <w:p>
      <w:pPr>
        <w:spacing w:after="0" w:line="173" w:lineRule="exact"/>
        <w:rPr>
          <w:rFonts w:ascii="Courier New" w:cs="Courier New" w:eastAsia="Courier New" w:hAnsi="Courier New"/>
          <w:sz w:val="15"/>
          <w:szCs w:val="15"/>
          <w:color w:val="auto"/>
        </w:rPr>
      </w:pPr>
    </w:p>
    <w:p>
      <w:pPr>
        <w:ind w:left="-10" w:right="3239" w:firstLine="1671"/>
        <w:spacing w:after="0" w:line="254" w:lineRule="auto"/>
        <w:tabs>
          <w:tab w:leader="none" w:pos="2002" w:val="left"/>
        </w:tabs>
        <w:numPr>
          <w:ilvl w:val="3"/>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Company may terminate the Executive's employment for Cause. For purposes of this Agreement only, the Company shall have "Cause" to terminate the Executive's employment hereunder only on the basis of (i) fraud, misappropriation or embezzlement on the part of the Executive; or</w:t>
      </w:r>
    </w:p>
    <w:p>
      <w:pPr>
        <w:spacing w:after="0" w:line="1" w:lineRule="exact"/>
        <w:rPr>
          <w:rFonts w:ascii="Courier New" w:cs="Courier New" w:eastAsia="Courier New" w:hAnsi="Courier New"/>
          <w:sz w:val="14"/>
          <w:szCs w:val="14"/>
          <w:color w:val="auto"/>
        </w:rPr>
      </w:pPr>
    </w:p>
    <w:p>
      <w:pPr>
        <w:ind w:left="-10" w:right="3239" w:firstLine="10"/>
        <w:spacing w:after="0" w:line="255" w:lineRule="auto"/>
        <w:tabs>
          <w:tab w:leader="none" w:pos="42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 misconduct or gross negligence on 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5( c) and specifying the particulars thereof in detail. Nothing herein shall limit the right of the Executive or his beneficiaries to contest the validity or propriety of any such determination.</w:t>
      </w:r>
    </w:p>
    <w:p>
      <w:pPr>
        <w:spacing w:after="0" w:line="164" w:lineRule="exact"/>
        <w:rPr>
          <w:rFonts w:ascii="Courier New" w:cs="Courier New" w:eastAsia="Courier New" w:hAnsi="Courier New"/>
          <w:sz w:val="14"/>
          <w:szCs w:val="14"/>
          <w:color w:val="auto"/>
        </w:rPr>
      </w:pPr>
    </w:p>
    <w:p>
      <w:pPr>
        <w:ind w:left="-10" w:right="3399" w:firstLine="1584"/>
        <w:spacing w:after="0" w:line="235" w:lineRule="auto"/>
        <w:tabs>
          <w:tab w:leader="none" w:pos="1914" w:val="left"/>
        </w:tabs>
        <w:numPr>
          <w:ilvl w:val="2"/>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REASON. The Executive may terminate the Executive's employment for Good Reason at any time during the term of this Agreement. For purposes of this Agreement "Good Reason" shall mean any of the following (without the Executive's express written consent):</w:t>
      </w:r>
    </w:p>
    <w:p>
      <w:pPr>
        <w:spacing w:after="0" w:line="175" w:lineRule="exact"/>
        <w:rPr>
          <w:sz w:val="20"/>
          <w:szCs w:val="20"/>
          <w:color w:val="auto"/>
        </w:rPr>
      </w:pPr>
    </w:p>
    <w:p>
      <w:pPr>
        <w:ind w:left="-10" w:right="3239" w:firstLine="1584"/>
        <w:spacing w:after="0" w:line="236" w:lineRule="auto"/>
        <w:tabs>
          <w:tab w:leader="none" w:pos="1914"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assignment to the Executive by the Company of duties inconsistent with the Executive's position, duties, responsibilities and status 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pacing w:after="0" w:line="178" w:lineRule="exact"/>
        <w:rPr>
          <w:rFonts w:ascii="Courier New" w:cs="Courier New" w:eastAsia="Courier New" w:hAnsi="Courier New"/>
          <w:sz w:val="15"/>
          <w:szCs w:val="15"/>
          <w:color w:val="auto"/>
        </w:rPr>
      </w:pPr>
    </w:p>
    <w:p>
      <w:pPr>
        <w:ind w:left="-10" w:right="3239" w:firstLine="1584"/>
        <w:spacing w:after="0" w:line="255" w:lineRule="auto"/>
        <w:tabs>
          <w:tab w:leader="none" w:pos="200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166" w:lineRule="exact"/>
        <w:rPr>
          <w:rFonts w:ascii="Courier New" w:cs="Courier New" w:eastAsia="Courier New" w:hAnsi="Courier New"/>
          <w:sz w:val="14"/>
          <w:szCs w:val="14"/>
          <w:color w:val="auto"/>
        </w:rPr>
      </w:pPr>
    </w:p>
    <w:p>
      <w:pPr>
        <w:ind w:left="-10" w:right="3239" w:firstLine="1584"/>
        <w:spacing w:after="0" w:line="236" w:lineRule="auto"/>
        <w:tabs>
          <w:tab w:leader="none" w:pos="208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 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ectPr>
          <w:pgSz w:w="11900" w:h="16838" w:orient="portrait"/>
          <w:cols w:equalWidth="0" w:num="1">
            <w:col w:w="10229"/>
          </w:cols>
          <w:pgMar w:left="230" w:top="960" w:right="1440" w:bottom="1440" w:gutter="0" w:footer="0" w:header="0"/>
        </w:sectPr>
      </w:pPr>
    </w:p>
    <w:bookmarkStart w:id="25" w:name="page26"/>
    <w:bookmarkEnd w:id="25"/>
    <w:p>
      <w:pPr>
        <w:ind w:right="3319" w:firstLine="1584"/>
        <w:spacing w:after="0" w:line="255" w:lineRule="auto"/>
        <w:tabs>
          <w:tab w:leader="none" w:pos="2012"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reduce the Executive's benefits under any such Incentive Plan, expressed as a percentage of his base salary, by more than 10 percentage points in any fiscal year as compared to the immediately preceding fiscal year;</w:t>
      </w:r>
    </w:p>
    <w:p>
      <w:pPr>
        <w:spacing w:after="0" w:line="164" w:lineRule="exact"/>
        <w:rPr>
          <w:rFonts w:ascii="Courier New" w:cs="Courier New" w:eastAsia="Courier New" w:hAnsi="Courier New"/>
          <w:sz w:val="14"/>
          <w:szCs w:val="14"/>
          <w:color w:val="auto"/>
        </w:rPr>
      </w:pPr>
    </w:p>
    <w:p>
      <w:pPr>
        <w:ind w:right="3399" w:firstLine="797"/>
        <w:spacing w:after="0" w:line="236" w:lineRule="auto"/>
        <w:tabs>
          <w:tab w:leader="none" w:pos="113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 (hereinafter referred to as "Securities Plans") or the taking of any action by the Company which would adversely affect the Executive's participation in or materially reduce the Executive's benefits under any such Securities Plan;</w:t>
      </w:r>
    </w:p>
    <w:p>
      <w:pPr>
        <w:spacing w:after="0" w:line="175" w:lineRule="exact"/>
        <w:rPr>
          <w:rFonts w:ascii="Courier New" w:cs="Courier New" w:eastAsia="Courier New" w:hAnsi="Courier New"/>
          <w:sz w:val="15"/>
          <w:szCs w:val="15"/>
          <w:color w:val="auto"/>
        </w:rPr>
      </w:pPr>
    </w:p>
    <w:p>
      <w:pPr>
        <w:ind w:right="3239" w:firstLine="797"/>
        <w:spacing w:after="0" w:line="236" w:lineRule="auto"/>
        <w:tabs>
          <w:tab w:leader="none" w:pos="122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relocation of the Company's principal executive offices to a location outside of Forest City, Iowa, or the Executive's relocation to any place other than the location at which the Executive performed the 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175" w:lineRule="exact"/>
        <w:rPr>
          <w:rFonts w:ascii="Courier New" w:cs="Courier New" w:eastAsia="Courier New" w:hAnsi="Courier New"/>
          <w:sz w:val="15"/>
          <w:szCs w:val="15"/>
          <w:color w:val="auto"/>
        </w:rPr>
      </w:pPr>
    </w:p>
    <w:p>
      <w:pPr>
        <w:ind w:right="3239" w:firstLine="797"/>
        <w:spacing w:after="0" w:line="235" w:lineRule="auto"/>
        <w:tabs>
          <w:tab w:leader="none" w:pos="131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provide the Executive with the number of paid vacation days to which the Executive is entitled at the time of a Change in Control of the Company;</w:t>
      </w:r>
    </w:p>
    <w:p>
      <w:pPr>
        <w:spacing w:after="0" w:line="167" w:lineRule="exact"/>
        <w:rPr>
          <w:rFonts w:ascii="Courier New" w:cs="Courier New" w:eastAsia="Courier New" w:hAnsi="Courier New"/>
          <w:sz w:val="15"/>
          <w:szCs w:val="15"/>
          <w:color w:val="auto"/>
        </w:rPr>
      </w:pPr>
    </w:p>
    <w:p>
      <w:pPr>
        <w:ind w:left="1400" w:hanging="603"/>
        <w:spacing w:after="0"/>
        <w:tabs>
          <w:tab w:leader="none" w:pos="14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breach by the Company of any provision of this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w:t>
      </w:r>
    </w:p>
    <w:p>
      <w:pPr>
        <w:spacing w:after="0" w:line="173" w:lineRule="exact"/>
        <w:rPr>
          <w:rFonts w:ascii="Courier New" w:cs="Courier New" w:eastAsia="Courier New" w:hAnsi="Courier New"/>
          <w:sz w:val="15"/>
          <w:szCs w:val="15"/>
          <w:color w:val="auto"/>
        </w:rPr>
      </w:pPr>
    </w:p>
    <w:p>
      <w:pPr>
        <w:ind w:right="3839" w:firstLine="797"/>
        <w:spacing w:after="0" w:line="234" w:lineRule="auto"/>
        <w:tabs>
          <w:tab w:leader="none" w:pos="122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obtain the assumption of this Agreement by any successor or assign of the Company; or</w:t>
      </w:r>
    </w:p>
    <w:p>
      <w:pPr>
        <w:spacing w:after="0" w:line="173" w:lineRule="exact"/>
        <w:rPr>
          <w:rFonts w:ascii="Courier New" w:cs="Courier New" w:eastAsia="Courier New" w:hAnsi="Courier New"/>
          <w:sz w:val="15"/>
          <w:szCs w:val="15"/>
          <w:color w:val="auto"/>
        </w:rPr>
      </w:pPr>
    </w:p>
    <w:p>
      <w:pPr>
        <w:ind w:right="3319" w:firstLine="797"/>
        <w:spacing w:after="0" w:line="235" w:lineRule="auto"/>
        <w:tabs>
          <w:tab w:leader="none" w:pos="113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purported termination of the Executive's employment which is not effected pursuant to a Notice of Termination satisfying the requirements of Section 3(f), and for purposes of this Agreement, no such purported termination shall be effective.</w:t>
      </w:r>
    </w:p>
    <w:p>
      <w:pPr>
        <w:spacing w:after="0" w:line="175" w:lineRule="exact"/>
        <w:rPr>
          <w:sz w:val="20"/>
          <w:szCs w:val="20"/>
          <w:color w:val="auto"/>
        </w:rPr>
      </w:pPr>
    </w:p>
    <w:p>
      <w:pPr>
        <w:ind w:right="3239" w:firstLine="797"/>
        <w:spacing w:after="0" w:line="236" w:lineRule="auto"/>
        <w:tabs>
          <w:tab w:leader="none" w:pos="113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Any termination by the Company pursuant to Section 5(a), (b) or (c) shall be communicated by a Notice of Termination. For 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178" w:lineRule="exact"/>
        <w:rPr>
          <w:rFonts w:ascii="Courier New" w:cs="Courier New" w:eastAsia="Courier New" w:hAnsi="Courier New"/>
          <w:sz w:val="15"/>
          <w:szCs w:val="15"/>
          <w:color w:val="auto"/>
        </w:rPr>
      </w:pPr>
    </w:p>
    <w:p>
      <w:pPr>
        <w:ind w:right="3239" w:firstLine="797"/>
        <w:spacing w:after="0" w:line="237" w:lineRule="auto"/>
        <w:tabs>
          <w:tab w:leader="none" w:pos="113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TERMINATION. "Date of Termination" shall mean (a) if this Agreement is terminated by the Company for Disability, 30 days after Notice of Termination is given to the Executive (provided that the Executive shall not have returned to the performance of the Executive's duties on a full-time basis during such 30-day period) or (b) if the Executive's employment is terminated by the Company for any other reason, the date on which a Notice of Termination is given; provided that if within 30 days after any Notice of Termination is given to the Executive by the Company the Executive notifies the Company that a dispute exists 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ectPr>
          <w:pgSz w:w="11900" w:h="16838" w:orient="portrait"/>
          <w:cols w:equalWidth="0" w:num="1">
            <w:col w:w="10239"/>
          </w:cols>
          <w:pgMar w:left="220" w:top="960" w:right="1440" w:bottom="1440" w:gutter="0" w:footer="0" w:header="0"/>
        </w:sectPr>
      </w:pPr>
    </w:p>
    <w:bookmarkStart w:id="26" w:name="page27"/>
    <w:bookmarkEnd w:id="26"/>
    <w:p>
      <w:pPr>
        <w:ind w:right="3239" w:firstLine="797"/>
        <w:spacing w:after="0" w:line="255" w:lineRule="auto"/>
        <w:tabs>
          <w:tab w:leader="none" w:pos="1049"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COMPENSATION UPON TERMINATION OF EMPLOYMENT. If the Company shall terminate the Executive's employment other than pursuant to Section 5(a),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 such fewer number of fiscal years if the Executive has not been employed by the Company during each of the preceding three (3) fiscal years).</w:t>
      </w:r>
    </w:p>
    <w:p>
      <w:pPr>
        <w:spacing w:after="0" w:line="165" w:lineRule="exact"/>
        <w:rPr>
          <w:rFonts w:ascii="Courier New" w:cs="Courier New" w:eastAsia="Courier New" w:hAnsi="Courier New"/>
          <w:sz w:val="14"/>
          <w:szCs w:val="14"/>
          <w:color w:val="auto"/>
        </w:rPr>
      </w:pPr>
    </w:p>
    <w:p>
      <w:pPr>
        <w:ind w:right="3239" w:firstLine="797"/>
        <w:spacing w:after="0" w:line="236" w:lineRule="auto"/>
        <w:tabs>
          <w:tab w:leader="none" w:pos="1049"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BENEFITS UPON TERMINATION. If within three years following a Change of Control, the Company shall terminate the Executive's employment other than pursuant to Section 5(a), 5(b) or 5( c) or if the Executive shall terminate his employment for Good Reason, then the Company shall further provide to the Executive the following benefits:</w:t>
      </w:r>
    </w:p>
    <w:p>
      <w:pPr>
        <w:spacing w:after="0" w:line="173" w:lineRule="exact"/>
        <w:rPr>
          <w:rFonts w:ascii="Courier New" w:cs="Courier New" w:eastAsia="Courier New" w:hAnsi="Courier New"/>
          <w:sz w:val="15"/>
          <w:szCs w:val="15"/>
          <w:color w:val="auto"/>
        </w:rPr>
      </w:pPr>
    </w:p>
    <w:p>
      <w:pPr>
        <w:ind w:right="3319" w:firstLine="1584"/>
        <w:spacing w:after="0" w:line="254" w:lineRule="auto"/>
        <w:tabs>
          <w:tab w:leader="none" w:pos="1924" w:val="left"/>
        </w:tabs>
        <w:numPr>
          <w:ilvl w:val="2"/>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LIFE, DENTAL, VISION, HEALTH AND LONG TERM DISABILITY COVERAGE. The Executive's participation in, and entitlement to, benefits under:</w:t>
      </w:r>
    </w:p>
    <w:p>
      <w:pPr>
        <w:ind w:right="3239" w:firstLine="10"/>
        <w:spacing w:after="0" w:line="254" w:lineRule="auto"/>
        <w:tabs>
          <w:tab w:leader="none" w:pos="35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life insurance plans of the Company; (ii) all health insurance plans of the Company, including but not limited to those providing major medical and hospitalization benefits, dental benefits and vision benefits; and (iii) the Company's long-term disability plan or plans; as all such plans existed immediately prior to the Change of Control shall continue as though the Executive remained employed by the Corporation for an additional period of three</w:t>
      </w:r>
    </w:p>
    <w:p>
      <w:pPr>
        <w:spacing w:after="0" w:line="2"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 years or until the obtainment of such coverages by the Executive through another employer, whichever is earlier; provided, however, that in the case of all health insurance plans of the Company (including but not limited to those providing major medical and hospitalization benefits, dental benefits and vision benefits), such three (3) year period shall be extended to the time that the Executive's attains age 65 (and provided further that the Executive may then be entitled to certain retiree health insurance under Section 3(c) hereof). To the extent such participation or entitlement is not possible for any reason whatsoever, equivalent benefits shall be provided by the Company to the Executive.</w:t>
      </w:r>
    </w:p>
    <w:p>
      <w:pPr>
        <w:spacing w:after="0" w:line="179" w:lineRule="exact"/>
        <w:rPr>
          <w:rFonts w:ascii="Courier New" w:cs="Courier New" w:eastAsia="Courier New" w:hAnsi="Courier New"/>
          <w:sz w:val="14"/>
          <w:szCs w:val="14"/>
          <w:color w:val="auto"/>
        </w:rPr>
      </w:pPr>
    </w:p>
    <w:p>
      <w:pPr>
        <w:ind w:right="3239" w:firstLine="1584"/>
        <w:spacing w:after="0" w:line="255" w:lineRule="auto"/>
        <w:tabs>
          <w:tab w:leader="none" w:pos="1924" w:val="left"/>
        </w:tabs>
        <w:numPr>
          <w:ilvl w:val="2"/>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AUTOMOBILE BENEFIT. If the Executive is entitled to the use of a Company-owned automobile at the time of a Change of Control, then title to such automobile shall be transferred to the Executive (upon termination of employment as described in Section 7 above) free and clear of all liens and encumbrances (or, if the Company does not own such automobile at the time of termination, then the Company shall arrange for the purchase, for the benefit of the Executive, of a similar make, model and year of automobile).</w:t>
      </w:r>
    </w:p>
    <w:p>
      <w:pPr>
        <w:spacing w:after="0" w:line="166" w:lineRule="exact"/>
        <w:rPr>
          <w:rFonts w:ascii="Courier New" w:cs="Courier New" w:eastAsia="Courier New" w:hAnsi="Courier New"/>
          <w:sz w:val="14"/>
          <w:szCs w:val="14"/>
          <w:color w:val="auto"/>
        </w:rPr>
      </w:pPr>
    </w:p>
    <w:p>
      <w:pPr>
        <w:ind w:right="3399" w:firstLine="1584"/>
        <w:spacing w:after="0" w:line="255" w:lineRule="auto"/>
        <w:tabs>
          <w:tab w:leader="none" w:pos="1924" w:val="left"/>
        </w:tabs>
        <w:numPr>
          <w:ilvl w:val="2"/>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PLANS. Any vesting requirement imposed under the provisions of, or rules relating to, the Company's Deferred Compensation and Deferred Bonus Plans, (including, but not limited to, vesting conditions requiring that the Executive attain the age of 55 and/or complete five years of service following a deferral) shall be waived and the Executive shall be fully vested in all deferrals made under such plans.</w:t>
      </w:r>
    </w:p>
    <w:p>
      <w:pPr>
        <w:spacing w:after="0" w:line="159" w:lineRule="exact"/>
        <w:rPr>
          <w:rFonts w:ascii="Courier New" w:cs="Courier New" w:eastAsia="Courier New" w:hAnsi="Courier New"/>
          <w:sz w:val="14"/>
          <w:szCs w:val="14"/>
          <w:color w:val="auto"/>
        </w:rPr>
      </w:pPr>
    </w:p>
    <w:p>
      <w:pPr>
        <w:ind w:left="1060" w:hanging="263"/>
        <w:spacing w:after="0"/>
        <w:tabs>
          <w:tab w:leader="none" w:pos="106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EXCISE TAX-ADDITIONAL PAYMENT.</w:t>
      </w:r>
    </w:p>
    <w:p>
      <w:pPr>
        <w:spacing w:after="0" w:line="172" w:lineRule="exact"/>
        <w:rPr>
          <w:rFonts w:ascii="Courier New" w:cs="Courier New" w:eastAsia="Courier New" w:hAnsi="Courier New"/>
          <w:sz w:val="15"/>
          <w:szCs w:val="15"/>
          <w:color w:val="auto"/>
        </w:rPr>
      </w:pPr>
    </w:p>
    <w:p>
      <w:pPr>
        <w:ind w:right="3239" w:firstLine="1584"/>
        <w:spacing w:after="0" w:line="237" w:lineRule="auto"/>
        <w:tabs>
          <w:tab w:leader="none" w:pos="1924" w:val="left"/>
        </w:tabs>
        <w:numPr>
          <w:ilvl w:val="2"/>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the Company shall pay to the Executive an additional payment (a "Gross-Up Payment") in an amount such that after payment by the Executive of all taxes (including any interest or penalties imposed with respect to such taxes), including any Excise Tax, imposed upon the Gross-Up Payment, the Executive retains an amount of the Gross-Up Payment equal to the Excise Tax imposed upon such Payment.</w:t>
      </w:r>
    </w:p>
    <w:p>
      <w:pPr>
        <w:sectPr>
          <w:pgSz w:w="11900" w:h="16838" w:orient="portrait"/>
          <w:cols w:equalWidth="0" w:num="1">
            <w:col w:w="10239"/>
          </w:cols>
          <w:pgMar w:left="220" w:top="960" w:right="1440" w:bottom="1440" w:gutter="0" w:footer="0" w:header="0"/>
        </w:sectPr>
      </w:pPr>
    </w:p>
    <w:bookmarkStart w:id="27" w:name="page28"/>
    <w:bookmarkEnd w:id="27"/>
    <w:p>
      <w:pPr>
        <w:ind w:right="3239" w:firstLine="1584"/>
        <w:spacing w:after="0" w:line="254" w:lineRule="auto"/>
        <w:tabs>
          <w:tab w:leader="none" w:pos="1924"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determinations and computations required to be made under this Section 8, including whether a Gross-Up Payment is required under clause (ii) of paragraph 8(a) above, and the amount of any Gross-Up Payment, shall be made by the Company's regularly engaged independent certified public accountants (the "Accounting Firm"). The Company shall cause the Accounting Firm to provide detailed supporting calculations both to the Company and the Executive within 15 business days after such determination or computation is requested by the Executive. Any initial Gross-Up Payment determined pursuant to this Section 8 shall be paid by the Company to the Executive within 5 days of the receipt of the Accounting Firm's determination. A determination that no Excise Tax is payable by the Executive shall not be valid or binding unless accompanied by a written opinion of the Accounting Firm to the Executive that the Executive has substantial authority not to report any Excise Tax on his federal income tax return. Any determination by the Accounting Firm shall be binding upon the Company and the Executive, except to the extent the Executive becomes obligated to pay an Excise Tax in respect of a Payment. In the event that the Company or the subsidiary exhausts or waives its remedies pursuant to paragraph 8( c) and the Executive thereafter shall become obligated to make a payment of any Excise Tax, and if the amount thereof shall exceed the amount, if any, of any Excise Tax computed by the Accounting Firm pursuant to this paragraph 8(b) in respect to which an initial Gross-Up Payment was made to the Executive, the Accounting Firm shall within 15 days after Notice thereof determine the amount of such excess Excise Tax and the amount of the additional Gross-Up Payment to the Executive. All expenses and fees of the Accounting Firm incurred by reason of this Section 8 shall be paid by the Company.</w:t>
      </w:r>
    </w:p>
    <w:p>
      <w:pPr>
        <w:spacing w:after="0" w:line="344" w:lineRule="exact"/>
        <w:rPr>
          <w:rFonts w:ascii="Courier New" w:cs="Courier New" w:eastAsia="Courier New" w:hAnsi="Courier New"/>
          <w:sz w:val="14"/>
          <w:szCs w:val="14"/>
          <w:color w:val="auto"/>
        </w:rPr>
      </w:pPr>
    </w:p>
    <w:p>
      <w:pPr>
        <w:ind w:right="3239" w:firstLine="1584"/>
        <w:spacing w:after="0" w:line="255" w:lineRule="auto"/>
        <w:tabs>
          <w:tab w:leader="none" w:pos="1924"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notify the Company in writing of any claim by the Internal Revenue Service that, if successful, would require the payment by the Company of a Gross-Up Payment. Such notification shall be given as soon as practicable but no later than ten business days after the Executive knows of such claim and shall apprise the Company of the nature of such claim and the date on which such claim is requested to be paid. The Executive shall not pay such claim prior to the expiration of the thirty-day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165" w:lineRule="exact"/>
        <w:rPr>
          <w:sz w:val="20"/>
          <w:szCs w:val="20"/>
          <w:color w:val="auto"/>
        </w:rPr>
      </w:pPr>
    </w:p>
    <w:p>
      <w:pPr>
        <w:ind w:left="800" w:right="3679" w:firstLine="784"/>
        <w:spacing w:after="0" w:line="234" w:lineRule="auto"/>
        <w:tabs>
          <w:tab w:leader="none" w:pos="193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the Company any information reasonably requested relating to such claim,</w:t>
      </w:r>
    </w:p>
    <w:p>
      <w:pPr>
        <w:spacing w:after="0" w:line="173" w:lineRule="exact"/>
        <w:rPr>
          <w:rFonts w:ascii="Courier New" w:cs="Courier New" w:eastAsia="Courier New" w:hAnsi="Courier New"/>
          <w:sz w:val="15"/>
          <w:szCs w:val="15"/>
          <w:color w:val="auto"/>
        </w:rPr>
      </w:pPr>
    </w:p>
    <w:p>
      <w:pPr>
        <w:ind w:left="800" w:right="3239" w:firstLine="784"/>
        <w:spacing w:after="0" w:line="236" w:lineRule="auto"/>
        <w:tabs>
          <w:tab w:leader="none" w:pos="2025"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73" w:lineRule="exact"/>
        <w:rPr>
          <w:rFonts w:ascii="Courier New" w:cs="Courier New" w:eastAsia="Courier New" w:hAnsi="Courier New"/>
          <w:sz w:val="15"/>
          <w:szCs w:val="15"/>
          <w:color w:val="auto"/>
        </w:rPr>
      </w:pPr>
    </w:p>
    <w:p>
      <w:pPr>
        <w:ind w:left="800" w:right="3839" w:firstLine="784"/>
        <w:spacing w:after="0" w:line="234" w:lineRule="auto"/>
        <w:tabs>
          <w:tab w:leader="none" w:pos="211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the Company in good faith in order effectively to contest such claim, and</w:t>
      </w:r>
    </w:p>
    <w:p>
      <w:pPr>
        <w:spacing w:after="0" w:line="173" w:lineRule="exact"/>
        <w:rPr>
          <w:rFonts w:ascii="Courier New" w:cs="Courier New" w:eastAsia="Courier New" w:hAnsi="Courier New"/>
          <w:sz w:val="15"/>
          <w:szCs w:val="15"/>
          <w:color w:val="auto"/>
        </w:rPr>
      </w:pPr>
    </w:p>
    <w:p>
      <w:pPr>
        <w:ind w:left="800" w:right="3679" w:firstLine="784"/>
        <w:spacing w:after="0" w:line="234" w:lineRule="auto"/>
        <w:tabs>
          <w:tab w:leader="none" w:pos="2025"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the Company to participate in any proceedings relating to such claim;</w:t>
      </w:r>
    </w:p>
    <w:p>
      <w:pPr>
        <w:spacing w:after="0" w:line="173"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PROVIDED, HOWEVER, that the Company shall bear and pay directly all costs and expenses (including additional interest and penalties) incurred in connection with 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paragraph 8(c),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or the subsidiary shall DETERMINE; PROVIDED, HOWEVER, that if the Company or the subsidiary directs the Executive to pay such claim and sue for a refund, the Company or the subsidiary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statue of limitations relating to payment of taxes for the taxable year of the Executive with respect to which such contested amount is claimed to be due is limited solely to such contested amount. Furthermore, control of the contest by the Company shall be limited to issues with respect to which a Gross-Up Payment would be payable hereunder and the Executive shall be entitled to settle or contest, as the case may be, any other issue raised by the Internal Revenue Service or any other taxing authority.</w:t>
      </w:r>
    </w:p>
    <w:p>
      <w:pPr>
        <w:sectPr>
          <w:pgSz w:w="11900" w:h="16838" w:orient="portrait"/>
          <w:cols w:equalWidth="0" w:num="1">
            <w:col w:w="10239"/>
          </w:cols>
          <w:pgMar w:left="220" w:top="792" w:right="1440" w:bottom="1440" w:gutter="0" w:footer="0" w:header="0"/>
        </w:sectPr>
      </w:pPr>
    </w:p>
    <w:bookmarkStart w:id="28" w:name="page29"/>
    <w:bookmarkEnd w:id="28"/>
    <w:p>
      <w:pPr>
        <w:ind w:right="3239" w:firstLine="1584"/>
        <w:spacing w:after="0" w:line="255" w:lineRule="auto"/>
        <w:tabs>
          <w:tab w:leader="none" w:pos="1924" w:val="left"/>
        </w:tabs>
        <w:numPr>
          <w:ilvl w:val="3"/>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the receipt by the Executive of an amount advanced by the Company or the subsidiary pursuant to paragraph 8( c), the Executive becomes entitled to receive any refund with respect to such claim, the Executive shall (subject to compliance with the requirements of Section 8 by the Company or the subsidiary) promptly pay to the Company or the subsidiary the amount of such refund (together with any interest paid or credited thereon after taxes applicable thereto). If, after the receipt by the Executive of an amount advanced by the Company or the subsidiary pursuant to paragraph 8( c), a determination is made that the Executive shall not be entitled to any refund with respect to such claim and the Company does not notify the Executive in writing of its intent to contest such denial of refund prior to the expiration of thirty days after such determination, then such advance shall be forgiven and shall not be required to be repaid and the amount of such advance shall off-set, to the extent thereof, the amount of Gross-Up Payment required to be paid.</w:t>
      </w:r>
    </w:p>
    <w:p>
      <w:pPr>
        <w:spacing w:after="0" w:line="157" w:lineRule="exact"/>
        <w:rPr>
          <w:rFonts w:ascii="Courier New" w:cs="Courier New" w:eastAsia="Courier New" w:hAnsi="Courier New"/>
          <w:sz w:val="14"/>
          <w:szCs w:val="14"/>
          <w:color w:val="auto"/>
        </w:rPr>
      </w:pPr>
    </w:p>
    <w:p>
      <w:pPr>
        <w:ind w:left="1060" w:hanging="263"/>
        <w:spacing w:after="0"/>
        <w:tabs>
          <w:tab w:leader="none" w:pos="10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OBLIGATION TO MITIGATE DAMAGES; NO EFFECT ON OTHER CONTRACTUAL</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RIGHTS.</w:t>
      </w:r>
    </w:p>
    <w:p>
      <w:pPr>
        <w:spacing w:after="0" w:line="173" w:lineRule="exact"/>
        <w:rPr>
          <w:rFonts w:ascii="Courier New" w:cs="Courier New" w:eastAsia="Courier New" w:hAnsi="Courier New"/>
          <w:sz w:val="15"/>
          <w:szCs w:val="15"/>
          <w:color w:val="auto"/>
        </w:rPr>
      </w:pPr>
    </w:p>
    <w:p>
      <w:pPr>
        <w:ind w:right="3319" w:firstLine="1497"/>
        <w:spacing w:after="0" w:line="236" w:lineRule="auto"/>
        <w:tabs>
          <w:tab w:leader="none" w:pos="1837" w:val="left"/>
        </w:tabs>
        <w:numPr>
          <w:ilvl w:val="2"/>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174" w:lineRule="exact"/>
        <w:rPr>
          <w:rFonts w:ascii="Courier New" w:cs="Courier New" w:eastAsia="Courier New" w:hAnsi="Courier New"/>
          <w:sz w:val="15"/>
          <w:szCs w:val="15"/>
          <w:color w:val="auto"/>
        </w:rPr>
      </w:pPr>
    </w:p>
    <w:p>
      <w:pPr>
        <w:ind w:right="3239" w:firstLine="1584"/>
        <w:spacing w:after="0" w:line="256" w:lineRule="auto"/>
        <w:tabs>
          <w:tab w:leader="none" w:pos="1924" w:val="left"/>
        </w:tabs>
        <w:numPr>
          <w:ilvl w:val="3"/>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pacing w:after="0" w:line="156" w:lineRule="exact"/>
        <w:rPr>
          <w:rFonts w:ascii="Courier New" w:cs="Courier New" w:eastAsia="Courier New" w:hAnsi="Courier New"/>
          <w:sz w:val="14"/>
          <w:szCs w:val="14"/>
          <w:color w:val="auto"/>
        </w:rPr>
      </w:pPr>
    </w:p>
    <w:p>
      <w:pPr>
        <w:ind w:left="1140" w:hanging="343"/>
        <w:spacing w:after="0"/>
        <w:tabs>
          <w:tab w:leader="none" w:pos="11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 TO THE COMPANY.</w:t>
      </w:r>
    </w:p>
    <w:p>
      <w:pPr>
        <w:spacing w:after="0" w:line="172" w:lineRule="exact"/>
        <w:rPr>
          <w:rFonts w:ascii="Courier New" w:cs="Courier New" w:eastAsia="Courier New" w:hAnsi="Courier New"/>
          <w:sz w:val="15"/>
          <w:szCs w:val="15"/>
          <w:color w:val="auto"/>
        </w:rPr>
      </w:pPr>
    </w:p>
    <w:p>
      <w:pPr>
        <w:ind w:right="3239" w:firstLine="1584"/>
        <w:spacing w:after="0" w:line="237" w:lineRule="auto"/>
        <w:tabs>
          <w:tab w:leader="none" w:pos="1924" w:val="left"/>
        </w:tabs>
        <w:numPr>
          <w:ilvl w:val="3"/>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 Reason. As used in this Agreement, "Company" shall mean the Company as hereinbefore defined and any successor or assign to its business and/or assets as aforesaid which executes and delivers the agreement provided for in this Section 10 or which otherwise becomes bound by all the terms and provisions of this Agreement by operation of law.</w:t>
      </w:r>
    </w:p>
    <w:p>
      <w:pPr>
        <w:spacing w:after="0" w:line="174" w:lineRule="exact"/>
        <w:rPr>
          <w:rFonts w:ascii="Courier New" w:cs="Courier New" w:eastAsia="Courier New" w:hAnsi="Courier New"/>
          <w:sz w:val="15"/>
          <w:szCs w:val="15"/>
          <w:color w:val="auto"/>
        </w:rPr>
      </w:pPr>
    </w:p>
    <w:p>
      <w:pPr>
        <w:ind w:right="3239" w:firstLine="1584"/>
        <w:spacing w:after="0" w:line="255" w:lineRule="auto"/>
        <w:tabs>
          <w:tab w:leader="none" w:pos="1924" w:val="left"/>
        </w:tabs>
        <w:numPr>
          <w:ilvl w:val="3"/>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166" w:lineRule="exact"/>
        <w:rPr>
          <w:rFonts w:ascii="Courier New" w:cs="Courier New" w:eastAsia="Courier New" w:hAnsi="Courier New"/>
          <w:sz w:val="14"/>
          <w:szCs w:val="14"/>
          <w:color w:val="auto"/>
        </w:rPr>
      </w:pPr>
    </w:p>
    <w:p>
      <w:pPr>
        <w:ind w:right="3399" w:firstLine="1059"/>
        <w:spacing w:after="0" w:line="236" w:lineRule="auto"/>
        <w:tabs>
          <w:tab w:leader="none" w:pos="1399"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GUARANTY OF EMPLOYMENT. Nothing in this Agreement shall be deemed to entitle the Executive to continued employment with the Company prior to a Change of Control, and the rights of the Company to terminate the employment of the Executive, prior to a Change of Control, shall continue as fully as if this Agreement were not in effect.</w:t>
      </w:r>
    </w:p>
    <w:p>
      <w:pPr>
        <w:sectPr>
          <w:pgSz w:w="11900" w:h="16838" w:orient="portrait"/>
          <w:cols w:equalWidth="0" w:num="1">
            <w:col w:w="10239"/>
          </w:cols>
          <w:pgMar w:left="220" w:top="960" w:right="1440" w:bottom="1440" w:gutter="0" w:footer="0" w:header="0"/>
        </w:sectPr>
      </w:pPr>
    </w:p>
    <w:bookmarkStart w:id="29" w:name="page30"/>
    <w:bookmarkEnd w:id="29"/>
    <w:p>
      <w:pPr>
        <w:jc w:val="both"/>
        <w:ind w:right="3499" w:firstLine="1059"/>
        <w:spacing w:after="0" w:line="256" w:lineRule="auto"/>
        <w:tabs>
          <w:tab w:leader="none" w:pos="1399"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For purposes of this Agreement, notices and all other communications provided for in the Agreement shall be in writing and shall be deemed to have been duly given when delivered or mailed by United States registered mail, return receipt registered, postage prepaid, as follows: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to the Company:</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Winnebago Industries, Inc.</w:t>
      </w:r>
    </w:p>
    <w:p>
      <w:pPr>
        <w:ind w:left="800"/>
        <w:spacing w:after="0" w:line="237" w:lineRule="auto"/>
        <w:tabs>
          <w:tab w:leader="none" w:pos="1380" w:val="left"/>
        </w:tabs>
        <w:rPr>
          <w:sz w:val="20"/>
          <w:szCs w:val="20"/>
          <w:color w:val="auto"/>
        </w:rPr>
      </w:pPr>
      <w:r>
        <w:rPr>
          <w:rFonts w:ascii="Courier New" w:cs="Courier New" w:eastAsia="Courier New" w:hAnsi="Courier New"/>
          <w:sz w:val="15"/>
          <w:szCs w:val="15"/>
          <w:color w:val="auto"/>
        </w:rPr>
        <w:t>Attn:</w:t>
        <w:tab/>
        <w:t>General Counsel</w:t>
      </w:r>
    </w:p>
    <w:p>
      <w:pPr>
        <w:ind w:left="800"/>
        <w:spacing w:after="0" w:line="238" w:lineRule="auto"/>
        <w:rPr>
          <w:sz w:val="20"/>
          <w:szCs w:val="20"/>
          <w:color w:val="auto"/>
        </w:rPr>
      </w:pPr>
      <w:r>
        <w:rPr>
          <w:rFonts w:ascii="Courier New" w:cs="Courier New" w:eastAsia="Courier New" w:hAnsi="Courier New"/>
          <w:sz w:val="15"/>
          <w:szCs w:val="15"/>
          <w:color w:val="auto"/>
        </w:rPr>
        <w:t>605 W. Crystal Lake Road</w:t>
      </w:r>
    </w:p>
    <w:p>
      <w:pPr>
        <w:ind w:left="800"/>
        <w:spacing w:after="0" w:line="237" w:lineRule="auto"/>
        <w:rPr>
          <w:sz w:val="20"/>
          <w:szCs w:val="20"/>
          <w:color w:val="auto"/>
        </w:rPr>
      </w:pPr>
      <w:r>
        <w:rPr>
          <w:rFonts w:ascii="Courier New" w:cs="Courier New" w:eastAsia="Courier New" w:hAnsi="Courier New"/>
          <w:sz w:val="15"/>
          <w:szCs w:val="15"/>
          <w:color w:val="auto"/>
        </w:rPr>
        <w:t>P.O. Box 152</w:t>
      </w:r>
    </w:p>
    <w:p>
      <w:pPr>
        <w:ind w:left="800"/>
        <w:spacing w:after="0" w:line="238" w:lineRule="auto"/>
        <w:rPr>
          <w:sz w:val="20"/>
          <w:szCs w:val="20"/>
          <w:color w:val="auto"/>
        </w:rPr>
      </w:pPr>
      <w:r>
        <w:rPr>
          <w:rFonts w:ascii="Courier New" w:cs="Courier New" w:eastAsia="Courier New" w:hAnsi="Courier New"/>
          <w:sz w:val="15"/>
          <w:szCs w:val="15"/>
          <w:color w:val="auto"/>
        </w:rPr>
        <w:t>Forest City, IA 50436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to the Executive:</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Roger W. Martin</w:t>
      </w:r>
    </w:p>
    <w:p>
      <w:pPr>
        <w:ind w:left="800"/>
        <w:spacing w:after="0" w:line="237" w:lineRule="auto"/>
        <w:rPr>
          <w:sz w:val="20"/>
          <w:szCs w:val="20"/>
          <w:color w:val="auto"/>
        </w:rPr>
      </w:pPr>
      <w:r>
        <w:rPr>
          <w:rFonts w:ascii="Courier New" w:cs="Courier New" w:eastAsia="Courier New" w:hAnsi="Courier New"/>
          <w:sz w:val="15"/>
          <w:szCs w:val="15"/>
          <w:color w:val="auto"/>
        </w:rPr>
        <w:t>107 Dellwood Drive</w:t>
      </w:r>
    </w:p>
    <w:p>
      <w:pPr>
        <w:ind w:left="800"/>
        <w:spacing w:after="0" w:line="238" w:lineRule="auto"/>
        <w:rPr>
          <w:sz w:val="20"/>
          <w:szCs w:val="20"/>
          <w:color w:val="auto"/>
        </w:rPr>
      </w:pPr>
      <w:r>
        <w:rPr>
          <w:rFonts w:ascii="Courier New" w:cs="Courier New" w:eastAsia="Courier New" w:hAnsi="Courier New"/>
          <w:sz w:val="15"/>
          <w:szCs w:val="15"/>
          <w:color w:val="auto"/>
        </w:rPr>
        <w:t>Forest City, IA 50436</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or such other address as either party may have furnished to the other in writing in accordance herewith, except that notices of change of address shall be effective only upon receipt.</w:t>
      </w:r>
    </w:p>
    <w:p>
      <w:pPr>
        <w:spacing w:after="0" w:line="174" w:lineRule="exact"/>
        <w:rPr>
          <w:sz w:val="20"/>
          <w:szCs w:val="20"/>
          <w:color w:val="auto"/>
        </w:rPr>
      </w:pPr>
    </w:p>
    <w:p>
      <w:pPr>
        <w:ind w:right="3239" w:firstLine="1059"/>
        <w:spacing w:after="0" w:line="255" w:lineRule="auto"/>
        <w:tabs>
          <w:tab w:leader="none" w:pos="1399"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No provisions of this Agreement may be modified, waived or discharged unless such waiver, modification or discharge is agreed to in 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164" w:lineRule="exact"/>
        <w:rPr>
          <w:rFonts w:ascii="Courier New" w:cs="Courier New" w:eastAsia="Courier New" w:hAnsi="Courier New"/>
          <w:sz w:val="14"/>
          <w:szCs w:val="14"/>
          <w:color w:val="auto"/>
        </w:rPr>
      </w:pPr>
    </w:p>
    <w:p>
      <w:pPr>
        <w:jc w:val="both"/>
        <w:ind w:right="3399" w:firstLine="1059"/>
        <w:spacing w:after="0" w:line="258" w:lineRule="auto"/>
        <w:tabs>
          <w:tab w:leader="none" w:pos="1399"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VALIDITY. The invalidity or unenforceability of any provisions of this Agreement shall not affect the validity or enforceability of any other provision of this Agreement, which shall remain in full force and effect.</w:t>
      </w:r>
    </w:p>
    <w:p>
      <w:pPr>
        <w:spacing w:after="0" w:line="161" w:lineRule="exact"/>
        <w:rPr>
          <w:rFonts w:ascii="Courier New" w:cs="Courier New" w:eastAsia="Courier New" w:hAnsi="Courier New"/>
          <w:sz w:val="14"/>
          <w:szCs w:val="14"/>
          <w:color w:val="auto"/>
        </w:rPr>
      </w:pPr>
    </w:p>
    <w:p>
      <w:pPr>
        <w:ind w:right="3399" w:firstLine="1059"/>
        <w:spacing w:after="0" w:line="235" w:lineRule="auto"/>
        <w:tabs>
          <w:tab w:leader="none" w:pos="139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one or more counterparts, each of which shall be deemed to be an original but all of which together will constitute one and the same instrument.</w:t>
      </w:r>
    </w:p>
    <w:p>
      <w:pPr>
        <w:spacing w:after="0" w:line="173" w:lineRule="exact"/>
        <w:rPr>
          <w:rFonts w:ascii="Courier New" w:cs="Courier New" w:eastAsia="Courier New" w:hAnsi="Courier New"/>
          <w:sz w:val="15"/>
          <w:szCs w:val="15"/>
          <w:color w:val="auto"/>
        </w:rPr>
      </w:pPr>
    </w:p>
    <w:p>
      <w:pPr>
        <w:ind w:right="3239" w:firstLine="1059"/>
        <w:spacing w:after="0" w:line="235" w:lineRule="auto"/>
        <w:tabs>
          <w:tab w:leader="none" w:pos="139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FEES AND EXPENSES. The Company shall pay all legal fees and expenses which the Executive may incur as a result of the Company's contesting the validity, enforceability or the Executive's interpretation of, or determinations under, this Agreement.</w:t>
      </w:r>
    </w:p>
    <w:p>
      <w:pPr>
        <w:spacing w:after="0" w:line="175" w:lineRule="exact"/>
        <w:rPr>
          <w:rFonts w:ascii="Courier New" w:cs="Courier New" w:eastAsia="Courier New" w:hAnsi="Courier New"/>
          <w:sz w:val="15"/>
          <w:szCs w:val="15"/>
          <w:color w:val="auto"/>
        </w:rPr>
      </w:pPr>
    </w:p>
    <w:p>
      <w:pPr>
        <w:ind w:right="3399" w:firstLine="1059"/>
        <w:spacing w:after="0" w:line="235" w:lineRule="auto"/>
        <w:tabs>
          <w:tab w:leader="none" w:pos="139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The Executive shall retain in confidence any and all confidential information known to the Executive concerning the Company and its business so long as such information is not otherwise publicly disclosed.</w:t>
      </w:r>
    </w:p>
    <w:p>
      <w:pPr>
        <w:spacing w:after="0" w:line="175"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IN WITNESS WHEREOF, the parties have executed this agreement on the date set out above.</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COMPANY:</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WINNEBAGO INDUSTRIES, INC.</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 Bruce D. Hertzke, Chairman of the Board,</w:t>
      </w:r>
    </w:p>
    <w:p>
      <w:pPr>
        <w:ind w:left="2640"/>
        <w:spacing w:after="0" w:line="237" w:lineRule="auto"/>
        <w:rPr>
          <w:sz w:val="20"/>
          <w:szCs w:val="20"/>
          <w:color w:val="auto"/>
        </w:rPr>
      </w:pPr>
      <w:r>
        <w:rPr>
          <w:rFonts w:ascii="Courier New" w:cs="Courier New" w:eastAsia="Courier New" w:hAnsi="Courier New"/>
          <w:sz w:val="15"/>
          <w:szCs w:val="15"/>
          <w:color w:val="auto"/>
        </w:rPr>
        <w:t>Chief Executive Officer and President</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 Roger W. Martin</w:t>
      </w:r>
    </w:p>
    <w:p>
      <w:pPr>
        <w:sectPr>
          <w:pgSz w:w="11900" w:h="16838" w:orient="portrait"/>
          <w:cols w:equalWidth="0" w:num="1">
            <w:col w:w="10239"/>
          </w:cols>
          <w:pgMar w:left="220" w:top="792" w:right="1440" w:bottom="1440" w:gutter="0" w:footer="0" w:header="0"/>
        </w:sectPr>
      </w:pPr>
    </w:p>
    <w:bookmarkStart w:id="30" w:name="page31"/>
    <w:bookmarkEnd w:id="30"/>
    <w:p>
      <w:pPr>
        <w:ind w:left="3080"/>
        <w:spacing w:after="0"/>
        <w:rPr>
          <w:sz w:val="20"/>
          <w:szCs w:val="20"/>
          <w:color w:val="auto"/>
        </w:rPr>
      </w:pPr>
      <w:r>
        <w:rPr>
          <w:rFonts w:ascii="Courier New" w:cs="Courier New" w:eastAsia="Courier New" w:hAnsi="Courier New"/>
          <w:sz w:val="15"/>
          <w:szCs w:val="15"/>
          <w:color w:val="auto"/>
        </w:rPr>
        <w:t>EXHIBIT 99</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WRITTEN STATEMENT BY THE CHIEF EXECUTIVE OFFICER AND THE</w:t>
      </w:r>
    </w:p>
    <w:p>
      <w:pPr>
        <w:jc w:val="center"/>
        <w:ind w:right="3139"/>
        <w:spacing w:after="0" w:line="237" w:lineRule="auto"/>
        <w:rPr>
          <w:sz w:val="20"/>
          <w:szCs w:val="20"/>
          <w:color w:val="auto"/>
        </w:rPr>
      </w:pPr>
      <w:r>
        <w:rPr>
          <w:rFonts w:ascii="Courier New" w:cs="Courier New" w:eastAsia="Courier New" w:hAnsi="Courier New"/>
          <w:sz w:val="15"/>
          <w:szCs w:val="15"/>
          <w:color w:val="auto"/>
        </w:rPr>
        <w:t>CHIEF FINANCIAL OFFICER</w:t>
      </w:r>
    </w:p>
    <w:p>
      <w:pPr>
        <w:spacing w:after="0" w:line="173" w:lineRule="exact"/>
        <w:rPr>
          <w:sz w:val="20"/>
          <w:szCs w:val="20"/>
          <w:color w:val="auto"/>
        </w:rPr>
      </w:pPr>
    </w:p>
    <w:p>
      <w:pPr>
        <w:ind w:left="440" w:right="3839" w:hanging="430"/>
        <w:spacing w:after="0" w:line="234"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Bruce D. Hertzke, Chief Executive Officer and President and Edwin F. Barker, Chief Financial Officer, each certify that:</w:t>
      </w:r>
    </w:p>
    <w:p>
      <w:pPr>
        <w:spacing w:after="0" w:line="173" w:lineRule="exact"/>
        <w:rPr>
          <w:rFonts w:ascii="Courier New" w:cs="Courier New" w:eastAsia="Courier New" w:hAnsi="Courier New"/>
          <w:sz w:val="15"/>
          <w:szCs w:val="15"/>
          <w:color w:val="auto"/>
        </w:rPr>
      </w:pPr>
    </w:p>
    <w:p>
      <w:pPr>
        <w:ind w:left="1400" w:right="3239" w:hanging="603"/>
        <w:spacing w:after="0" w:line="255" w:lineRule="auto"/>
        <w:tabs>
          <w:tab w:leader="none" w:pos="1400"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Quarterly Report on Form 10-Q ("periodic report") of Winnebago Industries, Inc. (the "issuer"), for the quarter ended March 1, 2003, as filed with the Securities and Exchange Commission on the date of this certificate, which this statement accompanies, fully complies with the requirements of Section 13(a) or 15(d) of the Securities Exchange Act of 1934, and</w:t>
      </w:r>
    </w:p>
    <w:p>
      <w:pPr>
        <w:spacing w:after="0" w:line="166" w:lineRule="exact"/>
        <w:rPr>
          <w:rFonts w:ascii="Courier New" w:cs="Courier New" w:eastAsia="Courier New" w:hAnsi="Courier New"/>
          <w:sz w:val="14"/>
          <w:szCs w:val="14"/>
          <w:color w:val="auto"/>
        </w:rPr>
      </w:pPr>
    </w:p>
    <w:p>
      <w:pPr>
        <w:ind w:left="1400" w:right="3499" w:hanging="603"/>
        <w:spacing w:after="0" w:line="235" w:lineRule="auto"/>
        <w:tabs>
          <w:tab w:leader="none" w:pos="140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that periodic report fairly represents, in all material respects, the financial condition and results of operations of the issuer.</w:t>
      </w:r>
    </w:p>
    <w:p>
      <w:pPr>
        <w:spacing w:after="0" w:line="173" w:lineRule="exact"/>
        <w:rPr>
          <w:rFonts w:ascii="Courier New" w:cs="Courier New" w:eastAsia="Courier New" w:hAnsi="Courier New"/>
          <w:sz w:val="15"/>
          <w:szCs w:val="15"/>
          <w:color w:val="auto"/>
        </w:rPr>
      </w:pPr>
    </w:p>
    <w:p>
      <w:pPr>
        <w:ind w:left="440" w:right="3239" w:hanging="430"/>
        <w:spacing w:after="0" w:line="235"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statement is provided pursuant to the requirements of Section 906 of the Sarbanes - Oxley Act of 2002, codified as Section 1350 of Chapter 63 of Title 18 U.S.C.</w:t>
      </w:r>
    </w:p>
    <w:p>
      <w:pPr>
        <w:sectPr>
          <w:pgSz w:w="11900" w:h="16838" w:orient="portrait"/>
          <w:cols w:equalWidth="0" w:num="1">
            <w:col w:w="10239"/>
          </w:cols>
          <w:pgMar w:left="220" w:top="808"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April 11, 2003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40" w:space="540"/>
            <w:col w:w="9259"/>
          </w:cols>
          <w:pgMar w:left="220" w:top="808" w:right="1440" w:bottom="1440" w:gutter="0" w:footer="0" w:header="0"/>
          <w:type w:val="continuous"/>
        </w:sectPr>
      </w:pP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Bruce D. Hertzke</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Bruce D. Hertzke</w:t>
      </w:r>
    </w:p>
    <w:p>
      <w:pPr>
        <w:ind w:left="3780"/>
        <w:spacing w:after="0" w:line="237" w:lineRule="auto"/>
        <w:rPr>
          <w:sz w:val="20"/>
          <w:szCs w:val="20"/>
          <w:color w:val="auto"/>
        </w:rPr>
      </w:pPr>
      <w:r>
        <w:rPr>
          <w:rFonts w:ascii="Courier New" w:cs="Courier New" w:eastAsia="Courier New" w:hAnsi="Courier New"/>
          <w:sz w:val="15"/>
          <w:szCs w:val="15"/>
          <w:color w:val="auto"/>
        </w:rPr>
        <w:t>Chief Executive Officer</w:t>
      </w:r>
    </w:p>
    <w:p>
      <w:pPr>
        <w:ind w:left="3940"/>
        <w:spacing w:after="0" w:line="238" w:lineRule="auto"/>
        <w:rPr>
          <w:sz w:val="20"/>
          <w:szCs w:val="20"/>
          <w:color w:val="auto"/>
        </w:rPr>
      </w:pPr>
      <w:r>
        <w:rPr>
          <w:rFonts w:ascii="Courier New" w:cs="Courier New" w:eastAsia="Courier New" w:hAnsi="Courier New"/>
          <w:sz w:val="15"/>
          <w:szCs w:val="15"/>
          <w:color w:val="auto"/>
        </w:rPr>
        <w:t>and President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Edwin F. Barker</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Edwin F. Barker</w:t>
      </w:r>
    </w:p>
    <w:p>
      <w:pPr>
        <w:ind w:left="3940"/>
        <w:spacing w:after="0" w:line="237" w:lineRule="auto"/>
        <w:rPr>
          <w:sz w:val="20"/>
          <w:szCs w:val="20"/>
          <w:color w:val="auto"/>
        </w:rPr>
      </w:pPr>
      <w:r>
        <w:rPr>
          <w:rFonts w:ascii="Courier New" w:cs="Courier New" w:eastAsia="Courier New" w:hAnsi="Courier New"/>
          <w:sz w:val="15"/>
          <w:szCs w:val="15"/>
          <w:color w:val="auto"/>
        </w:rPr>
        <w:t>Chief Financial Officer</w:t>
      </w:r>
    </w:p>
    <w:sectPr>
      <w:pgSz w:w="11900" w:h="16838" w:orient="portrait"/>
      <w:cols w:equalWidth="0" w:num="1">
        <w:col w:w="10239"/>
      </w:cols>
      <w:pgMar w:left="220" w:top="80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lowerLetter"/>
      <w:start w:val="1"/>
    </w:lvl>
  </w:abstractNum>
  <w:abstractNum w:abstractNumId="4">
    <w:nsid w:val="3F2DBA31"/>
    <w:multiLevelType w:val="hybridMultilevel"/>
    <w:lvl w:ilvl="0">
      <w:lvlJc w:val="left"/>
      <w:lvlText w:val="("/>
      <w:numFmt w:val="bullet"/>
      <w:start w:val="1"/>
    </w:lvl>
    <w:lvl w:ilvl="1">
      <w:lvlJc w:val="left"/>
      <w:lvlText w:val="(%2)"/>
      <w:numFmt w:val="lowerLetter"/>
      <w:start w:val="1"/>
    </w:lvl>
  </w:abstractNum>
  <w:abstractNum w:abstractNumId="5">
    <w:nsid w:val="7C83E458"/>
    <w:multiLevelType w:val="hybridMultilevel"/>
    <w:lvl w:ilvl="0">
      <w:lvlJc w:val="left"/>
      <w:lvlText w:val="%1."/>
      <w:numFmt w:val="decimal"/>
      <w:start w:val="1"/>
    </w:lvl>
    <w:lvl w:ilvl="1">
      <w:lvlJc w:val="left"/>
      <w:lvlText w:val="%2)"/>
      <w:numFmt w:val="lowerLetter"/>
      <w:start w:val="1"/>
    </w:lvl>
  </w:abstractNum>
  <w:abstractNum w:abstractNumId="6">
    <w:nsid w:val="257130A3"/>
    <w:multiLevelType w:val="hybridMultilevel"/>
    <w:lvl w:ilvl="0">
      <w:lvlJc w:val="left"/>
      <w:lvlText w:val="%1."/>
      <w:numFmt w:val="decimal"/>
      <w:start w:val="1"/>
    </w:lvl>
    <w:lvl w:ilvl="1">
      <w:lvlJc w:val="left"/>
      <w:lvlText w:val="%2)"/>
      <w:numFmt w:val="lowerLetter"/>
      <w:start w:val="1"/>
    </w:lvl>
  </w:abstractNum>
  <w:abstractNum w:abstractNumId="7">
    <w:nsid w:val="62BBD95A"/>
    <w:multiLevelType w:val="hybridMultilevel"/>
    <w:lvl w:ilvl="0">
      <w:lvlJc w:val="left"/>
      <w:lvlText w:val="(%1)"/>
      <w:numFmt w:val="lowerRoman"/>
      <w:start w:val="4"/>
    </w:lvl>
  </w:abstractNum>
  <w:abstractNum w:abstractNumId="8">
    <w:nsid w:val="436C6125"/>
    <w:multiLevelType w:val="hybridMultilevel"/>
    <w:lvl w:ilvl="0">
      <w:lvlJc w:val="left"/>
      <w:lvlText w:val="%1"/>
      <w:numFmt w:val="lowerRoman"/>
      <w:start w:val="1"/>
    </w:lvl>
    <w:lvl w:ilvl="1">
      <w:lvlJc w:val="left"/>
      <w:lvlText w:val="%2."/>
      <w:numFmt w:val="decimal"/>
      <w:start w:val="1"/>
    </w:lvl>
  </w:abstractNum>
  <w:abstractNum w:abstractNumId="9">
    <w:nsid w:val="628C895D"/>
    <w:multiLevelType w:val="hybridMultilevel"/>
    <w:lvl w:ilvl="0">
      <w:lvlJc w:val="left"/>
      <w:lvlText w:val="(%1)"/>
      <w:numFmt w:val="lowerRoman"/>
      <w:start w:val="2"/>
    </w:lvl>
    <w:lvl w:ilvl="1">
      <w:lvlJc w:val="left"/>
      <w:lvlText w:val="%2"/>
      <w:numFmt w:val="decimal"/>
      <w:start w:val="1"/>
    </w:lvl>
  </w:abstractNum>
  <w:abstractNum w:abstractNumId="10">
    <w:nsid w:val="333AB105"/>
    <w:multiLevelType w:val="hybridMultilevel"/>
    <w:lvl w:ilvl="0">
      <w:lvlJc w:val="left"/>
      <w:lvlText w:val="(%1)"/>
      <w:numFmt w:val="lowerRoman"/>
      <w:start w:val="1"/>
    </w:lvl>
    <w:lvl w:ilvl="1">
      <w:lvlJc w:val="left"/>
      <w:lvlText w:val="%2"/>
      <w:numFmt w:val="decimal"/>
      <w:start w:val="1"/>
    </w:lvl>
  </w:abstractNum>
  <w:abstractNum w:abstractNumId="11">
    <w:nsid w:val="721DA317"/>
    <w:multiLevelType w:val="hybridMultilevel"/>
    <w:lvl w:ilvl="0">
      <w:lvlJc w:val="left"/>
      <w:lvlText w:val="(%1)"/>
      <w:numFmt w:val="lowerLetter"/>
      <w:start w:val="1"/>
    </w:lvl>
  </w:abstractNum>
  <w:abstractNum w:abstractNumId="12">
    <w:nsid w:val="2443A858"/>
    <w:multiLevelType w:val="hybridMultilevel"/>
    <w:lvl w:ilvl="0">
      <w:lvlJc w:val="left"/>
      <w:lvlText w:val="%1"/>
      <w:numFmt w:val="decimal"/>
      <w:start w:val="1"/>
    </w:lvl>
    <w:lvl w:ilvl="1">
      <w:lvlJc w:val="left"/>
      <w:lvlText w:val="(%2)"/>
      <w:numFmt w:val="lowerLetter"/>
      <w:start w:val="5"/>
    </w:lvl>
    <w:lvl w:ilvl="2">
      <w:lvlJc w:val="left"/>
      <w:lvlText w:val="%3."/>
      <w:numFmt w:val="decimal"/>
      <w:start w:val="3"/>
    </w:lvl>
    <w:lvl w:ilvl="3">
      <w:lvlJc w:val="left"/>
      <w:lvlText w:val="(%4)"/>
      <w:numFmt w:val="lowerLetter"/>
      <w:start w:val="1"/>
    </w:lvl>
  </w:abstractNum>
  <w:abstractNum w:abstractNumId="13">
    <w:nsid w:val="2D1D5AE9"/>
    <w:multiLevelType w:val="hybridMultilevel"/>
    <w:lvl w:ilvl="0">
      <w:lvlJc w:val="left"/>
      <w:lvlText w:val="(%1)"/>
      <w:numFmt w:val="decimal"/>
      <w:start w:val="30"/>
    </w:lvl>
    <w:lvl w:ilvl="1">
      <w:lvlJc w:val="left"/>
      <w:lvlText w:val="%2"/>
      <w:numFmt w:val="lowerLetter"/>
      <w:start w:val="1"/>
    </w:lvl>
    <w:lvl w:ilvl="2">
      <w:lvlJc w:val="left"/>
      <w:lvlText w:val="%3."/>
      <w:numFmt w:val="decimal"/>
      <w:start w:val="4"/>
    </w:lvl>
    <w:lvl w:ilvl="3">
      <w:lvlJc w:val="left"/>
      <w:lvlText w:val="%4"/>
      <w:numFmt w:val="lowerLetter"/>
      <w:start w:val="1"/>
    </w:lvl>
  </w:abstractNum>
  <w:abstractNum w:abstractNumId="14">
    <w:nsid w:val="6763845E"/>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Letter"/>
      <w:start w:val="3"/>
    </w:lvl>
  </w:abstractNum>
  <w:abstractNum w:abstractNumId="15">
    <w:nsid w:val="75A2A8D4"/>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4"/>
    </w:lvl>
    <w:lvl w:ilvl="3">
      <w:lvlJc w:val="left"/>
      <w:lvlText w:val="%4"/>
      <w:numFmt w:val="lowerLetter"/>
      <w:start w:val="1"/>
    </w:lvl>
  </w:abstractNum>
  <w:abstractNum w:abstractNumId="16">
    <w:nsid w:val="8EDBDAB"/>
    <w:multiLevelType w:val="hybridMultilevel"/>
    <w:lvl w:ilvl="0">
      <w:lvlJc w:val="left"/>
      <w:lvlText w:val="(%1)"/>
      <w:numFmt w:val="lowerRoman"/>
      <w:start w:val="1"/>
    </w:lvl>
  </w:abstractNum>
  <w:abstractNum w:abstractNumId="17">
    <w:nsid w:val="79838CB2"/>
    <w:multiLevelType w:val="hybridMultilevel"/>
    <w:lvl w:ilvl="0">
      <w:lvlJc w:val="left"/>
      <w:lvlText w:val="%1"/>
      <w:numFmt w:val="lowerRoman"/>
      <w:start w:val="1"/>
    </w:lvl>
    <w:lvl w:ilvl="1">
      <w:lvlJc w:val="left"/>
      <w:lvlText w:val="(%2)"/>
      <w:numFmt w:val="lowerRoman"/>
      <w:start w:val="4"/>
    </w:lvl>
  </w:abstractNum>
  <w:abstractNum w:abstractNumId="18">
    <w:nsid w:val="4353D0CD"/>
    <w:multiLevelType w:val="hybridMultilevel"/>
    <w:lvl w:ilvl="0">
      <w:lvlJc w:val="left"/>
      <w:lvlText w:val="(%1)"/>
      <w:numFmt w:val="lowerRoman"/>
      <w:start w:val="5"/>
    </w:lvl>
    <w:lvl w:ilvl="1">
      <w:lvlJc w:val="left"/>
      <w:lvlText w:val="%2"/>
      <w:numFmt w:val="lowerRoman"/>
      <w:start w:val="1"/>
    </w:lvl>
  </w:abstractNum>
  <w:abstractNum w:abstractNumId="19">
    <w:nsid w:val="B03E0C6"/>
    <w:multiLevelType w:val="hybridMultilevel"/>
    <w:lvl w:ilvl="0">
      <w:lvlJc w:val="left"/>
      <w:lvlText w:val="(%1)"/>
      <w:numFmt w:val="lowerLetter"/>
      <w:start w:val="5"/>
    </w:lvl>
  </w:abstractNum>
  <w:abstractNum w:abstractNumId="20">
    <w:nsid w:val="189A769B"/>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1">
    <w:nsid w:val="54E49EB4"/>
    <w:multiLevelType w:val="hybridMultilevel"/>
    <w:lvl w:ilvl="0">
      <w:lvlJc w:val="left"/>
      <w:lvlText w:val="(%1)"/>
      <w:numFmt w:val="lowerLetter"/>
      <w:start w:val="9"/>
    </w:lvl>
    <w:lvl w:ilvl="1">
      <w:lvlJc w:val="left"/>
      <w:lvlText w:val="%2."/>
      <w:numFmt w:val="decimal"/>
      <w:start w:val="7"/>
    </w:lvl>
    <w:lvl w:ilvl="2">
      <w:lvlJc w:val="left"/>
      <w:lvlText w:val="(%3)"/>
      <w:numFmt w:val="lowerLetter"/>
      <w:start w:val="2"/>
    </w:lvl>
  </w:abstractNum>
  <w:abstractNum w:abstractNumId="22">
    <w:nsid w:val="71F3245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3">
    <w:nsid w:val="2CA88611"/>
    <w:multiLevelType w:val="hybridMultilevel"/>
    <w:lvl w:ilvl="0">
      <w:lvlJc w:val="left"/>
      <w:lvlText w:val="(%1)"/>
      <w:numFmt w:val="lowerLetter"/>
      <w:start w:val="2"/>
    </w:lvl>
  </w:abstractNum>
  <w:abstractNum w:abstractNumId="24">
    <w:nsid w:val="836C40E"/>
    <w:multiLevelType w:val="hybridMultilevel"/>
    <w:lvl w:ilvl="0">
      <w:lvlJc w:val="left"/>
      <w:lvlText w:val="(%1)"/>
      <w:numFmt w:val="lowerRoman"/>
      <w:start w:val="1"/>
    </w:lvl>
  </w:abstractNum>
  <w:abstractNum w:abstractNumId="25">
    <w:nsid w:val="2901D8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26">
    <w:nsid w:val="3A95F874"/>
    <w:multiLevelType w:val="hybridMultilevel"/>
    <w:lvl w:ilvl="0">
      <w:lvlJc w:val="left"/>
      <w:lvlText w:val="%1."/>
      <w:numFmt w:val="decimal"/>
      <w:start w:val="9"/>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27">
    <w:nsid w:val="813864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8">
    <w:nsid w:val="1E7FF521"/>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lvl w:ilvl="3">
      <w:lvlJc w:val="left"/>
      <w:lvlText w:val="%4"/>
      <w:numFmt w:val="lowerLetter"/>
      <w:start w:val="1"/>
    </w:lvl>
  </w:abstractNum>
  <w:abstractNum w:abstractNumId="29">
    <w:nsid w:val="7C3DBD3D"/>
    <w:multiLevelType w:val="hybridMultilevel"/>
    <w:lvl w:ilvl="0">
      <w:lvlJc w:val="left"/>
      <w:lvlText w:val="%1."/>
      <w:numFmt w:val="decimal"/>
      <w:start w:val="12"/>
    </w:lvl>
  </w:abstractNum>
  <w:abstractNum w:abstractNumId="30">
    <w:nsid w:val="737B8DDC"/>
    <w:multiLevelType w:val="hybridMultilevel"/>
    <w:lvl w:ilvl="0">
      <w:lvlJc w:val="left"/>
      <w:lvlText w:val="%1."/>
      <w:numFmt w:val="decimal"/>
      <w:start w:val="13"/>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2019-12-11T19:55:12Z</dcterms:created>
  <dcterms:modified xsi:type="dcterms:W3CDTF">2019-12-11T19:55:12Z</dcterms:modified>
</cp:coreProperties>
</file>