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1"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For the quarterly period ended February 27, 2021</w:t>
      </w:r>
    </w:p>
    <w:p>
      <w:pPr>
        <w:spacing w:after="0" w:line="46"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900" w:right="2680" w:hanging="2874"/>
        <w:spacing w:after="0" w:line="352" w:lineRule="auto"/>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ind w:left="372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92075</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90"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5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jc w:val="center"/>
              <w:ind w:right="1439"/>
              <w:spacing w:after="0"/>
              <w:rPr>
                <w:sz w:val="20"/>
                <w:szCs w:val="20"/>
                <w:color w:val="auto"/>
              </w:rPr>
            </w:pPr>
            <w:r>
              <w:rPr>
                <w:rFonts w:ascii="Arial" w:cs="Arial" w:eastAsia="Arial" w:hAnsi="Arial"/>
                <w:sz w:val="16"/>
                <w:szCs w:val="16"/>
                <w:b w:val="1"/>
                <w:bCs w:val="1"/>
                <w:color w:val="auto"/>
              </w:rPr>
              <w:t>Iowa</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2"/>
          </w:tcPr>
          <w:p>
            <w:pPr>
              <w:jc w:val="right"/>
              <w:ind w:right="246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466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6"/>
                <w:szCs w:val="16"/>
                <w:color w:val="auto"/>
              </w:rPr>
              <w:t>(I.R.S. Employer Identification No.)</w:t>
            </w:r>
          </w:p>
        </w:tc>
      </w:tr>
      <w:tr>
        <w:trPr>
          <w:trHeight w:val="367"/>
        </w:trPr>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 O. Box 152</w:t>
            </w:r>
          </w:p>
        </w:tc>
        <w:tc>
          <w:tcPr>
            <w:tcW w:w="31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Forest City   Iowa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2"/>
          </w:tcPr>
          <w:p>
            <w:pPr>
              <w:jc w:val="right"/>
              <w:ind w:right="2680"/>
              <w:spacing w:after="0"/>
              <w:rPr>
                <w:sz w:val="20"/>
                <w:szCs w:val="20"/>
                <w:color w:val="auto"/>
              </w:rPr>
            </w:pPr>
            <w:r>
              <w:rPr>
                <w:rFonts w:ascii="Arial" w:cs="Arial" w:eastAsia="Arial" w:hAnsi="Arial"/>
                <w:sz w:val="16"/>
                <w:szCs w:val="16"/>
                <w:b w:val="1"/>
                <w:bCs w:val="1"/>
                <w:color w:val="auto"/>
              </w:rPr>
              <w:t>50436</w:t>
            </w:r>
          </w:p>
        </w:tc>
      </w:tr>
      <w:tr>
        <w:trPr>
          <w:trHeight w:val="207"/>
        </w:trPr>
        <w:tc>
          <w:tcPr>
            <w:tcW w:w="466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60" w:type="dxa"/>
            <w:vAlign w:val="bottom"/>
            <w:gridSpan w:val="2"/>
          </w:tcPr>
          <w:p>
            <w:pPr>
              <w:jc w:val="center"/>
              <w:ind w:right="1040"/>
              <w:spacing w:after="0"/>
              <w:rPr>
                <w:sz w:val="20"/>
                <w:szCs w:val="20"/>
                <w:color w:val="auto"/>
              </w:rPr>
            </w:pPr>
            <w:r>
              <w:rPr>
                <w:rFonts w:ascii="Arial" w:cs="Arial" w:eastAsia="Arial" w:hAnsi="Arial"/>
                <w:sz w:val="16"/>
                <w:szCs w:val="16"/>
                <w:color w:val="auto"/>
              </w:rPr>
              <w:t>(Zip Code)</w:t>
            </w:r>
          </w:p>
        </w:tc>
      </w:tr>
      <w:tr>
        <w:trPr>
          <w:trHeight w:val="327"/>
        </w:trPr>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641- 585-3535</w:t>
            </w:r>
          </w:p>
        </w:tc>
        <w:tc>
          <w:tcPr>
            <w:tcW w:w="186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r>
      <w:tr>
        <w:trPr>
          <w:trHeight w:val="193"/>
        </w:trPr>
        <w:tc>
          <w:tcPr>
            <w:tcW w:w="1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40" w:type="dxa"/>
            <w:vAlign w:val="bottom"/>
            <w:gridSpan w:val="6"/>
          </w:tcPr>
          <w:p>
            <w:pPr>
              <w:jc w:val="center"/>
              <w:ind w:right="2840"/>
              <w:spacing w:after="0"/>
              <w:rPr>
                <w:sz w:val="20"/>
                <w:szCs w:val="20"/>
                <w:color w:val="auto"/>
              </w:rPr>
            </w:pPr>
            <w:r>
              <w:rPr>
                <w:rFonts w:ascii="Arial" w:cs="Arial" w:eastAsia="Arial" w:hAnsi="Arial"/>
                <w:sz w:val="16"/>
                <w:szCs w:val="16"/>
                <w:color w:val="auto"/>
              </w:rPr>
              <w:t>(Registrant's telephone number, including area code)</w:t>
            </w:r>
          </w:p>
        </w:tc>
      </w:tr>
      <w:tr>
        <w:trPr>
          <w:trHeight w:val="567"/>
        </w:trPr>
        <w:tc>
          <w:tcPr>
            <w:tcW w:w="4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13"/>
        </w:trPr>
        <w:tc>
          <w:tcPr>
            <w:tcW w:w="1520" w:type="dxa"/>
            <w:vAlign w:val="bottom"/>
            <w:tcBorders>
              <w:left w:val="single" w:sz="8" w:color="auto"/>
              <w:bottom w:val="single" w:sz="8" w:color="auto"/>
            </w:tcBorders>
          </w:tcPr>
          <w:p>
            <w:pPr>
              <w:spacing w:after="0"/>
              <w:rPr>
                <w:sz w:val="18"/>
                <w:szCs w:val="18"/>
                <w:color w:val="auto"/>
              </w:rPr>
            </w:pPr>
          </w:p>
        </w:tc>
        <w:tc>
          <w:tcPr>
            <w:tcW w:w="3140" w:type="dxa"/>
            <w:vAlign w:val="bottom"/>
            <w:tcBorders>
              <w:bottom w:val="single" w:sz="8" w:color="auto"/>
            </w:tcBorders>
            <w:gridSpan w:val="2"/>
          </w:tcPr>
          <w:p>
            <w:pPr>
              <w:jc w:val="center"/>
              <w:ind w:right="1319"/>
              <w:spacing w:after="0"/>
              <w:rPr>
                <w:sz w:val="20"/>
                <w:szCs w:val="20"/>
                <w:color w:val="auto"/>
              </w:rPr>
            </w:pPr>
            <w:r>
              <w:rPr>
                <w:rFonts w:ascii="Arial" w:cs="Arial" w:eastAsia="Arial" w:hAnsi="Arial"/>
                <w:sz w:val="16"/>
                <w:szCs w:val="16"/>
                <w:color w:val="auto"/>
              </w:rPr>
              <w:t>Title of each class</w:t>
            </w: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660" w:type="dxa"/>
            <w:vAlign w:val="bottom"/>
            <w:tcBorders>
              <w:left w:val="single" w:sz="8" w:color="auto"/>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rPr>
              <w:t>Common Stock, $0.50 par value per share</w:t>
            </w:r>
          </w:p>
        </w:tc>
        <w:tc>
          <w:tcPr>
            <w:tcW w:w="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par value $0.50 per share, outstanding on March 18, 2021 was 33,600,159.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400" w:type="dxa"/>
            <w:vAlign w:val="bottom"/>
            <w:gridSpan w:val="16"/>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rFonts w:ascii="Arial" w:cs="Arial" w:eastAsia="Arial" w:hAnsi="Arial"/>
                <w:sz w:val="16"/>
                <w:szCs w:val="16"/>
                <w:color w:val="0000FF"/>
                <w:w w:val="93"/>
              </w:rPr>
            </w:pPr>
            <w:hyperlink w:anchor="page3">
              <w:r>
                <w:rPr>
                  <w:rFonts w:ascii="Arial" w:cs="Arial" w:eastAsia="Arial" w:hAnsi="Arial"/>
                  <w:sz w:val="16"/>
                  <w:szCs w:val="16"/>
                  <w:color w:val="0000FF"/>
                  <w:w w:val="93"/>
                </w:rPr>
                <w:t>Item 1.</w:t>
              </w:r>
            </w:hyperlink>
          </w:p>
        </w:tc>
        <w:tc>
          <w:tcPr>
            <w:tcW w:w="460" w:type="dxa"/>
            <w:vAlign w:val="bottom"/>
            <w:gridSpan w:val="3"/>
          </w:tcPr>
          <w:p>
            <w:pPr>
              <w:spacing w:after="0"/>
              <w:rPr>
                <w:sz w:val="17"/>
                <w:szCs w:val="17"/>
                <w:color w:val="auto"/>
              </w:rPr>
            </w:pPr>
          </w:p>
        </w:tc>
        <w:tc>
          <w:tcPr>
            <w:tcW w:w="6400" w:type="dxa"/>
            <w:vAlign w:val="bottom"/>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Financial Statements.</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Income and Comprehensive Income</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w:t>
              </w:r>
            </w:hyperlink>
          </w:p>
        </w:tc>
        <w:tc>
          <w:tcPr>
            <w:tcW w:w="25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4"/>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Cash Flows</w:t>
              </w:r>
            </w:hyperlink>
          </w:p>
        </w:tc>
        <w:tc>
          <w:tcPr>
            <w:tcW w:w="38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4"/>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Changes in Stockholders' Equity</w:t>
              </w:r>
            </w:hyperlink>
          </w:p>
        </w:tc>
        <w:tc>
          <w:tcPr>
            <w:tcW w:w="38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gridSpan w:val="9"/>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Condensed Consolidated Financial Statements</w:t>
              </w:r>
            </w:hyperlink>
          </w:p>
        </w:tc>
        <w:tc>
          <w:tcPr>
            <w:tcW w:w="1200" w:type="dxa"/>
            <w:vAlign w:val="bottom"/>
            <w:gridSpan w:val="3"/>
          </w:tcPr>
          <w:p>
            <w:pPr>
              <w:spacing w:after="0"/>
              <w:rPr>
                <w:sz w:val="17"/>
                <w:szCs w:val="17"/>
                <w:color w:val="auto"/>
              </w:rPr>
            </w:pPr>
          </w:p>
        </w:tc>
        <w:tc>
          <w:tcPr>
            <w:tcW w:w="98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00" w:type="dxa"/>
            <w:vAlign w:val="bottom"/>
            <w:tcBorders>
              <w:bottom w:val="single" w:sz="8" w:color="0000FF"/>
            </w:tcBorders>
            <w:gridSpan w:val="2"/>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2.</w:t>
              </w:r>
            </w:hyperlink>
          </w:p>
        </w:tc>
        <w:tc>
          <w:tcPr>
            <w:tcW w:w="360" w:type="dxa"/>
            <w:vAlign w:val="bottom"/>
            <w:gridSpan w:val="2"/>
          </w:tcPr>
          <w:p>
            <w:pPr>
              <w:spacing w:after="0"/>
              <w:rPr>
                <w:sz w:val="17"/>
                <w:szCs w:val="17"/>
                <w:color w:val="auto"/>
              </w:rPr>
            </w:pPr>
          </w:p>
        </w:tc>
        <w:tc>
          <w:tcPr>
            <w:tcW w:w="6400" w:type="dxa"/>
            <w:vAlign w:val="bottom"/>
            <w:tcBorders>
              <w:bottom w:val="single" w:sz="8" w:color="0000FF"/>
            </w:tcBorders>
            <w:gridSpan w:val="16"/>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Management's Discussion and Analysis of Financial Condition and Results of Operations.</w:t>
              </w:r>
            </w:hyperlink>
          </w:p>
        </w:tc>
        <w:tc>
          <w:tcPr>
            <w:tcW w:w="36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22</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3.</w:t>
              </w:r>
            </w:hyperlink>
          </w:p>
        </w:tc>
        <w:tc>
          <w:tcPr>
            <w:tcW w:w="6400" w:type="dxa"/>
            <w:vAlign w:val="bottom"/>
            <w:gridSpan w:val="16"/>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38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4.</w:t>
              </w:r>
            </w:hyperlink>
          </w:p>
        </w:tc>
        <w:tc>
          <w:tcPr>
            <w:tcW w:w="6400" w:type="dxa"/>
            <w:vAlign w:val="bottom"/>
            <w:gridSpan w:val="16"/>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Controls and Procedures.</w:t>
              </w:r>
            </w:hyperlink>
          </w:p>
        </w:tc>
        <w:tc>
          <w:tcPr>
            <w:tcW w:w="38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rFonts w:ascii="Arial" w:cs="Arial" w:eastAsia="Arial" w:hAnsi="Arial"/>
                <w:sz w:val="16"/>
                <w:szCs w:val="16"/>
                <w:b w:val="1"/>
                <w:bCs w:val="1"/>
                <w:color w:val="0000FF"/>
                <w:w w:val="97"/>
              </w:rPr>
            </w:pPr>
            <w:hyperlink w:anchor="page33">
              <w:r>
                <w:rPr>
                  <w:rFonts w:ascii="Arial" w:cs="Arial" w:eastAsia="Arial" w:hAnsi="Arial"/>
                  <w:sz w:val="16"/>
                  <w:szCs w:val="16"/>
                  <w:b w:val="1"/>
                  <w:bCs w:val="1"/>
                  <w:color w:val="0000FF"/>
                  <w:w w:val="97"/>
                </w:rPr>
                <w:t>PART II.</w:t>
              </w:r>
            </w:hyperlink>
          </w:p>
        </w:tc>
        <w:tc>
          <w:tcPr>
            <w:tcW w:w="340" w:type="dxa"/>
            <w:vAlign w:val="bottom"/>
          </w:tcPr>
          <w:p>
            <w:pPr>
              <w:spacing w:after="0"/>
              <w:rPr>
                <w:sz w:val="24"/>
                <w:szCs w:val="24"/>
                <w:color w:val="auto"/>
              </w:rPr>
            </w:pPr>
          </w:p>
        </w:tc>
        <w:tc>
          <w:tcPr>
            <w:tcW w:w="1820" w:type="dxa"/>
            <w:vAlign w:val="bottom"/>
            <w:tcBorders>
              <w:bottom w:val="single" w:sz="8" w:color="0000FF"/>
            </w:tcBorders>
            <w:gridSpan w:val="6"/>
          </w:tcPr>
          <w:p>
            <w:pPr>
              <w:spacing w:after="0"/>
              <w:rPr>
                <w:rFonts w:ascii="Arial" w:cs="Arial" w:eastAsia="Arial" w:hAnsi="Arial"/>
                <w:sz w:val="16"/>
                <w:szCs w:val="16"/>
                <w:b w:val="1"/>
                <w:bCs w:val="1"/>
                <w:color w:val="0000FF"/>
              </w:rPr>
            </w:pPr>
            <w:hyperlink w:anchor="page33">
              <w:r>
                <w:rPr>
                  <w:rFonts w:ascii="Arial" w:cs="Arial" w:eastAsia="Arial" w:hAnsi="Arial"/>
                  <w:sz w:val="16"/>
                  <w:szCs w:val="16"/>
                  <w:b w:val="1"/>
                  <w:bCs w:val="1"/>
                  <w:color w:val="0000FF"/>
                </w:rPr>
                <w:t>OTHER INFORMATION.</w:t>
              </w:r>
            </w:hyperlink>
          </w:p>
        </w:tc>
        <w:tc>
          <w:tcPr>
            <w:tcW w:w="4580" w:type="dxa"/>
            <w:vAlign w:val="bottom"/>
            <w:gridSpan w:val="10"/>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34</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1.</w:t>
              </w:r>
            </w:hyperlink>
          </w:p>
        </w:tc>
        <w:tc>
          <w:tcPr>
            <w:tcW w:w="640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Legal Proceedings.</w:t>
              </w:r>
            </w:hyperlink>
          </w:p>
        </w:tc>
        <w:tc>
          <w:tcPr>
            <w:tcW w:w="38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1A.</w:t>
              </w:r>
            </w:hyperlink>
          </w:p>
        </w:tc>
        <w:tc>
          <w:tcPr>
            <w:tcW w:w="640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Risk Factors.</w:t>
              </w:r>
            </w:hyperlink>
          </w:p>
        </w:tc>
        <w:tc>
          <w:tcPr>
            <w:tcW w:w="38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2.</w:t>
              </w:r>
            </w:hyperlink>
          </w:p>
        </w:tc>
        <w:tc>
          <w:tcPr>
            <w:tcW w:w="360" w:type="dxa"/>
            <w:vAlign w:val="bottom"/>
            <w:gridSpan w:val="2"/>
          </w:tcPr>
          <w:p>
            <w:pPr>
              <w:spacing w:after="0"/>
              <w:rPr>
                <w:sz w:val="17"/>
                <w:szCs w:val="17"/>
                <w:color w:val="auto"/>
              </w:rPr>
            </w:pPr>
          </w:p>
        </w:tc>
        <w:tc>
          <w:tcPr>
            <w:tcW w:w="6400" w:type="dxa"/>
            <w:vAlign w:val="bottom"/>
            <w:gridSpan w:val="16"/>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Unregistered Sales of Equity Securities and Use of Proceeds.</w:t>
              </w:r>
            </w:hyperlink>
          </w:p>
        </w:tc>
        <w:tc>
          <w:tcPr>
            <w:tcW w:w="38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196"/>
        </w:trPr>
        <w:tc>
          <w:tcPr>
            <w:tcW w:w="960" w:type="dxa"/>
            <w:vAlign w:val="bottom"/>
            <w:tcBorders>
              <w:top w:val="single" w:sz="8" w:color="0000FF"/>
            </w:tcBorders>
            <w:gridSpan w:val="4"/>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6.</w:t>
              </w:r>
            </w:hyperlink>
          </w:p>
        </w:tc>
        <w:tc>
          <w:tcPr>
            <w:tcW w:w="4400" w:type="dxa"/>
            <w:vAlign w:val="bottom"/>
            <w:tcBorders>
              <w:top w:val="single" w:sz="8" w:color="0000FF"/>
            </w:tcBorders>
            <w:gridSpan w:val="1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Exhibits.</w:t>
              </w:r>
            </w:hyperlink>
          </w:p>
        </w:tc>
        <w:tc>
          <w:tcPr>
            <w:tcW w:w="2000" w:type="dxa"/>
            <w:vAlign w:val="bottom"/>
            <w:gridSpan w:val="3"/>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rFonts w:ascii="Arial" w:cs="Arial" w:eastAsia="Arial" w:hAnsi="Arial"/>
                <w:sz w:val="16"/>
                <w:szCs w:val="16"/>
                <w:b w:val="1"/>
                <w:bCs w:val="1"/>
                <w:color w:val="0000FF"/>
                <w:w w:val="99"/>
              </w:rPr>
            </w:pPr>
            <w:hyperlink w:anchor="page35">
              <w:r>
                <w:rPr>
                  <w:rFonts w:ascii="Arial" w:cs="Arial" w:eastAsia="Arial" w:hAnsi="Arial"/>
                  <w:sz w:val="16"/>
                  <w:szCs w:val="16"/>
                  <w:b w:val="1"/>
                  <w:bCs w:val="1"/>
                  <w:color w:val="0000FF"/>
                  <w:w w:val="99"/>
                </w:rPr>
                <w:t>SIGNATURES</w:t>
              </w:r>
            </w:hyperlink>
          </w:p>
        </w:tc>
        <w:tc>
          <w:tcPr>
            <w:tcW w:w="6300" w:type="dxa"/>
            <w:vAlign w:val="bottom"/>
            <w:gridSpan w:val="15"/>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340"/>
        <w:spacing w:after="0" w:line="259"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9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February 27,</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99"/>
              <w:spacing w:after="0" w:line="158" w:lineRule="exact"/>
              <w:rPr>
                <w:sz w:val="20"/>
                <w:szCs w:val="20"/>
                <w:color w:val="auto"/>
              </w:rPr>
            </w:pPr>
            <w:r>
              <w:rPr>
                <w:rFonts w:ascii="Arial" w:cs="Arial" w:eastAsia="Arial" w:hAnsi="Arial"/>
                <w:sz w:val="16"/>
                <w:szCs w:val="16"/>
                <w:b w:val="1"/>
                <w:bCs w:val="1"/>
                <w:color w:val="auto"/>
              </w:rPr>
              <w:t>February 29,</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February 27,</w:t>
            </w: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4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626,810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1,215,268</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547,028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1,056,873</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156,582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79,782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158,395</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93,269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104,857</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53,538</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90,234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21,263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39,224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31,336</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60"/>
        </w:trPr>
        <w:tc>
          <w:tcPr>
            <w:tcW w:w="4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32,840</w:t>
            </w: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33,918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33,143</w:t>
            </w:r>
          </w:p>
        </w:tc>
        <w:tc>
          <w:tcPr>
            <w:tcW w:w="0" w:type="dxa"/>
            <w:vAlign w:val="bottom"/>
          </w:tcPr>
          <w:p>
            <w:pPr>
              <w:spacing w:after="0"/>
              <w:rPr>
                <w:sz w:val="1"/>
                <w:szCs w:val="1"/>
                <w:color w:val="auto"/>
              </w:rPr>
            </w:pPr>
          </w:p>
        </w:tc>
      </w:tr>
      <w:tr>
        <w:trPr>
          <w:trHeight w:val="260"/>
        </w:trPr>
        <w:tc>
          <w:tcPr>
            <w:tcW w:w="4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17,268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31,336</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20"/>
              <w:spacing w:after="0"/>
              <w:rPr>
                <w:sz w:val="20"/>
                <w:szCs w:val="20"/>
                <w:color w:val="auto"/>
              </w:rPr>
            </w:pPr>
            <w:r>
              <w:rPr>
                <w:rFonts w:ascii="Arial" w:cs="Arial" w:eastAsia="Arial" w:hAnsi="Arial"/>
                <w:sz w:val="16"/>
                <w:szCs w:val="16"/>
                <w:color w:val="auto"/>
              </w:rPr>
              <w:t>Amortization of net actuarial loss (net of tax of $3, $3, $6, and $5)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swap activity (net of tax of $—, $—, $—, and $22)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Receivables, less allowance for doubtful accounts ($301 and $353, respectively)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232,349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220,798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864,978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713,610</w:t>
            </w:r>
          </w:p>
        </w:tc>
        <w:tc>
          <w:tcPr>
            <w:tcW w:w="0" w:type="dxa"/>
            <w:vAlign w:val="bottom"/>
          </w:tcPr>
          <w:p>
            <w:pPr>
              <w:spacing w:after="0"/>
              <w:rPr>
                <w:sz w:val="1"/>
                <w:szCs w:val="1"/>
                <w:color w:val="auto"/>
              </w:rPr>
            </w:pPr>
          </w:p>
        </w:tc>
      </w:tr>
      <w:tr>
        <w:trPr>
          <w:trHeight w:val="209"/>
        </w:trPr>
        <w:tc>
          <w:tcPr>
            <w:tcW w:w="78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173,609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174,945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348,058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348,058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Investment in life insurance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27,838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1,855,795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47,086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warranties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Self-insurance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17,469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17,437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Promotional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12,543</w:t>
            </w:r>
          </w:p>
        </w:tc>
        <w:tc>
          <w:tcPr>
            <w:tcW w:w="0" w:type="dxa"/>
            <w:vAlign w:val="bottom"/>
          </w:tcPr>
          <w:p>
            <w:pPr>
              <w:spacing w:after="0"/>
              <w:rPr>
                <w:sz w:val="1"/>
                <w:szCs w:val="1"/>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4,652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23,864</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300,390</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520,284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512,630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15,608</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6,511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27,048</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11,130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12,917</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592,428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585,844</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liabilities and commitments (Note 10)</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par value $0.01: Authorized-10,000 shares; Issued-zero</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Common stock, par value $0.50: Authorized-120,000 shares; Issued-51,776 shares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25,888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203,791</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913,610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Treasury stock, at cost: 18,225 and 18,133 shares, respectively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(315,297)</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942,364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827,466</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1,855,795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7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31,336</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7,720</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4,182</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Last-in, first-out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45,275</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4,688</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0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119,164</w:t>
            </w: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(19,057)</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(264,280)</w:t>
            </w: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(283,158)</w:t>
            </w:r>
          </w:p>
        </w:tc>
        <w:tc>
          <w:tcPr>
            <w:tcW w:w="0" w:type="dxa"/>
            <w:vAlign w:val="bottom"/>
          </w:tcPr>
          <w:p>
            <w:pPr>
              <w:spacing w:after="0"/>
              <w:rPr>
                <w:sz w:val="1"/>
                <w:szCs w:val="1"/>
                <w:color w:val="auto"/>
              </w:rPr>
            </w:pPr>
          </w:p>
        </w:tc>
      </w:tr>
      <w:tr>
        <w:trPr>
          <w:trHeight w:val="185"/>
        </w:trPr>
        <w:tc>
          <w:tcPr>
            <w:tcW w:w="1260" w:type="dxa"/>
            <w:vAlign w:val="bottom"/>
            <w:shd w:val="clear" w:color="auto" w:fill="CCEEFF"/>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1,412,294</w:t>
            </w: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Repayments on long-term debt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(1,647,764)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(1,115,044)</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convertible bond hedge</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warrants</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42,210</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0" w:type="dxa"/>
            <w:vAlign w:val="bottom"/>
          </w:tcPr>
          <w:p>
            <w:pPr>
              <w:spacing w:after="0"/>
              <w:rPr>
                <w:sz w:val="1"/>
                <w:szCs w:val="1"/>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of debt issuance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249,502</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122,939</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63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36"/>
        </w:trPr>
        <w:tc>
          <w:tcPr>
            <w:tcW w:w="1260" w:type="dxa"/>
            <w:vAlign w:val="bottom"/>
            <w:tcBorders>
              <w:top w:val="single" w:sz="8" w:color="0000FF"/>
            </w:tcBorders>
          </w:tcPr>
          <w:p>
            <w:pPr>
              <w:spacing w:after="0"/>
              <w:rPr>
                <w:sz w:val="24"/>
                <w:szCs w:val="24"/>
                <w:color w:val="auto"/>
              </w:rPr>
            </w:pPr>
          </w:p>
        </w:tc>
        <w:tc>
          <w:tcPr>
            <w:tcW w:w="5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Income taxes paid, net</w:t>
            </w:r>
          </w:p>
        </w:tc>
        <w:tc>
          <w:tcPr>
            <w:tcW w:w="21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47,804</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7,652</w:t>
            </w:r>
          </w:p>
        </w:tc>
      </w:tr>
      <w:tr>
        <w:trPr>
          <w:trHeight w:val="21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1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12,244</w:t>
            </w:r>
          </w:p>
        </w:tc>
        <w:tc>
          <w:tcPr>
            <w:tcW w:w="6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9,938</w:t>
            </w:r>
          </w:p>
        </w:tc>
      </w:tr>
      <w:tr>
        <w:trPr>
          <w:trHeight w:val="256"/>
        </w:trPr>
        <w:tc>
          <w:tcPr>
            <w:tcW w:w="6360" w:type="dxa"/>
            <w:vAlign w:val="bottom"/>
            <w:gridSpan w:val="2"/>
          </w:tcPr>
          <w:p>
            <w:pPr>
              <w:spacing w:after="0"/>
              <w:rPr>
                <w:sz w:val="22"/>
                <w:szCs w:val="22"/>
                <w:color w:val="auto"/>
              </w:rPr>
            </w:pPr>
          </w:p>
        </w:tc>
        <w:tc>
          <w:tcPr>
            <w:tcW w:w="2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2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360" w:type="dxa"/>
            <w:vAlign w:val="bottom"/>
            <w:gridSpan w:val="2"/>
          </w:tcPr>
          <w:p>
            <w:pPr>
              <w:ind w:left="140"/>
              <w:spacing w:after="0"/>
              <w:rPr>
                <w:sz w:val="20"/>
                <w:szCs w:val="20"/>
                <w:color w:val="auto"/>
              </w:rPr>
            </w:pPr>
            <w:r>
              <w:rPr>
                <w:rFonts w:ascii="Arial" w:cs="Arial" w:eastAsia="Arial" w:hAnsi="Arial"/>
                <w:sz w:val="16"/>
                <w:szCs w:val="16"/>
                <w:color w:val="auto"/>
              </w:rPr>
              <w:t>Issuance of Winnebago common stock for acquisition of business</w:t>
            </w:r>
          </w:p>
        </w:tc>
        <w:tc>
          <w:tcPr>
            <w:tcW w:w="21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92,572</w:t>
            </w:r>
          </w:p>
        </w:tc>
      </w:tr>
      <w:tr>
        <w:trPr>
          <w:trHeight w:val="21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1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6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600"/>
        <w:spacing w:after="0" w:line="260" w:lineRule="auto"/>
        <w:rPr>
          <w:sz w:val="20"/>
          <w:szCs w:val="20"/>
          <w:color w:val="auto"/>
        </w:rPr>
      </w:pPr>
      <w:r>
        <w:rPr>
          <w:rFonts w:ascii="Arial" w:cs="Arial" w:eastAsia="Arial" w:hAnsi="Arial"/>
          <w:sz w:val="16"/>
          <w:szCs w:val="16"/>
          <w:b w:val="1"/>
          <w:bCs w:val="1"/>
          <w:color w:val="auto"/>
        </w:rPr>
        <w:t>Condensed Consolidated Statements of Changes in Stockholders' Equity (Unaudited)</w:t>
      </w:r>
    </w:p>
    <w:p>
      <w:pPr>
        <w:spacing w:after="0" w:line="59"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February 27, 2021</w:t>
            </w: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40" w:type="dxa"/>
            <w:vAlign w:val="bottom"/>
          </w:tcPr>
          <w:p>
            <w:pPr>
              <w:spacing w:after="0"/>
              <w:rPr>
                <w:sz w:val="24"/>
                <w:szCs w:val="2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Common 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Treasury Stock</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40" w:type="dxa"/>
            <w:vAlign w:val="bottom"/>
            <w:vMerge w:val="restart"/>
          </w:tcPr>
          <w:p>
            <w:pPr>
              <w:spacing w:after="0" w:line="12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6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Paid-In</w:t>
            </w:r>
          </w:p>
        </w:tc>
        <w:tc>
          <w:tcPr>
            <w:tcW w:w="920" w:type="dxa"/>
            <w:vAlign w:val="bottom"/>
            <w:vMerge w:val="restart"/>
          </w:tcPr>
          <w:p>
            <w:pPr>
              <w:ind w:left="200"/>
              <w:spacing w:after="0" w:line="122" w:lineRule="exact"/>
              <w:rPr>
                <w:sz w:val="20"/>
                <w:szCs w:val="20"/>
                <w:color w:val="auto"/>
              </w:rPr>
            </w:pPr>
            <w:r>
              <w:rPr>
                <w:rFonts w:ascii="Arial" w:cs="Arial" w:eastAsia="Arial" w:hAnsi="Arial"/>
                <w:sz w:val="14"/>
                <w:szCs w:val="14"/>
                <w:b w:val="1"/>
                <w:bCs w:val="1"/>
                <w:color w:val="auto"/>
              </w:rPr>
              <w:t>Retained</w:t>
            </w:r>
          </w:p>
        </w:tc>
        <w:tc>
          <w:tcPr>
            <w:tcW w:w="1480" w:type="dxa"/>
            <w:vAlign w:val="bottom"/>
            <w:vMerge w:val="restart"/>
          </w:tcPr>
          <w:p>
            <w:pPr>
              <w:jc w:val="center"/>
              <w:ind w:left="8"/>
              <w:spacing w:after="0" w:line="122" w:lineRule="exact"/>
              <w:rPr>
                <w:sz w:val="20"/>
                <w:szCs w:val="20"/>
                <w:color w:val="auto"/>
              </w:rPr>
            </w:pPr>
            <w:r>
              <w:rPr>
                <w:rFonts w:ascii="Arial" w:cs="Arial" w:eastAsia="Arial" w:hAnsi="Arial"/>
                <w:sz w:val="14"/>
                <w:szCs w:val="14"/>
                <w:b w:val="1"/>
                <w:bCs w:val="1"/>
                <w:color w:val="auto"/>
              </w:rPr>
              <w:t>Comprehensive</w:t>
            </w: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2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640" w:type="dxa"/>
            <w:vAlign w:val="bottom"/>
            <w:vMerge w:val="continue"/>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4"/>
                <w:szCs w:val="14"/>
                <w:b w:val="1"/>
                <w:bCs w:val="1"/>
                <w:color w:val="auto"/>
              </w:rPr>
              <w:t>except per share data)</w:t>
            </w: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-8890</wp:posOffset>
            </wp:positionV>
            <wp:extent cx="702945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November 28, 2020</w:t>
      </w:r>
    </w:p>
    <w:p>
      <w:pPr>
        <w:spacing w:after="0" w:line="28" w:lineRule="exact"/>
        <w:rPr>
          <w:sz w:val="20"/>
          <w:szCs w:val="20"/>
          <w:color w:val="auto"/>
        </w:rPr>
      </w:pPr>
    </w:p>
    <w:p>
      <w:pPr>
        <w:ind w:left="300" w:right="120"/>
        <w:spacing w:after="0" w:line="229" w:lineRule="auto"/>
        <w:rPr>
          <w:sz w:val="20"/>
          <w:szCs w:val="20"/>
          <w:color w:val="auto"/>
        </w:rPr>
      </w:pPr>
      <w:r>
        <w:rPr>
          <w:rFonts w:ascii="Arial" w:cs="Arial" w:eastAsia="Arial" w:hAnsi="Arial"/>
          <w:sz w:val="14"/>
          <w:szCs w:val="14"/>
          <w:color w:val="auto"/>
        </w:rPr>
        <w:t>Stock-based compensation, net of forfeitures</w:t>
      </w:r>
    </w:p>
    <w:p>
      <w:pPr>
        <w:spacing w:after="0" w:line="17" w:lineRule="exact"/>
        <w:rPr>
          <w:sz w:val="20"/>
          <w:szCs w:val="20"/>
          <w:color w:val="auto"/>
        </w:rPr>
      </w:pPr>
    </w:p>
    <w:p>
      <w:pPr>
        <w:ind w:left="300" w:right="380"/>
        <w:spacing w:after="0" w:line="281" w:lineRule="auto"/>
        <w:rPr>
          <w:sz w:val="20"/>
          <w:szCs w:val="20"/>
          <w:color w:val="auto"/>
        </w:rPr>
      </w:pPr>
      <w:r>
        <w:rPr>
          <w:rFonts w:ascii="Arial" w:cs="Arial" w:eastAsia="Arial" w:hAnsi="Arial"/>
          <w:sz w:val="14"/>
          <w:szCs w:val="14"/>
          <w:color w:val="auto"/>
        </w:rPr>
        <w:t>Issuance of stock, net Repurchase of common stock</w:t>
      </w:r>
    </w:p>
    <w:p>
      <w:pPr>
        <w:spacing w:after="0" w:line="1" w:lineRule="exact"/>
        <w:rPr>
          <w:sz w:val="20"/>
          <w:szCs w:val="20"/>
          <w:color w:val="auto"/>
        </w:rPr>
      </w:pPr>
    </w:p>
    <w:p>
      <w:pPr>
        <w:ind w:left="300"/>
        <w:spacing w:after="0" w:line="229" w:lineRule="auto"/>
        <w:rPr>
          <w:sz w:val="20"/>
          <w:szCs w:val="20"/>
          <w:color w:val="auto"/>
        </w:rPr>
      </w:pPr>
      <w:r>
        <w:rPr>
          <w:rFonts w:ascii="Arial" w:cs="Arial" w:eastAsia="Arial" w:hAnsi="Arial"/>
          <w:sz w:val="14"/>
          <w:szCs w:val="14"/>
          <w:color w:val="auto"/>
        </w:rPr>
        <w:t>Common stock dividends; $0.12 per share</w:t>
      </w:r>
    </w:p>
    <w:p>
      <w:pPr>
        <w:spacing w:after="0" w:line="17" w:lineRule="exact"/>
        <w:rPr>
          <w:sz w:val="20"/>
          <w:szCs w:val="20"/>
          <w:color w:val="auto"/>
        </w:rPr>
      </w:pPr>
    </w:p>
    <w:p>
      <w:pPr>
        <w:ind w:left="300" w:right="760"/>
        <w:spacing w:after="0" w:line="298" w:lineRule="auto"/>
        <w:rPr>
          <w:sz w:val="20"/>
          <w:szCs w:val="20"/>
          <w:color w:val="auto"/>
        </w:rPr>
      </w:pPr>
      <w:r>
        <w:rPr>
          <w:rFonts w:ascii="Arial" w:cs="Arial" w:eastAsia="Arial" w:hAnsi="Arial"/>
          <w:sz w:val="14"/>
          <w:szCs w:val="14"/>
          <w:color w:val="auto"/>
        </w:rPr>
        <w:t>Actuarial loss, net of tax Net income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February 27,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204,551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966,945</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(517)</w:t>
            </w:r>
          </w:p>
        </w:tc>
        <w:tc>
          <w:tcPr>
            <w:tcW w:w="700" w:type="dxa"/>
            <w:vAlign w:val="bottom"/>
          </w:tcPr>
          <w:p>
            <w:pPr>
              <w:jc w:val="right"/>
              <w:spacing w:after="0"/>
              <w:rPr>
                <w:sz w:val="20"/>
                <w:szCs w:val="20"/>
                <w:color w:val="auto"/>
              </w:rPr>
            </w:pPr>
            <w:r>
              <w:rPr>
                <w:rFonts w:ascii="Arial" w:cs="Arial" w:eastAsia="Arial" w:hAnsi="Arial"/>
                <w:sz w:val="14"/>
                <w:szCs w:val="14"/>
                <w:color w:val="auto"/>
              </w:rPr>
              <w:t>(18,275)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(325,309)</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871,558</w:t>
            </w:r>
          </w:p>
        </w:tc>
      </w:tr>
      <w:tr>
        <w:trPr>
          <w:trHeight w:val="324"/>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4,622</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4,627</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1,045</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1,599</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25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(3,993)</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(3,993)</w:t>
            </w:r>
          </w:p>
        </w:tc>
      </w:tr>
      <w:tr>
        <w:trPr>
          <w:trHeight w:val="256"/>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69,068</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69,068</w:t>
            </w:r>
          </w:p>
        </w:tc>
      </w:tr>
      <w:tr>
        <w:trPr>
          <w:trHeight w:val="183"/>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209,727</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1,032,020</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(324,762)</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942,364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-847725</wp:posOffset>
            </wp:positionV>
            <wp:extent cx="702945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-607695</wp:posOffset>
            </wp:positionV>
            <wp:extent cx="702945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-281940</wp:posOffset>
            </wp:positionV>
            <wp:extent cx="702945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2001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600" w:space="220"/>
            <w:col w:w="8420"/>
          </w:cols>
          <w:pgMar w:left="320" w:top="141" w:right="339" w:bottom="1440" w:gutter="0" w:footer="0" w:header="0"/>
          <w:type w:val="continuous"/>
        </w:sectPr>
      </w:pPr>
    </w:p>
    <w:tbl>
      <w:tblPr>
        <w:tblLayout w:type="fixed"/>
        <w:tblInd w:w="18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February 27, 2021</w:t>
            </w: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40" w:type="dxa"/>
            <w:vAlign w:val="bottom"/>
          </w:tcPr>
          <w:p>
            <w:pPr>
              <w:spacing w:after="0"/>
              <w:rPr>
                <w:sz w:val="24"/>
                <w:szCs w:val="2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Common Shares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Treasury Stock</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40" w:type="dxa"/>
            <w:vAlign w:val="bottom"/>
            <w:vMerge w:val="restart"/>
          </w:tcPr>
          <w:p>
            <w:pPr>
              <w:spacing w:after="0" w:line="12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Paid-In</w:t>
            </w:r>
          </w:p>
        </w:tc>
        <w:tc>
          <w:tcPr>
            <w:tcW w:w="880" w:type="dxa"/>
            <w:vAlign w:val="bottom"/>
            <w:vMerge w:val="restart"/>
          </w:tcPr>
          <w:p>
            <w:pPr>
              <w:ind w:left="160"/>
              <w:spacing w:after="0" w:line="122" w:lineRule="exact"/>
              <w:rPr>
                <w:sz w:val="20"/>
                <w:szCs w:val="20"/>
                <w:color w:val="auto"/>
              </w:rPr>
            </w:pPr>
            <w:r>
              <w:rPr>
                <w:rFonts w:ascii="Arial" w:cs="Arial" w:eastAsia="Arial" w:hAnsi="Arial"/>
                <w:sz w:val="14"/>
                <w:szCs w:val="14"/>
                <w:b w:val="1"/>
                <w:bCs w:val="1"/>
                <w:color w:val="auto"/>
              </w:rPr>
              <w:t>Retained</w:t>
            </w:r>
          </w:p>
        </w:tc>
        <w:tc>
          <w:tcPr>
            <w:tcW w:w="1480" w:type="dxa"/>
            <w:vAlign w:val="bottom"/>
            <w:vMerge w:val="restart"/>
          </w:tcPr>
          <w:p>
            <w:pPr>
              <w:jc w:val="center"/>
              <w:ind w:left="8"/>
              <w:spacing w:after="0" w:line="122" w:lineRule="exact"/>
              <w:rPr>
                <w:sz w:val="20"/>
                <w:szCs w:val="20"/>
                <w:color w:val="auto"/>
              </w:rPr>
            </w:pPr>
            <w:r>
              <w:rPr>
                <w:rFonts w:ascii="Arial" w:cs="Arial" w:eastAsia="Arial" w:hAnsi="Arial"/>
                <w:sz w:val="14"/>
                <w:szCs w:val="14"/>
                <w:b w:val="1"/>
                <w:bCs w:val="1"/>
                <w:color w:val="auto"/>
              </w:rPr>
              <w:t>Comprehensive</w:t>
            </w: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2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640" w:type="dxa"/>
            <w:vAlign w:val="bottom"/>
            <w:vMerge w:val="continue"/>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0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4"/>
                <w:szCs w:val="14"/>
                <w:b w:val="1"/>
                <w:bCs w:val="1"/>
                <w:color w:val="auto"/>
              </w:rPr>
              <w:t>except per share data)</w:t>
            </w: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Earnings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-8890</wp:posOffset>
            </wp:positionV>
            <wp:extent cx="702945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p>
      <w:pPr>
        <w:spacing w:after="0" w:line="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August 29, 2020</w:t>
      </w:r>
    </w:p>
    <w:p>
      <w:pPr>
        <w:spacing w:after="0" w:line="28" w:lineRule="exact"/>
        <w:rPr>
          <w:sz w:val="20"/>
          <w:szCs w:val="20"/>
          <w:color w:val="auto"/>
        </w:rPr>
      </w:pPr>
    </w:p>
    <w:p>
      <w:pPr>
        <w:ind w:left="300" w:right="120"/>
        <w:spacing w:after="0" w:line="229" w:lineRule="auto"/>
        <w:rPr>
          <w:sz w:val="20"/>
          <w:szCs w:val="20"/>
          <w:color w:val="auto"/>
        </w:rPr>
      </w:pPr>
      <w:r>
        <w:rPr>
          <w:rFonts w:ascii="Arial" w:cs="Arial" w:eastAsia="Arial" w:hAnsi="Arial"/>
          <w:sz w:val="14"/>
          <w:szCs w:val="14"/>
          <w:color w:val="auto"/>
        </w:rPr>
        <w:t>Stock-based compensation, net of forfeitures</w:t>
      </w:r>
    </w:p>
    <w:p>
      <w:pPr>
        <w:spacing w:after="0" w:line="17" w:lineRule="exact"/>
        <w:rPr>
          <w:sz w:val="20"/>
          <w:szCs w:val="20"/>
          <w:color w:val="auto"/>
        </w:rPr>
      </w:pPr>
    </w:p>
    <w:p>
      <w:pPr>
        <w:ind w:left="300" w:right="380"/>
        <w:spacing w:after="0" w:line="281" w:lineRule="auto"/>
        <w:rPr>
          <w:sz w:val="20"/>
          <w:szCs w:val="20"/>
          <w:color w:val="auto"/>
        </w:rPr>
      </w:pPr>
      <w:r>
        <w:rPr>
          <w:rFonts w:ascii="Arial" w:cs="Arial" w:eastAsia="Arial" w:hAnsi="Arial"/>
          <w:sz w:val="14"/>
          <w:szCs w:val="14"/>
          <w:color w:val="auto"/>
        </w:rPr>
        <w:t>Issuance of stock, net Repurchase of common stock</w:t>
      </w:r>
    </w:p>
    <w:p>
      <w:pPr>
        <w:spacing w:after="0" w:line="1" w:lineRule="exact"/>
        <w:rPr>
          <w:sz w:val="20"/>
          <w:szCs w:val="20"/>
          <w:color w:val="auto"/>
        </w:rPr>
      </w:pPr>
    </w:p>
    <w:p>
      <w:pPr>
        <w:ind w:left="300"/>
        <w:spacing w:after="0" w:line="229" w:lineRule="auto"/>
        <w:rPr>
          <w:sz w:val="20"/>
          <w:szCs w:val="20"/>
          <w:color w:val="auto"/>
        </w:rPr>
      </w:pPr>
      <w:r>
        <w:rPr>
          <w:rFonts w:ascii="Arial" w:cs="Arial" w:eastAsia="Arial" w:hAnsi="Arial"/>
          <w:sz w:val="14"/>
          <w:szCs w:val="14"/>
          <w:color w:val="auto"/>
        </w:rPr>
        <w:t>Common stock dividends; $0.24 per share</w:t>
      </w:r>
    </w:p>
    <w:p>
      <w:pPr>
        <w:spacing w:after="0" w:line="17" w:lineRule="exact"/>
        <w:rPr>
          <w:sz w:val="20"/>
          <w:szCs w:val="20"/>
          <w:color w:val="auto"/>
        </w:rPr>
      </w:pPr>
    </w:p>
    <w:p>
      <w:pPr>
        <w:ind w:left="300" w:right="760"/>
        <w:spacing w:after="0" w:line="298" w:lineRule="auto"/>
        <w:rPr>
          <w:sz w:val="20"/>
          <w:szCs w:val="20"/>
          <w:color w:val="auto"/>
        </w:rPr>
      </w:pPr>
      <w:r>
        <w:rPr>
          <w:rFonts w:ascii="Arial" w:cs="Arial" w:eastAsia="Arial" w:hAnsi="Arial"/>
          <w:sz w:val="14"/>
          <w:szCs w:val="14"/>
          <w:color w:val="auto"/>
        </w:rPr>
        <w:t>Actuarial loss, net of tax Net income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February 27,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203,791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913,610</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(526)</w:t>
            </w:r>
          </w:p>
        </w:tc>
        <w:tc>
          <w:tcPr>
            <w:tcW w:w="700" w:type="dxa"/>
            <w:vAlign w:val="bottom"/>
          </w:tcPr>
          <w:p>
            <w:pPr>
              <w:jc w:val="right"/>
              <w:spacing w:after="0"/>
              <w:rPr>
                <w:sz w:val="20"/>
                <w:szCs w:val="20"/>
                <w:color w:val="auto"/>
              </w:rPr>
            </w:pPr>
            <w:r>
              <w:rPr>
                <w:rFonts w:ascii="Arial" w:cs="Arial" w:eastAsia="Arial" w:hAnsi="Arial"/>
                <w:sz w:val="14"/>
                <w:szCs w:val="14"/>
                <w:color w:val="auto"/>
              </w:rPr>
              <w:t>(18,133)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(315,297)</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827,466</w:t>
            </w:r>
          </w:p>
        </w:tc>
      </w:tr>
      <w:tr>
        <w:trPr>
          <w:trHeight w:val="324"/>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6,968</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6,981</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149</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2,631</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1,599</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(242)</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(12,109)</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(12,109)</w:t>
            </w:r>
          </w:p>
        </w:tc>
      </w:tr>
      <w:tr>
        <w:trPr>
          <w:trHeight w:val="25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(8,081)</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(8,081)</w:t>
            </w:r>
          </w:p>
        </w:tc>
      </w:tr>
      <w:tr>
        <w:trPr>
          <w:trHeight w:val="25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126,491</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126,491</w:t>
            </w:r>
          </w:p>
        </w:tc>
      </w:tr>
      <w:tr>
        <w:trPr>
          <w:trHeight w:val="183"/>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209,727</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1,032,020</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(324,762)</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942,364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-848360</wp:posOffset>
            </wp:positionV>
            <wp:extent cx="702945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-607695</wp:posOffset>
            </wp:positionV>
            <wp:extent cx="702945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-281940</wp:posOffset>
            </wp:positionV>
            <wp:extent cx="702945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2001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600" w:space="220"/>
            <w:col w:w="8420"/>
          </w:cols>
          <w:pgMar w:left="320" w:top="141" w:right="339" w:bottom="1440" w:gutter="0" w:footer="0" w:header="0"/>
          <w:type w:val="continuous"/>
        </w:sectPr>
      </w:pPr>
    </w:p>
    <w:tbl>
      <w:tblPr>
        <w:tblLayout w:type="fixed"/>
        <w:tblInd w:w="18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Three Months Ended February 29, 2020</w:t>
            </w: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40" w:type="dxa"/>
            <w:vAlign w:val="bottom"/>
          </w:tcPr>
          <w:p>
            <w:pPr>
              <w:spacing w:after="0"/>
              <w:rPr>
                <w:sz w:val="24"/>
                <w:szCs w:val="2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Common 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2"/>
          </w:tcPr>
          <w:p>
            <w:pPr>
              <w:ind w:left="400"/>
              <w:spacing w:after="0"/>
              <w:rPr>
                <w:sz w:val="20"/>
                <w:szCs w:val="20"/>
                <w:color w:val="auto"/>
              </w:rPr>
            </w:pPr>
            <w:r>
              <w:rPr>
                <w:rFonts w:ascii="Arial" w:cs="Arial" w:eastAsia="Arial" w:hAnsi="Arial"/>
                <w:sz w:val="14"/>
                <w:szCs w:val="14"/>
                <w:b w:val="1"/>
                <w:bCs w:val="1"/>
                <w:color w:val="auto"/>
              </w:rPr>
              <w:t>Treasury Stock</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40" w:type="dxa"/>
            <w:vAlign w:val="bottom"/>
            <w:vMerge w:val="restart"/>
          </w:tcPr>
          <w:p>
            <w:pPr>
              <w:spacing w:after="0" w:line="12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6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Paid-In</w:t>
            </w:r>
          </w:p>
        </w:tc>
        <w:tc>
          <w:tcPr>
            <w:tcW w:w="920" w:type="dxa"/>
            <w:vAlign w:val="bottom"/>
            <w:vMerge w:val="restart"/>
          </w:tcPr>
          <w:p>
            <w:pPr>
              <w:ind w:left="200"/>
              <w:spacing w:after="0" w:line="122" w:lineRule="exact"/>
              <w:rPr>
                <w:sz w:val="20"/>
                <w:szCs w:val="20"/>
                <w:color w:val="auto"/>
              </w:rPr>
            </w:pPr>
            <w:r>
              <w:rPr>
                <w:rFonts w:ascii="Arial" w:cs="Arial" w:eastAsia="Arial" w:hAnsi="Arial"/>
                <w:sz w:val="14"/>
                <w:szCs w:val="14"/>
                <w:b w:val="1"/>
                <w:bCs w:val="1"/>
                <w:color w:val="auto"/>
              </w:rPr>
              <w:t>Retained</w:t>
            </w:r>
          </w:p>
        </w:tc>
        <w:tc>
          <w:tcPr>
            <w:tcW w:w="1480" w:type="dxa"/>
            <w:vAlign w:val="bottom"/>
            <w:vMerge w:val="restart"/>
          </w:tcPr>
          <w:p>
            <w:pPr>
              <w:jc w:val="center"/>
              <w:ind w:left="8"/>
              <w:spacing w:after="0" w:line="122" w:lineRule="exact"/>
              <w:rPr>
                <w:sz w:val="20"/>
                <w:szCs w:val="20"/>
                <w:color w:val="auto"/>
              </w:rPr>
            </w:pPr>
            <w:r>
              <w:rPr>
                <w:rFonts w:ascii="Arial" w:cs="Arial" w:eastAsia="Arial" w:hAnsi="Arial"/>
                <w:sz w:val="14"/>
                <w:szCs w:val="14"/>
                <w:b w:val="1"/>
                <w:bCs w:val="1"/>
                <w:color w:val="auto"/>
              </w:rPr>
              <w:t>Comprehensive</w:t>
            </w: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2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640" w:type="dxa"/>
            <w:vAlign w:val="bottom"/>
            <w:vMerge w:val="continue"/>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4"/>
                <w:szCs w:val="14"/>
                <w:b w:val="1"/>
                <w:bCs w:val="1"/>
                <w:color w:val="auto"/>
              </w:rPr>
              <w:t>except per share data)</w:t>
            </w: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Income (Loss)</w:t>
            </w: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-8890</wp:posOffset>
            </wp:positionV>
            <wp:extent cx="702945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p>
      <w:pPr>
        <w:spacing w:after="0" w:line="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November 30, 2019</w:t>
      </w:r>
    </w:p>
    <w:p>
      <w:pPr>
        <w:spacing w:after="0" w:line="28" w:lineRule="exact"/>
        <w:rPr>
          <w:sz w:val="20"/>
          <w:szCs w:val="20"/>
          <w:color w:val="auto"/>
        </w:rPr>
      </w:pPr>
    </w:p>
    <w:p>
      <w:pPr>
        <w:ind w:left="300" w:right="120"/>
        <w:spacing w:after="0" w:line="229" w:lineRule="auto"/>
        <w:rPr>
          <w:sz w:val="20"/>
          <w:szCs w:val="20"/>
          <w:color w:val="auto"/>
        </w:rPr>
      </w:pPr>
      <w:r>
        <w:rPr>
          <w:rFonts w:ascii="Arial" w:cs="Arial" w:eastAsia="Arial" w:hAnsi="Arial"/>
          <w:sz w:val="14"/>
          <w:szCs w:val="14"/>
          <w:color w:val="auto"/>
        </w:rPr>
        <w:t>Stock-based compensation, net of forfeitures</w:t>
      </w:r>
    </w:p>
    <w:p>
      <w:pPr>
        <w:spacing w:after="0" w:line="17" w:lineRule="exact"/>
        <w:rPr>
          <w:sz w:val="20"/>
          <w:szCs w:val="20"/>
          <w:color w:val="auto"/>
        </w:rPr>
      </w:pPr>
    </w:p>
    <w:p>
      <w:pPr>
        <w:ind w:left="300" w:right="380"/>
        <w:spacing w:after="0" w:line="281" w:lineRule="auto"/>
        <w:rPr>
          <w:sz w:val="20"/>
          <w:szCs w:val="20"/>
          <w:color w:val="auto"/>
        </w:rPr>
      </w:pPr>
      <w:r>
        <w:rPr>
          <w:rFonts w:ascii="Arial" w:cs="Arial" w:eastAsia="Arial" w:hAnsi="Arial"/>
          <w:sz w:val="14"/>
          <w:szCs w:val="14"/>
          <w:color w:val="auto"/>
        </w:rPr>
        <w:t>Issuance of stock, net Repurchase of common stock</w:t>
      </w:r>
    </w:p>
    <w:p>
      <w:pPr>
        <w:spacing w:after="0" w:line="1" w:lineRule="exact"/>
        <w:rPr>
          <w:sz w:val="20"/>
          <w:szCs w:val="20"/>
          <w:color w:val="auto"/>
        </w:rPr>
      </w:pPr>
    </w:p>
    <w:p>
      <w:pPr>
        <w:ind w:left="300"/>
        <w:spacing w:after="0" w:line="229" w:lineRule="auto"/>
        <w:rPr>
          <w:sz w:val="20"/>
          <w:szCs w:val="20"/>
          <w:color w:val="auto"/>
        </w:rPr>
      </w:pPr>
      <w:r>
        <w:rPr>
          <w:rFonts w:ascii="Arial" w:cs="Arial" w:eastAsia="Arial" w:hAnsi="Arial"/>
          <w:sz w:val="14"/>
          <w:szCs w:val="14"/>
          <w:color w:val="auto"/>
        </w:rPr>
        <w:t>Common stock dividends; $0.11 per share</w:t>
      </w:r>
    </w:p>
    <w:p>
      <w:pPr>
        <w:spacing w:after="0" w:line="17" w:lineRule="exact"/>
        <w:rPr>
          <w:sz w:val="20"/>
          <w:szCs w:val="20"/>
          <w:color w:val="auto"/>
        </w:rPr>
      </w:pPr>
    </w:p>
    <w:p>
      <w:pPr>
        <w:ind w:left="300" w:right="760"/>
        <w:spacing w:after="0" w:line="298" w:lineRule="auto"/>
        <w:rPr>
          <w:sz w:val="20"/>
          <w:szCs w:val="20"/>
          <w:color w:val="auto"/>
        </w:rPr>
      </w:pPr>
      <w:r>
        <w:rPr>
          <w:rFonts w:ascii="Arial" w:cs="Arial" w:eastAsia="Arial" w:hAnsi="Arial"/>
          <w:sz w:val="14"/>
          <w:szCs w:val="14"/>
          <w:color w:val="auto"/>
        </w:rPr>
        <w:t>Actuarial loss, net of tax Net income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Balances at February 29,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198,733</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877,469</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(551)</w:t>
            </w:r>
          </w:p>
        </w:tc>
        <w:tc>
          <w:tcPr>
            <w:tcW w:w="700" w:type="dxa"/>
            <w:vAlign w:val="bottom"/>
          </w:tcPr>
          <w:p>
            <w:pPr>
              <w:jc w:val="right"/>
              <w:spacing w:after="0"/>
              <w:rPr>
                <w:sz w:val="20"/>
                <w:szCs w:val="20"/>
                <w:color w:val="auto"/>
              </w:rPr>
            </w:pPr>
            <w:r>
              <w:rPr>
                <w:rFonts w:ascii="Arial" w:cs="Arial" w:eastAsia="Arial" w:hAnsi="Arial"/>
                <w:sz w:val="14"/>
                <w:szCs w:val="14"/>
                <w:color w:val="auto"/>
              </w:rPr>
              <w:t>(18,177)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(315,930)</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785,609</w:t>
            </w:r>
          </w:p>
        </w:tc>
      </w:tr>
      <w:tr>
        <w:trPr>
          <w:trHeight w:val="25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1,830</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1,838</w:t>
            </w:r>
          </w:p>
        </w:tc>
      </w:tr>
      <w:tr>
        <w:trPr>
          <w:trHeight w:val="256"/>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430</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189"/>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56"/>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(3,743)</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(3,743)</w:t>
            </w:r>
          </w:p>
        </w:tc>
      </w:tr>
      <w:tr>
        <w:trPr>
          <w:trHeight w:val="257"/>
        </w:trPr>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17,268</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17,268</w:t>
            </w:r>
          </w:p>
        </w:tc>
      </w:tr>
      <w:tr>
        <w:trPr>
          <w:trHeight w:val="183"/>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200,751</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890,994</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(315,566)</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801,524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-847725</wp:posOffset>
            </wp:positionV>
            <wp:extent cx="702945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-607695</wp:posOffset>
            </wp:positionV>
            <wp:extent cx="702945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-281940</wp:posOffset>
            </wp:positionV>
            <wp:extent cx="702945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20"/>
            <w:col w:w="8420"/>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Six Months Ended February 29, 2020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660" w:type="dxa"/>
            <w:vAlign w:val="bottom"/>
          </w:tcPr>
          <w:p>
            <w:pPr>
              <w:spacing w:after="0"/>
              <w:rPr>
                <w:sz w:val="24"/>
                <w:szCs w:val="24"/>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60" w:type="dxa"/>
            <w:vAlign w:val="bottom"/>
            <w:vMerge w:val="restart"/>
          </w:tcPr>
          <w:p>
            <w:pPr>
              <w:ind w:left="20"/>
              <w:spacing w:after="0" w:line="12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right"/>
              <w:ind w:right="168"/>
              <w:spacing w:after="0" w:line="122"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20" w:type="dxa"/>
            <w:vAlign w:val="bottom"/>
            <w:vMerge w:val="restart"/>
          </w:tcPr>
          <w:p>
            <w:pPr>
              <w:ind w:left="40"/>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280" w:type="dxa"/>
            <w:vAlign w:val="bottom"/>
            <w:vMerge w:val="restart"/>
          </w:tcPr>
          <w:p>
            <w:pPr>
              <w:jc w:val="right"/>
              <w:ind w:right="88"/>
              <w:spacing w:after="0" w:line="122" w:lineRule="exact"/>
              <w:rPr>
                <w:sz w:val="20"/>
                <w:szCs w:val="20"/>
                <w:color w:val="auto"/>
              </w:rPr>
            </w:pPr>
            <w:r>
              <w:rPr>
                <w:rFonts w:ascii="Arial" w:cs="Arial" w:eastAsia="Arial" w:hAnsi="Arial"/>
                <w:sz w:val="14"/>
                <w:szCs w:val="14"/>
                <w:b w:val="1"/>
                <w:bCs w:val="1"/>
                <w:color w:val="auto"/>
              </w:rPr>
              <w:t>Comprehensive</w:t>
            </w: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20" w:type="dxa"/>
            <w:vAlign w:val="bottom"/>
            <w:gridSpan w:val="2"/>
            <w:vMerge w:val="restart"/>
          </w:tcPr>
          <w:p>
            <w:pPr>
              <w:jc w:val="right"/>
              <w:spacing w:after="0" w:line="122"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Income (Loss)</w:t>
            </w: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866,886</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(351,256)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632,212</w:t>
            </w: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Stock-based compensation, net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3,624</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3,641</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forfeitures</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Issuance of stock for acquisition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57,811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34,761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92,572</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$0.22 per</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(7,228)</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(7,228)</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share</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loss,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2660" w:type="dxa"/>
            <w:vAlign w:val="bottom"/>
          </w:tcPr>
          <w:p>
            <w:pPr>
              <w:ind w:left="140"/>
              <w:spacing w:after="0"/>
              <w:rPr>
                <w:sz w:val="20"/>
                <w:szCs w:val="20"/>
                <w:color w:val="auto"/>
              </w:rPr>
            </w:pPr>
            <w:r>
              <w:rPr>
                <w:rFonts w:ascii="Arial" w:cs="Arial" w:eastAsia="Arial" w:hAnsi="Arial"/>
                <w:sz w:val="14"/>
                <w:szCs w:val="14"/>
                <w:color w:val="auto"/>
              </w:rPr>
              <w:t>Interest rate swap activity, net of tax</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Equity component of convertible senior</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61,335</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61,335</w:t>
            </w: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notes and offering costs, net of tax of</w:t>
            </w:r>
          </w:p>
        </w:tc>
        <w:tc>
          <w:tcPr>
            <w:tcW w:w="80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$20,840</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40"/>
              <w:spacing w:after="0" w:line="153" w:lineRule="exact"/>
              <w:rPr>
                <w:sz w:val="20"/>
                <w:szCs w:val="20"/>
                <w:color w:val="auto"/>
              </w:rPr>
            </w:pPr>
            <w:r>
              <w:rPr>
                <w:rFonts w:ascii="Arial" w:cs="Arial" w:eastAsia="Arial" w:hAnsi="Arial"/>
                <w:sz w:val="14"/>
                <w:szCs w:val="14"/>
                <w:color w:val="auto"/>
              </w:rPr>
              <w:t>Convertible note hedge purchase, net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(53,383)</w:t>
            </w:r>
          </w:p>
        </w:tc>
        <w:tc>
          <w:tcPr>
            <w:tcW w:w="0" w:type="dxa"/>
            <w:vAlign w:val="bottom"/>
          </w:tcPr>
          <w:p>
            <w:pPr>
              <w:spacing w:after="0"/>
              <w:rPr>
                <w:sz w:val="1"/>
                <w:szCs w:val="1"/>
                <w:color w:val="auto"/>
              </w:rPr>
            </w:pPr>
          </w:p>
        </w:tc>
      </w:tr>
      <w:tr>
        <w:trPr>
          <w:trHeight w:val="105"/>
        </w:trPr>
        <w:tc>
          <w:tcPr>
            <w:tcW w:w="2660" w:type="dxa"/>
            <w:vAlign w:val="bottom"/>
            <w:vMerge w:val="restart"/>
          </w:tcPr>
          <w:p>
            <w:pPr>
              <w:ind w:left="140"/>
              <w:spacing w:after="0"/>
              <w:rPr>
                <w:sz w:val="20"/>
                <w:szCs w:val="20"/>
                <w:color w:val="auto"/>
              </w:rPr>
            </w:pPr>
            <w:r>
              <w:rPr>
                <w:rFonts w:ascii="Arial" w:cs="Arial" w:eastAsia="Arial" w:hAnsi="Arial"/>
                <w:sz w:val="14"/>
                <w:szCs w:val="14"/>
                <w:color w:val="auto"/>
              </w:rPr>
              <w:t>of tax of $17,417</w:t>
            </w: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6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 transactions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42,210</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31,336</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31,336</w:t>
            </w:r>
          </w:p>
        </w:tc>
        <w:tc>
          <w:tcPr>
            <w:tcW w:w="0" w:type="dxa"/>
            <w:vAlign w:val="bottom"/>
          </w:tcPr>
          <w:p>
            <w:pPr>
              <w:spacing w:after="0"/>
              <w:rPr>
                <w:sz w:val="1"/>
                <w:szCs w:val="1"/>
                <w:color w:val="auto"/>
              </w:rPr>
            </w:pPr>
          </w:p>
        </w:tc>
      </w:tr>
      <w:tr>
        <w:trPr>
          <w:trHeight w:val="20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29,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890,994</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(18,153)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(315,566)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801,524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6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Unless the context otherwise requires, the use of the terms "Winnebago Industries," "Winnebago", and "the Company" in these Notes to Condensed Consolidated Financial Statements refers to Winnebago Industries, Inc. and its wholly-owned subsidiaries.</w:t>
      </w:r>
    </w:p>
    <w:p>
      <w:pPr>
        <w:spacing w:after="0" w:line="222"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Interim results are not necessarily indicative of the results to be expected for the full year. The interim Condensed Consolidated Financial Statements included in this Quarterly Report on Form 10-Q should be read in conjunction with the audited Consolidated Financial Statements included in the Company's Annual Report on Form 10-K for the fiscal year ended August 29,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Company follows a 52-/53-week fiscal year, ending the last Saturday in August. Fiscal 2021 and Fiscal 2020 are both a 52-week year.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Cash equivalents include all investments with original maturities of three months or less or which are readily convertible into known amounts of cash and are not legally restricted. Accounts at each banking institution are insured by the Federal Deposit Insurance Corporation up to $250,000, while the remaining balances are uninsured.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auto"/>
        </w:rPr>
        <w:t>In preparing the accompanying unaudited Condensed Consolidated Financial Statements, the Company evaluated subsequent events for potential recognition and disclosure through the date of this filing. There were no material subsequent events, except for the item noted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w:t>
      </w:r>
    </w:p>
    <w:p>
      <w:pPr>
        <w:spacing w:after="0" w:line="21"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On March 17, 2021, the Company's Board of Directors declared a quarterly cash dividend of $0.12 per share payable on April 28, 2021 to common stockholders of record at the close of business on April 14,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20" w:lineRule="exact"/>
        <w:rPr>
          <w:sz w:val="20"/>
          <w:szCs w:val="20"/>
          <w:color w:val="auto"/>
        </w:rPr>
      </w:pPr>
    </w:p>
    <w:p>
      <w:pPr>
        <w:ind w:right="120"/>
        <w:spacing w:after="0" w:line="232"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Company is taking advantage of the employer payroll tax ("FICA") deferral offered by the CARES Act, which allows the Company to defer the payment of employer payroll taxes for the period from March 27, 2020 to December 31, 2020. The deferred FICA liability as of February 27, 2021 was $16.2 million and will be payable in equal installments at December 2021 and December 2022. Additionally, the Company took advantage of a tax credit granted to companies under the CARES Act who continued to pay their employees when operations were fully or partially suspended. The refundable tax credit through the end of the third quarter of Fiscal 2020, reflected in cost of goods sold and within other current assets, is approximately $4.0 million, of which $3.2 million is outstanding, and will be received in Fiscal 2021.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04"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The Company adopted Accounting Standards Codification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effective August 30, 2020. The new impairment model (known as the current expected credit loss ("CECL") model) is based on expected losses rather than incurred losses. Topic 326 is applicable to financial assets measured at amortized cost, such as accounts receivable and deposits. It requires historical loss data to be adjusted to reflect changes in asset-specific considerations, current conditions and reasonable and supportable forecasts of future economic conditions. The expected credit losses are adjusted each period for changes in expected lifetime credit losses. The Company adopted Topic 326 using the modified retrospective transition approach, which involves recognizing the cumulative effect of initial adoption of Topic 326 as an adjustment to its opening retained earnings as of August 30, 2020. Therefore, comparative information prior to the adoption date has not been adjusted. As a result of adoption of Topic 326, the Company did not recognize an incremental allowance for credit losses on its accounts receivable for the first six months ended February 27, 2021. The adoption of this standard did not materially impact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 Debt with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Options (Subtopic 470-20) and Derivatives and Hedging - Contracts in Entity's Own Equity (Subtopic 815-40)</w:t>
      </w:r>
      <w:r>
        <w:rPr>
          <w:rFonts w:ascii="Arial" w:cs="Arial" w:eastAsia="Arial" w:hAnsi="Arial"/>
          <w:sz w:val="16"/>
          <w:szCs w:val="16"/>
          <w:color w:val="auto"/>
        </w:rPr>
        <w:t>. ASU 2020-06 reduces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models used to account for convertible instruments, amends diluted EPS calculations for convertible instruments, and amends the requirements for a contract (or embedded derivative) that is potentially settled in an entity's own shares to be classified in equity. The amendments add certain disclosure requirements to increase transparency and decision-usefulness about a convertible instrument's terms and features. Under the amendment, the Company must use the if-converted method for including convertible instruments in diluted EPS as opposed to the treasury stock method. ASU 2020-06 is effective for annual reporting periods beginning after December 15, 2021 (the Company's Fiscal 2023). Early adoption is allowed under the standard with either a modified retrospective or full retrospective method. The Company expects to adopt the new guidance in the first quarter of Fiscal 2023. While it will change the Company's diluted EPS reporting, the extent to which the standard will have a material impact on the Company's consolidated financial statements is uncertain at this time.</w:t>
      </w:r>
    </w:p>
    <w:p>
      <w:pPr>
        <w:spacing w:after="0" w:line="34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ASU 2020-04 provides practical expedients and exceptions for applying GAAP to contracts, hedging relationships, and other transactions affected by reference rate reform if certain criteria are met. The expedients and exceptions provided by the amendments in this update apply only to contracts, hedging relationships, and other transactions that reference the London interbank offered rate (“LIBOR”) or another reference rate expected to be discontinued as a result of reference rate reform. These amendments are not applicable to contract modifications made and hedging relationships entered into or evaluated after December 31, 2022. ASU 2020-04 is effective as of March 12, 2020 through December 31, 2022 and may be applied to contract modifications and hedging relationships from the beginning of an interim period that includes or is subsequent to March 12, 2020. The Company will adopt this standard when LIBOR is discontinued, and does not expect a material impact to its consolidated financial statements.</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simplifies the accounting for income taxes by removing certain exceptions to the general principles of Topic 740. The standard is effective for annual reporting periods beginning after December 15, 2020 (the Company's Fiscal 2022), including interim periods within those annual reporting periods. The Company expects to adopt the new guidance in the first quarter of Fiscal 2022, and does not expect a material impact to its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Segments</w:t>
      </w:r>
    </w:p>
    <w:p>
      <w:pPr>
        <w:spacing w:after="0" w:line="26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Company has six operating segments: 1) Grand Design towables, 2) Winnebago towables, 3) Winnebago motorhomes, 4) Newmar motorhomes, 5) Chris-Craft marine, and 6) Winnebago specialty vehicles. The Company evaluates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Company's two reportable segments include: 1) Towable (comprised of products which are not motorized and are generally towed by another vehicle as well as other related manufactured products and services), which is an aggregation of the Grand Design towables and the Winnebago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The Company's chief operating decision maker ("CODM") is its Chief Executive Officer. The Company's CODM relies on internal management reporting that analyzes consolidated results and each operating segment's Adjusted EBITDA. The Company's CODM has ultimate responsibility for enterprise decisions. The Company's CODM determines, in particular, resource allocation for, and monitors the performance of, the consolidated enterprise, the Towable segment, and the Motorhome segment. The operating segments'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the Company's Annual Report on Form 10-K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fiscal year ended August 29, 2020.</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evaluates the performance of its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fair-value inventory step-up, acquisition-related costs, restructuring expenses, gain or loss on sale of property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and equipment, and non-operating income. The following table shows information by reportable segment: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4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439,284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283,463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894,185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624,713</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551,433</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39,122</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839,886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626,810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1,215,268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62,366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34,746</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125,509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70,531</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24,277</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87,477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2,714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5,640</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6,851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9,666</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7,612</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Arial" w:cs="Arial" w:eastAsia="Arial" w:hAnsi="Arial"/>
                <w:sz w:val="16"/>
                <w:szCs w:val="16"/>
                <w:b w:val="1"/>
                <w:bCs w:val="1"/>
                <w:color w:val="auto"/>
              </w:rPr>
              <w:t>February 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723,388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718,253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438,330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1,855,795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5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7"/>
          </w:tcPr>
          <w:p>
            <w:pPr>
              <w:jc w:val="right"/>
              <w:ind w:right="9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27, 2021</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February 29, 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February 27, 2021</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February 29, 2020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17,268</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19,993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8,559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108,276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200,947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fair-value inventory step-up</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Acquisition-related costs</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expenses</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Gain on sale of property and equipment</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(3,565)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107,965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45,429</w:t>
            </w: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197,258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87,477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1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 xml:space="preserve">The Company accounts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The Company's assessment of the significance of a particular item to the fair value measurement in its entirety requires judgment, including the consideration of inputs specific to the asset or liability.</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that are available in active markets for the identical assets or liabilities at the measurement date.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February 27, 2021 and August 29, 2020 according to the valuation techniques the Company used to determine their fair values: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2"/>
                <w:szCs w:val="12"/>
                <w:color w:val="auto"/>
              </w:rPr>
            </w:pPr>
          </w:p>
        </w:tc>
        <w:tc>
          <w:tcPr>
            <w:tcW w:w="1520" w:type="dxa"/>
            <w:vAlign w:val="bottom"/>
            <w:gridSpan w:val="2"/>
          </w:tcPr>
          <w:p>
            <w:pPr>
              <w:jc w:val="center"/>
              <w:ind w:right="320"/>
              <w:spacing w:after="0" w:line="148" w:lineRule="exact"/>
              <w:rPr>
                <w:sz w:val="20"/>
                <w:szCs w:val="20"/>
                <w:color w:val="auto"/>
              </w:rPr>
            </w:pPr>
            <w:r>
              <w:rPr>
                <w:rFonts w:ascii="Arial" w:cs="Arial" w:eastAsia="Arial" w:hAnsi="Arial"/>
                <w:sz w:val="16"/>
                <w:szCs w:val="16"/>
                <w:b w:val="1"/>
                <w:bCs w:val="1"/>
                <w:color w:val="auto"/>
              </w:rPr>
              <w:t>February 27,</w:t>
            </w:r>
          </w:p>
        </w:tc>
        <w:tc>
          <w:tcPr>
            <w:tcW w:w="30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4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8" w:lineRule="exact"/>
              <w:rPr>
                <w:sz w:val="20"/>
                <w:szCs w:val="20"/>
                <w:color w:val="auto"/>
              </w:rPr>
            </w:pPr>
            <w:r>
              <w:rPr>
                <w:rFonts w:ascii="Arial" w:cs="Arial" w:eastAsia="Arial" w:hAnsi="Arial"/>
                <w:sz w:val="16"/>
                <w:szCs w:val="16"/>
                <w:b w:val="1"/>
                <w:bCs w:val="1"/>
                <w:color w:val="auto"/>
              </w:rPr>
              <w:t>August 29,</w:t>
            </w:r>
          </w:p>
        </w:tc>
        <w:tc>
          <w:tcPr>
            <w:tcW w:w="32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2"/>
                <w:szCs w:val="12"/>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2"/>
                <w:szCs w:val="12"/>
                <w:color w:val="auto"/>
              </w:rPr>
            </w:pPr>
          </w:p>
        </w:tc>
        <w:tc>
          <w:tcPr>
            <w:tcW w:w="13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5"/>
        </w:trPr>
        <w:tc>
          <w:tcPr>
            <w:tcW w:w="4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13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 xml:space="preserve">The Company's assets that fund deferred compensation are marketable equity securities measured at fair value using quoted market prices and primarily consist of equity-based mutual funds. These securities are classified as Level 1 as they are traded in an active market for which closing stock prices are readily available. These securities fund the Executive Share Option Plan and the Executive Deferred Compensation Plan. Refer to Note 11, </w:t>
      </w:r>
      <w:r>
        <w:rPr>
          <w:rFonts w:ascii="Arial" w:cs="Arial" w:eastAsia="Arial" w:hAnsi="Arial"/>
          <w:sz w:val="16"/>
          <w:szCs w:val="16"/>
          <w:i w:val="1"/>
          <w:iCs w:val="1"/>
          <w:color w:val="auto"/>
        </w:rPr>
        <w:t>Employee and</w:t>
      </w:r>
      <w:r>
        <w:rPr>
          <w:rFonts w:ascii="Arial" w:cs="Arial" w:eastAsia="Arial" w:hAnsi="Arial"/>
          <w:sz w:val="16"/>
          <w:szCs w:val="16"/>
          <w:color w:val="auto"/>
        </w:rPr>
        <w:t xml:space="preserve"> </w:t>
      </w:r>
      <w:r>
        <w:rPr>
          <w:rFonts w:ascii="Arial" w:cs="Arial" w:eastAsia="Arial" w:hAnsi="Arial"/>
          <w:sz w:val="16"/>
          <w:szCs w:val="16"/>
          <w:i w:val="1"/>
          <w:iCs w:val="1"/>
          <w:color w:val="auto"/>
        </w:rPr>
        <w:t>Retiree Benefits</w:t>
      </w:r>
      <w:r>
        <w:rPr>
          <w:rFonts w:ascii="Arial" w:cs="Arial" w:eastAsia="Arial" w:hAnsi="Arial"/>
          <w:sz w:val="16"/>
          <w:szCs w:val="16"/>
          <w:color w:val="auto"/>
        </w:rPr>
        <w:t>, of the Notes to Consolidated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Financial Statements included in the Company's Annual Report on Form 10-K for the fiscal year ended August 29, 2020 for additional information regarding these plans.</w:t>
      </w:r>
    </w:p>
    <w:p>
      <w:pPr>
        <w:spacing w:after="0" w:line="22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in the accompanying Condensed Consolidated Balance Sheets. The remaining assets are classified as non-current and are included in Other assets.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Company's non-financial assets, which include goodwill, intangible assets, and property, plant and equipment, are not required to be measured at fair value on a recurring basis. However, if certain triggering events occur, or if an annual impairment test is required, the Company must evaluate the non-financial asset for impairment. If an impairment has occurred, the asset is required to be recorded at the estimated fair value. No impairments were recorded for non-financial assets in the second quarter of Fiscal 2021 or the second quarter of Fiscal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Company's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8,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the Company's long-term debt.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b w:val="1"/>
                <w:bCs w:val="1"/>
                <w:color w:val="auto"/>
              </w:rPr>
              <w:t>Note 4: Inventories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145,092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86,651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114,982</w:t>
            </w: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314,853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last-in, first-out ("LIFO") reserve</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35,833</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182,941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2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5"/>
                <w:szCs w:val="15"/>
                <w:color w:val="auto"/>
              </w:rPr>
            </w:pPr>
          </w:p>
        </w:tc>
        <w:tc>
          <w:tcPr>
            <w:tcW w:w="138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First-in, first-out basis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130,099</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218,774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Note 5: Property, Plant, and Equipment</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80" w:type="dxa"/>
            <w:vAlign w:val="bottom"/>
            <w:gridSpan w:val="3"/>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2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5"/>
                <w:szCs w:val="15"/>
                <w:color w:val="auto"/>
              </w:rPr>
            </w:pPr>
          </w:p>
        </w:tc>
        <w:tc>
          <w:tcPr>
            <w:tcW w:w="13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11,101</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Buildings and building improvements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147,587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144,565</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117,370</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28,611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28,456</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20,778</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327,183</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152,238</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174,945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Depreciation expense was $4.4 million and $4.1 million during the second quarters of Fiscal 2021 and 2020, respectively; and $8.6 million and $7.7 million for the first six months of Fiscal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Goodwill and Intangible Assets</w:t>
      </w:r>
    </w:p>
    <w:p>
      <w:pPr>
        <w:spacing w:after="0" w:line="268" w:lineRule="exact"/>
        <w:rPr>
          <w:sz w:val="20"/>
          <w:szCs w:val="20"/>
          <w:color w:val="auto"/>
        </w:rPr>
      </w:pPr>
    </w:p>
    <w:p>
      <w:pPr>
        <w:ind w:right="680"/>
        <w:spacing w:after="0" w:line="259" w:lineRule="auto"/>
        <w:rPr>
          <w:sz w:val="20"/>
          <w:szCs w:val="20"/>
          <w:color w:val="auto"/>
        </w:rPr>
      </w:pPr>
      <w:r>
        <w:rPr>
          <w:rFonts w:ascii="Arial" w:cs="Arial" w:eastAsia="Arial" w:hAnsi="Arial"/>
          <w:sz w:val="16"/>
          <w:szCs w:val="16"/>
          <w:color w:val="auto"/>
        </w:rPr>
        <w:t>The changes in the carrying amount of goodwill by segment were as follows for the first six months of Fiscal 2021 and 2020, of which there were no accumulated impairment losses:</w:t>
      </w:r>
    </w:p>
    <w:tbl>
      <w:tblPr>
        <w:tblLayout w:type="fixed"/>
        <w:tblInd w:w="0" w:type="dxa"/>
        <w:tblCellMar>
          <w:top w:w="0" w:type="dxa"/>
          <w:left w:w="0" w:type="dxa"/>
          <w:bottom w:w="0" w:type="dxa"/>
          <w:right w:w="0" w:type="dxa"/>
        </w:tblCellMar>
      </w:tblPr>
      <w:tr>
        <w:trPr>
          <w:trHeight w:val="168"/>
        </w:trPr>
        <w:tc>
          <w:tcPr>
            <w:tcW w:w="4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4"/>
                <w:szCs w:val="14"/>
                <w:color w:val="auto"/>
              </w:rPr>
            </w:pPr>
          </w:p>
        </w:tc>
        <w:tc>
          <w:tcPr>
            <w:tcW w:w="13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Motorhome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line="168" w:lineRule="exact"/>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4"/>
                <w:szCs w:val="14"/>
                <w:color w:val="auto"/>
              </w:rPr>
            </w:pPr>
          </w:p>
        </w:tc>
        <w:tc>
          <w:tcPr>
            <w:tcW w:w="12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31, 2019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274,931</w:t>
            </w: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Newmar</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73,929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73,929</w:t>
            </w:r>
          </w:p>
        </w:tc>
        <w:tc>
          <w:tcPr>
            <w:tcW w:w="0" w:type="dxa"/>
            <w:vAlign w:val="bottom"/>
          </w:tcPr>
          <w:p>
            <w:pPr>
              <w:spacing w:after="0"/>
              <w:rPr>
                <w:sz w:val="1"/>
                <w:szCs w:val="1"/>
                <w:color w:val="auto"/>
              </w:rPr>
            </w:pPr>
          </w:p>
        </w:tc>
      </w:tr>
      <w:tr>
        <w:trPr>
          <w:trHeight w:val="234"/>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February 29, 2020</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348,860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Balances at August 29, 2020 and February 27, 2021</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60" w:right="20" w:hanging="252"/>
        <w:spacing w:after="0" w:line="249" w:lineRule="auto"/>
        <w:tabs>
          <w:tab w:leader="none" w:pos="35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change in Motorhome activity is related to the acquisition of Newmar Corporation, Dutch Real Estate Corp., New-Way Transport and New-Serv (collectively "Newmar") that occurred on November 8, 2019. See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in the Company's Annual Report on Form 10-K for the fiscal year ended August 29, 2020 for additional acquisition information.</w:t>
      </w:r>
    </w:p>
    <w:p>
      <w:pPr>
        <w:spacing w:after="0" w:line="38"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There was no activity in the six months beginning August 29, 2020 and ending February 27, 2021.</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August 29, 2020</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180" w:type="dxa"/>
            <w:vAlign w:val="bottom"/>
          </w:tcPr>
          <w:p>
            <w:pPr>
              <w:jc w:val="center"/>
              <w:ind w:left="19"/>
              <w:spacing w:after="0" w:line="148" w:lineRule="exact"/>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2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Life-</w:t>
            </w:r>
          </w:p>
        </w:tc>
        <w:tc>
          <w:tcPr>
            <w:tcW w:w="34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Years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Dealer networks</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159,581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39,070</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159,581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32,487</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1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18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w:t>
            </w:r>
          </w:p>
        </w:tc>
        <w:tc>
          <w:tcPr>
            <w:tcW w:w="118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8"/>
              </w:rPr>
              <w:t>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gross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65,037</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intangible assets as of February 27, 2021 was approximately 10 years.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13,719</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13,526</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13,424</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61,269</w:t>
            </w:r>
          </w:p>
        </w:tc>
      </w:tr>
      <w:tr>
        <w:trPr>
          <w:trHeight w:val="23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amortization expense remaining</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122,337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Product Warranties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Company provides certain service and warranty on its products. From time to time, the Company also voluntarily incurs costs for certain warranty-type expenses occurring after the normal warranty period to help protect the reputation of the Company's products and the goodwill of the Company's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the Company also occasionally incurs costs as a result of additional service actions not covered by warranties, including product recalls and customer satisfaction actions. Although the Company estimates and reserves for the cost of these service actions, there can be no assurance that expense levels will remain at current levels or such reserves will continue to be adequate.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product warranty liability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ind w:left="7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4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0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13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98"/>
              </w:rPr>
              <w:t>44,436</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center"/>
              <w:ind w:left="679"/>
              <w:spacing w:after="0"/>
              <w:rPr>
                <w:sz w:val="20"/>
                <w:szCs w:val="20"/>
                <w:color w:val="auto"/>
              </w:rPr>
            </w:pPr>
            <w:r>
              <w:rPr>
                <w:rFonts w:ascii="Arial" w:cs="Arial" w:eastAsia="Arial" w:hAnsi="Arial"/>
                <w:sz w:val="16"/>
                <w:szCs w:val="16"/>
                <w:color w:val="auto"/>
                <w:w w:val="98"/>
              </w:rPr>
              <w:t>15,147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98"/>
              </w:rPr>
              <w:t>31,047</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Claims paid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(30,419)</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w w:val="98"/>
              </w:rPr>
              <w:t>60,211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right="580" w:hanging="252"/>
        <w:spacing w:after="0" w:line="279" w:lineRule="auto"/>
        <w:tabs>
          <w:tab w:leader="none" w:pos="353"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Relates to the acquisition of Newmar on November 8, 2019. See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in the Company's Annual Report on Form 10-K for the fiscal year ended August 29, 2020 for additional acquisition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b w:val="1"/>
                <w:bCs w:val="1"/>
                <w:color w:val="auto"/>
              </w:rPr>
              <w:t>Note 8: Long-Term Debt</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2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5"/>
                <w:szCs w:val="15"/>
                <w:color w:val="auto"/>
              </w:rPr>
            </w:pPr>
          </w:p>
        </w:tc>
        <w:tc>
          <w:tcPr>
            <w:tcW w:w="13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(74,294)</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512,630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July 8, 2020, the Company closed its private offering (the “Senior Secured Notes Offering”) of $300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related guarantees are secured by (i) a first-priority lien on substantially all of the Company’s and the subsidiary guarantor parties' existing and future assets (other than certain collateral under the Company’s ABL facility) and (ii) a second-priority lien on the Company’s present and future accounts and receivables, inventory and other related assets and proceeds that secure the ABL facility on a first-priority basis.</w:t>
      </w:r>
    </w:p>
    <w:p>
      <w:pPr>
        <w:spacing w:after="0" w:line="2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Indenture limits certain abilities of the Company and its subsidiaries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the Company’s restricted subsidiaries to pay dividends or make other inter-company distributions; engage in certain transactions with affiliates; designate subsidiaries as unrestricted subsidiaries; and consolidate, merge or transfer all or substantially all of the Company’s assets and the assets of its restricted subsidiaries.</w:t>
      </w:r>
    </w:p>
    <w:p>
      <w:pPr>
        <w:spacing w:after="0" w:line="230"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Company amortizes debt issuance costs on a straight-line basis over the term of the associated debt agreement. If early principal payments are made on the Senior Secured Notes, a proportional amount of the unamortized issuance costs is expensed. As part of the Senior Secured Notes Offering, the Company capitalized $7.5 million in debt issuance costs that will be amortized over the eight-year term of the agreement.</w:t>
      </w:r>
    </w:p>
    <w:p>
      <w:pPr>
        <w:spacing w:after="0" w:line="22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On November 8, 2016, the Company entered into an asset-based revolving credit agreement ("ABL") and a loan agreement ("Term Loan") with JPMorgan Chase Bank, N.A. ("JPMorgan Chase"), as administrative agent and certain lenders from time to time party thereto. The remaining principal balance of the Term Loan as of July 8, 2020 was $249.8 million, which was repaid with the proceeds from the Senior Secured Notes, and debt issuance costs of $4.7 million were written off upon repayment. In addition, the interest rate swaps with a liability position of $0.6 million hedging the Term Loan interest rates were settled early in July 2020.</w:t>
      </w:r>
    </w:p>
    <w:p>
      <w:pPr>
        <w:spacing w:after="0" w:line="23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ABL, the Company has a $192.5 million credit facility that matures on October 22, 2024 (subject to certain factors which may accelerate the maturity date) on a revolving basis, subject to availability under a borrowing base consisting of eligible accounts receivable and eligible inventory. The ABL is available for issuance of letters of credit to a specified limit of $19.3 million. The Company pays a commitment fee of 0.25% on the average daily amount of the facility available, but unused. The Company can elect to base the interest rate on various rates plus specific spreads depending on the amount of borrowings outstanding. If drawn, the Company would pay interest on ABL borrowings at a floating rate based upon LIBOR plus a spread of between 1.25% and 1.75%, depending on the usage of the facility during the most recent quarter. Based on current usage, the Company would pay LIBOR plus 1.25%.</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November 1, 2019, the Company issued $300.0 million in aggregate principal amount of 1.5% unsecured convertible senior notes due 2025 (“Convertible Notes”). The net proceeds from the issuance of the Convertible Notes, after deducting the initial purchasers' transaction fees and offering expense payable by the Company, were approximately $290.2 million. The Convertible Notes bear interest at the annual rate of 1.5%, payable on April 1 and October 1 of each year, beginning on April 1, 2020, and will mature on April 1, 2025, unless earlier converted or repurchased by the Company.</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Convertible Notes will be convertible into cash, shares of the Company's common stock or a combination thereof, at the election of the Company, at an initial conversion rate of 15.6906 shares of common stock per $1,000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16"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color w:val="auto"/>
        </w:rPr>
        <w:t>The conversion rate of the Convertible Notes may be adjusted in certain circumstances, including in connection with a conversion of the Convertible Notes made following certain fundamental changes and under other circumstances set forth in the indenture. It is the Company's current intent to settle all conversions of the Convertible Notes through settlement of cash. The Company’s ability to cash settle may be limited depending on the stock price at the time of conversion.</w:t>
      </w:r>
    </w:p>
    <w:p>
      <w:pPr>
        <w:spacing w:after="0" w:line="23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2024, the Convertible Notes will be convertible only under the following circumstances:</w:t>
      </w:r>
    </w:p>
    <w:p>
      <w:pPr>
        <w:spacing w:after="0" w:line="222" w:lineRule="exact"/>
        <w:rPr>
          <w:sz w:val="20"/>
          <w:szCs w:val="20"/>
          <w:color w:val="auto"/>
        </w:rPr>
      </w:pPr>
    </w:p>
    <w:p>
      <w:pPr>
        <w:ind w:left="660" w:right="740" w:hanging="4"/>
        <w:spacing w:after="0" w:line="246" w:lineRule="auto"/>
        <w:tabs>
          <w:tab w:leader="none" w:pos="903"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any fiscal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1" w:lineRule="exact"/>
        <w:rPr>
          <w:rFonts w:ascii="Arial" w:cs="Arial" w:eastAsia="Arial" w:hAnsi="Arial"/>
          <w:sz w:val="16"/>
          <w:szCs w:val="16"/>
          <w:color w:val="auto"/>
        </w:rPr>
      </w:pPr>
    </w:p>
    <w:p>
      <w:pPr>
        <w:ind w:left="660" w:right="40" w:hanging="4"/>
        <w:spacing w:after="0" w:line="246" w:lineRule="auto"/>
        <w:tabs>
          <w:tab w:leader="none" w:pos="903"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five consecutive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the common stock and the conversion rate for the Convertible Notes on each such trading day; or</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not redeem the Convertible Notes at its option prior to the maturity date, and no sinking fund is provided for the Convertible Notes.</w:t>
      </w:r>
    </w:p>
    <w:p>
      <w:pPr>
        <w:spacing w:after="0" w:line="24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On October 29, 2019 and October 30, 2019, in connection with the offering of the Convertible Notes, the Company entered into privately negotiated convertible note hedge transactions (collectively, the “Hedge Transactions”) that cover, subject to customary anti-dilution adjustments, the number of shares of the Company's common stock that initially underlie the Convertible Notes, and are expected generally to reduce the potential dilution and/or offset any cash payments the Company is required to make in excess of the principal amount due, as the case may be, upon conversion of the Convertible Notes in the event that the market price of the Company's common stock is greater than the strike price of the Hedge Transactions, which was initially $63.73 per share (subject to adjustment under the terms of the Hedge Transactions), corresponding to the initial conversion price of the Convertible Notes.</w:t>
      </w:r>
    </w:p>
    <w:p>
      <w:pPr>
        <w:spacing w:after="0" w:line="232"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On October 29, 2019 and October 30, 2019, the Company also entered into privately negotiated warrant transactions (collectively, the “Warrant Transactions” and, together with the Hedge Transactions, the “Call Spread Transactions”), whereby the Company sold warrants at a higher strike price relating to the same number of shares of the Company's common stock that initially underlie the Convertible Notes, subject to customary anti-dilution adjustments. The initial strike price of the warrants is $96.20 per share (subject to adjustment under the terms of the Warrant Transactions), which is 100% above the last reported sale price of the Company's common stock on October 29, 2019. The Warrant Transactions could have a dilutive effect to the Company's stockholders to the extent that the market price per share of the Company's common stock, as measured under the terms of the Warrant Transactions, exceeds the applicable strike price of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$28.6 million of the net proceeds from the issuance of the Convertible Notes to pay the cost of the Call Spread Transactions.</w:t>
      </w:r>
    </w:p>
    <w:p>
      <w:pPr>
        <w:spacing w:after="0" w:line="19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Call Spread Transactions were classified as equity. The Company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connection with the above-noted transactions, the Company incurred approximately $9.8 million of offering-related costs. These offering fees were allocated to the liability and equity components in proportion to the allocation of proceeds and accounted for as debt and equity issuance costs, respectively. The Company allocated $7.0 million of debt issuance costs to the liability component, which were capitalized as deferred financing costs within Long-term debt.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As of February 27, 2021, the fair value of long-term debt, gross, was $723.1 million. As of August 29, 2020, the fair value of long-term debt, gross, was $674.7 million.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38"/>
        </w:trPr>
        <w:tc>
          <w:tcPr>
            <w:tcW w:w="9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6"/>
                <w:szCs w:val="16"/>
                <w:color w:val="auto"/>
              </w:rPr>
              <w:t>Deferred compensation liabilities are as follows: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2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February 27,</w:t>
            </w:r>
          </w:p>
        </w:tc>
        <w:tc>
          <w:tcPr>
            <w:tcW w:w="260" w:type="dxa"/>
            <w:vAlign w:val="bottom"/>
          </w:tcPr>
          <w:p>
            <w:pPr>
              <w:spacing w:after="0"/>
              <w:rPr>
                <w:sz w:val="15"/>
                <w:szCs w:val="15"/>
                <w:color w:val="auto"/>
              </w:rPr>
            </w:pPr>
          </w:p>
        </w:tc>
        <w:tc>
          <w:tcPr>
            <w:tcW w:w="13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11,460</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Supplemental executive retirement plan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09"/>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Deferred compensation benefits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14,008</w:t>
            </w:r>
          </w:p>
        </w:tc>
        <w:tc>
          <w:tcPr>
            <w:tcW w:w="0" w:type="dxa"/>
            <w:vAlign w:val="bottom"/>
          </w:tcPr>
          <w:p>
            <w:pPr>
              <w:spacing w:after="0"/>
              <w:rPr>
                <w:sz w:val="1"/>
                <w:szCs w:val="1"/>
                <w:color w:val="auto"/>
              </w:rPr>
            </w:pPr>
          </w:p>
        </w:tc>
      </w:tr>
      <w:tr>
        <w:trPr>
          <w:trHeight w:val="219"/>
        </w:trPr>
        <w:tc>
          <w:tcPr>
            <w:tcW w:w="78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09"/>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on the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Generally, manufacturers in the same industries as the Company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Company's repurchase agreements generally provide that, in the event of default by the dealer on the agreement to pay the lending institution, Winnebago Industries will repurchase the financed merchandise. The terms of these agreements, which generally can last up to 24 months, provide that the Company's liability will be the lesser of remaining principal owed by the dealer to the lending institution, or dealer invoice less periodic reductions based on the time since the date of the original invoice. The Company's liability cannot exceed 100% of the dealer invoice. In certain instances, the Company also repurchases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of the Company was approximately $916.4 million and $798.9 million at February 27, 2021 and August 29, 2020, respectively.</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The Company's loss reserve for repurchase commitments contains uncertainties because the calculation requires management to make assumptions and apply judgment regarding a number of factors. The Company's risk of loss related to these repurchase commitments is significantly reduced by the potential resale value of any products that are subject to repurchase and is spread over numerous dealers and lenders. The aggregate contingent liability related to the Company's repurchase agreements represents all financed dealer inventory at the period reporting date subject to a repurchase agreement, net of the greater of periodic reductions per the agreement or dealer principal payments. Based on these repurchase agreements and the Company's historical loss experience, an associated loss reserve is established which is included in Accrued expenses: Other on the Condensed Consolidated Balance Sheets. The Company's repurchase accrual was $1.0 million at February 27, 2021 and</w:t>
      </w:r>
    </w:p>
    <w:p>
      <w:pPr>
        <w:spacing w:after="0" w:line="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August 29, 2020. Repurchase risk is affected by the credit worthiness of the Company's dealer network, and management does not believe there is a reasonable likelihood that there will be a material change in the estimates or assumptions used to establish the loss reserve for repurchase commitments.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first six months ended February 27, 2021 and February 29,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is involved in various legal proceedings which are ordinary and routine litigation incidental to the business, some of which are covered in whole or in part by insurance. While the Company believes the ultimate disposition of litigation will not have a material adverse effect on the Company's financial position, results of operations or liquidity, there exists the possibility that such litigation may have an impact on the Company's results for a particular reporting period in which litigation effects become probable and reasonably estimable. Though the Company does not believe there is a reasonable likelihood that there will be a material change related to these matters, litigation is subject to inherent uncertainties and management’s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Revenue</w:t>
      </w:r>
    </w:p>
    <w:p>
      <w:pPr>
        <w:spacing w:after="0" w:line="26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The Company generates all operating revenue from contracts with customers. The Company's primary source of revenue is generated through the sale of manufactured motorized units, non-motorized towable units, and marine units to the Company's independent dealer network (the Company's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0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29,</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0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44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Towable: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351,937</w:t>
            </w: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207,042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123,894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415,638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264,357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06"/>
        </w:trPr>
        <w:tc>
          <w:tcPr>
            <w:tcW w:w="444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439,284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283,463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894,185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624,713</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157,744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179,705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291,910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245,349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167,349</w:t>
            </w: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Class C</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79,263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55,657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148,549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122,533</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16,202</w:t>
            </w:r>
          </w:p>
        </w:tc>
        <w:tc>
          <w:tcPr>
            <w:tcW w:w="0" w:type="dxa"/>
            <w:vAlign w:val="bottom"/>
          </w:tcPr>
          <w:p>
            <w:pPr>
              <w:spacing w:after="0"/>
              <w:rPr>
                <w:sz w:val="1"/>
                <w:szCs w:val="1"/>
                <w:color w:val="auto"/>
              </w:rPr>
            </w:pPr>
          </w:p>
        </w:tc>
      </w:tr>
      <w:tr>
        <w:trPr>
          <w:trHeight w:val="207"/>
        </w:trPr>
        <w:tc>
          <w:tcPr>
            <w:tcW w:w="4440" w:type="dxa"/>
            <w:vAlign w:val="bottom"/>
          </w:tcPr>
          <w:p>
            <w:pPr>
              <w:ind w:left="220"/>
              <w:spacing w:after="0"/>
              <w:rPr>
                <w:sz w:val="20"/>
                <w:szCs w:val="20"/>
                <w:color w:val="auto"/>
              </w:rPr>
            </w:pPr>
            <w:r>
              <w:rPr>
                <w:rFonts w:ascii="Arial" w:cs="Arial" w:eastAsia="Arial" w:hAnsi="Arial"/>
                <w:sz w:val="16"/>
                <w:szCs w:val="16"/>
                <w:color w:val="auto"/>
              </w:rPr>
              <w:t>Total Motorhome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382,575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325,542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704,964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551,433</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39,122</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Corporate / All Other</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39,122</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839,886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626,810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1,633,017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1,215,268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Relates to marine, specialty vehicle units, parts, accessories, and services.</w:t>
      </w:r>
    </w:p>
    <w:p>
      <w:pPr>
        <w:spacing w:after="0" w:line="2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Company does not have material contract assets or liabilities. The Company establishes allowances for uncollectible receivables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None of the Company's dealer organizations accounted for more than 10% of net revenue for each of the second quarter periods of Fiscal 2021 and Fiscal 2020. In addition, none of the Company's dealer organizations accounted for more than 10% of net revenue for the first six months of Fiscal 2021 and Fiscal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w:t>
      </w:r>
    </w:p>
    <w:p>
      <w:pPr>
        <w:spacing w:after="0" w:line="2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December 11, 2018, the Company's shareholders approved the Winnebago Industries, Inc. 2019 Omnibus Incentive Plan ("2019 Plan") as detailed in the Company's Proxy Statement for the 2018 Annual Meeting of Shareholders. The 2019 Plan allows the Company to grant or issue non-qualified stock options, incentive stock options, share awards, and other equity compensation to key employees and to non-employee directors. The 2019 Plan replaces the 2014 Omnibus Equity, Performance Award, and Incentive Compensation Plan (as amended, the "2014 Plan"). The number of shares of the Company's Common Stock that may be the subject of awards and issued under the 2019 Plan is 4.1 million, plus the shares subject to any awards outstanding under the 2014 Plan and the Company's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23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Stock-based compensation expense was $4.6 million and $2.0 million during the second quarters of Fiscal 2021 and 2020, respectively, and $7.0 million and $3.6 million during the first six months of Fiscal 2021 and 2020. Compensation expense is recognized over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Restructuring</w:t>
      </w:r>
    </w:p>
    <w:p>
      <w:pPr>
        <w:spacing w:after="0" w:line="26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Fiscal 2020, the Company's Class A diesel production was moved from Junction City, OR to Forest City, IA. In November 2020, a portion of the property in Junction City, OR was sold for net proceeds of $7.7 million with a resulting gain of $3.6 million. The gain on this sale is included within selling, general, and administrative expenses for Fiscal 2021. Total restructuring expenses for the first six months of Fiscal 2021 were immaterial to the overall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expect additional reorganization charges during the remainder of Fiscal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55" w:lineRule="exact"/>
        <w:rPr>
          <w:sz w:val="20"/>
          <w:szCs w:val="20"/>
          <w:color w:val="auto"/>
        </w:rPr>
      </w:pPr>
    </w:p>
    <w:p>
      <w:pPr>
        <w:jc w:val="both"/>
        <w:ind w:right="240"/>
        <w:spacing w:after="0" w:line="237" w:lineRule="auto"/>
        <w:rPr>
          <w:sz w:val="20"/>
          <w:szCs w:val="20"/>
          <w:color w:val="auto"/>
        </w:rPr>
      </w:pPr>
      <w:r>
        <w:rPr>
          <w:rFonts w:ascii="Arial" w:cs="Arial" w:eastAsia="Arial" w:hAnsi="Arial"/>
          <w:sz w:val="16"/>
          <w:szCs w:val="16"/>
          <w:color w:val="auto"/>
        </w:rPr>
        <w:t>The Company's effective tax rate increased to 23.4% for the six months ended February 27, 2021 from 20.1% for the first six months ended February 29, 2020 due primarily to consistent year-over-year credits over higher current year pre-tax income and favorable research and development discrete items in the prior year.</w:t>
      </w:r>
    </w:p>
    <w:p>
      <w:pPr>
        <w:spacing w:after="0" w:line="23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Company files a U.S. Federal tax return, as well as returns in various international and state jurisdictions. As of February 27, 2021, the Company's Federal returns from Fiscal 2017 to present are subject to review by the Internal Revenue Service. With limited exception, state returns from Fiscal 2016 to present continue to be subject to review by state taxing jurisdictions. The Company is currently under review by certain U.S. state tax authorities for Fiscal 2016 through 2019. The Company believes it has adequately reserved for its exposure to additional payments for uncertain tax positions in its liability for unrecognized tax benefits.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Income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9"/>
        </w:trPr>
        <w:tc>
          <w:tcPr>
            <w:tcW w:w="4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29,</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31,336</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32,840</w:t>
            </w: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4460" w:type="dxa"/>
            <w:vAlign w:val="bottom"/>
          </w:tcPr>
          <w:p>
            <w:pPr>
              <w:ind w:left="20"/>
              <w:spacing w:after="0" w:line="158" w:lineRule="exact"/>
              <w:rPr>
                <w:sz w:val="20"/>
                <w:szCs w:val="20"/>
                <w:color w:val="auto"/>
              </w:rPr>
            </w:pPr>
            <w:r>
              <w:rPr>
                <w:rFonts w:ascii="Arial" w:cs="Arial" w:eastAsia="Arial" w:hAnsi="Arial"/>
                <w:sz w:val="16"/>
                <w:szCs w:val="16"/>
                <w:color w:val="auto"/>
              </w:rPr>
              <w:t>Weighted average common shares outstanding, assuming</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33,910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33,918</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33,821</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33,143</w:t>
            </w:r>
          </w:p>
        </w:tc>
        <w:tc>
          <w:tcPr>
            <w:tcW w:w="0" w:type="dxa"/>
            <w:vAlign w:val="bottom"/>
          </w:tcPr>
          <w:p>
            <w:pPr>
              <w:spacing w:after="0"/>
              <w:rPr>
                <w:sz w:val="1"/>
                <w:szCs w:val="1"/>
                <w:color w:val="auto"/>
              </w:rPr>
            </w:pPr>
          </w:p>
        </w:tc>
      </w:tr>
      <w:tr>
        <w:trPr>
          <w:trHeight w:val="174"/>
        </w:trPr>
        <w:tc>
          <w:tcPr>
            <w:tcW w:w="4460" w:type="dxa"/>
            <w:vAlign w:val="bottom"/>
          </w:tcPr>
          <w:p>
            <w:pPr>
              <w:ind w:left="20"/>
              <w:spacing w:after="0" w:line="174" w:lineRule="exact"/>
              <w:rPr>
                <w:sz w:val="20"/>
                <w:szCs w:val="20"/>
                <w:color w:val="auto"/>
              </w:rPr>
            </w:pPr>
            <w:r>
              <w:rPr>
                <w:rFonts w:ascii="Arial" w:cs="Arial" w:eastAsia="Arial" w:hAnsi="Arial"/>
                <w:sz w:val="16"/>
                <w:szCs w:val="16"/>
                <w:color w:val="auto"/>
              </w:rPr>
              <w:t>dilution</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460" w:type="dxa"/>
            <w:vAlign w:val="bottom"/>
          </w:tcPr>
          <w:p>
            <w:pPr>
              <w:ind w:left="20"/>
              <w:spacing w:after="0" w:line="178" w:lineRule="exact"/>
              <w:rPr>
                <w:sz w:val="20"/>
                <w:szCs w:val="20"/>
                <w:color w:val="auto"/>
              </w:rPr>
            </w:pPr>
            <w:r>
              <w:rPr>
                <w:rFonts w:ascii="Arial" w:cs="Arial" w:eastAsia="Arial" w:hAnsi="Arial"/>
                <w:sz w:val="16"/>
                <w:szCs w:val="16"/>
                <w:color w:val="auto"/>
              </w:rPr>
              <w:t>Anti-dilutive securities excluded from Weighted average</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20"/>
              <w:spacing w:after="0"/>
              <w:rPr>
                <w:sz w:val="20"/>
                <w:szCs w:val="20"/>
                <w:color w:val="auto"/>
              </w:rPr>
            </w:pPr>
            <w:r>
              <w:rPr>
                <w:rFonts w:ascii="Arial" w:cs="Arial" w:eastAsia="Arial" w:hAnsi="Arial"/>
                <w:sz w:val="16"/>
                <w:szCs w:val="16"/>
                <w:color w:val="auto"/>
              </w:rPr>
              <w:t>common shares outstanding, assuming dilution</w:t>
            </w:r>
          </w:p>
        </w:tc>
        <w:tc>
          <w:tcPr>
            <w:tcW w:w="22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Basic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per common share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bl>
    <w:p>
      <w:pPr>
        <w:spacing w:after="0" w:line="353"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Anti-dilutive securities were not included in the computation of diluted income per common share because they are considered anti-dilutive under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26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900" w:type="dxa"/>
            <w:vAlign w:val="bottom"/>
            <w:gridSpan w:val="4"/>
          </w:tcPr>
          <w:p>
            <w:pPr>
              <w:spacing w:after="0"/>
              <w:rPr>
                <w:sz w:val="20"/>
                <w:szCs w:val="20"/>
                <w:color w:val="auto"/>
              </w:rPr>
            </w:pPr>
            <w:r>
              <w:rPr>
                <w:rFonts w:ascii="Arial" w:cs="Arial" w:eastAsia="Arial" w:hAnsi="Arial"/>
                <w:sz w:val="16"/>
                <w:szCs w:val="16"/>
                <w:b w:val="1"/>
                <w:bCs w:val="1"/>
                <w:color w:val="auto"/>
              </w:rPr>
              <w:t>Note 16: Accumulated Other Comprehensive Income (Loss)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10"/>
          </w:tcPr>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6"/>
                <w:szCs w:val="16"/>
                <w:b w:val="1"/>
                <w:bCs w:val="1"/>
                <w:color w:val="auto"/>
              </w:rPr>
              <w:t>February 29, 2020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tcPr>
          <w:p>
            <w:pPr>
              <w:spacing w:after="0"/>
              <w:rPr>
                <w:sz w:val="13"/>
                <w:szCs w:val="13"/>
                <w:color w:val="auto"/>
              </w:rPr>
            </w:pPr>
          </w:p>
        </w:tc>
        <w:tc>
          <w:tcPr>
            <w:tcW w:w="1300" w:type="dxa"/>
            <w:vAlign w:val="bottom"/>
            <w:gridSpan w:val="2"/>
          </w:tcPr>
          <w:p>
            <w:pPr>
              <w:jc w:val="center"/>
              <w:spacing w:after="0" w:line="156" w:lineRule="exact"/>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3"/>
                <w:szCs w:val="13"/>
                <w:color w:val="auto"/>
              </w:rPr>
            </w:pPr>
          </w:p>
        </w:tc>
        <w:tc>
          <w:tcPr>
            <w:tcW w:w="88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jc w:val="center"/>
              <w:ind w:right="60"/>
              <w:spacing w:after="0" w:line="156" w:lineRule="exact"/>
              <w:rPr>
                <w:sz w:val="20"/>
                <w:szCs w:val="20"/>
                <w:color w:val="auto"/>
              </w:rPr>
            </w:pPr>
            <w:r>
              <w:rPr>
                <w:rFonts w:ascii="Arial" w:cs="Arial" w:eastAsia="Arial" w:hAnsi="Arial"/>
                <w:sz w:val="16"/>
                <w:szCs w:val="16"/>
                <w:b w:val="1"/>
                <w:bCs w:val="1"/>
                <w:color w:val="auto"/>
              </w:rPr>
              <w:t>Defined Benefit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20" w:type="dxa"/>
            <w:vAlign w:val="bottom"/>
            <w:tcBorders>
              <w:bottom w:val="single" w:sz="8" w:color="auto"/>
            </w:tcBorders>
            <w:gridSpan w:val="2"/>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Pension Items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8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7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(517)</w:t>
            </w:r>
          </w:p>
        </w:tc>
        <w:tc>
          <w:tcPr>
            <w:tcW w:w="100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(551)</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Amounts reclassified from AOCI</w:t>
            </w:r>
          </w:p>
        </w:tc>
        <w:tc>
          <w:tcPr>
            <w:tcW w:w="17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(509)</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(543)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6"/>
                <w:szCs w:val="16"/>
                <w:b w:val="1"/>
                <w:bCs w:val="1"/>
                <w:color w:val="auto"/>
              </w:rPr>
              <w:t>February 29, 2020</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tcPr>
          <w:p>
            <w:pPr>
              <w:spacing w:after="0"/>
              <w:rPr>
                <w:sz w:val="13"/>
                <w:szCs w:val="13"/>
                <w:color w:val="auto"/>
              </w:rPr>
            </w:pPr>
          </w:p>
        </w:tc>
        <w:tc>
          <w:tcPr>
            <w:tcW w:w="1300" w:type="dxa"/>
            <w:vAlign w:val="bottom"/>
            <w:gridSpan w:val="2"/>
          </w:tcPr>
          <w:p>
            <w:pPr>
              <w:jc w:val="center"/>
              <w:spacing w:after="0" w:line="156" w:lineRule="exact"/>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3"/>
                <w:szCs w:val="13"/>
                <w:color w:val="auto"/>
              </w:rPr>
            </w:pPr>
          </w:p>
        </w:tc>
        <w:tc>
          <w:tcPr>
            <w:tcW w:w="88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jc w:val="center"/>
              <w:ind w:right="60"/>
              <w:spacing w:after="0" w:line="156" w:lineRule="exact"/>
              <w:rPr>
                <w:sz w:val="20"/>
                <w:szCs w:val="20"/>
                <w:color w:val="auto"/>
              </w:rPr>
            </w:pPr>
            <w:r>
              <w:rPr>
                <w:rFonts w:ascii="Arial" w:cs="Arial" w:eastAsia="Arial" w:hAnsi="Arial"/>
                <w:sz w:val="16"/>
                <w:szCs w:val="16"/>
                <w:b w:val="1"/>
                <w:bCs w:val="1"/>
                <w:color w:val="auto"/>
              </w:rPr>
              <w:t>Defined Benefit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tcPr>
          <w:p>
            <w:pPr>
              <w:jc w:val="center"/>
              <w:ind w:right="240"/>
              <w:spacing w:after="0" w:line="156" w:lineRule="exact"/>
              <w:rPr>
                <w:sz w:val="20"/>
                <w:szCs w:val="20"/>
                <w:color w:val="auto"/>
              </w:rPr>
            </w:pPr>
            <w:r>
              <w:rPr>
                <w:rFonts w:ascii="Arial" w:cs="Arial" w:eastAsia="Arial" w:hAnsi="Arial"/>
                <w:sz w:val="16"/>
                <w:szCs w:val="16"/>
                <w:b w:val="1"/>
                <w:bCs w:val="1"/>
                <w:color w:val="auto"/>
              </w:rPr>
              <w:t>Interest Rate</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20" w:type="dxa"/>
            <w:vAlign w:val="bottom"/>
            <w:tcBorders>
              <w:bottom w:val="single" w:sz="8" w:color="auto"/>
            </w:tcBorders>
            <w:gridSpan w:val="2"/>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Pension Items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Swap</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8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7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(526)</w:t>
            </w:r>
          </w:p>
        </w:tc>
        <w:tc>
          <w:tcPr>
            <w:tcW w:w="100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(559)</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3"/>
        </w:trPr>
        <w:tc>
          <w:tcPr>
            <w:tcW w:w="2620" w:type="dxa"/>
            <w:vAlign w:val="bottom"/>
            <w:gridSpan w:val="2"/>
          </w:tcPr>
          <w:p>
            <w:pPr>
              <w:ind w:left="140"/>
              <w:spacing w:after="0"/>
              <w:rPr>
                <w:sz w:val="20"/>
                <w:szCs w:val="20"/>
                <w:color w:val="auto"/>
              </w:rPr>
            </w:pPr>
            <w:r>
              <w:rPr>
                <w:rFonts w:ascii="Arial" w:cs="Arial" w:eastAsia="Arial" w:hAnsi="Arial"/>
                <w:sz w:val="16"/>
                <w:szCs w:val="16"/>
                <w:color w:val="auto"/>
              </w:rPr>
              <w:t>OCI before reclassifications</w:t>
            </w: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Amounts reclassified from AOCI</w:t>
            </w: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current-period OCI</w:t>
            </w:r>
          </w:p>
        </w:tc>
        <w:tc>
          <w:tcPr>
            <w:tcW w:w="17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80" w:type="dxa"/>
            <w:vAlign w:val="bottom"/>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7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(509)</w:t>
            </w:r>
          </w:p>
        </w:tc>
        <w:tc>
          <w:tcPr>
            <w:tcW w:w="100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(543)</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gridSpan w:val="3"/>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900" w:type="dxa"/>
            <w:vAlign w:val="bottom"/>
            <w:gridSpan w:val="4"/>
          </w:tcPr>
          <w:p>
            <w:pPr>
              <w:spacing w:after="0"/>
              <w:rPr>
                <w:sz w:val="20"/>
                <w:szCs w:val="20"/>
                <w:color w:val="auto"/>
              </w:rPr>
            </w:pPr>
            <w:r>
              <w:rPr>
                <w:rFonts w:ascii="Arial" w:cs="Arial" w:eastAsia="Arial" w:hAnsi="Arial"/>
                <w:sz w:val="16"/>
                <w:szCs w:val="16"/>
                <w:color w:val="auto"/>
              </w:rPr>
              <w:t>Reclassifications out of AOCI, net of tax, were: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80" w:type="dxa"/>
            <w:vAlign w:val="bottom"/>
            <w:gridSpan w:val="2"/>
          </w:tcPr>
          <w:p>
            <w:pPr>
              <w:jc w:val="center"/>
              <w:spacing w:after="0" w:line="148" w:lineRule="exact"/>
              <w:rPr>
                <w:sz w:val="20"/>
                <w:szCs w:val="20"/>
                <w:color w:val="auto"/>
              </w:rPr>
            </w:pPr>
            <w:r>
              <w:rPr>
                <w:rFonts w:ascii="Arial" w:cs="Arial" w:eastAsia="Arial" w:hAnsi="Arial"/>
                <w:sz w:val="16"/>
                <w:szCs w:val="16"/>
                <w:b w:val="1"/>
                <w:bCs w:val="1"/>
                <w:color w:val="auto"/>
              </w:rPr>
              <w:t>Location on Consolidated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9"/>
              </w:rPr>
              <w:t>Statements</w:t>
            </w:r>
          </w:p>
        </w:tc>
        <w:tc>
          <w:tcPr>
            <w:tcW w:w="162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February 27,</w:t>
            </w:r>
          </w:p>
        </w:tc>
        <w:tc>
          <w:tcPr>
            <w:tcW w:w="100" w:type="dxa"/>
            <w:vAlign w:val="bottom"/>
          </w:tcPr>
          <w:p>
            <w:pPr>
              <w:spacing w:after="0"/>
              <w:rPr>
                <w:sz w:val="14"/>
                <w:szCs w:val="14"/>
                <w:color w:val="auto"/>
              </w:rPr>
            </w:pPr>
          </w:p>
        </w:tc>
        <w:tc>
          <w:tcPr>
            <w:tcW w:w="1400" w:type="dxa"/>
            <w:vAlign w:val="bottom"/>
            <w:gridSpan w:val="3"/>
            <w:vMerge w:val="restart"/>
          </w:tcPr>
          <w:p>
            <w:pPr>
              <w:jc w:val="right"/>
              <w:ind w:right="179"/>
              <w:spacing w:after="0"/>
              <w:rPr>
                <w:sz w:val="20"/>
                <w:szCs w:val="20"/>
                <w:color w:val="auto"/>
              </w:rPr>
            </w:pPr>
            <w:r>
              <w:rPr>
                <w:rFonts w:ascii="Arial" w:cs="Arial" w:eastAsia="Arial" w:hAnsi="Arial"/>
                <w:sz w:val="16"/>
                <w:szCs w:val="16"/>
                <w:b w:val="1"/>
                <w:bCs w:val="1"/>
                <w:color w:val="auto"/>
              </w:rPr>
              <w:t>February 29,</w:t>
            </w:r>
          </w:p>
        </w:tc>
        <w:tc>
          <w:tcPr>
            <w:tcW w:w="100" w:type="dxa"/>
            <w:vAlign w:val="bottom"/>
          </w:tcPr>
          <w:p>
            <w:pPr>
              <w:spacing w:after="0"/>
              <w:rPr>
                <w:sz w:val="14"/>
                <w:szCs w:val="14"/>
                <w:color w:val="auto"/>
              </w:rPr>
            </w:pPr>
          </w:p>
        </w:tc>
        <w:tc>
          <w:tcPr>
            <w:tcW w:w="146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rPr>
              <w:t>February 27,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right"/>
              <w:ind w:right="199"/>
              <w:spacing w:after="0"/>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of Income and</w:t>
            </w:r>
          </w:p>
        </w:tc>
        <w:tc>
          <w:tcPr>
            <w:tcW w:w="16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20" w:type="dxa"/>
            <w:vAlign w:val="bottom"/>
            <w:tcBorders>
              <w:bottom w:val="single" w:sz="8" w:color="auto"/>
            </w:tcBorders>
            <w:gridSpan w:val="2"/>
            <w:vMerge w:val="continue"/>
          </w:tcPr>
          <w:p>
            <w:pPr>
              <w:spacing w:after="0"/>
              <w:rPr>
                <w:sz w:val="18"/>
                <w:szCs w:val="18"/>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Comprehensive Income</w:t>
            </w:r>
          </w:p>
        </w:tc>
        <w:tc>
          <w:tcPr>
            <w:tcW w:w="15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228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SG&amp;A</w:t>
            </w:r>
          </w:p>
        </w:tc>
        <w:tc>
          <w:tcPr>
            <w:tcW w:w="740" w:type="dxa"/>
            <w:vAlign w:val="bottom"/>
            <w:shd w:val="clear" w:color="auto" w:fill="CCEEFF"/>
          </w:tcPr>
          <w:p>
            <w:pPr>
              <w:jc w:val="center"/>
              <w:ind w:right="51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Unless the context otherwise requires, the use of the terms "Winnebago," "we," "us," and "our" refers to Winnebago Industries, Inc. and its wholly-owned subsidiaries.</w:t>
      </w:r>
    </w:p>
    <w:p>
      <w:pPr>
        <w:spacing w:after="0" w:line="22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Our MD&amp;A should be read in conjunction with our Annual Report on Form 10-K for the fiscal year ended August 29, 2020 (including the information presented therein under Risk Factors), as well as our reports on Forms 10-Q and 8-K and other publicly available information. All amounts herein are unaudited.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with a diversified portfolio of recreation vehicles ("RV"s) and marine products used primarily in leisure travel and outdoor recreation activities. We produce our motorhome units in Iowa and Indiana;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20"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212529"/>
        </w:rPr>
        <w:t xml:space="preserve">We continue to monitor guidance from international and domestic authorities, including federal, state and local public health authorities, and may take additional actions based on their requirements and recommendations. In these circumstances, there may be developments outside our control requiring us to adjust our operating plan. </w:t>
      </w:r>
      <w:r>
        <w:rPr>
          <w:rFonts w:ascii="Arial" w:cs="Arial" w:eastAsia="Arial" w:hAnsi="Arial"/>
          <w:sz w:val="16"/>
          <w:szCs w:val="16"/>
          <w:color w:val="000000"/>
        </w:rPr>
        <w:t>There has been strong retail demand by consumers of RVs as a safe travel option during the COVID-19 pandemic. In addition,</w:t>
      </w:r>
      <w:r>
        <w:rPr>
          <w:rFonts w:ascii="Arial" w:cs="Arial" w:eastAsia="Arial" w:hAnsi="Arial"/>
          <w:sz w:val="16"/>
          <w:szCs w:val="16"/>
          <w:color w:val="212529"/>
        </w:rPr>
        <w:t xml:space="preserve"> </w:t>
      </w:r>
      <w:r>
        <w:rPr>
          <w:rFonts w:ascii="Arial" w:cs="Arial" w:eastAsia="Arial" w:hAnsi="Arial"/>
          <w:sz w:val="16"/>
          <w:szCs w:val="16"/>
          <w:color w:val="000000"/>
        </w:rPr>
        <w:t xml:space="preserve">while our production has experienced certain supply shortages, we are actively managing through these temporary supply chain disruptions. </w:t>
      </w:r>
      <w:r>
        <w:rPr>
          <w:rFonts w:ascii="Arial" w:cs="Arial" w:eastAsia="Arial" w:hAnsi="Arial"/>
          <w:sz w:val="16"/>
          <w:szCs w:val="16"/>
          <w:color w:val="212529"/>
        </w:rPr>
        <w:t>Refer to the</w:t>
      </w:r>
      <w:r>
        <w:rPr>
          <w:rFonts w:ascii="Arial" w:cs="Arial" w:eastAsia="Arial" w:hAnsi="Arial"/>
          <w:sz w:val="16"/>
          <w:szCs w:val="16"/>
          <w:color w:val="000000"/>
        </w:rPr>
        <w:t xml:space="preserve"> </w:t>
      </w:r>
      <w:r>
        <w:rPr>
          <w:rFonts w:ascii="Arial" w:cs="Arial" w:eastAsia="Arial" w:hAnsi="Arial"/>
          <w:sz w:val="16"/>
          <w:szCs w:val="16"/>
          <w:color w:val="212529"/>
        </w:rPr>
        <w:t>COVID-19-related risk factors disclosed in Item 1A, "Risk Factors" in our Annual Report on Form 10-K for the fiscal year ended August 29,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13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Refer to the Results of Operations - Current Quarter Compared to the Comparable Prior Year Quarter and the Results of Operations - First Six Months of Fiscal 2021 Compared to the First Six Months of Fiscal 2020 for a detailed reconciliation of items that impacted EBITDA and Adjusted EBITDA. We have included these non-GAAP performance measures as a comparable measure to illustrate the effect of non-recurring transactions occurring during the reported periods and to improve comparability of our results from period to period. We believe Adjusted EBITDA provides meaningful supplemental information about our operating performance because these measures exclude amounts that we do not consider part of our core operating results when assessing our performance. Examples of items excluded from Adjusted EBITDA include acquisition-related costs, restructuring expenses, gain or loss on sale of property and equipment, and non-operating income.</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ABL Credit Facility and outstanding notes, as further described in Note 8, Long-Term Debt, of the Notes to Condensed Consolidated Financial Statements included in Item 1,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of this Quarterly Report on Form 10-Q.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3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have six operating segments: 1) Grand Design towables, 2) Winnebago towables, 3) Winnebago motorhomes, 4) Newmar motorhomes, 5) Chris-Craft marine, and 6) Winnebago specialty vehicles. We evaluate performance based on each operating segment's Adjusted EBITDA, as defined below, which excludes certain corporate administration expenses and non-operating income and expense.</w:t>
      </w:r>
    </w:p>
    <w:p>
      <w:pPr>
        <w:spacing w:after="0" w:line="22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Our two reportable segments include: 1) Towable (comprised of products which are not motorized and are generally towed by another vehicle as well as other related manufactured products and services), which is an aggregation of the Winnebago towables and Grand Design towables operating segments and 2) Motorhome (comprised of products that include a motorized chassis as well as other related manufactured products and services), which is an aggregation of the Winnebago motorhomes and Newmar motorhomes operating segments.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Corporate / All Other category includes the Chris-Craft marine and Winnebago specialty vehicles operating segments as well as expenses related to certain corporate administration expenses for the oversight of the enterprise. These expenses include items such as corporate leadership and administration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560" w:hanging="22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60" w:hanging="22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monthly by Stat Surveys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these key statistics for the rolling 12 months through January as of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US and Canada Industry</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8"/>
        </w:trPr>
        <w:tc>
          <w:tcPr>
            <w:tcW w:w="1500" w:type="dxa"/>
            <w:vAlign w:val="bottom"/>
          </w:tcPr>
          <w:p>
            <w:pPr>
              <w:spacing w:after="0"/>
              <w:rPr>
                <w:sz w:val="18"/>
                <w:szCs w:val="18"/>
                <w:color w:val="auto"/>
              </w:rPr>
            </w:pPr>
          </w:p>
        </w:tc>
        <w:tc>
          <w:tcPr>
            <w:tcW w:w="3780" w:type="dxa"/>
            <w:vAlign w:val="bottom"/>
            <w:gridSpan w:val="7"/>
          </w:tcPr>
          <w:p>
            <w:pPr>
              <w:ind w:left="1000"/>
              <w:spacing w:after="0"/>
              <w:rPr>
                <w:sz w:val="20"/>
                <w:szCs w:val="20"/>
                <w:color w:val="auto"/>
              </w:rPr>
            </w:pPr>
            <w:r>
              <w:rPr>
                <w:rFonts w:ascii="Arial" w:cs="Arial" w:eastAsia="Arial" w:hAnsi="Arial"/>
                <w:sz w:val="16"/>
                <w:szCs w:val="16"/>
                <w:b w:val="1"/>
                <w:bCs w:val="1"/>
                <w:color w:val="auto"/>
              </w:rPr>
              <w:t>Wholesale Unit Shipments per RVIA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18"/>
        </w:trPr>
        <w:tc>
          <w:tcPr>
            <w:tcW w:w="1500" w:type="dxa"/>
            <w:vAlign w:val="bottom"/>
          </w:tcPr>
          <w:p>
            <w:pPr>
              <w:spacing w:after="0"/>
              <w:rPr>
                <w:sz w:val="18"/>
                <w:szCs w:val="18"/>
                <w:color w:val="auto"/>
              </w:rPr>
            </w:pPr>
          </w:p>
        </w:tc>
        <w:tc>
          <w:tcPr>
            <w:tcW w:w="3780" w:type="dxa"/>
            <w:vAlign w:val="bottom"/>
            <w:tcBorders>
              <w:bottom w:val="single" w:sz="8" w:color="auto"/>
            </w:tcBorders>
            <w:gridSpan w:val="7"/>
          </w:tcPr>
          <w:p>
            <w:pPr>
              <w:ind w:left="1020"/>
              <w:spacing w:after="0"/>
              <w:rPr>
                <w:sz w:val="20"/>
                <w:szCs w:val="20"/>
                <w:color w:val="auto"/>
              </w:rPr>
            </w:pPr>
            <w:r>
              <w:rPr>
                <w:rFonts w:ascii="Arial" w:cs="Arial" w:eastAsia="Arial" w:hAnsi="Arial"/>
                <w:sz w:val="16"/>
                <w:szCs w:val="16"/>
                <w:b w:val="1"/>
                <w:bCs w:val="1"/>
                <w:color w:val="auto"/>
              </w:rPr>
              <w:t>Rolling 12 Months through January</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auto"/>
            </w:tcBorders>
            <w:gridSpan w:val="7"/>
          </w:tcPr>
          <w:p>
            <w:pPr>
              <w:jc w:val="center"/>
              <w:ind w:left="939"/>
              <w:spacing w:after="0"/>
              <w:rPr>
                <w:sz w:val="20"/>
                <w:szCs w:val="20"/>
                <w:color w:val="auto"/>
              </w:rPr>
            </w:pPr>
            <w:r>
              <w:rPr>
                <w:rFonts w:ascii="Arial" w:cs="Arial" w:eastAsia="Arial" w:hAnsi="Arial"/>
                <w:sz w:val="16"/>
                <w:szCs w:val="16"/>
                <w:b w:val="1"/>
                <w:bCs w:val="1"/>
                <w:color w:val="auto"/>
              </w:rPr>
              <w:t>Rolling 12 Months through January</w:t>
            </w:r>
          </w:p>
        </w:tc>
        <w:tc>
          <w:tcPr>
            <w:tcW w:w="1020" w:type="dxa"/>
            <w:vAlign w:val="bottom"/>
            <w:tcBorders>
              <w:bottom w:val="single" w:sz="8" w:color="auto"/>
            </w:tcBorders>
          </w:tcPr>
          <w:p>
            <w:pPr>
              <w:spacing w:after="0"/>
              <w:rPr>
                <w:sz w:val="18"/>
                <w:szCs w:val="18"/>
                <w:color w:val="auto"/>
              </w:rPr>
            </w:pPr>
          </w:p>
        </w:tc>
      </w:tr>
      <w:tr>
        <w:trPr>
          <w:trHeight w:val="212"/>
        </w:trPr>
        <w:tc>
          <w:tcPr>
            <w:tcW w:w="150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Unit Change</w:t>
            </w: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Unit Change</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5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391,747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357,358</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455,723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395,134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r>
      <w:tr>
        <w:trPr>
          <w:trHeight w:val="216"/>
        </w:trPr>
        <w:tc>
          <w:tcPr>
            <w:tcW w:w="15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Motorhome</w:t>
            </w:r>
            <w:r>
              <w:rPr>
                <w:rFonts w:ascii="Arial" w:cs="Arial" w:eastAsia="Arial" w:hAnsi="Arial"/>
                <w:sz w:val="21"/>
                <w:szCs w:val="21"/>
                <w:color w:val="auto"/>
                <w:vertAlign w:val="superscript"/>
              </w:rPr>
              <w:t>(2)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46,280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53,093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34"/>
        </w:trPr>
        <w:tc>
          <w:tcPr>
            <w:tcW w:w="1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Combined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433,398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403,638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508,816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447,269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2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Due to the onset of the COVID-19 pandemic in March 2020, evidenced by an industry wide shutdown of RV manufacturing in April 2020, shipments declined year over year for the period of March 2020 through May 2020. Shipments returned to growth from June 2020 through January 2021 due to high levels of end consumer demand and extremely low levels of dealer inventories, most notably in the towables segment. The rolling twelve months retail information for 2021 and 2020 illustrates that retail sales remain at healthy levels relative to the industry's historical retail levels. We believe retail demand is the key driver to continued growth in the industry.</w:t>
      </w:r>
    </w:p>
    <w:p>
      <w:pPr>
        <w:spacing w:after="0" w:line="23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most recent RVIA wholesale shipment forecasts for calendar year 2021, as noted in the table below, indicate that industry shipments are expected to experience growth in 2021. The retail activity is anticipated to remain at healthy levels, and wholesale shipments are expected to reflect a rebound associated with dealers rebuilding their inventories.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rPr>
              <w:t>Calendar Year</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48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480" w:type="dxa"/>
            <w:vAlign w:val="bottom"/>
          </w:tcPr>
          <w:p>
            <w:pPr>
              <w:jc w:val="right"/>
              <w:ind w:right="479"/>
              <w:spacing w:after="0" w:line="158"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Unit Change</w:t>
            </w: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Arial" w:cs="Arial" w:eastAsia="Arial" w:hAnsi="Arial"/>
                <w:sz w:val="16"/>
                <w:szCs w:val="16"/>
                <w:b w:val="1"/>
                <w:bCs w:val="1"/>
                <w:color w:val="auto"/>
              </w:rPr>
              <w:t>Forecast</w:t>
            </w:r>
          </w:p>
        </w:tc>
        <w:tc>
          <w:tcPr>
            <w:tcW w:w="1580" w:type="dxa"/>
            <w:vAlign w:val="bottom"/>
            <w:gridSpan w:val="2"/>
          </w:tcPr>
          <w:p>
            <w:pPr>
              <w:ind w:left="500"/>
              <w:spacing w:after="0"/>
              <w:rPr>
                <w:sz w:val="20"/>
                <w:szCs w:val="20"/>
                <w:color w:val="auto"/>
              </w:rPr>
            </w:pPr>
            <w:r>
              <w:rPr>
                <w:rFonts w:ascii="Arial" w:cs="Arial" w:eastAsia="Arial" w:hAnsi="Arial"/>
                <w:sz w:val="16"/>
                <w:szCs w:val="16"/>
                <w:b w:val="1"/>
                <w:bCs w:val="1"/>
                <w:color w:val="auto"/>
              </w:rPr>
              <w:t>Actual</w:t>
            </w:r>
          </w:p>
        </w:tc>
        <w:tc>
          <w:tcPr>
            <w:tcW w:w="12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Aggressive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543,600</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430,400</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113,200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Most likely</w:t>
            </w:r>
          </w:p>
        </w:tc>
        <w:tc>
          <w:tcPr>
            <w:tcW w:w="1480" w:type="dxa"/>
            <w:vAlign w:val="bottom"/>
          </w:tcPr>
          <w:p>
            <w:pPr>
              <w:jc w:val="right"/>
              <w:spacing w:after="0"/>
              <w:rPr>
                <w:sz w:val="20"/>
                <w:szCs w:val="20"/>
                <w:color w:val="auto"/>
              </w:rPr>
            </w:pPr>
            <w:r>
              <w:rPr>
                <w:rFonts w:ascii="Arial" w:cs="Arial" w:eastAsia="Arial" w:hAnsi="Arial"/>
                <w:sz w:val="16"/>
                <w:szCs w:val="16"/>
                <w:color w:val="auto"/>
              </w:rPr>
              <w:t>533,400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430,400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103,000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Conservative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Prepared by ITR Economics for RVIA and reported in the Roadsigns RV Spring 2021 Industry Forecast Issue.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43"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Market share is calculated by taking our brands total unit sales divided by the total units sold in the motorized and travel trailer and fifth wheel markets. The data is used to analyze growth and profitability of our products and brands year over year. Note that this data is subject to adjustment and is continuously updated.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Rolling 12 Months through</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Calendar Year</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January</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and Canada</w:t>
            </w: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line="211"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99"/>
              <w:spacing w:after="0" w:line="211"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 and fifth wheels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Arial" w:cs="Arial" w:eastAsia="Arial" w:hAnsi="Arial"/>
                <w:sz w:val="16"/>
                <w:szCs w:val="16"/>
                <w:color w:val="auto"/>
              </w:rPr>
              <w:t>Motorhome A, B, C</w:t>
            </w:r>
          </w:p>
        </w:tc>
        <w:tc>
          <w:tcPr>
            <w:tcW w:w="1260" w:type="dxa"/>
            <w:vAlign w:val="bottom"/>
          </w:tcPr>
          <w:p>
            <w:pPr>
              <w:jc w:val="right"/>
              <w:spacing w:after="0"/>
              <w:rPr>
                <w:sz w:val="20"/>
                <w:szCs w:val="20"/>
                <w:color w:val="auto"/>
              </w:rPr>
            </w:pPr>
            <w:r>
              <w:rPr>
                <w:rFonts w:ascii="Arial" w:cs="Arial" w:eastAsia="Arial" w:hAnsi="Arial"/>
                <w:sz w:val="16"/>
                <w:szCs w:val="16"/>
                <w:color w:val="auto"/>
              </w:rPr>
              <w:t>20.7 %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market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retail unit market share for Newmar since its acquisition on November 8, 2019.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8"/>
                <w:szCs w:val="18"/>
                <w:color w:val="auto"/>
              </w:rPr>
            </w:pPr>
          </w:p>
        </w:tc>
        <w:tc>
          <w:tcPr>
            <w:tcW w:w="19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Fiscal Year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rPr>
              <w:t>Cumulative Investment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rPr>
              <w:t>February 27,</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3"/>
            <w:vMerge w:val="restart"/>
          </w:tcPr>
          <w:p>
            <w:pPr>
              <w:jc w:val="center"/>
              <w:ind w:left="179"/>
              <w:spacing w:after="0"/>
              <w:rPr>
                <w:sz w:val="20"/>
                <w:szCs w:val="20"/>
                <w:color w:val="auto"/>
              </w:rPr>
            </w:pPr>
            <w:r>
              <w:rPr>
                <w:rFonts w:ascii="Arial" w:cs="Arial" w:eastAsia="Arial" w:hAnsi="Arial"/>
                <w:sz w:val="16"/>
                <w:szCs w:val="16"/>
                <w:b w:val="1"/>
                <w:bCs w:val="1"/>
                <w:color w:val="auto"/>
              </w:rPr>
              <w:t>Fiscal 2015-2020</w:t>
            </w: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59.3 %</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Expensed</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19,829</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40.7 %</w:t>
            </w:r>
          </w:p>
        </w:tc>
        <w:tc>
          <w:tcPr>
            <w:tcW w:w="0" w:type="dxa"/>
            <w:vAlign w:val="bottom"/>
          </w:tcPr>
          <w:p>
            <w:pPr>
              <w:spacing w:after="0"/>
              <w:rPr>
                <w:sz w:val="1"/>
                <w:szCs w:val="1"/>
                <w:color w:val="auto"/>
              </w:rPr>
            </w:pPr>
          </w:p>
        </w:tc>
      </w:tr>
      <w:tr>
        <w:trPr>
          <w:trHeight w:val="238"/>
        </w:trPr>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48,677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 February 27, 2021 compared to the three months ended February 29,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 thousands, except percent and</w:t>
            </w:r>
          </w:p>
        </w:tc>
        <w:tc>
          <w:tcPr>
            <w:tcW w:w="140" w:type="dxa"/>
            <w:vAlign w:val="bottom"/>
          </w:tcPr>
          <w:p>
            <w:pPr>
              <w:spacing w:after="0"/>
              <w:rPr>
                <w:sz w:val="14"/>
                <w:szCs w:val="14"/>
                <w:color w:val="auto"/>
              </w:rPr>
            </w:pPr>
          </w:p>
        </w:tc>
        <w:tc>
          <w:tcPr>
            <w:tcW w:w="1320" w:type="dxa"/>
            <w:vAlign w:val="bottom"/>
            <w:gridSpan w:val="2"/>
          </w:tcPr>
          <w:p>
            <w:pPr>
              <w:ind w:left="40"/>
              <w:spacing w:after="0" w:line="161" w:lineRule="exact"/>
              <w:rPr>
                <w:sz w:val="20"/>
                <w:szCs w:val="20"/>
                <w:color w:val="auto"/>
              </w:rPr>
            </w:pPr>
            <w:r>
              <w:rPr>
                <w:rFonts w:ascii="Arial" w:cs="Arial" w:eastAsia="Arial" w:hAnsi="Arial"/>
                <w:sz w:val="16"/>
                <w:szCs w:val="16"/>
                <w:b w:val="1"/>
                <w:bCs w:val="1"/>
                <w:color w:val="auto"/>
              </w:rPr>
              <w:t>February 27,</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4"/>
                <w:szCs w:val="14"/>
                <w:color w:val="auto"/>
              </w:rPr>
            </w:pPr>
          </w:p>
        </w:tc>
        <w:tc>
          <w:tcPr>
            <w:tcW w:w="1280" w:type="dxa"/>
            <w:vAlign w:val="bottom"/>
            <w:gridSpan w:val="2"/>
          </w:tcPr>
          <w:p>
            <w:pPr>
              <w:ind w:left="40"/>
              <w:spacing w:after="0" w:line="161" w:lineRule="exact"/>
              <w:rPr>
                <w:sz w:val="20"/>
                <w:szCs w:val="20"/>
                <w:color w:val="auto"/>
              </w:rPr>
            </w:pPr>
            <w:r>
              <w:rPr>
                <w:rFonts w:ascii="Arial" w:cs="Arial" w:eastAsia="Arial" w:hAnsi="Arial"/>
                <w:sz w:val="16"/>
                <w:szCs w:val="16"/>
                <w:b w:val="1"/>
                <w:bCs w:val="1"/>
                <w:color w:val="auto"/>
              </w:rPr>
              <w:t>February 29,</w:t>
            </w: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1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839,886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626,810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213,076</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683,304</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547,028</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136,276</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156,582</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79,782</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76,800</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96.3 %</w:t>
            </w:r>
          </w:p>
        </w:tc>
        <w:tc>
          <w:tcPr>
            <w:tcW w:w="0" w:type="dxa"/>
            <w:vAlign w:val="bottom"/>
          </w:tcPr>
          <w:p>
            <w:pPr>
              <w:spacing w:after="0"/>
              <w:rPr>
                <w:sz w:val="1"/>
                <w:szCs w:val="1"/>
                <w:color w:val="auto"/>
              </w:rPr>
            </w:pPr>
          </w:p>
        </w:tc>
      </w:tr>
      <w:tr>
        <w:trPr>
          <w:trHeight w:val="157"/>
        </w:trPr>
        <w:tc>
          <w:tcPr>
            <w:tcW w:w="274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53,016</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42,164</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10,852</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56,607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50,138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6,469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237.3 %</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10,052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8,651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90,234</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21,263</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68,971</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324.4 %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17,171</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429.8 %</w:t>
            </w:r>
          </w:p>
        </w:tc>
        <w:tc>
          <w:tcPr>
            <w:tcW w:w="0" w:type="dxa"/>
            <w:vAlign w:val="bottom"/>
          </w:tcPr>
          <w:p>
            <w:pPr>
              <w:spacing w:after="0"/>
              <w:rPr>
                <w:sz w:val="1"/>
                <w:szCs w:val="1"/>
                <w:color w:val="auto"/>
              </w:rPr>
            </w:pPr>
          </w:p>
        </w:tc>
      </w:tr>
      <w:tr>
        <w:trPr>
          <w:trHeight w:val="212"/>
        </w:trPr>
        <w:tc>
          <w:tcPr>
            <w:tcW w:w="2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69,068</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17,268</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51,800</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300.0 %</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300.0 %</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the second quarter of Fiscal 2021 compared to the second quarter of Fiscal 2020 primarily due to unit growth and pricing actions.</w:t>
      </w:r>
    </w:p>
    <w:p>
      <w:pPr>
        <w:spacing w:after="0" w:line="24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Gross profit as a percentage of revenue increased in the second quarter of Fiscal 2021 compared to the second quarter of Fiscal 2020 primarily due to pricing actions, improved operating leverage as a result of higher revenues, productivity initiatives, and a favorable segment sales mix.</w:t>
      </w:r>
    </w:p>
    <w:p>
      <w:pPr>
        <w:spacing w:after="0" w:line="222"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Operating expenses increased in the second quarter of Fiscal 2021 compared to the second quarter of Fiscal 2020 due to an increase in variable compensation and increased selling costs partially offset by lower Newmar amortization.</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Interest expense increased in the second quarter of Fiscal 2021 compared to the second quarter of Fiscal 2020 primarily due to a higher interest rate on indebtedness as a result of our refinancing of our term loan B in the fourth quarter of Fiscal 2020.</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effective tax rate increased to 23.5% for the second quarter of Fiscal 2021 compared to 18.8% for the second quarter of Fiscal 2020 primarily due to consistent year-over-year credits over higher current year pre-tax income and favorable research and development discrete items in the prior year.</w:t>
      </w:r>
    </w:p>
    <w:p>
      <w:pPr>
        <w:spacing w:after="0" w:line="20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Net income and diluted income per share increased in the second quarter of Fiscal 2021 compared to the second quarter of Fiscal 2020 primarily due to the profitability impact of higher revenues and improved profit margins, partially offset by a higher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February 27, 2021 and February 29,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3"/>
                <w:szCs w:val="13"/>
                <w:color w:val="auto"/>
              </w:rPr>
            </w:pPr>
          </w:p>
        </w:tc>
        <w:tc>
          <w:tcPr>
            <w:tcW w:w="16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February 27,</w:t>
            </w:r>
          </w:p>
        </w:tc>
        <w:tc>
          <w:tcPr>
            <w:tcW w:w="240" w:type="dxa"/>
            <w:vAlign w:val="bottom"/>
          </w:tcPr>
          <w:p>
            <w:pPr>
              <w:spacing w:after="0"/>
              <w:rPr>
                <w:sz w:val="13"/>
                <w:szCs w:val="13"/>
                <w:color w:val="auto"/>
              </w:rPr>
            </w:pPr>
          </w:p>
        </w:tc>
        <w:tc>
          <w:tcPr>
            <w:tcW w:w="1500" w:type="dxa"/>
            <w:vAlign w:val="bottom"/>
          </w:tcPr>
          <w:p>
            <w:pPr>
              <w:jc w:val="right"/>
              <w:ind w:right="29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76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108,276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42,022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February 27, 2021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29, 2020:</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27,</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29,</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439,284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283,463</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155,821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62,366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34,746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27,620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79.5 %</w:t>
            </w:r>
          </w:p>
        </w:tc>
        <w:tc>
          <w:tcPr>
            <w:tcW w:w="0" w:type="dxa"/>
            <w:vAlign w:val="bottom"/>
          </w:tcPr>
          <w:p>
            <w:pPr>
              <w:spacing w:after="0"/>
              <w:rPr>
                <w:sz w:val="1"/>
                <w:szCs w:val="1"/>
                <w:color w:val="auto"/>
              </w:rPr>
            </w:pPr>
          </w:p>
        </w:tc>
      </w:tr>
      <w:tr>
        <w:trPr>
          <w:trHeight w:val="259"/>
        </w:trPr>
        <w:tc>
          <w:tcPr>
            <w:tcW w:w="3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32,377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32,638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27,</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29,</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40.9 %</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the second quarter of Fiscal 2021 compared to the second quarter of Fiscal 2020 driven by unit growth.</w:t>
      </w:r>
    </w:p>
    <w:p>
      <w:pPr>
        <w:spacing w:after="0" w:line="24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Adjusted EBITDA increased in the second quarter of Fiscal 2021 compared to the second quarter of Fiscal 2020 due to an increase in unit sales and improved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February 27, 2021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29, 2020:</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27,</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29,</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382,575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325,542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57,033</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50,969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14,946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36,023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241.0 %</w:t>
            </w:r>
          </w:p>
        </w:tc>
        <w:tc>
          <w:tcPr>
            <w:tcW w:w="0" w:type="dxa"/>
            <w:vAlign w:val="bottom"/>
          </w:tcPr>
          <w:p>
            <w:pPr>
              <w:spacing w:after="0"/>
              <w:rPr>
                <w:sz w:val="1"/>
                <w:szCs w:val="1"/>
                <w:color w:val="auto"/>
              </w:rPr>
            </w:pPr>
          </w:p>
        </w:tc>
      </w:tr>
      <w:tr>
        <w:trPr>
          <w:trHeight w:val="260"/>
        </w:trPr>
        <w:tc>
          <w:tcPr>
            <w:tcW w:w="3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130,856</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145,554</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(14,698)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10"/>
        </w:trPr>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27,</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February 29,</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81.0 %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12"/>
        </w:trPr>
        <w:tc>
          <w:tcPr>
            <w:tcW w:w="318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28.9 %</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Net revenues increased in the second quarter of Fiscal 2021 compared to the second quarter of Fiscal 2020 primarily due to unit growth and increased pricing partially offset by unfavorable mix.</w:t>
      </w:r>
    </w:p>
    <w:p>
      <w:pPr>
        <w:spacing w:after="0" w:line="209" w:lineRule="exact"/>
        <w:rPr>
          <w:sz w:val="20"/>
          <w:szCs w:val="20"/>
          <w:color w:val="auto"/>
        </w:rPr>
      </w:pPr>
    </w:p>
    <w:p>
      <w:pPr>
        <w:ind w:right="460"/>
        <w:spacing w:after="0" w:line="242" w:lineRule="auto"/>
        <w:rPr>
          <w:sz w:val="20"/>
          <w:szCs w:val="20"/>
          <w:color w:val="auto"/>
        </w:rPr>
      </w:pPr>
      <w:r>
        <w:rPr>
          <w:rFonts w:ascii="Arial" w:cs="Arial" w:eastAsia="Arial" w:hAnsi="Arial"/>
          <w:sz w:val="16"/>
          <w:szCs w:val="16"/>
          <w:color w:val="auto"/>
        </w:rPr>
        <w:t>Adjusted EBITDA increased in the second quarter of Fiscal 2021 compared to the second quarter of Fiscal 2020 driven by revenue growth and margin expansion as a result of pricing, operating leverage, and productivity improvements.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First Six Months of Fiscal 2021 Compared to the First Six Months of Fiscal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2021 compared to the six months ended February 29, 2020:</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 thousands, except percent and per</w:t>
            </w:r>
          </w:p>
        </w:tc>
        <w:tc>
          <w:tcPr>
            <w:tcW w:w="140" w:type="dxa"/>
            <w:vAlign w:val="bottom"/>
          </w:tcPr>
          <w:p>
            <w:pPr>
              <w:spacing w:after="0"/>
              <w:rPr>
                <w:sz w:val="14"/>
                <w:szCs w:val="14"/>
                <w:color w:val="auto"/>
              </w:rPr>
            </w:pPr>
          </w:p>
        </w:tc>
        <w:tc>
          <w:tcPr>
            <w:tcW w:w="1320" w:type="dxa"/>
            <w:vAlign w:val="bottom"/>
            <w:gridSpan w:val="2"/>
          </w:tcPr>
          <w:p>
            <w:pPr>
              <w:ind w:left="60"/>
              <w:spacing w:after="0" w:line="161" w:lineRule="exact"/>
              <w:rPr>
                <w:sz w:val="20"/>
                <w:szCs w:val="20"/>
                <w:color w:val="auto"/>
              </w:rPr>
            </w:pPr>
            <w:r>
              <w:rPr>
                <w:rFonts w:ascii="Arial" w:cs="Arial" w:eastAsia="Arial" w:hAnsi="Arial"/>
                <w:sz w:val="16"/>
                <w:szCs w:val="16"/>
                <w:b w:val="1"/>
                <w:bCs w:val="1"/>
                <w:color w:val="auto"/>
              </w:rPr>
              <w:t>February 27,</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4"/>
                <w:szCs w:val="14"/>
                <w:color w:val="auto"/>
              </w:rPr>
            </w:pPr>
          </w:p>
        </w:tc>
        <w:tc>
          <w:tcPr>
            <w:tcW w:w="1320" w:type="dxa"/>
            <w:vAlign w:val="bottom"/>
            <w:gridSpan w:val="2"/>
          </w:tcPr>
          <w:p>
            <w:pPr>
              <w:ind w:left="40"/>
              <w:spacing w:after="0" w:line="161" w:lineRule="exact"/>
              <w:rPr>
                <w:sz w:val="20"/>
                <w:szCs w:val="20"/>
                <w:color w:val="auto"/>
              </w:rPr>
            </w:pPr>
            <w:r>
              <w:rPr>
                <w:rFonts w:ascii="Arial" w:cs="Arial" w:eastAsia="Arial" w:hAnsi="Arial"/>
                <w:sz w:val="16"/>
                <w:szCs w:val="16"/>
                <w:b w:val="1"/>
                <w:bCs w:val="1"/>
                <w:color w:val="auto"/>
              </w:rPr>
              <w:t>February 29,</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share data)</w:t>
            </w:r>
          </w:p>
        </w:tc>
        <w:tc>
          <w:tcPr>
            <w:tcW w:w="14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1,633,017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1,215,268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417,749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1,339,431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1,056,873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282,558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26.7 %</w:t>
            </w: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293,586</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158,395</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135,191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85.4 %</w:t>
            </w: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101,415</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93,269</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8,146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108,596</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104,857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19,993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165,214</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39,224</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125,990</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321.2 %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30,835</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390.9 %</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126,491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95,155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303.7 %</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Diluted income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293.7 %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24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Net revenues increased in the first six months of Fiscal 2021 compared to the first six months of Fiscal 2020 primarily due to organic unit growth, pricing actions, and our acquisition of Newmar.</w:t>
      </w:r>
    </w:p>
    <w:p>
      <w:pPr>
        <w:spacing w:after="0" w:line="22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Gross profit as a percentage of revenue increased in the first six months of Fiscal 2021 compared to the first six months of Fiscal 2020 primarily due to improved leverage as a result of higher revenues, pricing actions, and productivity initiatives.</w:t>
      </w:r>
    </w:p>
    <w:p>
      <w:pPr>
        <w:spacing w:after="0" w:line="222"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Operating expenses increased in the first six months of Fiscal 2021 compared to the first six months of Fiscal 2020 due to an increase in variable compensation and incremental Newmar operating costs partially offset by prior year acquisition-related costs, lower Newmar amortization, and a gain recognized in the first quarter of Fiscal 2021 on the sale of certain assets.</w:t>
      </w:r>
    </w:p>
    <w:p>
      <w:pPr>
        <w:spacing w:after="0" w:line="22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Interest expense increased in the first six months of Fiscal 2021 compared to the first six months of Fiscal 2020 primarily due to a higher interest rate as a result of our refinancing of our term loan B in the fourth quarter of Fiscal 2020.</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effective tax rate increased to 23.4% for the first six months of Fiscal 2021 compared to 20.1% for the first six months of Fiscal 2020 primarily due to consistent year-over-year credits over higher current year pre-tax income and favorable research and development discrete items in the prior year.</w:t>
      </w:r>
    </w:p>
    <w:p>
      <w:pPr>
        <w:spacing w:after="0" w:line="209"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Net income and diluted income per share increased in the first six months of Fiscal 2021 compared to the first six months of Fiscal 2020 primarily due to the profitability impact of higher organic revenues and improved profit margins, partially offset by higher operating expenses and a higher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255" w:lineRule="exact"/>
        <w:rPr>
          <w:sz w:val="20"/>
          <w:szCs w:val="20"/>
          <w:color w:val="auto"/>
        </w:rPr>
      </w:pPr>
    </w:p>
    <w:p>
      <w:pPr>
        <w:ind w:right="120"/>
        <w:spacing w:after="0" w:line="242" w:lineRule="auto"/>
        <w:rPr>
          <w:sz w:val="20"/>
          <w:szCs w:val="20"/>
          <w:color w:val="auto"/>
        </w:rPr>
      </w:pPr>
      <w:r>
        <w:rPr>
          <w:rFonts w:ascii="Arial" w:cs="Arial" w:eastAsia="Arial" w:hAnsi="Arial"/>
          <w:sz w:val="16"/>
          <w:szCs w:val="16"/>
          <w:color w:val="auto"/>
        </w:rPr>
        <w:t>The following table reconciles net income to consolidated EBITDA and Adjusted EBITDA for the first six months ended February 27, 2021 and February 29, 2020:</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 2021</w:t>
            </w:r>
          </w:p>
        </w:tc>
        <w:tc>
          <w:tcPr>
            <w:tcW w:w="16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29, 2020</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126,491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31,336</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19,993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14,700</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7,888</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11,588</w:t>
            </w:r>
          </w:p>
        </w:tc>
      </w:tr>
      <w:tr>
        <w:trPr>
          <w:trHeight w:val="209"/>
        </w:trPr>
        <w:tc>
          <w:tcPr>
            <w:tcW w:w="756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200,947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73,232</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9,950</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Gain on sale of property and equipment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06"/>
        </w:trPr>
        <w:tc>
          <w:tcPr>
            <w:tcW w:w="75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197,258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87,477</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first six months ended February 27, 2021 compared to the first six months ended</w:t>
      </w:r>
    </w:p>
    <w:p>
      <w:pPr>
        <w:spacing w:after="0"/>
        <w:rPr>
          <w:sz w:val="20"/>
          <w:szCs w:val="20"/>
          <w:color w:val="auto"/>
        </w:rPr>
      </w:pPr>
      <w:r>
        <w:rPr>
          <w:rFonts w:ascii="Arial" w:cs="Arial" w:eastAsia="Arial" w:hAnsi="Arial"/>
          <w:sz w:val="16"/>
          <w:szCs w:val="16"/>
          <w:color w:val="auto"/>
        </w:rPr>
        <w:t>February 29, 2020, and as of February 27, 2021 compared to February 29, 2020:</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894,185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624,713</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269,472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125,509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70,531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54,978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77.9 %</w:t>
            </w:r>
          </w:p>
        </w:tc>
        <w:tc>
          <w:tcPr>
            <w:tcW w:w="0" w:type="dxa"/>
            <w:vAlign w:val="bottom"/>
          </w:tcPr>
          <w:p>
            <w:pPr>
              <w:spacing w:after="0"/>
              <w:rPr>
                <w:sz w:val="1"/>
                <w:szCs w:val="1"/>
                <w:color w:val="auto"/>
              </w:rPr>
            </w:pPr>
          </w:p>
        </w:tc>
      </w:tr>
      <w:tr>
        <w:trPr>
          <w:trHeight w:val="260"/>
        </w:trPr>
        <w:tc>
          <w:tcPr>
            <w:tcW w:w="3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32,229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32,836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02"/>
        </w:trPr>
        <w:tc>
          <w:tcPr>
            <w:tcW w:w="3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53.1 %</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7,550</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0" w:type="dxa"/>
            <w:vAlign w:val="bottom"/>
          </w:tcPr>
          <w:p>
            <w:pPr>
              <w:spacing w:after="0"/>
              <w:rPr>
                <w:sz w:val="1"/>
                <w:szCs w:val="1"/>
                <w:color w:val="auto"/>
              </w:rPr>
            </w:pPr>
          </w:p>
        </w:tc>
      </w:tr>
      <w:tr>
        <w:trPr>
          <w:trHeight w:val="233"/>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February 29, 2020</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307.1 %</w:t>
            </w:r>
          </w:p>
        </w:tc>
        <w:tc>
          <w:tcPr>
            <w:tcW w:w="0" w:type="dxa"/>
            <w:vAlign w:val="bottom"/>
          </w:tcPr>
          <w:p>
            <w:pPr>
              <w:spacing w:after="0"/>
              <w:rPr>
                <w:sz w:val="1"/>
                <w:szCs w:val="1"/>
                <w:color w:val="auto"/>
              </w:rPr>
            </w:pPr>
          </w:p>
        </w:tc>
      </w:tr>
      <w:tr>
        <w:trPr>
          <w:trHeight w:val="213"/>
        </w:trPr>
        <w:tc>
          <w:tcPr>
            <w:tcW w:w="3180" w:type="dxa"/>
            <w:vAlign w:val="bottom"/>
          </w:tcPr>
          <w:p>
            <w:pPr>
              <w:ind w:left="400"/>
              <w:spacing w:after="0"/>
              <w:rPr>
                <w:sz w:val="20"/>
                <w:szCs w:val="20"/>
                <w:color w:val="auto"/>
              </w:rPr>
            </w:pPr>
            <w:r>
              <w:rPr>
                <w:rFonts w:ascii="Arial" w:cs="Arial" w:eastAsia="Arial" w:hAnsi="Arial"/>
                <w:sz w:val="16"/>
                <w:szCs w:val="16"/>
                <w:color w:val="auto"/>
              </w:rPr>
              <w:t>Dollars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1,206,695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330,738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875,957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264.8 %</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15,952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right="340" w:hanging="252"/>
        <w:spacing w:after="0" w:line="258" w:lineRule="auto"/>
        <w:tabs>
          <w:tab w:leader="none" w:pos="353"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in the first six months of Fiscal 2021 compared to the first six months of Fiscal 2020 driven by unit growth.</w:t>
      </w:r>
    </w:p>
    <w:p>
      <w:pPr>
        <w:spacing w:after="0" w:line="24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Adjusted EBITDA increased in the first six months of Fiscal 2021 compared to the first six months of Fiscal 2020 due to an increase in unit sales and improved pricing.</w:t>
      </w:r>
    </w:p>
    <w:p>
      <w:pPr>
        <w:spacing w:after="0" w:line="222"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have seen an increase in backlog as of February 27, 2021 compared to February 29, 2020 due to the continued strong retail demand by consumers of RVs as a safe travel option during the COVID-19 pandemic. As a result of this high retail demand, dealer inventory levels are lower, creating higher order backlog.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251" w:lineRule="exact"/>
        <w:rPr>
          <w:sz w:val="20"/>
          <w:szCs w:val="20"/>
          <w:color w:val="auto"/>
        </w:rPr>
      </w:pPr>
    </w:p>
    <w:p>
      <w:pPr>
        <w:ind w:right="300"/>
        <w:spacing w:after="0" w:line="242" w:lineRule="auto"/>
        <w:rPr>
          <w:sz w:val="20"/>
          <w:szCs w:val="20"/>
          <w:color w:val="auto"/>
        </w:rPr>
      </w:pPr>
      <w:r>
        <w:rPr>
          <w:rFonts w:ascii="Arial" w:cs="Arial" w:eastAsia="Arial" w:hAnsi="Arial"/>
          <w:sz w:val="16"/>
          <w:szCs w:val="16"/>
          <w:color w:val="auto"/>
        </w:rPr>
        <w:t>The following is an analysis of key changes in our Motorhome segment for the first six months ended February 27, 2021 compared to the first six months ended February 29, 2020, and as of February 27, 2021 compared to February 29, 2020:</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ASP)</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704,964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551,433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153,531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81,312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24,277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57,035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234.9 %</w:t>
            </w:r>
          </w:p>
        </w:tc>
      </w:tr>
      <w:tr>
        <w:trPr>
          <w:trHeight w:val="259"/>
        </w:trPr>
        <w:tc>
          <w:tcPr>
            <w:tcW w:w="3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415"/>
        </w:trPr>
        <w:tc>
          <w:tcPr>
            <w:tcW w:w="320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133,550</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129,344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4,206</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68"/>
        </w:trPr>
        <w:tc>
          <w:tcPr>
            <w:tcW w:w="3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15"/>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Class B</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48.3 %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38.7 %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58.0 %</w:t>
            </w: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r>
      <w:tr>
        <w:trPr>
          <w:trHeight w:val="20"/>
        </w:trPr>
        <w:tc>
          <w:tcPr>
            <w:tcW w:w="32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36"/>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 in thousands)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 2021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29, 2020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3200" w:type="dxa"/>
            <w:vAlign w:val="bottom"/>
            <w:tcBorders>
              <w:top w:val="single" w:sz="8" w:color="auto"/>
            </w:tcBorders>
          </w:tcPr>
          <w:p>
            <w:pPr>
              <w:ind w:left="20"/>
              <w:spacing w:after="0" w:line="213"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424.3 %</w:t>
            </w:r>
          </w:p>
        </w:tc>
      </w:tr>
      <w:tr>
        <w:trPr>
          <w:trHeight w:val="213"/>
        </w:trPr>
        <w:tc>
          <w:tcPr>
            <w:tcW w:w="3200" w:type="dxa"/>
            <w:vAlign w:val="bottom"/>
          </w:tcPr>
          <w:p>
            <w:pPr>
              <w:ind w:left="400"/>
              <w:spacing w:after="0"/>
              <w:rPr>
                <w:sz w:val="20"/>
                <w:szCs w:val="20"/>
                <w:color w:val="auto"/>
              </w:rPr>
            </w:pPr>
            <w:r>
              <w:rPr>
                <w:rFonts w:ascii="Arial" w:cs="Arial" w:eastAsia="Arial" w:hAnsi="Arial"/>
                <w:sz w:val="16"/>
                <w:szCs w:val="16"/>
                <w:color w:val="auto"/>
              </w:rPr>
              <w:t>Dollars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1,816,503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394,570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1,421,933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360.4 %</w:t>
            </w: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Dealer Inventory</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Units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(50.3)%</w:t>
            </w:r>
          </w:p>
        </w:tc>
      </w:tr>
    </w:tbl>
    <w:p>
      <w:pPr>
        <w:spacing w:after="0" w:line="119"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ASP excludes off-invoice dealer incentives.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340" w:hanging="252"/>
        <w:spacing w:after="0" w:line="258" w:lineRule="auto"/>
        <w:tabs>
          <w:tab w:leader="none" w:pos="353"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04" w:lineRule="exact"/>
        <w:rPr>
          <w:sz w:val="20"/>
          <w:szCs w:val="20"/>
          <w:color w:val="auto"/>
        </w:rPr>
      </w:pPr>
    </w:p>
    <w:p>
      <w:pPr>
        <w:ind w:right="400"/>
        <w:spacing w:after="0" w:line="242" w:lineRule="auto"/>
        <w:rPr>
          <w:sz w:val="20"/>
          <w:szCs w:val="20"/>
          <w:color w:val="auto"/>
        </w:rPr>
      </w:pPr>
      <w:r>
        <w:rPr>
          <w:rFonts w:ascii="Arial" w:cs="Arial" w:eastAsia="Arial" w:hAnsi="Arial"/>
          <w:sz w:val="16"/>
          <w:szCs w:val="16"/>
          <w:color w:val="auto"/>
        </w:rPr>
        <w:t>Net revenues increased in the first six months of Fiscal 2021 compared to the first six months of Fiscal 2020 primarily due to our acquisition of Newmar, organic unit growth, and increased pricing.</w:t>
      </w:r>
    </w:p>
    <w:p>
      <w:pPr>
        <w:spacing w:after="0" w:line="223" w:lineRule="exact"/>
        <w:rPr>
          <w:sz w:val="20"/>
          <w:szCs w:val="20"/>
          <w:color w:val="auto"/>
        </w:rPr>
      </w:pPr>
    </w:p>
    <w:p>
      <w:pPr>
        <w:ind w:right="320"/>
        <w:spacing w:after="0" w:line="242" w:lineRule="auto"/>
        <w:rPr>
          <w:sz w:val="20"/>
          <w:szCs w:val="20"/>
          <w:color w:val="auto"/>
        </w:rPr>
      </w:pPr>
      <w:r>
        <w:rPr>
          <w:rFonts w:ascii="Arial" w:cs="Arial" w:eastAsia="Arial" w:hAnsi="Arial"/>
          <w:sz w:val="16"/>
          <w:szCs w:val="16"/>
          <w:color w:val="auto"/>
        </w:rPr>
        <w:t>Adjusted EBITDA increased in the first six months of Fiscal 2021 compared to the first six months of Fiscal 2020 driven by pricing actions, higher organic revenue, productivity initiatives, and our acquisition of Newmar.</w:t>
      </w: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have seen an increase in the volume and dollar value of backlog as of February 27, 2021 compared to February 29, 2020 due to the continued strong retail demand by consumers of RVs as a safe travel option during the COVID-19 pandemic. As a result of this high retail demand, dealer inventory levels are lower, creating higher order backlog.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 for the six months ended February 27, 2021 and February 29,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7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February 27,</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February 29,</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provided by (used in):</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66,922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119,164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(283,158)</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249,502</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85,508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Cash provided by operating activities decreased for the six months ended February 27, 2021 compared to the six months ended February 29, 2020 primarily due to an increase in our inventory partially offset by higher profitability in the first six months of Fiscal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Cash used in investing activities decreased for the six months ended February 27, 2021 compared to the six months ended February 29, 2020 primarily due to our acquisition of Newmar during the first quarter of Fiscal 2020.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Cash provided by financing activities for the six months ended February 27, 2021 compared to cash used for the six months ended February 29, 2020 changed primarily due to the issuance of Convertible Notes issued in the first quarter of Fiscal 2020 to finance our acquisition of Newmar, partially offset by an increase in stock repurchases in the first quarter of Fiscal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17"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 xml:space="preserve">During the first quarter of Fiscal 2020, we issued the Convertible Notes, which were used to partially fund the Newmar acquisition. Refer to Note 8,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On July 8, 2020, we closed our private offering (the "Senior Secured Notes Offering") of $300 million in aggregate principal amount of 6.25% senior secured notes due 2028 (the "Senior Secured Notes"). The proceeds from the Senior Secured Notes were used to repay the remaining debt on the term loan and for general corporate purposes. Refer to Note 8,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w:t>
      </w:r>
    </w:p>
    <w:p>
      <w:pPr>
        <w:spacing w:after="0" w:line="22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maintain a $192.5 million asset-based revolving credit facility ("ABL Credit Facility") with a maturity date of October 22, 2024 subject to certain factors which may accelerate the maturity date. As of February 27, 2021, we had no borrowings against the ABL Credit Facility.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February 27, 2021, we had $333.0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33"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Working capital at February 27, 2021 and August 29, 2020 was $544.0 million and $413.2 million, respectively. We currently expect cash on hand, funds generated from operations, and the borrowing available under our ABL Credit Facility to be sufficient to cover both short-term and long-term operating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October 14, 2020, the Board adopted, subject to shareholder approval, an amendment to the Company’s Articles of Incorporation to increase the number of authorized shares of common stock, par value $0.50 per share, by 60 million shares to a total of 120 million shares. This amendment was approved by the Company’s shareholders at the 2020 Annual Meeting of Shareholders on December 15, 2020. The amendment, along with an amended and restated Articles of Incorporation, were made effective upon filing with the Secretary of State of the State of Iowa on December 17, 2020.</w:t>
      </w:r>
    </w:p>
    <w:p>
      <w:pPr>
        <w:spacing w:after="0" w:line="22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October 18, 2017, our Board of Directors authorized a share repurchase program in the amount of $70.0 million. There is no time restriction on the authorization. In the first six months of Fiscal 2021, we repurchased 204,000 shares of our own common stock at a cost of $10.4 million under this authorization, and 38,000 shares at a cost of $2.1 million to satisfy tax obligations on employee equity awards vested. We continually evaluate if share repurchases reflect a prudent use of our capital and, subject to compliance with our ABL Credit Facility and Senior Secured Notes, we may purchase shares in the future. At February 27, 2021, we have $58.8 million remaining on our board repurchase authorization.</w:t>
      </w:r>
    </w:p>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On March 17, 2021, our Board of Directors approved a quarterly cash dividend of $0.12 per share payable on April 28, 2021, to common stockholders of record at the close of business on April 14,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There has been no material change in our contractual obligations since the end of Fiscal 2020. Refer to Note 8, </w:t>
      </w:r>
      <w:r>
        <w:rPr>
          <w:rFonts w:ascii="Arial" w:cs="Arial" w:eastAsia="Arial" w:hAnsi="Arial"/>
          <w:sz w:val="16"/>
          <w:szCs w:val="16"/>
          <w:i w:val="1"/>
          <w:iCs w:val="1"/>
          <w:color w:val="auto"/>
        </w:rPr>
        <w:t>Long-Term Debt</w:t>
      </w:r>
      <w:r>
        <w:rPr>
          <w:rFonts w:ascii="Arial" w:cs="Arial" w:eastAsia="Arial" w:hAnsi="Arial"/>
          <w:sz w:val="16"/>
          <w:szCs w:val="16"/>
          <w:color w:val="auto"/>
        </w:rPr>
        <w:t>, of the Notes to Condensed Consolidated Financial Statements included in this Quarterly Report on Form 10-Q for additional details on the Convertible Notes and Senior Secured Notes, and see our Annual Report on Form 10-K for the fiscal year ended August 29, 2020 for additional information regarding our contractual obligations and commercial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Estimates</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included in our Annual Report on Form 10-K for the fiscal year ended August 29, 2020. We discuss our critical accounting estimates in Item</w:t>
      </w:r>
    </w:p>
    <w:p>
      <w:pPr>
        <w:spacing w:after="0" w:line="1"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Annual Report on Form 10-K for the fiscal year ended August 29, 2020. There have been no significant changes in our significant accounting policies or critical accounting estimates since the end of Fiscal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17"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For a description of new applicable accounting pronouncements,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our Annual Report on Form 10-K for the fiscal year ended August 29, 2020, and Item 1A, </w:t>
      </w:r>
      <w:r>
        <w:rPr>
          <w:rFonts w:ascii="Arial" w:cs="Arial" w:eastAsia="Arial" w:hAnsi="Arial"/>
          <w:sz w:val="16"/>
          <w:szCs w:val="16"/>
          <w:i w:val="1"/>
          <w:iCs w:val="1"/>
          <w:color w:val="auto"/>
        </w:rPr>
        <w:t>Risk Factors</w:t>
      </w:r>
      <w:r>
        <w:rPr>
          <w:rFonts w:ascii="Arial" w:cs="Arial" w:eastAsia="Arial" w:hAnsi="Arial"/>
          <w:sz w:val="16"/>
          <w:szCs w:val="16"/>
          <w:color w:val="auto"/>
        </w:rPr>
        <w:t>, in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increases in market compensation rates, business or production disruptions, sales order cancellations, risk related to the terms of our credit agreements and compliance with debt covenants and leverage ratios, stock price volatility and share dilution, disruptions or unanticipated costs from facility expansions, availability of labor, a slowdown in the economy, low consumer confidence, the effect of global tensions, increases in interest rates, availability of credit, availability of financing for RV and marine dealers, impairment of goodwill, risk related to cyclicality and seasonality of our business, slower than anticipated sales of new or existing products, integration of operations relating to merger and acquisition activities generally, our acquisition of Newmar, the possibility that the Newmar acquisition may not perform as expected or may not result in earnings growth, difficulties and expenses related to integrating Newmar into our business, increased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focus of management attention and resources on the acquisition of Newmar, risks related to the Convertible Notes and Senior Secured Notes, including our ability to satisfy our obligations under the Convertible Notes and Senior Secured Notes, risks related to our Convertible Note hedge and warrant transactions,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the implementation of our ERP system, the duration and scope of the COVID-19 pandemic, actions governments, businesses, and individuals take in response to the COVID-19 pandemic, including mandatory business closures and restrictions of onsite commercial interactions; the impact of the pandemic and actions taken in response to the pandemic on regional economies and economic activity; the pace of recovery when the COVID-19 pandemic subsides; and general economic uncertainty in key markets and a worsening of domestic economic conditions or low levels of economic growth, risk related to data security, governmental regulation, including for climate change, risk related to anti-takeover provisions applicable to us, cyber-attacks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of February 27, 2021, we have no interest rate swaps outstanding and the Term Loan, that had been subject to variable interest rates, was repaid in the fourth quarter of Fiscal 2020 using the proceeds from the Senior Secured Notes. The ABL is our only floating rate debt instrument which remains undrawn as of February 27,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Exchange Act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7"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 xml:space="preserve">For a description of our legal proceedings, see Note 10,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of the Notes to Condensed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29,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2021 were: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14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(1)</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80" w:type="dxa"/>
            <w:vAlign w:val="bottom"/>
            <w:tcBorders>
              <w:bottom w:val="single" w:sz="8" w:color="auto"/>
            </w:tcBorders>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2600" w:type="dxa"/>
            <w:vAlign w:val="bottom"/>
            <w:shd w:val="clear" w:color="auto" w:fill="BFE4FF"/>
          </w:tcPr>
          <w:p>
            <w:pPr>
              <w:ind w:left="20"/>
              <w:spacing w:after="0"/>
              <w:rPr>
                <w:sz w:val="20"/>
                <w:szCs w:val="20"/>
                <w:color w:val="auto"/>
              </w:rPr>
            </w:pPr>
            <w:r>
              <w:rPr>
                <w:rFonts w:ascii="Arial" w:cs="Arial" w:eastAsia="Arial" w:hAnsi="Arial"/>
                <w:sz w:val="16"/>
                <w:szCs w:val="16"/>
                <w:color w:val="auto"/>
              </w:rPr>
              <w:t>11/29/20 - 01/02/21</w:t>
            </w:r>
          </w:p>
        </w:tc>
        <w:tc>
          <w:tcPr>
            <w:tcW w:w="15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7,219</w:t>
            </w:r>
          </w:p>
        </w:tc>
        <w:tc>
          <w:tcPr>
            <w:tcW w:w="520" w:type="dxa"/>
            <w:vAlign w:val="bottom"/>
            <w:shd w:val="clear" w:color="auto" w:fill="BFE4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58.53</w:t>
            </w:r>
          </w:p>
        </w:tc>
        <w:tc>
          <w:tcPr>
            <w:tcW w:w="2880" w:type="dxa"/>
            <w:vAlign w:val="bottom"/>
            <w:gridSpan w:val="2"/>
            <w:shd w:val="clear" w:color="auto" w:fill="BFE4FF"/>
          </w:tcPr>
          <w:p>
            <w:pPr>
              <w:ind w:left="2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BFE4FF"/>
          </w:tcPr>
          <w:p>
            <w:pPr>
              <w:ind w:left="20"/>
              <w:spacing w:after="0"/>
              <w:rPr>
                <w:sz w:val="20"/>
                <w:szCs w:val="20"/>
                <w:color w:val="auto"/>
              </w:rPr>
            </w:pPr>
            <w:r>
              <w:rPr>
                <w:rFonts w:ascii="Arial" w:cs="Arial" w:eastAsia="Arial" w:hAnsi="Arial"/>
                <w:sz w:val="16"/>
                <w:szCs w:val="16"/>
                <w:color w:val="auto"/>
              </w:rPr>
              <w:t>$</w:t>
            </w:r>
          </w:p>
        </w:tc>
        <w:tc>
          <w:tcPr>
            <w:tcW w:w="2620" w:type="dxa"/>
            <w:vAlign w:val="bottom"/>
            <w:shd w:val="clear" w:color="auto" w:fill="BFE4FF"/>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01/03/21 - 01/30/21</w:t>
            </w:r>
          </w:p>
        </w:tc>
        <w:tc>
          <w:tcPr>
            <w:tcW w:w="1560" w:type="dxa"/>
            <w:vAlign w:val="bottom"/>
          </w:tcPr>
          <w:p>
            <w:pPr>
              <w:jc w:val="right"/>
              <w:spacing w:after="0"/>
              <w:rPr>
                <w:sz w:val="20"/>
                <w:szCs w:val="20"/>
                <w:color w:val="auto"/>
              </w:rPr>
            </w:pPr>
            <w:r>
              <w:rPr>
                <w:rFonts w:ascii="Arial" w:cs="Arial" w:eastAsia="Arial" w:hAnsi="Arial"/>
                <w:sz w:val="16"/>
                <w:szCs w:val="16"/>
                <w:color w:val="auto"/>
              </w:rPr>
              <w:t>1,227</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61.25</w:t>
            </w:r>
          </w:p>
        </w:tc>
        <w:tc>
          <w:tcPr>
            <w:tcW w:w="2880" w:type="dxa"/>
            <w:vAlign w:val="bottom"/>
            <w:gridSpan w:val="2"/>
          </w:tcPr>
          <w:p>
            <w:pPr>
              <w:ind w:left="2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6"/>
        </w:trPr>
        <w:tc>
          <w:tcPr>
            <w:tcW w:w="2600" w:type="dxa"/>
            <w:vAlign w:val="bottom"/>
            <w:shd w:val="clear" w:color="auto" w:fill="BFE4FF"/>
          </w:tcPr>
          <w:p>
            <w:pPr>
              <w:ind w:left="20"/>
              <w:spacing w:after="0"/>
              <w:rPr>
                <w:sz w:val="20"/>
                <w:szCs w:val="20"/>
                <w:color w:val="auto"/>
              </w:rPr>
            </w:pPr>
            <w:r>
              <w:rPr>
                <w:rFonts w:ascii="Arial" w:cs="Arial" w:eastAsia="Arial" w:hAnsi="Arial"/>
                <w:sz w:val="16"/>
                <w:szCs w:val="16"/>
                <w:color w:val="auto"/>
              </w:rPr>
              <w:t>01/31/21 - 02/27/21</w:t>
            </w:r>
          </w:p>
        </w:tc>
        <w:tc>
          <w:tcPr>
            <w:tcW w:w="1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72</w:t>
            </w:r>
          </w:p>
        </w:tc>
        <w:tc>
          <w:tcPr>
            <w:tcW w:w="520" w:type="dxa"/>
            <w:vAlign w:val="bottom"/>
            <w:shd w:val="clear" w:color="auto" w:fill="BFE4FF"/>
          </w:tcPr>
          <w:p>
            <w:pPr>
              <w:spacing w:after="0"/>
              <w:rPr>
                <w:sz w:val="18"/>
                <w:szCs w:val="18"/>
                <w:color w:val="auto"/>
              </w:rPr>
            </w:pPr>
          </w:p>
        </w:tc>
        <w:tc>
          <w:tcPr>
            <w:tcW w:w="8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71.46</w:t>
            </w:r>
          </w:p>
        </w:tc>
        <w:tc>
          <w:tcPr>
            <w:tcW w:w="2760" w:type="dxa"/>
            <w:vAlign w:val="bottom"/>
            <w:tcBorders>
              <w:bottom w:val="single" w:sz="8" w:color="auto"/>
            </w:tcBorders>
            <w:shd w:val="clear" w:color="auto" w:fill="BFE4FF"/>
          </w:tcPr>
          <w:p>
            <w:pPr>
              <w:ind w:left="2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BFE4FF"/>
          </w:tcPr>
          <w:p>
            <w:pPr>
              <w:spacing w:after="0"/>
              <w:rPr>
                <w:sz w:val="18"/>
                <w:szCs w:val="18"/>
                <w:color w:val="auto"/>
              </w:rPr>
            </w:pPr>
          </w:p>
        </w:tc>
        <w:tc>
          <w:tcPr>
            <w:tcW w:w="140" w:type="dxa"/>
            <w:vAlign w:val="bottom"/>
            <w:tcBorders>
              <w:bottom w:val="single" w:sz="8" w:color="auto"/>
            </w:tcBorders>
            <w:shd w:val="clear" w:color="auto" w:fill="BFE4FF"/>
          </w:tcPr>
          <w:p>
            <w:pPr>
              <w:spacing w:after="0"/>
              <w:rPr>
                <w:sz w:val="18"/>
                <w:szCs w:val="18"/>
                <w:color w:val="auto"/>
              </w:rPr>
            </w:pPr>
          </w:p>
        </w:tc>
        <w:tc>
          <w:tcPr>
            <w:tcW w:w="26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Pr>
          <w:p>
            <w:pPr>
              <w:jc w:val="right"/>
              <w:spacing w:after="0"/>
              <w:rPr>
                <w:sz w:val="20"/>
                <w:szCs w:val="20"/>
                <w:color w:val="auto"/>
              </w:rPr>
            </w:pPr>
            <w:r>
              <w:rPr>
                <w:rFonts w:ascii="Arial" w:cs="Arial" w:eastAsia="Arial" w:hAnsi="Arial"/>
                <w:sz w:val="16"/>
                <w:szCs w:val="16"/>
                <w:color w:val="auto"/>
              </w:rPr>
              <w:t>8,518</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59.03</w:t>
            </w:r>
          </w:p>
        </w:tc>
        <w:tc>
          <w:tcPr>
            <w:tcW w:w="2880" w:type="dxa"/>
            <w:vAlign w:val="bottom"/>
            <w:gridSpan w:val="2"/>
          </w:tcPr>
          <w:p>
            <w:pPr>
              <w:ind w:left="25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2620" w:type="dxa"/>
            <w:vAlign w:val="bottom"/>
          </w:tcPr>
          <w:p>
            <w:pPr>
              <w:jc w:val="right"/>
              <w:spacing w:after="0"/>
              <w:rPr>
                <w:sz w:val="20"/>
                <w:szCs w:val="20"/>
                <w:color w:val="auto"/>
              </w:rPr>
            </w:pPr>
            <w:r>
              <w:rPr>
                <w:rFonts w:ascii="Arial" w:cs="Arial" w:eastAsia="Arial" w:hAnsi="Arial"/>
                <w:sz w:val="16"/>
                <w:szCs w:val="16"/>
                <w:color w:val="auto"/>
              </w:rPr>
              <w:t>58,761,000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right="80" w:hanging="252"/>
        <w:spacing w:after="0" w:line="241" w:lineRule="auto"/>
        <w:tabs>
          <w:tab w:leader="none" w:pos="353" w:val="left"/>
        </w:tabs>
        <w:numPr>
          <w:ilvl w:val="0"/>
          <w:numId w:val="17"/>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Pursuant to a $70.0 million share repurchase program authorized by our Board of Directors on October 18, 2017. There is no time restriction on the authorization.</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 xml:space="preserve">Our Senior Secured notes, as defined in Note 8,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Condensed Consolidated Financial Statements, included in Item 1,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of this Quarterly Report on Form 10-Q, contains occurrence based restrictions that may limit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6635115"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35115" cy="342900"/>
                    </a:xfrm>
                    <a:prstGeom prst="rect">
                      <a:avLst/>
                    </a:prstGeom>
                    <a:noFill/>
                  </pic:spPr>
                </pic:pic>
              </a:graphicData>
            </a:graphic>
          </wp:anchor>
        </w:drawing>
      </w:r>
    </w:p>
    <w:p>
      <w:pPr>
        <w:spacing w:after="0" w:line="18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220" w:type="dxa"/>
            <w:vAlign w:val="bottom"/>
            <w:gridSpan w:val="2"/>
          </w:tcPr>
          <w:p>
            <w:pPr>
              <w:jc w:val="right"/>
              <w:spacing w:after="0"/>
              <w:rPr>
                <w:rFonts w:ascii="Arial" w:cs="Arial" w:eastAsia="Arial" w:hAnsi="Arial"/>
                <w:sz w:val="16"/>
                <w:szCs w:val="16"/>
                <w:color w:val="0000FF"/>
                <w:w w:val="89"/>
              </w:rPr>
            </w:pPr>
            <w:hyperlink r:id="rId56">
              <w:r>
                <w:rPr>
                  <w:rFonts w:ascii="Arial" w:cs="Arial" w:eastAsia="Arial" w:hAnsi="Arial"/>
                  <w:sz w:val="16"/>
                  <w:szCs w:val="16"/>
                  <w:color w:val="0000FF"/>
                  <w:w w:val="89"/>
                </w:rPr>
                <w:t>3a.</w:t>
              </w:r>
            </w:hyperlink>
          </w:p>
        </w:tc>
        <w:tc>
          <w:tcPr>
            <w:tcW w:w="840" w:type="dxa"/>
            <w:vAlign w:val="bottom"/>
          </w:tcPr>
          <w:p>
            <w:pPr>
              <w:spacing w:after="0"/>
              <w:rPr>
                <w:sz w:val="16"/>
                <w:szCs w:val="16"/>
                <w:color w:val="auto"/>
              </w:rPr>
            </w:pPr>
          </w:p>
        </w:tc>
        <w:tc>
          <w:tcPr>
            <w:tcW w:w="9520" w:type="dxa"/>
            <w:vAlign w:val="bottom"/>
            <w:gridSpan w:val="18"/>
          </w:tcPr>
          <w:p>
            <w:pPr>
              <w:spacing w:after="0"/>
              <w:rPr>
                <w:rFonts w:ascii="Arial" w:cs="Arial" w:eastAsia="Arial" w:hAnsi="Arial"/>
                <w:sz w:val="16"/>
                <w:szCs w:val="16"/>
                <w:color w:val="0000FF"/>
              </w:rPr>
            </w:pPr>
            <w:hyperlink r:id="rId56">
              <w:r>
                <w:rPr>
                  <w:rFonts w:ascii="Arial" w:cs="Arial" w:eastAsia="Arial" w:hAnsi="Arial"/>
                  <w:sz w:val="16"/>
                  <w:szCs w:val="16"/>
                  <w:color w:val="0000FF"/>
                </w:rPr>
                <w:t>Articles of Incorporation of the Registrant, as amended and restated on December 17, 2020 previously filed as Exhibit 3a to the</w:t>
              </w:r>
            </w:hyperlink>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20" w:type="dxa"/>
            <w:vAlign w:val="bottom"/>
            <w:gridSpan w:val="18"/>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Registrant's Quarterly Report for the quarter ended November 28, 2020. of the Registrant, as amended and restated on December</w:t>
              </w:r>
            </w:hyperlink>
          </w:p>
        </w:tc>
      </w:tr>
      <w:tr>
        <w:trPr>
          <w:trHeight w:val="142"/>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3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17, 2020 previously filed as Exhibit 3a to the Registrant's Quarterly Report for the quarter ended November 28, 2020.</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gridSpan w:val="3"/>
          </w:tcPr>
          <w:p>
            <w:pPr>
              <w:jc w:val="right"/>
              <w:ind w:right="840"/>
              <w:spacing w:after="0"/>
              <w:rPr>
                <w:rFonts w:ascii="Arial" w:cs="Arial" w:eastAsia="Arial" w:hAnsi="Arial"/>
                <w:sz w:val="16"/>
                <w:szCs w:val="16"/>
                <w:color w:val="0000FF"/>
                <w:w w:val="89"/>
              </w:rPr>
            </w:pPr>
            <w:hyperlink r:id="rId57">
              <w:r>
                <w:rPr>
                  <w:rFonts w:ascii="Arial" w:cs="Arial" w:eastAsia="Arial" w:hAnsi="Arial"/>
                  <w:sz w:val="16"/>
                  <w:szCs w:val="16"/>
                  <w:color w:val="0000FF"/>
                  <w:w w:val="89"/>
                </w:rPr>
                <w:t>3b.</w:t>
              </w:r>
            </w:hyperlink>
          </w:p>
        </w:tc>
        <w:tc>
          <w:tcPr>
            <w:tcW w:w="9520" w:type="dxa"/>
            <w:vAlign w:val="bottom"/>
            <w:gridSpan w:val="18"/>
          </w:tcPr>
          <w:p>
            <w:pPr>
              <w:spacing w:after="0"/>
              <w:rPr>
                <w:rFonts w:ascii="Arial" w:cs="Arial" w:eastAsia="Arial" w:hAnsi="Arial"/>
                <w:sz w:val="16"/>
                <w:szCs w:val="16"/>
                <w:color w:val="0000FF"/>
              </w:rPr>
            </w:pPr>
            <w:hyperlink r:id="rId57">
              <w:r>
                <w:rPr>
                  <w:rFonts w:ascii="Arial" w:cs="Arial" w:eastAsia="Arial" w:hAnsi="Arial"/>
                  <w:sz w:val="16"/>
                  <w:szCs w:val="16"/>
                  <w:color w:val="0000FF"/>
                </w:rPr>
                <w:t>Amended By-Laws of the Registrant previously filed as Exhibit 3.1 to the Registrant's Current Report on Form 8-K dated March 16,</w:t>
              </w:r>
            </w:hyperlink>
          </w:p>
        </w:tc>
      </w:tr>
      <w:tr>
        <w:trPr>
          <w:trHeight w:val="142"/>
        </w:trPr>
        <w:tc>
          <w:tcPr>
            <w:tcW w:w="6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93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2016 (Commission File Number 001-06403) and incorporated by reference herein.</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3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200" w:type="dxa"/>
            <w:vAlign w:val="bottom"/>
            <w:gridSpan w:val="2"/>
          </w:tcPr>
          <w:p>
            <w:pPr>
              <w:jc w:val="center"/>
              <w:spacing w:after="0" w:line="175" w:lineRule="exact"/>
              <w:rPr>
                <w:rFonts w:ascii="Arial" w:cs="Arial" w:eastAsia="Arial" w:hAnsi="Arial"/>
                <w:sz w:val="16"/>
                <w:szCs w:val="16"/>
                <w:color w:val="0000FF"/>
                <w:w w:val="89"/>
              </w:rPr>
            </w:pPr>
            <w:hyperlink r:id="rId58">
              <w:r>
                <w:rPr>
                  <w:rFonts w:ascii="Arial" w:cs="Arial" w:eastAsia="Arial" w:hAnsi="Arial"/>
                  <w:sz w:val="16"/>
                  <w:szCs w:val="16"/>
                  <w:color w:val="0000FF"/>
                  <w:w w:val="89"/>
                </w:rPr>
                <w:t>4.</w:t>
              </w:r>
            </w:hyperlink>
          </w:p>
        </w:tc>
        <w:tc>
          <w:tcPr>
            <w:tcW w:w="80" w:type="dxa"/>
            <w:vAlign w:val="bottom"/>
            <w:shd w:val="clear" w:color="auto" w:fill="CCEEFF"/>
          </w:tcPr>
          <w:p>
            <w:pPr>
              <w:jc w:val="right"/>
              <w:spacing w:after="0"/>
              <w:rPr>
                <w:rFonts w:ascii="Arial" w:cs="Arial" w:eastAsia="Arial" w:hAnsi="Arial"/>
                <w:sz w:val="15"/>
                <w:szCs w:val="15"/>
                <w:u w:val="single" w:color="auto"/>
                <w:color w:val="0000FF"/>
                <w:w w:val="71"/>
              </w:rPr>
            </w:pPr>
            <w:hyperlink r:id="rId58">
              <w:r>
                <w:rPr>
                  <w:rFonts w:ascii="Arial" w:cs="Arial" w:eastAsia="Arial" w:hAnsi="Arial"/>
                  <w:sz w:val="15"/>
                  <w:szCs w:val="15"/>
                  <w:u w:val="single" w:color="auto"/>
                  <w:color w:val="0000FF"/>
                  <w:w w:val="71"/>
                </w:rPr>
                <w:t>1</w:t>
              </w:r>
            </w:hyperlink>
          </w:p>
        </w:tc>
        <w:tc>
          <w:tcPr>
            <w:tcW w:w="840" w:type="dxa"/>
            <w:vAlign w:val="bottom"/>
            <w:tcBorders>
              <w:left w:val="single" w:sz="8" w:color="CCEEFF"/>
            </w:tcBorders>
            <w:shd w:val="clear" w:color="auto" w:fill="CCEEFF"/>
          </w:tcPr>
          <w:p>
            <w:pPr>
              <w:spacing w:after="0"/>
              <w:rPr>
                <w:sz w:val="15"/>
                <w:szCs w:val="15"/>
                <w:color w:val="auto"/>
              </w:rPr>
            </w:pPr>
          </w:p>
        </w:tc>
        <w:tc>
          <w:tcPr>
            <w:tcW w:w="9520" w:type="dxa"/>
            <w:vAlign w:val="bottom"/>
            <w:gridSpan w:val="18"/>
            <w:shd w:val="clear" w:color="auto" w:fill="CCEEFF"/>
          </w:tcPr>
          <w:p>
            <w:pPr>
              <w:spacing w:after="0" w:line="175" w:lineRule="exact"/>
              <w:rPr>
                <w:rFonts w:ascii="Arial" w:cs="Arial" w:eastAsia="Arial" w:hAnsi="Arial"/>
                <w:sz w:val="16"/>
                <w:szCs w:val="16"/>
                <w:color w:val="0000FF"/>
              </w:rPr>
            </w:pPr>
            <w:hyperlink r:id="rId58">
              <w:r>
                <w:rPr>
                  <w:rFonts w:ascii="Arial" w:cs="Arial" w:eastAsia="Arial" w:hAnsi="Arial"/>
                  <w:sz w:val="16"/>
                  <w:szCs w:val="16"/>
                  <w:color w:val="0000FF"/>
                </w:rPr>
                <w:t>Indenture, dated November 1, 2019, by and between Winnebago Industries, Inc. and U.S. Bank National Association previously filed</w:t>
              </w:r>
            </w:hyperlink>
          </w:p>
        </w:tc>
      </w:tr>
      <w:tr>
        <w:trPr>
          <w:trHeight w:val="163"/>
        </w:trPr>
        <w:tc>
          <w:tcPr>
            <w:tcW w:w="6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8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6340" w:type="dxa"/>
            <w:vAlign w:val="bottom"/>
            <w:tcBorders>
              <w:top w:val="single" w:sz="8" w:color="0000FF"/>
              <w:bottom w:val="single" w:sz="8" w:color="0000FF"/>
            </w:tcBorders>
            <w:gridSpan w:val="6"/>
            <w:shd w:val="clear" w:color="auto" w:fill="CCEEFF"/>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as Exhibit 4.1 with the Registrant’s Current Report on Form 8-K dated October 29, 2019.</w:t>
              </w:r>
            </w:hyperlink>
          </w:p>
        </w:tc>
        <w:tc>
          <w:tcPr>
            <w:tcW w:w="314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80" w:type="dxa"/>
            <w:vAlign w:val="bottom"/>
            <w:gridSpan w:val="3"/>
          </w:tcPr>
          <w:p>
            <w:pPr>
              <w:jc w:val="right"/>
              <w:spacing w:after="0" w:line="175" w:lineRule="exact"/>
              <w:rPr>
                <w:rFonts w:ascii="Arial" w:cs="Arial" w:eastAsia="Arial" w:hAnsi="Arial"/>
                <w:sz w:val="16"/>
                <w:szCs w:val="16"/>
                <w:color w:val="0000FF"/>
              </w:rPr>
            </w:pPr>
            <w:hyperlink r:id="rId58">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840" w:type="dxa"/>
            <w:vAlign w:val="bottom"/>
          </w:tcPr>
          <w:p>
            <w:pPr>
              <w:spacing w:after="0"/>
              <w:rPr>
                <w:sz w:val="15"/>
                <w:szCs w:val="15"/>
                <w:color w:val="auto"/>
              </w:rPr>
            </w:pPr>
          </w:p>
        </w:tc>
        <w:tc>
          <w:tcPr>
            <w:tcW w:w="9520" w:type="dxa"/>
            <w:vAlign w:val="bottom"/>
            <w:gridSpan w:val="18"/>
          </w:tcPr>
          <w:p>
            <w:pPr>
              <w:spacing w:after="0" w:line="175" w:lineRule="exact"/>
              <w:rPr>
                <w:rFonts w:ascii="Arial" w:cs="Arial" w:eastAsia="Arial" w:hAnsi="Arial"/>
                <w:sz w:val="16"/>
                <w:szCs w:val="16"/>
                <w:color w:val="0000FF"/>
              </w:rPr>
            </w:pPr>
            <w:hyperlink r:id="rId58">
              <w:r>
                <w:rPr>
                  <w:rFonts w:ascii="Arial" w:cs="Arial" w:eastAsia="Arial" w:hAnsi="Arial"/>
                  <w:sz w:val="16"/>
                  <w:szCs w:val="16"/>
                  <w:color w:val="0000FF"/>
                </w:rPr>
                <w:t>Form of 1.50% Convertible Senior Note due 2025 (included in Exhibit 4.1).</w:t>
              </w:r>
            </w:hyperlink>
          </w:p>
        </w:tc>
      </w:tr>
      <w:tr>
        <w:trPr>
          <w:trHeight w:val="183"/>
        </w:trPr>
        <w:tc>
          <w:tcPr>
            <w:tcW w:w="6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30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0" w:type="dxa"/>
            <w:vAlign w:val="bottom"/>
            <w:gridSpan w:val="2"/>
          </w:tcPr>
          <w:p>
            <w:pPr>
              <w:jc w:val="center"/>
              <w:spacing w:after="0" w:line="175" w:lineRule="exact"/>
              <w:rPr>
                <w:rFonts w:ascii="Arial" w:cs="Arial" w:eastAsia="Arial" w:hAnsi="Arial"/>
                <w:sz w:val="16"/>
                <w:szCs w:val="16"/>
                <w:color w:val="0000FF"/>
                <w:w w:val="89"/>
              </w:rPr>
            </w:pPr>
            <w:hyperlink r:id="rId59">
              <w:r>
                <w:rPr>
                  <w:rFonts w:ascii="Arial" w:cs="Arial" w:eastAsia="Arial" w:hAnsi="Arial"/>
                  <w:sz w:val="16"/>
                  <w:szCs w:val="16"/>
                  <w:color w:val="0000FF"/>
                  <w:w w:val="89"/>
                </w:rPr>
                <w:t>4.</w:t>
              </w:r>
            </w:hyperlink>
          </w:p>
        </w:tc>
        <w:tc>
          <w:tcPr>
            <w:tcW w:w="80" w:type="dxa"/>
            <w:vAlign w:val="bottom"/>
            <w:shd w:val="clear" w:color="auto" w:fill="CCEEFF"/>
          </w:tcPr>
          <w:p>
            <w:pPr>
              <w:jc w:val="right"/>
              <w:spacing w:after="0"/>
              <w:rPr>
                <w:rFonts w:ascii="Arial" w:cs="Arial" w:eastAsia="Arial" w:hAnsi="Arial"/>
                <w:sz w:val="15"/>
                <w:szCs w:val="15"/>
                <w:u w:val="single" w:color="auto"/>
                <w:color w:val="0000FF"/>
                <w:w w:val="71"/>
              </w:rPr>
            </w:pPr>
            <w:hyperlink r:id="rId59">
              <w:r>
                <w:rPr>
                  <w:rFonts w:ascii="Arial" w:cs="Arial" w:eastAsia="Arial" w:hAnsi="Arial"/>
                  <w:sz w:val="15"/>
                  <w:szCs w:val="15"/>
                  <w:u w:val="single" w:color="auto"/>
                  <w:color w:val="0000FF"/>
                  <w:w w:val="71"/>
                </w:rPr>
                <w:t>3</w:t>
              </w:r>
            </w:hyperlink>
          </w:p>
        </w:tc>
        <w:tc>
          <w:tcPr>
            <w:tcW w:w="840" w:type="dxa"/>
            <w:vAlign w:val="bottom"/>
            <w:tcBorders>
              <w:left w:val="single" w:sz="8" w:color="CCEEFF"/>
            </w:tcBorders>
            <w:shd w:val="clear" w:color="auto" w:fill="CCEEFF"/>
          </w:tcPr>
          <w:p>
            <w:pPr>
              <w:spacing w:after="0"/>
              <w:rPr>
                <w:sz w:val="15"/>
                <w:szCs w:val="15"/>
                <w:color w:val="auto"/>
              </w:rPr>
            </w:pPr>
          </w:p>
        </w:tc>
        <w:tc>
          <w:tcPr>
            <w:tcW w:w="9520" w:type="dxa"/>
            <w:vAlign w:val="bottom"/>
            <w:gridSpan w:val="18"/>
            <w:shd w:val="clear" w:color="auto" w:fill="CCEEFF"/>
          </w:tcPr>
          <w:p>
            <w:pPr>
              <w:spacing w:after="0" w:line="175" w:lineRule="exact"/>
              <w:rPr>
                <w:rFonts w:ascii="Arial" w:cs="Arial" w:eastAsia="Arial" w:hAnsi="Arial"/>
                <w:sz w:val="16"/>
                <w:szCs w:val="16"/>
                <w:color w:val="0000FF"/>
              </w:rPr>
            </w:pPr>
            <w:hyperlink r:id="rId59">
              <w:r>
                <w:rPr>
                  <w:rFonts w:ascii="Arial" w:cs="Arial" w:eastAsia="Arial" w:hAnsi="Arial"/>
                  <w:sz w:val="16"/>
                  <w:szCs w:val="16"/>
                  <w:color w:val="0000FF"/>
                </w:rPr>
                <w:t>Indenture, dated as of July 8, 2020, by and among Winnebago Industries, Inc., the guarantors named therein and U.S. Bank</w:t>
              </w:r>
            </w:hyperlink>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left w:val="single" w:sz="8" w:color="CCEEFF"/>
            </w:tcBorders>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left w:val="single" w:sz="8" w:color="CCEEFF"/>
              <w:bottom w:val="single" w:sz="8" w:color="CCEEFF"/>
            </w:tcBorders>
            <w:shd w:val="clear" w:color="auto" w:fill="CCEEFF"/>
          </w:tcPr>
          <w:p>
            <w:pPr>
              <w:spacing w:after="0"/>
              <w:rPr>
                <w:sz w:val="14"/>
                <w:szCs w:val="14"/>
                <w:color w:val="auto"/>
              </w:rPr>
            </w:pPr>
          </w:p>
        </w:tc>
        <w:tc>
          <w:tcPr>
            <w:tcW w:w="9440" w:type="dxa"/>
            <w:vAlign w:val="bottom"/>
            <w:tcBorders>
              <w:bottom w:val="single" w:sz="8" w:color="0000FF"/>
            </w:tcBorders>
            <w:gridSpan w:val="15"/>
            <w:shd w:val="clear" w:color="auto" w:fill="CCEEFF"/>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National Association, as trustee, previously filed as Exhibit 4.1 with the Registrant's Current Report on Form 8-K dated July 8, 2020.</w:t>
              </w:r>
            </w:hyperlink>
          </w:p>
        </w:tc>
        <w:tc>
          <w:tcPr>
            <w:tcW w:w="80" w:type="dxa"/>
            <w:vAlign w:val="bottom"/>
            <w:tcBorders>
              <w:bottom w:val="single" w:sz="8" w:color="CCEEFF"/>
            </w:tcBorders>
            <w:gridSpan w:val="3"/>
            <w:shd w:val="clear" w:color="auto" w:fill="CCEEFF"/>
          </w:tcPr>
          <w:p>
            <w:pPr>
              <w:spacing w:after="0"/>
              <w:rPr>
                <w:sz w:val="14"/>
                <w:szCs w:val="14"/>
                <w:color w:val="auto"/>
              </w:rPr>
            </w:pPr>
          </w:p>
        </w:tc>
      </w:tr>
      <w:tr>
        <w:trPr>
          <w:trHeight w:val="176"/>
        </w:trPr>
        <w:tc>
          <w:tcPr>
            <w:tcW w:w="280" w:type="dxa"/>
            <w:vAlign w:val="bottom"/>
            <w:gridSpan w:val="3"/>
          </w:tcPr>
          <w:p>
            <w:pPr>
              <w:jc w:val="right"/>
              <w:spacing w:after="0" w:line="175" w:lineRule="exact"/>
              <w:rPr>
                <w:rFonts w:ascii="Arial" w:cs="Arial" w:eastAsia="Arial" w:hAnsi="Arial"/>
                <w:sz w:val="16"/>
                <w:szCs w:val="16"/>
                <w:color w:val="0000FF"/>
              </w:rPr>
            </w:pPr>
            <w:hyperlink r:id="rId59">
              <w:r>
                <w:rPr>
                  <w:rFonts w:ascii="Arial" w:cs="Arial" w:eastAsia="Arial" w:hAnsi="Arial"/>
                  <w:sz w:val="16"/>
                  <w:szCs w:val="16"/>
                  <w:color w:val="0000FF"/>
                </w:rPr>
                <w:t>4.</w:t>
              </w:r>
              <w:r>
                <w:rPr>
                  <w:rFonts w:ascii="Arial" w:cs="Arial" w:eastAsia="Arial" w:hAnsi="Arial"/>
                  <w:sz w:val="16"/>
                  <w:szCs w:val="16"/>
                  <w:u w:val="single" w:color="auto"/>
                  <w:color w:val="0000FF"/>
                </w:rPr>
                <w:t>4</w:t>
              </w:r>
            </w:hyperlink>
          </w:p>
        </w:tc>
        <w:tc>
          <w:tcPr>
            <w:tcW w:w="840" w:type="dxa"/>
            <w:vAlign w:val="bottom"/>
          </w:tcPr>
          <w:p>
            <w:pPr>
              <w:spacing w:after="0"/>
              <w:rPr>
                <w:sz w:val="15"/>
                <w:szCs w:val="15"/>
                <w:color w:val="auto"/>
              </w:rPr>
            </w:pPr>
          </w:p>
        </w:tc>
        <w:tc>
          <w:tcPr>
            <w:tcW w:w="9520" w:type="dxa"/>
            <w:vAlign w:val="bottom"/>
            <w:gridSpan w:val="18"/>
          </w:tcPr>
          <w:p>
            <w:pPr>
              <w:spacing w:after="0" w:line="175" w:lineRule="exact"/>
              <w:rPr>
                <w:rFonts w:ascii="Arial" w:cs="Arial" w:eastAsia="Arial" w:hAnsi="Arial"/>
                <w:sz w:val="16"/>
                <w:szCs w:val="16"/>
                <w:color w:val="0000FF"/>
              </w:rPr>
            </w:pPr>
            <w:hyperlink r:id="rId59">
              <w:r>
                <w:rPr>
                  <w:rFonts w:ascii="Arial" w:cs="Arial" w:eastAsia="Arial" w:hAnsi="Arial"/>
                  <w:sz w:val="16"/>
                  <w:szCs w:val="16"/>
                  <w:color w:val="0000FF"/>
                </w:rPr>
                <w:t>Form of 6.250% Senior Secured Note due 2028 (included in Exhibit 4.3)</w:t>
              </w:r>
            </w:hyperlink>
          </w:p>
        </w:tc>
      </w:tr>
      <w:tr>
        <w:trPr>
          <w:trHeight w:val="183"/>
        </w:trPr>
        <w:tc>
          <w:tcPr>
            <w:tcW w:w="6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30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0" w:type="dxa"/>
            <w:vAlign w:val="bottom"/>
            <w:gridSpan w:val="2"/>
          </w:tcPr>
          <w:p>
            <w:pPr>
              <w:jc w:val="center"/>
              <w:spacing w:after="0" w:line="175" w:lineRule="exact"/>
              <w:rPr>
                <w:rFonts w:ascii="Arial" w:cs="Arial" w:eastAsia="Arial" w:hAnsi="Arial"/>
                <w:sz w:val="16"/>
                <w:szCs w:val="16"/>
                <w:color w:val="0000FF"/>
                <w:w w:val="89"/>
              </w:rPr>
            </w:pPr>
            <w:hyperlink w:anchor="page37">
              <w:r>
                <w:rPr>
                  <w:rFonts w:ascii="Arial" w:cs="Arial" w:eastAsia="Arial" w:hAnsi="Arial"/>
                  <w:sz w:val="16"/>
                  <w:szCs w:val="16"/>
                  <w:color w:val="0000FF"/>
                  <w:w w:val="89"/>
                </w:rPr>
                <w:t>31.</w:t>
              </w:r>
            </w:hyperlink>
          </w:p>
        </w:tc>
        <w:tc>
          <w:tcPr>
            <w:tcW w:w="920" w:type="dxa"/>
            <w:vAlign w:val="bottom"/>
            <w:gridSpan w:val="2"/>
            <w:shd w:val="clear" w:color="auto" w:fill="CCEEFF"/>
          </w:tcPr>
          <w:p>
            <w:pPr>
              <w:jc w:val="right"/>
              <w:ind w:right="800"/>
              <w:spacing w:after="0" w:line="175" w:lineRule="exact"/>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1</w:t>
              </w:r>
            </w:hyperlink>
          </w:p>
        </w:tc>
        <w:tc>
          <w:tcPr>
            <w:tcW w:w="9520" w:type="dxa"/>
            <w:vAlign w:val="bottom"/>
            <w:gridSpan w:val="18"/>
            <w:shd w:val="clear" w:color="auto" w:fill="CCEEFF"/>
          </w:tcPr>
          <w:p>
            <w:pPr>
              <w:spacing w:after="0" w:line="175" w:lineRule="exact"/>
              <w:rPr>
                <w:rFonts w:ascii="Arial" w:cs="Arial" w:eastAsia="Arial" w:hAnsi="Arial"/>
                <w:sz w:val="16"/>
                <w:szCs w:val="16"/>
                <w:color w:val="0000FF"/>
              </w:rPr>
            </w:pPr>
            <w:hyperlink w:anchor="page37">
              <w:r>
                <w:rPr>
                  <w:rFonts w:ascii="Arial" w:cs="Arial" w:eastAsia="Arial" w:hAnsi="Arial"/>
                  <w:sz w:val="16"/>
                  <w:szCs w:val="16"/>
                  <w:color w:val="0000FF"/>
                </w:rPr>
                <w:t>Certification by the Chief Executive Officer pursuant to Section 302 of the Sarbanes-Oxley Act of 2002</w:t>
              </w:r>
            </w:hyperlink>
            <w:r>
              <w:rPr>
                <w:rFonts w:ascii="Arial" w:cs="Arial" w:eastAsia="Arial" w:hAnsi="Arial"/>
                <w:sz w:val="16"/>
                <w:szCs w:val="16"/>
                <w:color w:val="000000"/>
              </w:rPr>
              <w:t>.</w:t>
            </w:r>
          </w:p>
        </w:tc>
      </w:tr>
      <w:tr>
        <w:trPr>
          <w:trHeight w:val="183"/>
        </w:trPr>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40" w:type="dxa"/>
            <w:vAlign w:val="bottom"/>
            <w:tcBorders>
              <w:top w:val="single" w:sz="8" w:color="CCEEFF"/>
              <w:left w:val="single" w:sz="8" w:color="CCEEFF"/>
            </w:tcBorders>
            <w:shd w:val="clear" w:color="auto" w:fill="CCEEFF"/>
          </w:tcPr>
          <w:p>
            <w:pPr>
              <w:spacing w:after="0"/>
              <w:rPr>
                <w:sz w:val="15"/>
                <w:szCs w:val="15"/>
                <w:color w:val="auto"/>
              </w:rPr>
            </w:pPr>
          </w:p>
        </w:tc>
        <w:tc>
          <w:tcPr>
            <w:tcW w:w="1340" w:type="dxa"/>
            <w:vAlign w:val="bottom"/>
            <w:tcBorders>
              <w:top w:val="single" w:sz="8" w:color="0000FF"/>
            </w:tcBorders>
            <w:shd w:val="clear" w:color="auto" w:fill="CCEEFF"/>
          </w:tcPr>
          <w:p>
            <w:pPr>
              <w:spacing w:after="0"/>
              <w:rPr>
                <w:sz w:val="15"/>
                <w:szCs w:val="15"/>
                <w:color w:val="auto"/>
              </w:rPr>
            </w:pPr>
          </w:p>
        </w:tc>
        <w:tc>
          <w:tcPr>
            <w:tcW w:w="740" w:type="dxa"/>
            <w:vAlign w:val="bottom"/>
            <w:tcBorders>
              <w:top w:val="single" w:sz="8" w:color="0000FF"/>
            </w:tcBorders>
            <w:shd w:val="clear" w:color="auto" w:fill="CCEEFF"/>
          </w:tcPr>
          <w:p>
            <w:pPr>
              <w:spacing w:after="0"/>
              <w:rPr>
                <w:sz w:val="15"/>
                <w:szCs w:val="15"/>
                <w:color w:val="auto"/>
              </w:rPr>
            </w:pPr>
          </w:p>
        </w:tc>
        <w:tc>
          <w:tcPr>
            <w:tcW w:w="308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58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9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175"/>
        </w:trPr>
        <w:tc>
          <w:tcPr>
            <w:tcW w:w="1120" w:type="dxa"/>
            <w:vAlign w:val="bottom"/>
            <w:gridSpan w:val="4"/>
          </w:tcPr>
          <w:p>
            <w:pPr>
              <w:jc w:val="right"/>
              <w:ind w:right="800"/>
              <w:spacing w:after="0" w:line="175" w:lineRule="exact"/>
              <w:rPr>
                <w:rFonts w:ascii="Arial" w:cs="Arial" w:eastAsia="Arial" w:hAnsi="Arial"/>
                <w:sz w:val="16"/>
                <w:szCs w:val="16"/>
                <w:color w:val="0000FF"/>
                <w:w w:val="96"/>
              </w:rPr>
            </w:pPr>
            <w:hyperlink w:anchor="page38">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9520" w:type="dxa"/>
            <w:vAlign w:val="bottom"/>
            <w:gridSpan w:val="18"/>
          </w:tcPr>
          <w:p>
            <w:pPr>
              <w:spacing w:after="0" w:line="175" w:lineRule="exact"/>
              <w:rPr>
                <w:rFonts w:ascii="Arial" w:cs="Arial" w:eastAsia="Arial" w:hAnsi="Arial"/>
                <w:sz w:val="16"/>
                <w:szCs w:val="16"/>
                <w:color w:val="0000FF"/>
              </w:rPr>
            </w:pPr>
            <w:hyperlink w:anchor="page38">
              <w:r>
                <w:rPr>
                  <w:rFonts w:ascii="Arial" w:cs="Arial" w:eastAsia="Arial" w:hAnsi="Arial"/>
                  <w:sz w:val="16"/>
                  <w:szCs w:val="16"/>
                  <w:color w:val="0000FF"/>
                </w:rPr>
                <w:t>Certification by the Chief Financial Officer pursuant to Section 302 of the Sarbanes-Oxley Act of 2002.</w:t>
              </w:r>
            </w:hyperlink>
          </w:p>
        </w:tc>
      </w:tr>
      <w:tr>
        <w:trPr>
          <w:trHeight w:val="183"/>
        </w:trPr>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30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00" w:type="dxa"/>
            <w:vAlign w:val="bottom"/>
            <w:gridSpan w:val="2"/>
          </w:tcPr>
          <w:p>
            <w:pPr>
              <w:jc w:val="center"/>
              <w:spacing w:after="0" w:line="175" w:lineRule="exact"/>
              <w:rPr>
                <w:rFonts w:ascii="Arial" w:cs="Arial" w:eastAsia="Arial" w:hAnsi="Arial"/>
                <w:sz w:val="16"/>
                <w:szCs w:val="16"/>
                <w:color w:val="0000FF"/>
                <w:w w:val="89"/>
              </w:rPr>
            </w:pPr>
            <w:hyperlink w:anchor="page39">
              <w:r>
                <w:rPr>
                  <w:rFonts w:ascii="Arial" w:cs="Arial" w:eastAsia="Arial" w:hAnsi="Arial"/>
                  <w:sz w:val="16"/>
                  <w:szCs w:val="16"/>
                  <w:color w:val="0000FF"/>
                  <w:w w:val="89"/>
                </w:rPr>
                <w:t>32.</w:t>
              </w:r>
            </w:hyperlink>
          </w:p>
        </w:tc>
        <w:tc>
          <w:tcPr>
            <w:tcW w:w="920" w:type="dxa"/>
            <w:vAlign w:val="bottom"/>
            <w:gridSpan w:val="2"/>
            <w:shd w:val="clear" w:color="auto" w:fill="CCEEFF"/>
          </w:tcPr>
          <w:p>
            <w:pPr>
              <w:jc w:val="right"/>
              <w:ind w:right="800"/>
              <w:spacing w:after="0" w:line="175" w:lineRule="exact"/>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1</w:t>
              </w:r>
            </w:hyperlink>
          </w:p>
        </w:tc>
        <w:tc>
          <w:tcPr>
            <w:tcW w:w="9520" w:type="dxa"/>
            <w:vAlign w:val="bottom"/>
            <w:gridSpan w:val="18"/>
            <w:shd w:val="clear" w:color="auto" w:fill="CCEEFF"/>
          </w:tcPr>
          <w:p>
            <w:pPr>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Certification by the Chief Executive Officer pursuant to 18 U.S.C. Section 1350, as adopted pursuant to Section 906 of the</w:t>
              </w:r>
            </w:hyperlink>
          </w:p>
        </w:tc>
      </w:tr>
      <w:tr>
        <w:trPr>
          <w:trHeight w:val="163"/>
        </w:trPr>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8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08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rPr>
            </w:pPr>
            <w:hyperlink w:anchor="page39">
              <w:r>
                <w:rPr>
                  <w:rFonts w:ascii="Arial" w:cs="Arial" w:eastAsia="Arial" w:hAnsi="Arial"/>
                  <w:sz w:val="16"/>
                  <w:szCs w:val="16"/>
                  <w:color w:val="0000FF"/>
                </w:rPr>
                <w:t>Sarbanes-Oxley Act of 2002.</w:t>
              </w:r>
            </w:hyperlink>
          </w:p>
        </w:tc>
        <w:tc>
          <w:tcPr>
            <w:tcW w:w="666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72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1120" w:type="dxa"/>
            <w:vAlign w:val="bottom"/>
            <w:gridSpan w:val="4"/>
          </w:tcPr>
          <w:p>
            <w:pPr>
              <w:jc w:val="right"/>
              <w:ind w:right="800"/>
              <w:spacing w:after="0" w:line="175" w:lineRule="exact"/>
              <w:rPr>
                <w:rFonts w:ascii="Arial" w:cs="Arial" w:eastAsia="Arial" w:hAnsi="Arial"/>
                <w:sz w:val="16"/>
                <w:szCs w:val="16"/>
                <w:color w:val="0000FF"/>
                <w:w w:val="96"/>
              </w:rPr>
            </w:pPr>
            <w:hyperlink w:anchor="page40">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9520" w:type="dxa"/>
            <w:vAlign w:val="bottom"/>
            <w:gridSpan w:val="18"/>
          </w:tcPr>
          <w:p>
            <w:pPr>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42"/>
        </w:trPr>
        <w:tc>
          <w:tcPr>
            <w:tcW w:w="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40">
              <w:r>
                <w:rPr>
                  <w:rFonts w:ascii="Arial" w:cs="Arial" w:eastAsia="Arial" w:hAnsi="Arial"/>
                  <w:sz w:val="16"/>
                  <w:szCs w:val="16"/>
                  <w:color w:val="0000FF"/>
                </w:rPr>
                <w:t>Oxley Act of 2002.</w:t>
              </w:r>
            </w:hyperlink>
          </w:p>
        </w:tc>
        <w:tc>
          <w:tcPr>
            <w:tcW w:w="8120" w:type="dxa"/>
            <w:vAlign w:val="bottom"/>
            <w:tcBorders>
              <w:top w:val="single" w:sz="8" w:color="0000FF"/>
            </w:tcBorders>
            <w:gridSpan w:val="15"/>
          </w:tcPr>
          <w:p>
            <w:pPr>
              <w:spacing w:after="0"/>
              <w:rPr>
                <w:sz w:val="12"/>
                <w:szCs w:val="12"/>
                <w:color w:val="auto"/>
              </w:rPr>
            </w:pPr>
          </w:p>
        </w:tc>
        <w:tc>
          <w:tcPr>
            <w:tcW w:w="60" w:type="dxa"/>
            <w:vAlign w:val="bottom"/>
            <w:gridSpan w:val="2"/>
          </w:tcPr>
          <w:p>
            <w:pPr>
              <w:spacing w:after="0"/>
              <w:rPr>
                <w:sz w:val="12"/>
                <w:szCs w:val="12"/>
                <w:color w:val="auto"/>
              </w:rPr>
            </w:pPr>
          </w:p>
        </w:tc>
      </w:tr>
    </w:tbl>
    <w:p>
      <w:pPr>
        <w:spacing w:after="0" w:line="42" w:lineRule="exact"/>
        <w:rPr>
          <w:sz w:val="20"/>
          <w:szCs w:val="20"/>
          <w:color w:val="auto"/>
        </w:rPr>
      </w:pPr>
    </w:p>
    <w:p>
      <w:pPr>
        <w:ind w:left="1260" w:right="40" w:hanging="1090"/>
        <w:spacing w:after="0" w:line="217" w:lineRule="auto"/>
        <w:tabs>
          <w:tab w:leader="none" w:pos="1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financial statements from our Quarterly Report on Form 10-Q for the second quarter of Fiscal 2021 in Inline Extensible Business Reporting Language ("iXBRL"): (i) the Condensed Consolidated Balance Sheets at February 27, 2021, and August 29, 2020, (ii) the Condensed Consolidated Statements of Income and Comprehensive Income for the three and six months ended February 27, 2021, and February 29, 2020, (iii) the Condensed Consolidated Statements of Cash Flows for the three and six months ended February 27, 2021, and February 29, 2020, (iv) the Condensed Consolidated Statements of Changes in Stockholders’ Equity for the three and six months ended February 27, 2021, and February 29, 2020,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wp:posOffset>
            </wp:positionV>
            <wp:extent cx="663511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635115" cy="240030"/>
                    </a:xfrm>
                    <a:prstGeom prst="rect">
                      <a:avLst/>
                    </a:prstGeom>
                    <a:noFill/>
                  </pic:spPr>
                </pic:pic>
              </a:graphicData>
            </a:graphic>
          </wp:anchor>
        </w:drawing>
      </w:r>
    </w:p>
    <w:p>
      <w:pPr>
        <w:spacing w:after="0" w:line="4" w:lineRule="exact"/>
        <w:rPr>
          <w:sz w:val="20"/>
          <w:szCs w:val="20"/>
          <w:color w:val="auto"/>
        </w:rPr>
      </w:pPr>
    </w:p>
    <w:p>
      <w:pPr>
        <w:ind w:left="1260" w:right="440" w:hanging="1090"/>
        <w:spacing w:after="0" w:line="232"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second quarter of Fiscal 2021 formatted in iXBRL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1" w:right="79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24, 2021</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1"/>
        </w:trPr>
        <w:tc>
          <w:tcPr>
            <w:tcW w:w="5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60"/>
              <w:spacing w:after="0"/>
              <w:rPr>
                <w:sz w:val="20"/>
                <w:szCs w:val="20"/>
                <w:color w:val="auto"/>
              </w:rPr>
            </w:pPr>
            <w:r>
              <w:rPr>
                <w:rFonts w:ascii="Arial" w:cs="Arial" w:eastAsia="Arial" w:hAnsi="Arial"/>
                <w:sz w:val="16"/>
                <w:szCs w:val="16"/>
                <w:color w:val="auto"/>
              </w:rPr>
              <w:t>March 24, 2021</w:t>
            </w:r>
          </w:p>
        </w:tc>
        <w:tc>
          <w:tcPr>
            <w:tcW w:w="7400" w:type="dxa"/>
            <w:vAlign w:val="bottom"/>
            <w:gridSpan w:val="2"/>
          </w:tcPr>
          <w:p>
            <w:pPr>
              <w:ind w:left="17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6"/>
        </w:trPr>
        <w:tc>
          <w:tcPr>
            <w:tcW w:w="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940"/>
          </w:cols>
          <w:pgMar w:left="320" w:top="141" w:right="6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80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27,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19"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800" w:hanging="328"/>
        <w:spacing w:after="0" w:line="26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27,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20"/>
        <w:spacing w:after="0"/>
        <w:tabs>
          <w:tab w:leader="none" w:pos="960" w:val="left"/>
          <w:tab w:leader="none" w:pos="6120" w:val="left"/>
          <w:tab w:leader="none" w:pos="6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20955</wp:posOffset>
            </wp:positionV>
            <wp:extent cx="2700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6" Type="http://schemas.openxmlformats.org/officeDocument/2006/relationships/hyperlink" Target="https://www.sec.gov/Archives/edgar/data/107687/000010768720000050/wgo-coverpageforrestatedar.htm" TargetMode="External"/><Relationship Id="rId57" Type="http://schemas.openxmlformats.org/officeDocument/2006/relationships/hyperlink" Target="http://www.sec.gov/Archives/edgar/data/107687/000010768716000075/exh31by-lawsasamended3x16x.htm" TargetMode="External"/><Relationship Id="rId58" Type="http://schemas.openxmlformats.org/officeDocument/2006/relationships/hyperlink" Target="http://www.sec.gov/Archives/edgar/data/107687/000110465919059604/a19-21005_2ex4d1.htm" TargetMode="External"/><Relationship Id="rId59"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2021-03-25T19:17:54Z</dcterms:created>
  <dcterms:modified xsi:type="dcterms:W3CDTF">2021-03-25T19:17:54Z</dcterms:modified>
</cp:coreProperties>
</file>