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08674x1_def14a-FILED_100-regcov_pg1"/>
      <w:bookmarkStart w:id="1" w:name="ny20008674x3_defr14a.htm"/>
      <w:bookmarkStart w:id="2" w:name="ksny20008674x3_defr14a"/>
      <w:bookmarkEnd w:id="0"/>
      <w:bookmarkEnd w:id="1"/>
      <w:bookmarkEnd w:id="2"/>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Washington, D.C. 20549</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Proxy Statement Pursuant to Section 14(a) of the</w:t>
        <w:br/>
        <w:br/>
        <w:t>Securities Exchange Act of 1934 (Amendment No.1)</w:t>
      </w:r>
    </w:p>
    <w:tbl>
      <w:tblPr>
        <w:tblW w:w="7151" w:type="dxa"/>
        <w:jc w:val="left"/>
        <w:tblInd w:w="0" w:type="dxa"/>
        <w:tblLayout w:type="fixed"/>
        <w:tblCellMar>
          <w:top w:w="0" w:type="dxa"/>
          <w:left w:w="0" w:type="dxa"/>
          <w:bottom w:w="0" w:type="dxa"/>
          <w:right w:w="0" w:type="dxa"/>
        </w:tblCellMar>
      </w:tblPr>
      <w:tblGrid>
        <w:gridCol w:w="290"/>
        <w:gridCol w:w="23"/>
        <w:gridCol w:w="23"/>
        <w:gridCol w:w="6815"/>
      </w:tblGrid>
      <w:tr>
        <w:trPr/>
        <w:tc>
          <w:tcPr>
            <w:tcW w:w="7151" w:type="dxa"/>
            <w:gridSpan w:val="4"/>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Filed by the Registrant ☒ </w:t>
            </w:r>
          </w:p>
        </w:tc>
      </w:tr>
      <w:tr>
        <w:trPr/>
        <w:tc>
          <w:tcPr>
            <w:tcW w:w="7151" w:type="dxa"/>
            <w:gridSpan w:val="4"/>
            <w:tcBorders/>
            <w:vAlign w:val="center"/>
          </w:tcPr>
          <w:p>
            <w:pPr>
              <w:pStyle w:val="TableContents"/>
              <w:bidi w:val="0"/>
              <w:spacing w:before="8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Filed by party other than the Registrant  ☐ </w:t>
            </w:r>
          </w:p>
        </w:tc>
      </w:tr>
      <w:tr>
        <w:trPr/>
        <w:tc>
          <w:tcPr>
            <w:tcW w:w="7151" w:type="dxa"/>
            <w:gridSpan w:val="4"/>
            <w:tcBorders/>
            <w:vAlign w:val="center"/>
          </w:tcPr>
          <w:p>
            <w:pPr>
              <w:pStyle w:val="TableContents"/>
              <w:bidi w:val="0"/>
              <w:spacing w:before="8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Check the appropriate box: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Preliminary Proxy Statement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ind w:left="0" w:right="0" w:hanging="0"/>
              <w:jc w:val="left"/>
              <w:rPr>
                <w:rFonts w:ascii="Times New Roman;Times;serif" w:hAnsi="Times New Roman;Times;serif"/>
                <w:b/>
                <w:color w:val="0E2A35"/>
                <w:sz w:val="20"/>
              </w:rPr>
            </w:pPr>
            <w:r>
              <w:rPr>
                <w:rFonts w:ascii="Times New Roman;Times;serif" w:hAnsi="Times New Roman;Times;serif"/>
                <w:b/>
                <w:color w:val="0E2A35"/>
                <w:sz w:val="20"/>
              </w:rPr>
              <w:t xml:space="preserve">Confidential, For Use of the Commission Only (as permitted by Rule 14a-6(e)(2)) </w:t>
            </w:r>
          </w:p>
        </w:tc>
      </w:tr>
      <w:tr>
        <w:trPr/>
        <w:tc>
          <w:tcPr>
            <w:tcW w:w="290" w:type="dxa"/>
            <w:tcBorders/>
            <w:vAlign w:val="center"/>
          </w:tcPr>
          <w:p>
            <w:pPr>
              <w:pStyle w:val="TableContents"/>
              <w:bidi w:val="0"/>
              <w:spacing w:before="80" w:after="283"/>
              <w:ind w:left="0" w:right="0" w:hanging="0"/>
              <w:jc w:val="left"/>
              <w:rPr>
                <w:color w:val="0E2A35"/>
              </w:rPr>
            </w:pPr>
            <w:r>
              <w:rPr>
                <w:color w:val="0E2A3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Definitive Proxy Statement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Definitive Additional Materials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Soliciting Material under § 240.14a-12</w:t>
            </w:r>
          </w:p>
        </w:tc>
      </w:tr>
    </w:tbl>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283"/>
              <w:jc w:val="center"/>
              <w:rPr>
                <w:color w:val="0E2A35"/>
              </w:rPr>
            </w:pPr>
            <w:r>
              <w:rPr>
                <w:color w:val="0E2A35"/>
              </w:rPr>
              <w:drawing>
                <wp:inline distT="0" distB="0" distL="0" distR="0">
                  <wp:extent cx="24479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581025"/>
                          </a:xfrm>
                          <a:prstGeom prst="rect">
                            <a:avLst/>
                          </a:prstGeom>
                        </pic:spPr>
                      </pic:pic>
                    </a:graphicData>
                  </a:graphic>
                </wp:inline>
              </w:drawing>
            </w:r>
          </w:p>
          <w:p>
            <w:pPr>
              <w:pStyle w:val="TableContents"/>
              <w:bidi w:val="0"/>
              <w:spacing w:before="0" w:after="283"/>
              <w:ind w:left="200" w:right="0" w:hanging="0"/>
              <w:jc w:val="left"/>
              <w:rPr>
                <w:color w:val="0E2A35"/>
              </w:rPr>
            </w:pPr>
            <w:r>
              <w:rPr>
                <w:color w:val="0E2A35"/>
              </w:rPr>
              <w:t> </w:t>
            </w:r>
          </w:p>
        </w:tc>
      </w:tr>
      <w:tr>
        <w:trPr/>
        <w:tc>
          <w:tcPr>
            <w:tcW w:w="5840" w:type="dxa"/>
            <w:tcBorders/>
            <w:vAlign w:val="center"/>
          </w:tcPr>
          <w:p>
            <w:pPr>
              <w:pStyle w:val="TableContents"/>
              <w:bidi w:val="0"/>
              <w:spacing w:before="0" w:after="283"/>
              <w:ind w:left="0" w:right="0" w:hanging="0"/>
              <w:jc w:val="left"/>
              <w:rPr>
                <w:color w:val="0E2A35"/>
              </w:rPr>
            </w:pPr>
            <w:r>
              <w:rPr>
                <w:color w:val="0E2A35"/>
              </w:rPr>
              <w:t> </w:t>
            </w:r>
          </w:p>
        </w:tc>
      </w:tr>
      <w:tr>
        <w:trPr/>
        <w:tc>
          <w:tcPr>
            <w:tcW w:w="584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E2A35"/>
                <w:sz w:val="36"/>
              </w:rPr>
            </w:pPr>
            <w:r>
              <w:rPr>
                <w:rFonts w:ascii="Times New Roman;Times;serif" w:hAnsi="Times New Roman;Times;serif"/>
                <w:b/>
                <w:color w:val="0E2A35"/>
                <w:sz w:val="36"/>
              </w:rPr>
              <w:t xml:space="preserve">WINNEBAGO INDUSTRIES, INC. </w:t>
            </w:r>
          </w:p>
        </w:tc>
      </w:tr>
      <w:tr>
        <w:trPr/>
        <w:tc>
          <w:tcPr>
            <w:tcW w:w="5840" w:type="dxa"/>
            <w:tcBorders/>
            <w:vAlign w:val="center"/>
          </w:tcPr>
          <w:p>
            <w:pPr>
              <w:pStyle w:val="TableContents"/>
              <w:bidi w:val="0"/>
              <w:spacing w:before="0" w:after="283"/>
              <w:jc w:val="center"/>
              <w:rPr>
                <w:rFonts w:ascii="Times New Roman;Times;serif" w:hAnsi="Times New Roman;Times;serif"/>
                <w:color w:val="0E2A35"/>
                <w:sz w:val="20"/>
              </w:rPr>
            </w:pPr>
            <w:r>
              <w:rPr>
                <w:rFonts w:ascii="Times New Roman;Times;serif" w:hAnsi="Times New Roman;Times;serif"/>
                <w:color w:val="0E2A35"/>
                <w:sz w:val="20"/>
              </w:rPr>
              <w:t>(Name of Registrant as Specified in its Charter)</w:t>
            </w:r>
          </w:p>
        </w:tc>
      </w:tr>
      <w:tr>
        <w:trPr/>
        <w:tc>
          <w:tcPr>
            <w:tcW w:w="5840" w:type="dxa"/>
            <w:tcBorders>
              <w:bottom w:val="single" w:sz="8" w:space="0" w:color="000000"/>
            </w:tcBorders>
            <w:tcMar>
              <w:bottom w:w="65" w:type="dxa"/>
            </w:tcMar>
            <w:vAlign w:val="center"/>
          </w:tcPr>
          <w:p>
            <w:pPr>
              <w:pStyle w:val="TableContents"/>
              <w:bidi w:val="0"/>
              <w:spacing w:before="0" w:after="0"/>
              <w:jc w:val="left"/>
              <w:rPr>
                <w:color w:val="0E2A35"/>
              </w:rPr>
            </w:pPr>
            <w:r>
              <w:rPr>
                <w:color w:val="0E2A35"/>
              </w:rPr>
              <w:t> </w:t>
            </w:r>
          </w:p>
        </w:tc>
      </w:tr>
      <w:tr>
        <w:trPr/>
        <w:tc>
          <w:tcPr>
            <w:tcW w:w="5840" w:type="dxa"/>
            <w:tcBorders/>
            <w:vAlign w:val="center"/>
          </w:tcPr>
          <w:p>
            <w:pPr>
              <w:pStyle w:val="TableContents"/>
              <w:bidi w:val="0"/>
              <w:spacing w:before="0" w:after="283"/>
              <w:jc w:val="center"/>
              <w:rPr>
                <w:rFonts w:ascii="Times New Roman;Times;serif" w:hAnsi="Times New Roman;Times;serif"/>
                <w:color w:val="0E2A35"/>
                <w:sz w:val="20"/>
              </w:rPr>
            </w:pPr>
            <w:r>
              <w:rPr>
                <w:rFonts w:ascii="Times New Roman;Times;serif" w:hAnsi="Times New Roman;Times;serif"/>
                <w:color w:val="0E2A35"/>
                <w:sz w:val="20"/>
              </w:rPr>
              <w:t>(Name of Person(s) Filing Proxy Statement, if Other than the Registrant)</w:t>
            </w:r>
          </w:p>
        </w:tc>
      </w:tr>
    </w:tbl>
    <w:tbl>
      <w:tblPr>
        <w:tblW w:w="5936" w:type="dxa"/>
        <w:jc w:val="left"/>
        <w:tblInd w:w="0" w:type="dxa"/>
        <w:tblLayout w:type="fixed"/>
        <w:tblCellMar>
          <w:top w:w="0" w:type="dxa"/>
          <w:left w:w="0" w:type="dxa"/>
          <w:bottom w:w="0" w:type="dxa"/>
          <w:right w:w="0" w:type="dxa"/>
        </w:tblCellMar>
      </w:tblPr>
      <w:tblGrid>
        <w:gridCol w:w="290"/>
        <w:gridCol w:w="23"/>
        <w:gridCol w:w="23"/>
        <w:gridCol w:w="5600"/>
      </w:tblGrid>
      <w:tr>
        <w:trPr/>
        <w:tc>
          <w:tcPr>
            <w:tcW w:w="5936" w:type="dxa"/>
            <w:gridSpan w:val="4"/>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Payment of Filing Fee (Check all boxes that apply):</w:t>
            </w:r>
          </w:p>
        </w:tc>
      </w:tr>
      <w:tr>
        <w:trPr/>
        <w:tc>
          <w:tcPr>
            <w:tcW w:w="290" w:type="dxa"/>
            <w:tcBorders/>
            <w:vAlign w:val="center"/>
          </w:tcPr>
          <w:p>
            <w:pPr>
              <w:pStyle w:val="TableContents"/>
              <w:bidi w:val="0"/>
              <w:spacing w:before="80" w:after="283"/>
              <w:ind w:left="0" w:right="0" w:hanging="0"/>
              <w:jc w:val="left"/>
              <w:rPr>
                <w:color w:val="0E2A35"/>
              </w:rPr>
            </w:pPr>
            <w:r>
              <w:rPr>
                <w:color w:val="0E2A35"/>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No fee required.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 xml:space="preserve">Fee previously paid with preliminary materials </w:t>
            </w:r>
          </w:p>
        </w:tc>
      </w:tr>
      <w:tr>
        <w:trPr/>
        <w:tc>
          <w:tcPr>
            <w:tcW w:w="290" w:type="dxa"/>
            <w:tcBorders/>
            <w:vAlign w:val="center"/>
          </w:tcPr>
          <w:p>
            <w:pPr>
              <w:pStyle w:val="TableContents"/>
              <w:bidi w:val="0"/>
              <w:spacing w:before="80" w:after="283"/>
              <w:ind w:left="0" w:right="0" w:hanging="0"/>
              <w:jc w:val="left"/>
              <w:rPr>
                <w:color w:val="0E2A35"/>
              </w:rPr>
            </w:pPr>
            <w:r>
              <w:rPr>
                <w:color w:val="0E2A35"/>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E2A35"/>
                <w:sz w:val="20"/>
              </w:rPr>
            </w:pPr>
            <w:r>
              <w:rPr>
                <w:rFonts w:ascii="Times New Roman;Times;serif" w:hAnsi="Times New Roman;Times;serif"/>
                <w:color w:val="0E2A35"/>
                <w:sz w:val="20"/>
              </w:rPr>
              <w:t>Fee computed on table per Exchange Act Rules 14a-6(i)(1) and 0-11.</w:t>
            </w:r>
          </w:p>
        </w:tc>
      </w:tr>
    </w:tbl>
    <w:p>
      <w:pPr>
        <w:pStyle w:val="HorizontalLine"/>
        <w:pBdr>
          <w:bottom w:val="single" w:sz="12" w:space="0" w:color="808080"/>
        </w:pBdr>
        <w:bidi w:val="0"/>
        <w:spacing w:before="200" w:after="200"/>
        <w:jc w:val="left"/>
        <w:rPr/>
      </w:pPr>
      <w:r>
        <w:rPr/>
      </w:r>
    </w:p>
    <w:p>
      <w:pPr>
        <w:pStyle w:val="TextBody"/>
        <w:bidi w:val="0"/>
        <w:spacing w:before="240" w:after="283"/>
        <w:jc w:val="left"/>
        <w:rPr>
          <w:rFonts w:ascii="Times New Roman;Times;serif" w:hAnsi="Times New Roman;Times;serif"/>
          <w:b/>
          <w:color w:val="000000"/>
          <w:sz w:val="20"/>
        </w:rPr>
      </w:pPr>
      <w:r>
        <w:rPr>
          <w:rFonts w:ascii="Times New Roman;Times;serif" w:hAnsi="Times New Roman;Times;serif"/>
          <w:b/>
          <w:color w:val="000000"/>
          <w:sz w:val="20"/>
        </w:rPr>
        <w:t>Explanatory Note </w:t>
      </w:r>
    </w:p>
    <w:p>
      <w:pPr>
        <w:pStyle w:val="TextBody"/>
        <w:bidi w:val="0"/>
        <w:spacing w:before="240" w:after="283"/>
        <w:jc w:val="center"/>
        <w:rPr>
          <w:color w:val="000000"/>
        </w:rPr>
      </w:pPr>
      <w:r>
        <w:rPr>
          <w:color w:val="000000"/>
        </w:rPr>
        <w:t> </w:t>
      </w:r>
    </w:p>
    <w:p>
      <w:pPr>
        <w:pStyle w:val="TextBody"/>
        <w:bidi w:val="0"/>
        <w:spacing w:before="240" w:after="283"/>
        <w:jc w:val="left"/>
        <w:rPr>
          <w:color w:val="000000"/>
        </w:rPr>
      </w:pPr>
      <w:r>
        <w:rPr>
          <w:rFonts w:ascii="Times New Roman;Times;serif" w:hAnsi="Times New Roman;Times;serif"/>
          <w:color w:val="000000"/>
          <w:sz w:val="20"/>
        </w:rPr>
        <w:t>This Amendment No. 1 to Schedule 14A (this “Amendment”) is being filed solely to amend and replace the form proxy card included in the Definitive Proxy Statement filed by Winnebago Industries, Inc. (the “Company”) with the Securities and Exchange Commission on November 3, 2023 (the “Proxy Statement”) in order to conform the voting options for Proposal 1 to those listed in the body of the Proxy Statement. No changes have been made to the body of the Proxy Statement and an updated proxy card has been included with the Proxy Statement being made available to the Company’s shareholders. This Amendment applies only to the version of the form proxy card originally filed with the Proxy Statement. </w:t>
      </w: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240" w:after="283"/>
        <w:jc w:val="left"/>
        <w:rPr/>
      </w:pPr>
      <w:r>
        <w:rPr/>
      </w:r>
    </w:p>
    <w:p>
      <w:pPr>
        <w:pStyle w:val="TextBody"/>
        <w:bidi w:val="0"/>
        <w:spacing w:before="240" w:after="283"/>
        <w:jc w:val="center"/>
        <w:rPr>
          <w:color w:val="000000"/>
        </w:rPr>
      </w:pPr>
      <w:r>
        <w:rPr>
          <w:color w:val="000000"/>
        </w:rPr>
        <w:drawing>
          <wp:inline distT="0" distB="0" distL="0" distR="0">
            <wp:extent cx="6953250" cy="8991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53250" cy="899160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240" w:after="283"/>
        <w:jc w:val="left"/>
        <w:rPr/>
      </w:pPr>
      <w:r>
        <w:rPr/>
      </w:r>
    </w:p>
    <w:p>
      <w:pPr>
        <w:pStyle w:val="TextBody"/>
        <w:bidi w:val="0"/>
        <w:spacing w:before="240" w:after="283"/>
        <w:jc w:val="center"/>
        <w:rPr>
          <w:color w:val="000000"/>
        </w:rPr>
      </w:pPr>
      <w:r>
        <w:rPr>
          <w:color w:val="000000"/>
        </w:rPr>
        <w:drawing>
          <wp:inline distT="0" distB="0" distL="0" distR="0">
            <wp:extent cx="6953250" cy="8991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53250" cy="8991600"/>
                    </a:xfrm>
                    <a:prstGeom prst="rect">
                      <a:avLst/>
                    </a:prstGeom>
                  </pic:spPr>
                </pic:pic>
              </a:graphicData>
            </a:graphic>
          </wp:inline>
        </w:drawing>
      </w:r>
      <w:r>
        <w:rPr>
          <w:color w:val="000000"/>
        </w:rPr>
        <w:t xml:space="preserve"> </w:t>
      </w:r>
    </w:p>
    <w:p>
      <w:pPr>
        <w:pStyle w:val="HorizontalLine"/>
        <w:pBdr>
          <w:bottom w:val="single" w:sz="12" w:space="0" w:color="808080"/>
        </w:pBdr>
        <w:bidi w:val="0"/>
        <w:spacing w:before="240" w:after="283"/>
        <w:jc w:val="center"/>
        <w:rPr/>
      </w:pPr>
      <w:r>
        <w:rPr/>
      </w:r>
    </w:p>
    <w:p>
      <w:pPr>
        <w:pStyle w:val="TextBody"/>
        <w:bidi w:val="0"/>
        <w:spacing w:before="24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246</Words>
  <Characters>1303</Characters>
  <CharactersWithSpaces>1562</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