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5740400</wp:posOffset>
            </wp:positionH>
            <wp:positionV relativeFrom="page">
              <wp:posOffset>226060</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19685</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 w:lineRule="exact"/>
        <w:rPr>
          <w:sz w:val="24"/>
          <w:szCs w:val="24"/>
          <w:color w:val="auto"/>
        </w:rPr>
      </w:pPr>
    </w:p>
    <w:p>
      <w:pPr>
        <w:jc w:val="right"/>
        <w:ind w:right="62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4"/>
          <w:szCs w:val="24"/>
          <w:color w:val="auto"/>
        </w:rPr>
      </w:pPr>
    </w:p>
    <w:p>
      <w:pPr>
        <w:jc w:val="both"/>
        <w:ind w:left="8880"/>
        <w:spacing w:after="0"/>
        <w:tabs>
          <w:tab w:leader="none" w:pos="1000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hours per response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6985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80"/>
        <w:spacing w:after="0"/>
        <w:tabs>
          <w:tab w:leader="none" w:pos="66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-29210</wp:posOffset>
            </wp:positionV>
            <wp:extent cx="274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Winnebago Industries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974637100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2006</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06" w:lineRule="exact"/>
        <w:rPr>
          <w:sz w:val="24"/>
          <w:szCs w:val="24"/>
          <w:color w:val="auto"/>
        </w:rPr>
      </w:pPr>
    </w:p>
    <w:p>
      <w:pPr>
        <w:ind w:left="220" w:right="6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46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Barrow, Hanley, Mewhinney &amp; Strauss, Inc.</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 Nevada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120" w:hanging="309"/>
        <w:spacing w:after="0"/>
        <w:tabs>
          <w:tab w:leader="none" w:pos="2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78"/>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4"/>
              </w:rPr>
              <w:t>NUMBER OF</w:t>
            </w:r>
          </w:p>
        </w:tc>
        <w:tc>
          <w:tcPr>
            <w:tcW w:w="4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289,425 shares</w:t>
            </w:r>
          </w:p>
        </w:tc>
        <w:tc>
          <w:tcPr>
            <w:tcW w:w="0" w:type="dxa"/>
            <w:vAlign w:val="bottom"/>
          </w:tcPr>
          <w:p>
            <w:pPr>
              <w:spacing w:after="0"/>
              <w:rPr>
                <w:sz w:val="1"/>
                <w:szCs w:val="1"/>
                <w:color w:val="auto"/>
              </w:rPr>
            </w:pPr>
          </w:p>
        </w:tc>
      </w:tr>
      <w:tr>
        <w:trPr>
          <w:trHeight w:val="242"/>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9"/>
              </w:rPr>
              <w:t>SHARES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94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32"/>
              <w:spacing w:after="0"/>
              <w:rPr>
                <w:sz w:val="20"/>
                <w:szCs w:val="20"/>
                <w:color w:val="auto"/>
              </w:rPr>
            </w:pPr>
            <w:r>
              <w:rPr>
                <w:rFonts w:ascii="Arial" w:cs="Arial" w:eastAsia="Arial" w:hAnsi="Arial"/>
                <w:sz w:val="18"/>
                <w:szCs w:val="18"/>
                <w:color w:val="auto"/>
                <w:w w:val="97"/>
              </w:rPr>
              <w:t>BENEFICIALLY</w:t>
            </w:r>
          </w:p>
        </w:tc>
        <w:tc>
          <w:tcPr>
            <w:tcW w:w="400" w:type="dxa"/>
            <w:vAlign w:val="bottom"/>
          </w:tcPr>
          <w:p>
            <w:pPr>
              <w:spacing w:after="0"/>
              <w:rPr>
                <w:sz w:val="18"/>
                <w:szCs w:val="18"/>
                <w:color w:val="auto"/>
              </w:rPr>
            </w:pPr>
          </w:p>
        </w:tc>
        <w:tc>
          <w:tcPr>
            <w:tcW w:w="9400" w:type="dxa"/>
            <w:vAlign w:val="bottom"/>
            <w:vMerge w:val="restart"/>
          </w:tcPr>
          <w:p>
            <w:pPr>
              <w:ind w:left="80"/>
              <w:spacing w:after="0"/>
              <w:rPr>
                <w:sz w:val="20"/>
                <w:szCs w:val="20"/>
                <w:color w:val="auto"/>
              </w:rPr>
            </w:pPr>
            <w:r>
              <w:rPr>
                <w:rFonts w:ascii="Arial" w:cs="Arial" w:eastAsia="Arial" w:hAnsi="Arial"/>
                <w:sz w:val="22"/>
                <w:szCs w:val="22"/>
                <w:color w:val="auto"/>
              </w:rPr>
              <w:t>1,990,600 shares</w:t>
            </w:r>
          </w:p>
        </w:tc>
        <w:tc>
          <w:tcPr>
            <w:tcW w:w="0" w:type="dxa"/>
            <w:vAlign w:val="bottom"/>
          </w:tcPr>
          <w:p>
            <w:pPr>
              <w:spacing w:after="0"/>
              <w:rPr>
                <w:sz w:val="1"/>
                <w:szCs w:val="1"/>
                <w:color w:val="auto"/>
              </w:rPr>
            </w:pPr>
          </w:p>
        </w:tc>
      </w:tr>
      <w:tr>
        <w:trPr>
          <w:trHeight w:val="222"/>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5"/>
              </w:rPr>
              <w:t>OWNED BY</w:t>
            </w:r>
          </w:p>
        </w:tc>
        <w:tc>
          <w:tcPr>
            <w:tcW w:w="400" w:type="dxa"/>
            <w:vAlign w:val="bottom"/>
            <w:tcBorders>
              <w:bottom w:val="single" w:sz="8" w:color="auto"/>
            </w:tcBorders>
          </w:tcPr>
          <w:p>
            <w:pPr>
              <w:spacing w:after="0"/>
              <w:rPr>
                <w:sz w:val="19"/>
                <w:szCs w:val="19"/>
                <w:color w:val="auto"/>
              </w:rPr>
            </w:pPr>
          </w:p>
        </w:tc>
        <w:tc>
          <w:tcPr>
            <w:tcW w:w="9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940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1"/>
              </w:rPr>
              <w:t>REPORTING</w:t>
            </w:r>
          </w:p>
        </w:tc>
        <w:tc>
          <w:tcPr>
            <w:tcW w:w="4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6"/>
              </w:rPr>
              <w:t>PERSON</w:t>
            </w:r>
          </w:p>
        </w:tc>
        <w:tc>
          <w:tcPr>
            <w:tcW w:w="400" w:type="dxa"/>
            <w:vAlign w:val="bottom"/>
          </w:tcPr>
          <w:p>
            <w:pPr>
              <w:spacing w:after="0"/>
              <w:rPr>
                <w:sz w:val="18"/>
                <w:szCs w:val="18"/>
                <w:color w:val="auto"/>
              </w:rPr>
            </w:pPr>
          </w:p>
        </w:tc>
        <w:tc>
          <w:tcPr>
            <w:tcW w:w="9400" w:type="dxa"/>
            <w:vAlign w:val="bottom"/>
          </w:tcPr>
          <w:p>
            <w:pPr>
              <w:ind w:left="80"/>
              <w:spacing w:after="0" w:line="217" w:lineRule="exact"/>
              <w:rPr>
                <w:sz w:val="20"/>
                <w:szCs w:val="20"/>
                <w:color w:val="auto"/>
              </w:rPr>
            </w:pPr>
            <w:r>
              <w:rPr>
                <w:rFonts w:ascii="Arial" w:cs="Arial" w:eastAsia="Arial" w:hAnsi="Arial"/>
                <w:sz w:val="22"/>
                <w:szCs w:val="22"/>
                <w:color w:val="auto"/>
              </w:rPr>
              <w:t>2,280,025 shares</w:t>
            </w:r>
          </w:p>
        </w:tc>
        <w:tc>
          <w:tcPr>
            <w:tcW w:w="0" w:type="dxa"/>
            <w:vAlign w:val="bottom"/>
          </w:tcPr>
          <w:p>
            <w:pPr>
              <w:spacing w:after="0"/>
              <w:rPr>
                <w:sz w:val="1"/>
                <w:szCs w:val="1"/>
                <w:color w:val="auto"/>
              </w:rPr>
            </w:pPr>
          </w:p>
        </w:tc>
      </w:tr>
      <w:tr>
        <w:trPr>
          <w:trHeight w:val="62"/>
        </w:trPr>
        <w:tc>
          <w:tcPr>
            <w:tcW w:w="1460" w:type="dxa"/>
            <w:vAlign w:val="bottom"/>
            <w:vMerge w:val="restart"/>
          </w:tcPr>
          <w:p>
            <w:pPr>
              <w:jc w:val="center"/>
              <w:ind w:right="152"/>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60" w:type="dxa"/>
            <w:vAlign w:val="bottom"/>
            <w:vMerge w:val="continue"/>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4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9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2,280,025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 (See Instructions)</w:t>
      </w:r>
    </w:p>
    <w:p>
      <w:pPr>
        <w:spacing w:after="0" w:line="118" w:lineRule="exact"/>
        <w:rPr>
          <w:sz w:val="20"/>
          <w:szCs w:val="20"/>
          <w:color w:val="auto"/>
        </w:rPr>
      </w:pPr>
    </w:p>
    <w:p>
      <w:pPr>
        <w:jc w:val="right"/>
        <w:ind w:right="7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Issuer:</w:t>
      </w:r>
    </w:p>
    <w:p>
      <w:pPr>
        <w:spacing w:after="0" w:line="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Winnebago Industries Inc.</w:t>
      </w:r>
    </w:p>
    <w:p>
      <w:pPr>
        <w:spacing w:after="0" w:line="131" w:lineRule="exact"/>
        <w:rPr>
          <w:sz w:val="20"/>
          <w:szCs w:val="20"/>
          <w:color w:val="auto"/>
        </w:rPr>
      </w:pPr>
    </w:p>
    <w:p>
      <w:pPr>
        <w:ind w:left="1420" w:hanging="710"/>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6" w:lineRule="exact"/>
        <w:rPr>
          <w:rFonts w:ascii="Arial" w:cs="Arial" w:eastAsia="Arial" w:hAnsi="Arial"/>
          <w:sz w:val="18"/>
          <w:szCs w:val="18"/>
          <w:color w:val="auto"/>
        </w:rPr>
      </w:pPr>
    </w:p>
    <w:p>
      <w:pPr>
        <w:ind w:left="1420" w:right="6799"/>
        <w:spacing w:after="0" w:line="332" w:lineRule="auto"/>
        <w:rPr>
          <w:rFonts w:ascii="Arial" w:cs="Arial" w:eastAsia="Arial" w:hAnsi="Arial"/>
          <w:sz w:val="18"/>
          <w:szCs w:val="18"/>
          <w:color w:val="auto"/>
        </w:rPr>
      </w:pPr>
      <w:r>
        <w:rPr>
          <w:rFonts w:ascii="Arial" w:cs="Arial" w:eastAsia="Arial" w:hAnsi="Arial"/>
          <w:sz w:val="16"/>
          <w:szCs w:val="16"/>
          <w:color w:val="auto"/>
        </w:rPr>
        <w:t>605 West Crystal Lake Road Forest City, IA 50436</w:t>
      </w:r>
    </w:p>
    <w:p>
      <w:pPr>
        <w:spacing w:after="0" w:line="39"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Barrow, Hanley, Mewhinney &amp; Strauss, Inc.</w:t>
      </w:r>
    </w:p>
    <w:p>
      <w:pPr>
        <w:spacing w:after="0" w:line="131" w:lineRule="exact"/>
        <w:rPr>
          <w:sz w:val="20"/>
          <w:szCs w:val="20"/>
          <w:color w:val="auto"/>
        </w:rPr>
      </w:pPr>
    </w:p>
    <w:p>
      <w:pPr>
        <w:ind w:left="1420" w:hanging="71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420" w:right="6739"/>
        <w:spacing w:after="0" w:line="272" w:lineRule="auto"/>
        <w:rPr>
          <w:rFonts w:ascii="Arial" w:cs="Arial" w:eastAsia="Arial" w:hAnsi="Arial"/>
          <w:sz w:val="18"/>
          <w:szCs w:val="18"/>
          <w:color w:val="auto"/>
        </w:rPr>
      </w:pPr>
      <w:r>
        <w:rPr>
          <w:rFonts w:ascii="Arial" w:cs="Arial" w:eastAsia="Arial" w:hAnsi="Arial"/>
          <w:sz w:val="16"/>
          <w:szCs w:val="16"/>
          <w:color w:val="auto"/>
        </w:rPr>
        <w:t>2200 Ross Avenue,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Dallas, TX 75201-2761</w:t>
      </w:r>
    </w:p>
    <w:p>
      <w:pPr>
        <w:spacing w:after="0" w:line="84" w:lineRule="exact"/>
        <w:rPr>
          <w:rFonts w:ascii="Arial" w:cs="Arial" w:eastAsia="Arial" w:hAnsi="Arial"/>
          <w:sz w:val="18"/>
          <w:szCs w:val="18"/>
          <w:color w:val="auto"/>
        </w:rPr>
      </w:pPr>
    </w:p>
    <w:p>
      <w:pPr>
        <w:ind w:left="1420" w:hanging="71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 Nevada corporation</w:t>
      </w:r>
    </w:p>
    <w:p>
      <w:pPr>
        <w:spacing w:after="0" w:line="130" w:lineRule="exact"/>
        <w:rPr>
          <w:rFonts w:ascii="Arial" w:cs="Arial" w:eastAsia="Arial" w:hAnsi="Arial"/>
          <w:sz w:val="18"/>
          <w:szCs w:val="18"/>
          <w:color w:val="auto"/>
        </w:rPr>
      </w:pPr>
    </w:p>
    <w:p>
      <w:pPr>
        <w:ind w:left="1420" w:right="6899" w:hanging="710"/>
        <w:spacing w:after="0" w:line="405"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420" w:hanging="71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 974637100</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710"/>
        <w:spacing w:after="0" w:line="184" w:lineRule="exact"/>
        <w:tabs>
          <w:tab w:leader="none" w:pos="142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700" w:right="219" w:hanging="990"/>
        <w:spacing w:after="0" w:line="236" w:lineRule="exact"/>
        <w:tabs>
          <w:tab w:leader="none" w:pos="1403"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2,280,025 shares.</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7.27%.</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289,425 shares.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1,990,600 shares.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2,280,025 shares.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right="1180"/>
        <w:spacing w:after="0" w:line="370" w:lineRule="auto"/>
        <w:rPr>
          <w:sz w:val="20"/>
          <w:szCs w:val="20"/>
          <w:color w:val="auto"/>
        </w:rPr>
      </w:pPr>
      <w:r>
        <w:rPr>
          <w:rFonts w:ascii="Arial" w:cs="Arial" w:eastAsia="Arial" w:hAnsi="Arial"/>
          <w:sz w:val="15"/>
          <w:szCs w:val="15"/>
          <w:color w:val="auto"/>
        </w:rPr>
        <w:t>The right to receive or the power to direct the receipt of dividends from, or the proceeds from the sale of, the common stock is held by certain clients of the reporting person, none of which has such right or power with respect to five percent or more of the common stock.</w:t>
      </w:r>
    </w:p>
    <w:p>
      <w:pPr>
        <w:spacing w:after="0" w:line="2" w:lineRule="exact"/>
        <w:rPr>
          <w:sz w:val="20"/>
          <w:szCs w:val="20"/>
          <w:color w:val="auto"/>
        </w:rPr>
      </w:pPr>
    </w:p>
    <w:p>
      <w:pPr>
        <w:ind w:left="720" w:right="158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1140" w:right="1440"/>
        <w:spacing w:after="0" w:line="256"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89" w:lineRule="exact"/>
        <w:rPr>
          <w:sz w:val="20"/>
          <w:szCs w:val="20"/>
          <w:color w:val="auto"/>
        </w:rPr>
      </w:pPr>
    </w:p>
    <w:p>
      <w:pPr>
        <w:ind w:left="720" w:right="1620"/>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1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BARROW, HANLEY, MEWHINNEY &amp; STRAUSS,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P. B</w:t>
            </w:r>
            <w:r>
              <w:rPr>
                <w:rFonts w:ascii="Arial" w:cs="Arial" w:eastAsia="Arial" w:hAnsi="Arial"/>
                <w:sz w:val="14"/>
                <w:szCs w:val="14"/>
                <w:color w:val="auto"/>
              </w:rPr>
              <w:t>ARROW</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James P. Barrow</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4"/>
              </w:rPr>
              <w:t>President</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February 9, 2007</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2019-12-13T08:32:26Z</dcterms:created>
  <dcterms:modified xsi:type="dcterms:W3CDTF">2019-12-13T08:32:26Z</dcterms:modified>
</cp:coreProperties>
</file>